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446ED" w14:textId="4529CD59" w:rsidR="007D7C11" w:rsidRDefault="002A456B" w:rsidP="002A456B">
      <w:pPr>
        <w:jc w:val="center"/>
        <w:rPr>
          <w:u w:val="single"/>
        </w:rPr>
      </w:pPr>
      <w:r w:rsidRPr="002A456B">
        <w:rPr>
          <w:u w:val="single"/>
        </w:rPr>
        <w:t>Identify and describe the religious ceremonies surrounding girls coming of age in Classical Athens.</w:t>
      </w:r>
    </w:p>
    <w:p w14:paraId="6FB7AF50" w14:textId="43E35106" w:rsidR="002A456B" w:rsidRDefault="00A3355D" w:rsidP="00A3355D">
      <w:r>
        <w:t xml:space="preserve">I will be describing the ceremony known as </w:t>
      </w:r>
      <w:proofErr w:type="spellStart"/>
      <w:r>
        <w:t>Arkteia</w:t>
      </w:r>
      <w:proofErr w:type="spellEnd"/>
      <w:r>
        <w:t>, also known as the bear ritual which was a major ritual performed by girls in Attica. I will be explaining the cultural meanings behind the ritual and its relative importance to the Athenian people.</w:t>
      </w:r>
    </w:p>
    <w:p w14:paraId="02A83112" w14:textId="40D6B411" w:rsidR="008B77FC" w:rsidRDefault="008B77FC" w:rsidP="00A3355D">
      <w:r>
        <w:t xml:space="preserve">The </w:t>
      </w:r>
      <w:r w:rsidR="00AA28EA">
        <w:t xml:space="preserve">ceremony for the </w:t>
      </w:r>
      <w:proofErr w:type="spellStart"/>
      <w:r w:rsidR="00AA28EA">
        <w:t>Arkteia</w:t>
      </w:r>
      <w:proofErr w:type="spellEnd"/>
      <w:r w:rsidR="00375C20">
        <w:t xml:space="preserve"> took place at the </w:t>
      </w:r>
      <w:proofErr w:type="spellStart"/>
      <w:r w:rsidR="00AA28EA">
        <w:t>Brauron</w:t>
      </w:r>
      <w:r w:rsidR="00AD5838">
        <w:t>ia</w:t>
      </w:r>
      <w:proofErr w:type="spellEnd"/>
      <w:r w:rsidR="00AA28EA">
        <w:t xml:space="preserve"> which the site of the cult of Artemis in Attica.</w:t>
      </w:r>
      <w:r w:rsidR="00AA28EA">
        <w:rPr>
          <w:rStyle w:val="EndnoteReference"/>
        </w:rPr>
        <w:endnoteReference w:id="1"/>
      </w:r>
      <w:r w:rsidR="00AD5838">
        <w:t xml:space="preserve"> Although this from a modern source there is little contest to the location of the temple as it is known to have existed. As for the ritual of the </w:t>
      </w:r>
      <w:proofErr w:type="spellStart"/>
      <w:r w:rsidR="00AD5838">
        <w:t>Arkteia</w:t>
      </w:r>
      <w:proofErr w:type="spellEnd"/>
      <w:r w:rsidR="00AD5838">
        <w:t xml:space="preserve"> itself one of the primary pieces of evidence for the existence of the ritual is from the play ‘</w:t>
      </w:r>
      <w:proofErr w:type="spellStart"/>
      <w:r w:rsidR="00AD5838">
        <w:t>Lysitrata</w:t>
      </w:r>
      <w:proofErr w:type="spellEnd"/>
      <w:r w:rsidR="00AD5838">
        <w:t xml:space="preserve">’ by Aristophanes; in this play the chorus of woman, ‘when I was ten I was a grinder for the foundress and shedding my saffron robe I was the bear at the </w:t>
      </w:r>
      <w:proofErr w:type="spellStart"/>
      <w:r w:rsidR="00AD5838">
        <w:t>Brauronia</w:t>
      </w:r>
      <w:proofErr w:type="spellEnd"/>
      <w:r w:rsidR="00AD5838">
        <w:t>’</w:t>
      </w:r>
      <w:r w:rsidR="00AD5838">
        <w:rPr>
          <w:rStyle w:val="EndnoteReference"/>
        </w:rPr>
        <w:endnoteReference w:id="2"/>
      </w:r>
      <w:r w:rsidR="00AD5838">
        <w:t>. What this then can confirm for us is that a ritual took place</w:t>
      </w:r>
      <w:r w:rsidR="00A27404">
        <w:t xml:space="preserve"> although this does come from a play it may well be </w:t>
      </w:r>
      <w:r w:rsidR="00F76E33">
        <w:t>about</w:t>
      </w:r>
      <w:bookmarkStart w:id="0" w:name="_GoBack"/>
      <w:bookmarkEnd w:id="0"/>
      <w:r w:rsidR="00A27404">
        <w:t xml:space="preserve"> a known custom in Athenian society</w:t>
      </w:r>
      <w:r w:rsidR="00AD5838">
        <w:t>. James an</w:t>
      </w:r>
      <w:r w:rsidR="00A27404">
        <w:t xml:space="preserve">d </w:t>
      </w:r>
      <w:r w:rsidR="00AD5838">
        <w:t xml:space="preserve">Dillon tell us that there </w:t>
      </w:r>
      <w:proofErr w:type="gramStart"/>
      <w:r w:rsidR="00AD5838">
        <w:t>is</w:t>
      </w:r>
      <w:proofErr w:type="gramEnd"/>
      <w:r w:rsidR="00AD5838">
        <w:t xml:space="preserve"> too few amounts of evidence for there to be a single agreement on the actual rituals that took place or even what sort of ritual it was</w:t>
      </w:r>
      <w:r w:rsidR="00232D59">
        <w:rPr>
          <w:rStyle w:val="EndnoteReference"/>
        </w:rPr>
        <w:endnoteReference w:id="3"/>
      </w:r>
      <w:r w:rsidR="00232D59">
        <w:t>. The ritual was believed to be linked Iphigenia</w:t>
      </w:r>
      <w:r w:rsidR="00232D59">
        <w:rPr>
          <w:rStyle w:val="EndnoteReference"/>
        </w:rPr>
        <w:endnoteReference w:id="4"/>
      </w:r>
      <w:r w:rsidR="00232D59">
        <w:t xml:space="preserve"> and how instead of being sacrificed by Agamemnon she was saved last minute by the Goddess Artemis and replaced with a bear</w:t>
      </w:r>
      <w:r w:rsidR="00232D59">
        <w:rPr>
          <w:rStyle w:val="EndnoteReference"/>
        </w:rPr>
        <w:endnoteReference w:id="5"/>
      </w:r>
      <w:r w:rsidR="00232D59">
        <w:t xml:space="preserve">. From the location of the ritual at </w:t>
      </w:r>
      <w:proofErr w:type="spellStart"/>
      <w:r w:rsidR="00232D59">
        <w:t>Brauronia</w:t>
      </w:r>
      <w:proofErr w:type="spellEnd"/>
      <w:r w:rsidR="00232D59">
        <w:t xml:space="preserve"> and the link to Artemis we can then assume that this was a ritual dedicated to her. </w:t>
      </w:r>
    </w:p>
    <w:p w14:paraId="5D97E4A5" w14:textId="27850119" w:rsidR="00232D59" w:rsidRDefault="003D3D2F" w:rsidP="00A3355D">
      <w:r>
        <w:t xml:space="preserve">James and Dillon mention vases excavated from </w:t>
      </w:r>
      <w:proofErr w:type="spellStart"/>
      <w:r>
        <w:t>Brauron</w:t>
      </w:r>
      <w:proofErr w:type="spellEnd"/>
      <w:r>
        <w:t xml:space="preserve"> portraying girls either in the nude or in a short chiton moving around an altar, none of the imagery directly portrays a link between the girls and the playing of the bear</w:t>
      </w:r>
      <w:r>
        <w:rPr>
          <w:rStyle w:val="EndnoteReference"/>
        </w:rPr>
        <w:endnoteReference w:id="6"/>
      </w:r>
      <w:r>
        <w:t>. They then go on to say that the bear may have been a way of identifying the sanctuary in imagery</w:t>
      </w:r>
      <w:r w:rsidR="000A0A49">
        <w:t xml:space="preserve">. </w:t>
      </w:r>
      <w:proofErr w:type="spellStart"/>
      <w:r w:rsidR="000A0A49">
        <w:t>Athother</w:t>
      </w:r>
      <w:proofErr w:type="spellEnd"/>
      <w:r w:rsidR="000A0A49">
        <w:t xml:space="preserve"> theory from </w:t>
      </w:r>
      <w:proofErr w:type="spellStart"/>
      <w:r w:rsidR="000A0A49">
        <w:t>Sourvinou</w:t>
      </w:r>
      <w:proofErr w:type="spellEnd"/>
      <w:r w:rsidR="000A0A49">
        <w:t xml:space="preserve">-Inwood is that the bear may have been a statue. </w:t>
      </w:r>
      <w:r w:rsidR="000A0A49">
        <w:rPr>
          <w:rStyle w:val="EndnoteReference"/>
        </w:rPr>
        <w:endnoteReference w:id="7"/>
      </w:r>
      <w:r>
        <w:t xml:space="preserve">this is however contradictory to what we know from Aristophanes. The images depict </w:t>
      </w:r>
      <w:r w:rsidR="003A56D4">
        <w:t>usually young girls</w:t>
      </w:r>
      <w:r w:rsidR="000A0A49">
        <w:rPr>
          <w:rStyle w:val="EndnoteReference"/>
        </w:rPr>
        <w:endnoteReference w:id="8"/>
      </w:r>
      <w:r w:rsidR="003A56D4">
        <w:t>. James and Dillon claim that the girls wearing saffro</w:t>
      </w:r>
      <w:r w:rsidR="000A0A49">
        <w:t xml:space="preserve">n </w:t>
      </w:r>
      <w:r w:rsidR="003A56D4">
        <w:t>robes are</w:t>
      </w:r>
      <w:r w:rsidR="000A0A49">
        <w:t xml:space="preserve"> then shed which represents the girls </w:t>
      </w:r>
      <w:r w:rsidR="00A27404">
        <w:t>rejecting wild sexuality and submitting to the patriarchal society that they live in and order</w:t>
      </w:r>
      <w:r w:rsidR="00A27404">
        <w:rPr>
          <w:rStyle w:val="EndnoteReference"/>
        </w:rPr>
        <w:endnoteReference w:id="9"/>
      </w:r>
      <w:r w:rsidR="00A27404">
        <w:t>. They then compare this to the sacrifice of Iphigenia as the girls are being reborn as women</w:t>
      </w:r>
      <w:r w:rsidR="00A27404">
        <w:rPr>
          <w:rStyle w:val="EndnoteReference"/>
        </w:rPr>
        <w:endnoteReference w:id="10"/>
      </w:r>
      <w:r w:rsidR="00A27404">
        <w:t>.</w:t>
      </w:r>
    </w:p>
    <w:p w14:paraId="3487D6E7" w14:textId="7DD81EB7" w:rsidR="00A27404" w:rsidRDefault="00A27404" w:rsidP="00A3355D">
      <w:r>
        <w:t xml:space="preserve">There is little evidence on the type of ritual that took place and it is mostly speculative. It is possible that the rituals were secretive and therefore were not well known. </w:t>
      </w:r>
    </w:p>
    <w:p w14:paraId="2D045C4D" w14:textId="77777777" w:rsidR="00A27404" w:rsidRDefault="00A27404" w:rsidP="00A3355D"/>
    <w:p w14:paraId="3A9D81E7" w14:textId="77777777" w:rsidR="00A3355D" w:rsidRPr="00A3355D" w:rsidRDefault="00A3355D" w:rsidP="00A3355D"/>
    <w:sectPr w:rsidR="00A3355D" w:rsidRPr="00A335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29E72" w14:textId="77777777" w:rsidR="00D400DF" w:rsidRDefault="00D400DF" w:rsidP="00AA28EA">
      <w:pPr>
        <w:spacing w:after="0" w:line="240" w:lineRule="auto"/>
      </w:pPr>
      <w:r>
        <w:separator/>
      </w:r>
    </w:p>
  </w:endnote>
  <w:endnote w:type="continuationSeparator" w:id="0">
    <w:p w14:paraId="7D85566F" w14:textId="77777777" w:rsidR="00D400DF" w:rsidRDefault="00D400DF" w:rsidP="00AA28EA">
      <w:pPr>
        <w:spacing w:after="0" w:line="240" w:lineRule="auto"/>
      </w:pPr>
      <w:r>
        <w:continuationSeparator/>
      </w:r>
    </w:p>
  </w:endnote>
  <w:endnote w:id="1">
    <w:p w14:paraId="359D2D51" w14:textId="69336D77" w:rsidR="00AA28EA" w:rsidRDefault="00AA28EA">
      <w:pPr>
        <w:pStyle w:val="EndnoteText"/>
      </w:pPr>
      <w:r>
        <w:rPr>
          <w:rStyle w:val="EndnoteReference"/>
        </w:rPr>
        <w:endnoteRef/>
      </w:r>
      <w:r>
        <w:t xml:space="preserve"> </w:t>
      </w:r>
      <w:r w:rsidR="00D8478C" w:rsidRPr="00D8478C">
        <w:t>L., S., 2012. A Companion to Women in the Ancient World. Wiley, John &amp; Sons, Incorporated.</w:t>
      </w:r>
      <w:r w:rsidR="00D8478C">
        <w:t xml:space="preserve"> Page </w:t>
      </w:r>
      <w:r w:rsidR="00AD5838">
        <w:t>196</w:t>
      </w:r>
    </w:p>
  </w:endnote>
  <w:endnote w:id="2">
    <w:p w14:paraId="4EAD45D6" w14:textId="1A6360FF" w:rsidR="00AD5838" w:rsidRDefault="00AD5838">
      <w:pPr>
        <w:pStyle w:val="EndnoteText"/>
      </w:pPr>
      <w:r>
        <w:rPr>
          <w:rStyle w:val="EndnoteReference"/>
        </w:rPr>
        <w:endnoteRef/>
      </w:r>
      <w:r>
        <w:t xml:space="preserve"> </w:t>
      </w:r>
      <w:r w:rsidRPr="00AD5838">
        <w:t xml:space="preserve">Aristophanes. and </w:t>
      </w:r>
      <w:proofErr w:type="spellStart"/>
      <w:r w:rsidRPr="00AD5838">
        <w:t>Sommerstein</w:t>
      </w:r>
      <w:proofErr w:type="spellEnd"/>
      <w:r w:rsidRPr="00AD5838">
        <w:t>, A. (2002). Lysistrata and other plays. 1st ed. London: Penguin.</w:t>
      </w:r>
    </w:p>
  </w:endnote>
  <w:endnote w:id="3">
    <w:p w14:paraId="5E6403BF" w14:textId="2D6B3F57" w:rsidR="00232D59" w:rsidRDefault="00232D59">
      <w:pPr>
        <w:pStyle w:val="EndnoteText"/>
      </w:pPr>
      <w:r>
        <w:rPr>
          <w:rStyle w:val="EndnoteReference"/>
        </w:rPr>
        <w:endnoteRef/>
      </w:r>
      <w:r>
        <w:t xml:space="preserve"> </w:t>
      </w:r>
      <w:r w:rsidRPr="00232D59">
        <w:t>L., S., 2012. A Companion to Women in the Ancient World. Wiley, John &amp; Sons, Incorporated. Page 196</w:t>
      </w:r>
    </w:p>
  </w:endnote>
  <w:endnote w:id="4">
    <w:p w14:paraId="251C9C8A" w14:textId="43B826F1" w:rsidR="00232D59" w:rsidRDefault="00232D59">
      <w:pPr>
        <w:pStyle w:val="EndnoteText"/>
      </w:pPr>
      <w:r>
        <w:rPr>
          <w:rStyle w:val="EndnoteReference"/>
        </w:rPr>
        <w:endnoteRef/>
      </w:r>
      <w:r>
        <w:t xml:space="preserve"> </w:t>
      </w:r>
      <w:r w:rsidRPr="00232D59">
        <w:t>L., S., 2012. A Companion to Women in the Ancient World. Wiley, John &amp; Sons, Incorporated. Page 19</w:t>
      </w:r>
      <w:r>
        <w:t>7</w:t>
      </w:r>
    </w:p>
  </w:endnote>
  <w:endnote w:id="5">
    <w:p w14:paraId="6B476F34" w14:textId="0E7357EC" w:rsidR="00232D59" w:rsidRDefault="00232D59">
      <w:pPr>
        <w:pStyle w:val="EndnoteText"/>
      </w:pPr>
      <w:r>
        <w:rPr>
          <w:rStyle w:val="EndnoteReference"/>
        </w:rPr>
        <w:endnoteRef/>
      </w:r>
      <w:r>
        <w:t xml:space="preserve"> Euripides 414BC, Iphigenia in Tauris</w:t>
      </w:r>
    </w:p>
  </w:endnote>
  <w:endnote w:id="6">
    <w:p w14:paraId="14A2ED71" w14:textId="6F98FC19" w:rsidR="003D3D2F" w:rsidRDefault="003D3D2F">
      <w:pPr>
        <w:pStyle w:val="EndnoteText"/>
      </w:pPr>
      <w:r>
        <w:rPr>
          <w:rStyle w:val="EndnoteReference"/>
        </w:rPr>
        <w:endnoteRef/>
      </w:r>
      <w:r>
        <w:t xml:space="preserve"> </w:t>
      </w:r>
      <w:r w:rsidRPr="003D3D2F">
        <w:t>L., S., 2012. A Companion to Women in the Ancient World. Wiley, John &amp; Sons, Incorporated. Page 1</w:t>
      </w:r>
      <w:r>
        <w:t>98</w:t>
      </w:r>
    </w:p>
  </w:endnote>
  <w:endnote w:id="7">
    <w:p w14:paraId="7DF0B3EC" w14:textId="0AB773FB" w:rsidR="000A0A49" w:rsidRPr="000A0A49" w:rsidRDefault="000A0A49">
      <w:pPr>
        <w:pStyle w:val="EndnoteText"/>
      </w:pPr>
      <w:r>
        <w:rPr>
          <w:rStyle w:val="EndnoteReference"/>
        </w:rPr>
        <w:endnoteRef/>
      </w:r>
      <w:r>
        <w:t xml:space="preserve"> </w:t>
      </w:r>
      <w:proofErr w:type="spellStart"/>
      <w:r>
        <w:t>Souvinou</w:t>
      </w:r>
      <w:proofErr w:type="spellEnd"/>
      <w:r>
        <w:t>-Inwood (1988)</w:t>
      </w:r>
      <w:r>
        <w:rPr>
          <w:i/>
        </w:rPr>
        <w:t xml:space="preserve"> Studies in </w:t>
      </w:r>
      <w:proofErr w:type="gramStart"/>
      <w:r>
        <w:rPr>
          <w:i/>
        </w:rPr>
        <w:t>girls</w:t>
      </w:r>
      <w:proofErr w:type="gramEnd"/>
      <w:r>
        <w:rPr>
          <w:i/>
        </w:rPr>
        <w:t xml:space="preserve"> transitions, Aspects of the </w:t>
      </w:r>
      <w:proofErr w:type="spellStart"/>
      <w:r>
        <w:rPr>
          <w:i/>
        </w:rPr>
        <w:t>arkteia</w:t>
      </w:r>
      <w:proofErr w:type="spellEnd"/>
      <w:r>
        <w:rPr>
          <w:i/>
        </w:rPr>
        <w:t xml:space="preserve"> and age representation in Attic iconography. </w:t>
      </w:r>
      <w:r>
        <w:t>Page 63</w:t>
      </w:r>
    </w:p>
  </w:endnote>
  <w:endnote w:id="8">
    <w:p w14:paraId="26AAE62F" w14:textId="15A0C571" w:rsidR="000A0A49" w:rsidRDefault="000A0A49">
      <w:pPr>
        <w:pStyle w:val="EndnoteText"/>
      </w:pPr>
      <w:r>
        <w:rPr>
          <w:rStyle w:val="EndnoteReference"/>
        </w:rPr>
        <w:endnoteRef/>
      </w:r>
      <w:r>
        <w:t xml:space="preserve"> </w:t>
      </w:r>
      <w:proofErr w:type="spellStart"/>
      <w:r w:rsidRPr="000A0A49">
        <w:t>Souvinou</w:t>
      </w:r>
      <w:proofErr w:type="spellEnd"/>
      <w:r w:rsidRPr="000A0A49">
        <w:t xml:space="preserve">-Inwood (1988) Studies in </w:t>
      </w:r>
      <w:proofErr w:type="gramStart"/>
      <w:r w:rsidRPr="000A0A49">
        <w:t>girls</w:t>
      </w:r>
      <w:proofErr w:type="gramEnd"/>
      <w:r w:rsidRPr="000A0A49">
        <w:t xml:space="preserve"> transitions, Aspects of the </w:t>
      </w:r>
      <w:proofErr w:type="spellStart"/>
      <w:r w:rsidRPr="000A0A49">
        <w:t>arkteia</w:t>
      </w:r>
      <w:proofErr w:type="spellEnd"/>
      <w:r w:rsidRPr="000A0A49">
        <w:t xml:space="preserve"> and age representation in Attic iconography. Page 6</w:t>
      </w:r>
      <w:r>
        <w:t>5</w:t>
      </w:r>
    </w:p>
  </w:endnote>
  <w:endnote w:id="9">
    <w:p w14:paraId="7BB6B1E0" w14:textId="2DEC3FCC" w:rsidR="00A27404" w:rsidRDefault="00A27404" w:rsidP="00A27404">
      <w:pPr>
        <w:pStyle w:val="EndnoteText"/>
      </w:pPr>
      <w:r>
        <w:rPr>
          <w:rStyle w:val="EndnoteReference"/>
        </w:rPr>
        <w:endnoteRef/>
      </w:r>
      <w:r>
        <w:t xml:space="preserve"> </w:t>
      </w:r>
      <w:r>
        <w:t>L., S., 2012. A Companion to Women in the Ancient World. Wiley, John &amp; Sons, Incorporated. Page 19</w:t>
      </w:r>
      <w:r>
        <w:t>9</w:t>
      </w:r>
    </w:p>
  </w:endnote>
  <w:endnote w:id="10">
    <w:p w14:paraId="2D1B670D" w14:textId="081CA258" w:rsidR="00A27404" w:rsidRDefault="00A27404">
      <w:pPr>
        <w:pStyle w:val="EndnoteText"/>
      </w:pPr>
      <w:r>
        <w:rPr>
          <w:rStyle w:val="EndnoteReference"/>
        </w:rPr>
        <w:endnoteRef/>
      </w:r>
      <w:r>
        <w:t xml:space="preserve"> </w:t>
      </w:r>
      <w:r w:rsidRPr="00A27404">
        <w:t>L., S., 2012. A Companion to Women in the Ancient World. Wiley, John &amp; Sons, Incorporated. Page 199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0669D" w14:textId="77777777" w:rsidR="00D400DF" w:rsidRDefault="00D400DF" w:rsidP="00AA28EA">
      <w:pPr>
        <w:spacing w:after="0" w:line="240" w:lineRule="auto"/>
      </w:pPr>
      <w:r>
        <w:separator/>
      </w:r>
    </w:p>
  </w:footnote>
  <w:footnote w:type="continuationSeparator" w:id="0">
    <w:p w14:paraId="3AC06578" w14:textId="77777777" w:rsidR="00D400DF" w:rsidRDefault="00D400DF" w:rsidP="00AA28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56B"/>
    <w:rsid w:val="000A0A49"/>
    <w:rsid w:val="00232D59"/>
    <w:rsid w:val="002A456B"/>
    <w:rsid w:val="002B2ECF"/>
    <w:rsid w:val="00375C20"/>
    <w:rsid w:val="003A56D4"/>
    <w:rsid w:val="003D3D2F"/>
    <w:rsid w:val="007D7C11"/>
    <w:rsid w:val="008B77FC"/>
    <w:rsid w:val="00A27404"/>
    <w:rsid w:val="00A3355D"/>
    <w:rsid w:val="00AA28EA"/>
    <w:rsid w:val="00AD5838"/>
    <w:rsid w:val="00D36EB9"/>
    <w:rsid w:val="00D400DF"/>
    <w:rsid w:val="00D8478C"/>
    <w:rsid w:val="00F76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907B7"/>
  <w15:chartTrackingRefBased/>
  <w15:docId w15:val="{04BBBD2A-0648-4704-A652-0FAE002CE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AA28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28EA"/>
    <w:rPr>
      <w:sz w:val="20"/>
      <w:szCs w:val="20"/>
    </w:rPr>
  </w:style>
  <w:style w:type="character" w:styleId="EndnoteReference">
    <w:name w:val="endnote reference"/>
    <w:basedOn w:val="DefaultParagraphFont"/>
    <w:uiPriority w:val="99"/>
    <w:semiHidden/>
    <w:unhideWhenUsed/>
    <w:rsid w:val="00AA28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421F5-74EA-423B-9FFF-FE8583F66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kirkham</dc:creator>
  <cp:keywords/>
  <dc:description/>
  <cp:lastModifiedBy>sean kirkham</cp:lastModifiedBy>
  <cp:revision>2</cp:revision>
  <dcterms:created xsi:type="dcterms:W3CDTF">2018-10-03T18:21:00Z</dcterms:created>
  <dcterms:modified xsi:type="dcterms:W3CDTF">2018-10-03T21:40:00Z</dcterms:modified>
</cp:coreProperties>
</file>