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F35C4" w:rsidRDefault="00677A22">
      <w:pPr>
        <w:pStyle w:val="Title"/>
        <w:spacing w:line="360" w:lineRule="auto"/>
        <w:jc w:val="center"/>
        <w:rPr>
          <w:rFonts w:ascii="Times New Roman" w:eastAsia="Times New Roman" w:hAnsi="Times New Roman" w:cs="Times New Roman"/>
          <w:b/>
          <w:sz w:val="32"/>
          <w:szCs w:val="32"/>
        </w:rPr>
      </w:pPr>
      <w:bookmarkStart w:id="0" w:name="_heading=h.gjdgxs" w:colFirst="0" w:colLast="0"/>
      <w:bookmarkEnd w:id="0"/>
      <w:r>
        <w:rPr>
          <w:rFonts w:ascii="Times New Roman" w:eastAsia="Times New Roman" w:hAnsi="Times New Roman" w:cs="Times New Roman"/>
          <w:b/>
          <w:sz w:val="32"/>
          <w:szCs w:val="32"/>
        </w:rPr>
        <w:t>Module Title: International Meeting Management</w:t>
      </w:r>
    </w:p>
    <w:p w14:paraId="00000002" w14:textId="049A18E7" w:rsidR="00CF35C4" w:rsidRDefault="00677A22">
      <w:pPr>
        <w:pStyle w:val="Title"/>
        <w:spacing w:line="360" w:lineRule="auto"/>
        <w:jc w:val="center"/>
        <w:rPr>
          <w:rFonts w:ascii="Times New Roman" w:eastAsia="Times New Roman" w:hAnsi="Times New Roman" w:cs="Times New Roman"/>
          <w:b/>
          <w:sz w:val="32"/>
          <w:szCs w:val="32"/>
        </w:rPr>
      </w:pPr>
      <w:bookmarkStart w:id="1" w:name="_heading=h.30j0zll" w:colFirst="0" w:colLast="0"/>
      <w:bookmarkEnd w:id="1"/>
      <w:r>
        <w:rPr>
          <w:rFonts w:ascii="Times New Roman" w:eastAsia="Times New Roman" w:hAnsi="Times New Roman" w:cs="Times New Roman"/>
          <w:b/>
          <w:sz w:val="32"/>
          <w:szCs w:val="32"/>
        </w:rPr>
        <w:t>Module Code:</w:t>
      </w:r>
      <w:r w:rsidR="0018059B">
        <w:rPr>
          <w:rFonts w:ascii="Times New Roman" w:eastAsia="Times New Roman" w:hAnsi="Times New Roman" w:cs="Times New Roman"/>
          <w:b/>
          <w:sz w:val="32"/>
          <w:szCs w:val="32"/>
        </w:rPr>
        <w:t xml:space="preserve"> BMIH6007</w:t>
      </w:r>
    </w:p>
    <w:p w14:paraId="00000003" w14:textId="32E7C16F" w:rsidR="00CF35C4" w:rsidRDefault="00677A22">
      <w:pPr>
        <w:pStyle w:val="Title"/>
        <w:spacing w:line="360" w:lineRule="auto"/>
        <w:jc w:val="center"/>
        <w:rPr>
          <w:rFonts w:ascii="Times New Roman" w:eastAsia="Times New Roman" w:hAnsi="Times New Roman" w:cs="Times New Roman"/>
          <w:b/>
          <w:sz w:val="32"/>
          <w:szCs w:val="32"/>
        </w:rPr>
      </w:pPr>
      <w:bookmarkStart w:id="2" w:name="_heading=h.1fob9te" w:colFirst="0" w:colLast="0"/>
      <w:bookmarkEnd w:id="2"/>
      <w:r>
        <w:rPr>
          <w:rFonts w:ascii="Times New Roman" w:eastAsia="Times New Roman" w:hAnsi="Times New Roman" w:cs="Times New Roman"/>
          <w:b/>
          <w:sz w:val="32"/>
          <w:szCs w:val="32"/>
        </w:rPr>
        <w:t>Student Name:</w:t>
      </w:r>
      <w:r w:rsidR="0018059B">
        <w:rPr>
          <w:rFonts w:ascii="Times New Roman" w:eastAsia="Times New Roman" w:hAnsi="Times New Roman" w:cs="Times New Roman"/>
          <w:b/>
          <w:sz w:val="32"/>
          <w:szCs w:val="32"/>
        </w:rPr>
        <w:t xml:space="preserve"> Constantin Macaran</w:t>
      </w:r>
    </w:p>
    <w:p w14:paraId="00000004" w14:textId="60E6BD4E" w:rsidR="00CF35C4" w:rsidRDefault="00677A22">
      <w:pPr>
        <w:pStyle w:val="Title"/>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Number:</w:t>
      </w:r>
      <w:r w:rsidR="0018059B">
        <w:rPr>
          <w:rFonts w:ascii="Times New Roman" w:eastAsia="Times New Roman" w:hAnsi="Times New Roman" w:cs="Times New Roman"/>
          <w:b/>
          <w:sz w:val="32"/>
          <w:szCs w:val="32"/>
        </w:rPr>
        <w:t xml:space="preserve"> 2008329</w:t>
      </w:r>
    </w:p>
    <w:p w14:paraId="00000005" w14:textId="77777777" w:rsidR="00CF35C4" w:rsidRDefault="00677A22">
      <w:pPr>
        <w:pStyle w:val="Heading1"/>
        <w:jc w:val="center"/>
        <w:rPr>
          <w:sz w:val="32"/>
          <w:szCs w:val="32"/>
        </w:rPr>
      </w:pPr>
      <w:bookmarkStart w:id="3" w:name="_heading=h.3znysh7" w:colFirst="0" w:colLast="0"/>
      <w:bookmarkEnd w:id="3"/>
      <w:r>
        <w:br w:type="page"/>
      </w:r>
    </w:p>
    <w:p w14:paraId="00000006" w14:textId="77777777" w:rsidR="00CF35C4" w:rsidRDefault="00677A22">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4"/>
          <w:szCs w:val="24"/>
        </w:rPr>
      </w:pPr>
      <w:bookmarkStart w:id="4" w:name="_heading=h.2et92p0" w:colFirst="0" w:colLast="0"/>
      <w:bookmarkEnd w:id="4"/>
      <w:r>
        <w:rPr>
          <w:rFonts w:ascii="Times New Roman" w:eastAsia="Times New Roman" w:hAnsi="Times New Roman" w:cs="Times New Roman"/>
          <w:b/>
          <w:color w:val="000000"/>
          <w:sz w:val="24"/>
          <w:szCs w:val="24"/>
        </w:rPr>
        <w:t>Table of Contents</w:t>
      </w:r>
    </w:p>
    <w:sdt>
      <w:sdtPr>
        <w:id w:val="-1725745319"/>
        <w:docPartObj>
          <w:docPartGallery w:val="Table of Contents"/>
          <w:docPartUnique/>
        </w:docPartObj>
      </w:sdtPr>
      <w:sdtEndPr/>
      <w:sdtContent>
        <w:p w14:paraId="00000007" w14:textId="77777777" w:rsidR="00CF35C4" w:rsidRDefault="00677A22">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tyjcwt">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0000008" w14:textId="77777777" w:rsidR="00CF35C4" w:rsidRDefault="00106A17">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3dy6vkm">
            <w:r w:rsidR="00677A22">
              <w:rPr>
                <w:rFonts w:ascii="Times New Roman" w:eastAsia="Times New Roman" w:hAnsi="Times New Roman" w:cs="Times New Roman"/>
                <w:color w:val="000000"/>
                <w:sz w:val="24"/>
                <w:szCs w:val="24"/>
              </w:rPr>
              <w:t>The Event Cycle</w:t>
            </w:r>
            <w:r w:rsidR="00677A22">
              <w:rPr>
                <w:rFonts w:ascii="Times New Roman" w:eastAsia="Times New Roman" w:hAnsi="Times New Roman" w:cs="Times New Roman"/>
                <w:color w:val="000000"/>
                <w:sz w:val="24"/>
                <w:szCs w:val="24"/>
              </w:rPr>
              <w:tab/>
              <w:t>4</w:t>
            </w:r>
          </w:hyperlink>
        </w:p>
        <w:p w14:paraId="00000009" w14:textId="77777777" w:rsidR="00CF35C4" w:rsidRDefault="00106A17">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1t3h5sf">
            <w:r w:rsidR="00677A22">
              <w:rPr>
                <w:rFonts w:ascii="Times New Roman" w:eastAsia="Times New Roman" w:hAnsi="Times New Roman" w:cs="Times New Roman"/>
                <w:color w:val="000000"/>
                <w:sz w:val="24"/>
                <w:szCs w:val="24"/>
              </w:rPr>
              <w:t>Event Concept</w:t>
            </w:r>
            <w:r w:rsidR="00677A22">
              <w:rPr>
                <w:rFonts w:ascii="Times New Roman" w:eastAsia="Times New Roman" w:hAnsi="Times New Roman" w:cs="Times New Roman"/>
                <w:color w:val="000000"/>
                <w:sz w:val="24"/>
                <w:szCs w:val="24"/>
              </w:rPr>
              <w:tab/>
              <w:t>4</w:t>
            </w:r>
          </w:hyperlink>
        </w:p>
        <w:p w14:paraId="0000000A" w14:textId="77777777" w:rsidR="00CF35C4" w:rsidRDefault="00106A17">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4d34og8">
            <w:r w:rsidR="00677A22">
              <w:rPr>
                <w:rFonts w:ascii="Times New Roman" w:eastAsia="Times New Roman" w:hAnsi="Times New Roman" w:cs="Times New Roman"/>
                <w:color w:val="000000"/>
                <w:sz w:val="24"/>
                <w:szCs w:val="24"/>
              </w:rPr>
              <w:t>Aim and Objectives of the Event</w:t>
            </w:r>
            <w:r w:rsidR="00677A22">
              <w:rPr>
                <w:rFonts w:ascii="Times New Roman" w:eastAsia="Times New Roman" w:hAnsi="Times New Roman" w:cs="Times New Roman"/>
                <w:color w:val="000000"/>
                <w:sz w:val="24"/>
                <w:szCs w:val="24"/>
              </w:rPr>
              <w:tab/>
              <w:t>5</w:t>
            </w:r>
          </w:hyperlink>
        </w:p>
        <w:p w14:paraId="0000000B" w14:textId="77777777" w:rsidR="00CF35C4" w:rsidRDefault="00106A17">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2s8eyo1">
            <w:r w:rsidR="00677A22">
              <w:rPr>
                <w:rFonts w:ascii="Times New Roman" w:eastAsia="Times New Roman" w:hAnsi="Times New Roman" w:cs="Times New Roman"/>
                <w:color w:val="000000"/>
                <w:sz w:val="24"/>
                <w:szCs w:val="24"/>
              </w:rPr>
              <w:t>Event Management</w:t>
            </w:r>
            <w:r w:rsidR="00677A22">
              <w:rPr>
                <w:rFonts w:ascii="Times New Roman" w:eastAsia="Times New Roman" w:hAnsi="Times New Roman" w:cs="Times New Roman"/>
                <w:color w:val="000000"/>
                <w:sz w:val="24"/>
                <w:szCs w:val="24"/>
              </w:rPr>
              <w:tab/>
              <w:t>6</w:t>
            </w:r>
          </w:hyperlink>
        </w:p>
        <w:p w14:paraId="0000000C" w14:textId="77777777" w:rsidR="00CF35C4" w:rsidRDefault="00106A17">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17dp8vu">
            <w:r w:rsidR="00677A22">
              <w:rPr>
                <w:rFonts w:ascii="Times New Roman" w:eastAsia="Times New Roman" w:hAnsi="Times New Roman" w:cs="Times New Roman"/>
                <w:color w:val="000000"/>
                <w:sz w:val="24"/>
                <w:szCs w:val="24"/>
              </w:rPr>
              <w:t>Marketing approaches</w:t>
            </w:r>
            <w:r w:rsidR="00677A22">
              <w:rPr>
                <w:rFonts w:ascii="Times New Roman" w:eastAsia="Times New Roman" w:hAnsi="Times New Roman" w:cs="Times New Roman"/>
                <w:color w:val="000000"/>
                <w:sz w:val="24"/>
                <w:szCs w:val="24"/>
              </w:rPr>
              <w:tab/>
              <w:t>6</w:t>
            </w:r>
          </w:hyperlink>
        </w:p>
        <w:p w14:paraId="0000000D" w14:textId="77777777" w:rsidR="00CF35C4" w:rsidRDefault="00106A17">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3rdcrjn">
            <w:r w:rsidR="00677A22">
              <w:rPr>
                <w:rFonts w:ascii="Times New Roman" w:eastAsia="Times New Roman" w:hAnsi="Times New Roman" w:cs="Times New Roman"/>
                <w:color w:val="000000"/>
                <w:sz w:val="24"/>
                <w:szCs w:val="24"/>
              </w:rPr>
              <w:t>Event Budget</w:t>
            </w:r>
            <w:r w:rsidR="00677A22">
              <w:rPr>
                <w:rFonts w:ascii="Times New Roman" w:eastAsia="Times New Roman" w:hAnsi="Times New Roman" w:cs="Times New Roman"/>
                <w:color w:val="000000"/>
                <w:sz w:val="24"/>
                <w:szCs w:val="24"/>
              </w:rPr>
              <w:tab/>
              <w:t>7</w:t>
            </w:r>
          </w:hyperlink>
        </w:p>
        <w:p w14:paraId="0000000E" w14:textId="77777777" w:rsidR="00CF35C4" w:rsidRDefault="00106A17">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26in1rg">
            <w:r w:rsidR="00677A22">
              <w:rPr>
                <w:rFonts w:ascii="Times New Roman" w:eastAsia="Times New Roman" w:hAnsi="Times New Roman" w:cs="Times New Roman"/>
                <w:color w:val="000000"/>
                <w:sz w:val="24"/>
                <w:szCs w:val="24"/>
              </w:rPr>
              <w:t>Industrial Change</w:t>
            </w:r>
            <w:r w:rsidR="00677A22">
              <w:rPr>
                <w:rFonts w:ascii="Times New Roman" w:eastAsia="Times New Roman" w:hAnsi="Times New Roman" w:cs="Times New Roman"/>
                <w:color w:val="000000"/>
                <w:sz w:val="24"/>
                <w:szCs w:val="24"/>
              </w:rPr>
              <w:tab/>
              <w:t>8</w:t>
            </w:r>
          </w:hyperlink>
        </w:p>
        <w:p w14:paraId="0000000F" w14:textId="77777777" w:rsidR="00CF35C4" w:rsidRDefault="00106A17">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lnxbz9">
            <w:r w:rsidR="00677A22">
              <w:rPr>
                <w:rFonts w:ascii="Times New Roman" w:eastAsia="Times New Roman" w:hAnsi="Times New Roman" w:cs="Times New Roman"/>
                <w:color w:val="000000"/>
                <w:sz w:val="24"/>
                <w:szCs w:val="24"/>
              </w:rPr>
              <w:t>Situational Issue and Cultural Issues</w:t>
            </w:r>
            <w:r w:rsidR="00677A22">
              <w:rPr>
                <w:rFonts w:ascii="Times New Roman" w:eastAsia="Times New Roman" w:hAnsi="Times New Roman" w:cs="Times New Roman"/>
                <w:color w:val="000000"/>
                <w:sz w:val="24"/>
                <w:szCs w:val="24"/>
              </w:rPr>
              <w:tab/>
              <w:t>9</w:t>
            </w:r>
          </w:hyperlink>
        </w:p>
        <w:p w14:paraId="00000010" w14:textId="77777777" w:rsidR="00CF35C4" w:rsidRDefault="00106A17">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35nkun2">
            <w:r w:rsidR="00677A22">
              <w:rPr>
                <w:rFonts w:ascii="Times New Roman" w:eastAsia="Times New Roman" w:hAnsi="Times New Roman" w:cs="Times New Roman"/>
                <w:color w:val="000000"/>
                <w:sz w:val="24"/>
                <w:szCs w:val="24"/>
              </w:rPr>
              <w:t>Conclusion</w:t>
            </w:r>
            <w:r w:rsidR="00677A22">
              <w:rPr>
                <w:rFonts w:ascii="Times New Roman" w:eastAsia="Times New Roman" w:hAnsi="Times New Roman" w:cs="Times New Roman"/>
                <w:color w:val="000000"/>
                <w:sz w:val="24"/>
                <w:szCs w:val="24"/>
              </w:rPr>
              <w:tab/>
              <w:t>11</w:t>
            </w:r>
          </w:hyperlink>
        </w:p>
        <w:p w14:paraId="00000011" w14:textId="77777777" w:rsidR="00CF35C4" w:rsidRDefault="00106A17">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1ksv4uv">
            <w:r w:rsidR="00677A22">
              <w:rPr>
                <w:rFonts w:ascii="Times New Roman" w:eastAsia="Times New Roman" w:hAnsi="Times New Roman" w:cs="Times New Roman"/>
                <w:color w:val="000000"/>
                <w:sz w:val="24"/>
                <w:szCs w:val="24"/>
              </w:rPr>
              <w:t>Reference List</w:t>
            </w:r>
            <w:r w:rsidR="00677A22">
              <w:rPr>
                <w:rFonts w:ascii="Times New Roman" w:eastAsia="Times New Roman" w:hAnsi="Times New Roman" w:cs="Times New Roman"/>
                <w:color w:val="000000"/>
                <w:sz w:val="24"/>
                <w:szCs w:val="24"/>
              </w:rPr>
              <w:tab/>
              <w:t>12</w:t>
            </w:r>
          </w:hyperlink>
        </w:p>
        <w:p w14:paraId="00000012" w14:textId="77777777" w:rsidR="00CF35C4" w:rsidRDefault="00677A22">
          <w:pPr>
            <w:spacing w:line="360" w:lineRule="auto"/>
            <w:jc w:val="both"/>
          </w:pPr>
          <w:r>
            <w:fldChar w:fldCharType="end"/>
          </w:r>
        </w:p>
      </w:sdtContent>
    </w:sdt>
    <w:p w14:paraId="00000013" w14:textId="77777777" w:rsidR="00CF35C4" w:rsidRDefault="00CF35C4">
      <w:pPr>
        <w:pStyle w:val="Heading1"/>
      </w:pPr>
    </w:p>
    <w:p w14:paraId="00000014" w14:textId="77777777" w:rsidR="00CF35C4" w:rsidRDefault="00677A22">
      <w:pPr>
        <w:rPr>
          <w:rFonts w:ascii="Times New Roman" w:eastAsia="Times New Roman" w:hAnsi="Times New Roman" w:cs="Times New Roman"/>
          <w:b/>
          <w:sz w:val="24"/>
          <w:szCs w:val="24"/>
        </w:rPr>
      </w:pPr>
      <w:r>
        <w:br w:type="page"/>
      </w:r>
    </w:p>
    <w:p w14:paraId="00000015" w14:textId="77777777" w:rsidR="00CF35C4" w:rsidRDefault="00677A22">
      <w:pPr>
        <w:pStyle w:val="Heading1"/>
      </w:pPr>
      <w:bookmarkStart w:id="5" w:name="_heading=h.tyjcwt" w:colFirst="0" w:colLast="0"/>
      <w:bookmarkEnd w:id="5"/>
      <w:r>
        <w:t>Introduction</w:t>
      </w:r>
    </w:p>
    <w:p w14:paraId="00000016" w14:textId="77777777" w:rsidR="00CF35C4" w:rsidRDefault="00677A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study will focus on the “International Exposition” which is dedicated to the revealed culture of winter in Romania with the main goal to demonstrate all the sights of the country and to attract more tourists during the winter season (</w:t>
      </w:r>
      <w:proofErr w:type="spellStart"/>
      <w:r>
        <w:rPr>
          <w:rFonts w:ascii="Times New Roman" w:eastAsia="Times New Roman" w:hAnsi="Times New Roman" w:cs="Times New Roman"/>
          <w:sz w:val="24"/>
          <w:szCs w:val="24"/>
        </w:rPr>
        <w:t>Mihăilă</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2024). Thus, this exposition will tell the story of Romanian traditions through seasonal food serving, demonstrations of authentic handicrafts, and games that will require the attendees to learn about the culture of the region. Through such peculiarities, the event aims at targeting not only tourists who want to escape the commonplace and see Romanian winter landscapes but also investors interested in developing the hospitality industry in the county. </w:t>
      </w:r>
    </w:p>
    <w:p w14:paraId="00000017" w14:textId="77777777" w:rsidR="00CF35C4" w:rsidRDefault="00CF35C4">
      <w:pPr>
        <w:spacing w:line="360" w:lineRule="auto"/>
        <w:jc w:val="both"/>
        <w:rPr>
          <w:rFonts w:ascii="Times New Roman" w:eastAsia="Times New Roman" w:hAnsi="Times New Roman" w:cs="Times New Roman"/>
          <w:sz w:val="24"/>
          <w:szCs w:val="24"/>
        </w:rPr>
      </w:pPr>
    </w:p>
    <w:p w14:paraId="00000018" w14:textId="77777777" w:rsidR="00CF35C4" w:rsidRDefault="00CF35C4">
      <w:pPr>
        <w:spacing w:line="360" w:lineRule="auto"/>
        <w:jc w:val="both"/>
        <w:rPr>
          <w:rFonts w:ascii="Times New Roman" w:eastAsia="Times New Roman" w:hAnsi="Times New Roman" w:cs="Times New Roman"/>
          <w:sz w:val="24"/>
          <w:szCs w:val="24"/>
        </w:rPr>
      </w:pPr>
    </w:p>
    <w:p w14:paraId="00000019" w14:textId="77777777" w:rsidR="00CF35C4" w:rsidRDefault="00CF35C4">
      <w:pPr>
        <w:spacing w:line="360" w:lineRule="auto"/>
        <w:jc w:val="both"/>
        <w:rPr>
          <w:rFonts w:ascii="Times New Roman" w:eastAsia="Times New Roman" w:hAnsi="Times New Roman" w:cs="Times New Roman"/>
          <w:sz w:val="24"/>
          <w:szCs w:val="24"/>
        </w:rPr>
      </w:pPr>
    </w:p>
    <w:p w14:paraId="0000001A" w14:textId="77777777" w:rsidR="00CF35C4" w:rsidRDefault="00CF35C4">
      <w:pPr>
        <w:spacing w:line="360" w:lineRule="auto"/>
        <w:jc w:val="both"/>
        <w:rPr>
          <w:rFonts w:ascii="Times New Roman" w:eastAsia="Times New Roman" w:hAnsi="Times New Roman" w:cs="Times New Roman"/>
          <w:sz w:val="24"/>
          <w:szCs w:val="24"/>
        </w:rPr>
      </w:pPr>
    </w:p>
    <w:p w14:paraId="0000001B" w14:textId="77777777" w:rsidR="00CF35C4" w:rsidRDefault="00CF35C4">
      <w:pPr>
        <w:spacing w:line="360" w:lineRule="auto"/>
        <w:jc w:val="both"/>
        <w:rPr>
          <w:rFonts w:ascii="Times New Roman" w:eastAsia="Times New Roman" w:hAnsi="Times New Roman" w:cs="Times New Roman"/>
          <w:sz w:val="24"/>
          <w:szCs w:val="24"/>
        </w:rPr>
      </w:pPr>
    </w:p>
    <w:p w14:paraId="0000001C" w14:textId="77777777" w:rsidR="00CF35C4" w:rsidRDefault="00677A22">
      <w:pPr>
        <w:spacing w:line="360" w:lineRule="auto"/>
        <w:jc w:val="both"/>
        <w:rPr>
          <w:rFonts w:ascii="Times New Roman" w:eastAsia="Times New Roman" w:hAnsi="Times New Roman" w:cs="Times New Roman"/>
          <w:sz w:val="24"/>
          <w:szCs w:val="24"/>
        </w:rPr>
      </w:pPr>
      <w:r>
        <w:br w:type="page"/>
      </w:r>
    </w:p>
    <w:p w14:paraId="0000001D" w14:textId="77777777" w:rsidR="00CF35C4" w:rsidRDefault="00677A22">
      <w:pPr>
        <w:pStyle w:val="Heading1"/>
      </w:pPr>
      <w:bookmarkStart w:id="6" w:name="_heading=h.3dy6vkm" w:colFirst="0" w:colLast="0"/>
      <w:bookmarkEnd w:id="6"/>
      <w:r>
        <w:t>The Event Cycle</w:t>
      </w:r>
    </w:p>
    <w:p w14:paraId="0000001E" w14:textId="77777777"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Event Cycle is understood as the conceptual map that presents the steps that are followed in order to plan and produce an event. It typically consists of four key phases: It refers to the stage of organisation and coordination of a communication strategy into four major parts: conceptualization, planning, implementation and assessment. In the case of the International Exposition proposed below, the conceptualization phase is centred on the proposition’s theme, focus, and target demographic (Miller, 2023). This involves the definition of such cultural values as should be promoted and goals for tourism and investor promotion established. In the planning phase, all the necessary arrangement plans are made such as the selection of the venue, the amount of money that is to be spent, the methods of promoting the event, how the event is to be marketed and management of the event vendors. This stage makes certain that all the resources available in the organisation are properly applied to produce a coherent one. While in the execution phase, it is realised where the exposition comes into existence. This occurs through coordinating on-site processes, managing interactions with suppliers, and orchestrating events which involve the attendees in topics related to the culture of Romanian winter. Further, the evaluating phase involves measuring the success of the event from a participant/ stakeholders’ point of view. Assessing the number of attending people, course of financials, or other parameters such as visitor satisfaction helps in gainful comparative studies for future events and further refinement. In the Event Cycle framework, the exposition will be able to include Romania’s winter culture in the event plan while meeting the strategy targets.</w:t>
      </w:r>
    </w:p>
    <w:p w14:paraId="0000001F" w14:textId="77777777" w:rsidR="00CF35C4" w:rsidRDefault="00677A22">
      <w:pPr>
        <w:pStyle w:val="Heading1"/>
      </w:pPr>
      <w:bookmarkStart w:id="7" w:name="_heading=h.1t3h5sf" w:colFirst="0" w:colLast="0"/>
      <w:bookmarkEnd w:id="7"/>
      <w:r>
        <w:t>Event Concept</w:t>
      </w:r>
    </w:p>
    <w:p w14:paraId="00000020" w14:textId="77777777"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festive Winter Traditions International Exhibition in Romania will be an intense, multiple-day Cultural Festival with a focus on the presentation of winter traditions in the country. In the bright glamorous setting, the exposition will include a whole series of performances that encompasses traditions, gastronomy, crafts and other joyful manifestations of Romanian winter (Rus, 2024). People who will go to that event will be happy to see numerous tents of local sellers who are going to prepare and sell traditional Romanian dishes including sweets that are prepared in the period of the year, for instance gingerbread. Not only samples and dishes, but each vendor will present the history behind them which will make people feel closer to Romania. Further, the local craftsmen and designers will showcase and sell such local souvenirs as wooden carvings, embroidery, and Christmas decorations to allow the propagation of these craft and cultural values. To increase people’s interest in cultural experience, the exposition will provide opportunities for active participation. Seminar-type activities will be conducted where participants will be taught how to prepare traditional meals or even design the traditional confectionery artefacts common during festive occasions in Romania or during the summertime. For the families, there are planned creative workshops for children, for instance, story-telling corners in the form of the Circle of the Romanian fairy tales and legends. Cultural re-creation will also be a product of the occasion, and a significant boost of the occasion will also be embraced (Miller, 2023). Further, the symphonic and folk ensembles will provide examples of the diverse Romanian folk dances, including those which are interactive. Some of the evening performances could portray famous artists singing holiday tunes in order to create a holiday atmosphere encouraging group participation.</w:t>
      </w:r>
    </w:p>
    <w:p w14:paraId="00000021" w14:textId="77777777" w:rsidR="00CF35C4" w:rsidRDefault="00677A22">
      <w:pPr>
        <w:pStyle w:val="Heading1"/>
      </w:pPr>
      <w:bookmarkStart w:id="8" w:name="_heading=h.4d34og8" w:colFirst="0" w:colLast="0"/>
      <w:bookmarkEnd w:id="8"/>
      <w:r>
        <w:t>Aim and Objectives of the Event</w:t>
      </w:r>
    </w:p>
    <w:p w14:paraId="00000022" w14:textId="77777777"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core aim of the International Exposition is to present and popularise the wonderful winter culture of Romania.</w:t>
      </w:r>
    </w:p>
    <w:p w14:paraId="00000023" w14:textId="77777777"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Attendance Target: </w:t>
      </w:r>
      <w:r>
        <w:rPr>
          <w:rFonts w:ascii="Times New Roman" w:eastAsia="Times New Roman" w:hAnsi="Times New Roman" w:cs="Times New Roman"/>
          <w:sz w:val="24"/>
          <w:szCs w:val="24"/>
        </w:rPr>
        <w:t>The target of having more than 5000 people interact in the event in three days is quite challenging but can be realised. Because of this, it will be easier for the exposition which targets families and fans of culture to develop a rich and diverse audience that would make the experience even more colourful. This demographic approach also leads to the improvement of attendance while promoting an active engagement with the community since families get involved with some activities and exhibits. To reach this target proper target marketing activities that involve engagement in social media platforms and collaborations with schools and cultural institutions in the surrounding areas will be important (</w:t>
      </w:r>
      <w:proofErr w:type="spellStart"/>
      <w:r>
        <w:rPr>
          <w:rFonts w:ascii="Times New Roman" w:eastAsia="Times New Roman" w:hAnsi="Times New Roman" w:cs="Times New Roman"/>
          <w:sz w:val="24"/>
          <w:szCs w:val="24"/>
        </w:rPr>
        <w:t>Toha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Supriyanto</w:t>
      </w:r>
      <w:proofErr w:type="spellEnd"/>
      <w:r>
        <w:rPr>
          <w:rFonts w:ascii="Times New Roman" w:eastAsia="Times New Roman" w:hAnsi="Times New Roman" w:cs="Times New Roman"/>
          <w:sz w:val="24"/>
          <w:szCs w:val="24"/>
        </w:rPr>
        <w:t>, 2023). A check on those who attend the event through pre-registration will help in the demography and preference of subsequent events.</w:t>
      </w:r>
    </w:p>
    <w:p w14:paraId="00000024" w14:textId="77777777"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Vendor Participation: </w:t>
      </w:r>
      <w:r>
        <w:rPr>
          <w:rFonts w:ascii="Times New Roman" w:eastAsia="Times New Roman" w:hAnsi="Times New Roman" w:cs="Times New Roman"/>
          <w:sz w:val="24"/>
          <w:szCs w:val="24"/>
        </w:rPr>
        <w:t>This is another goal, focusing on the subjects of local crafts and food during winter: at least 50 Romanian local sellers should be introduced within the fair. This objective also enhances the visitor experience and offers artisans the opportunity to reach more people and thus help local economies. Incorporation of local sellers helps in the ownership in the event as they are likely to incline to the cultural practices of the event. Moreover, activities such as participating in bazaars or what can be done through Facebook, Twitter and other local marketing networks ensure that there will be a wider representation of Romanian culture.</w:t>
      </w:r>
    </w:p>
    <w:p w14:paraId="00000025" w14:textId="77777777" w:rsidR="00CF35C4" w:rsidRDefault="00677A2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Post-Event Feedback:</w:t>
      </w:r>
      <w:r>
        <w:rPr>
          <w:rFonts w:ascii="Times New Roman" w:eastAsia="Times New Roman" w:hAnsi="Times New Roman" w:cs="Times New Roman"/>
          <w:sz w:val="24"/>
          <w:szCs w:val="24"/>
        </w:rPr>
        <w:t xml:space="preserve"> The assessment of satisfaction consists of using questionnaires filled in by at least 80% of the attendees, for specifying the possible fields of improvement. This objective will enable the event planners to acquire numbers and information from the attendees concerning their encounters, choices and/or difficulties encountered during the event. </w:t>
      </w:r>
    </w:p>
    <w:p w14:paraId="00000026" w14:textId="77777777" w:rsidR="00CF35C4" w:rsidRDefault="00677A22">
      <w:pPr>
        <w:pStyle w:val="Heading1"/>
      </w:pPr>
      <w:bookmarkStart w:id="9" w:name="_heading=h.2s8eyo1" w:colFirst="0" w:colLast="0"/>
      <w:bookmarkEnd w:id="9"/>
      <w:r>
        <w:t>Event Management</w:t>
      </w:r>
    </w:p>
    <w:p w14:paraId="00000027" w14:textId="77777777"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achieve the goals of the International Exposition, the implementation team needs to have a rich set of skills and tools. It is necessary to present the principal competencies required in terms of planning and management of products and services for B2B and B2C companies: Project management, communication, marketing space and time, finances, and cultural management. Managing won’t just involve time and costs, but project management skills will be applied since time and cost estimates will be met, as well as communication since all stakeholders, vendors and team members will be involved. Marketing knowledge is necessary to advertise the event and approach potential participants while financial administrations will help to arrange balance and financiers. Cultural competence shall make it possible for the team to portray and embrace all the cultures to details that relate to Romanians to the extent of making the event as authentic as possible (</w:t>
      </w:r>
      <w:proofErr w:type="spellStart"/>
      <w:r>
        <w:rPr>
          <w:rFonts w:ascii="Times New Roman" w:eastAsia="Times New Roman" w:hAnsi="Times New Roman" w:cs="Times New Roman"/>
          <w:sz w:val="24"/>
          <w:szCs w:val="24"/>
        </w:rPr>
        <w:t>Masoom</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2024). At the operational level, some issues are required to be planned to a considerably greater level of detail. Other issues of concern relate to logistics that include issues to do with venues and arrangements, layout, and the overall management of such an event. Choosing the right location should be ideal for conducting related activities like workshops, drama performances, and sales of necessary products. Also important are contingencies such as food and beverages, sound, and washrooms in that they help complete the comfort of the attendants.</w:t>
      </w:r>
    </w:p>
    <w:p w14:paraId="00000028" w14:textId="77777777" w:rsidR="00CF35C4" w:rsidRDefault="00677A22">
      <w:pPr>
        <w:pStyle w:val="Heading1"/>
      </w:pPr>
      <w:bookmarkStart w:id="10" w:name="_heading=h.17dp8vu" w:colFirst="0" w:colLast="0"/>
      <w:bookmarkEnd w:id="10"/>
      <w:r>
        <w:t>Marketing approaches</w:t>
      </w:r>
    </w:p>
    <w:p w14:paraId="00000029" w14:textId="60123045"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communications will ensure the adoption of both online and offline media, social media, local media and collaborations with travel companies. The entertainment content including rolling teases and videos will be posted on social sites including Instagram and Facebook to create awareness of the upcoming event. There will be considerable staffing opportunities since special attention will be paid to many functions ranging from event planning to volunteers, and vendors (</w:t>
      </w:r>
      <w:proofErr w:type="spellStart"/>
      <w:r>
        <w:rPr>
          <w:rFonts w:ascii="Times New Roman" w:eastAsia="Times New Roman" w:hAnsi="Times New Roman" w:cs="Times New Roman"/>
          <w:sz w:val="24"/>
          <w:szCs w:val="24"/>
        </w:rPr>
        <w:t>Nesterenko</w:t>
      </w:r>
      <w:proofErr w:type="spellEnd"/>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2023). Besides saving money, it is equally important to have the local people volunteer for the project to encourage community participation. There is probable cause that success in the exposition depends on the interaction with local vendors and cultural associations. </w:t>
      </w:r>
      <w:r w:rsidR="0050229B" w:rsidRPr="0050229B">
        <w:rPr>
          <w:rFonts w:ascii="Times New Roman" w:eastAsia="Times New Roman" w:hAnsi="Times New Roman" w:cs="Times New Roman"/>
          <w:sz w:val="24"/>
          <w:szCs w:val="24"/>
        </w:rPr>
        <w:t>Procuring products locally will open fantastic opportunities for local artists, food vendors, and cultural performers. The aim is to collaborate with at least 50 individuals or groups, ensuring they gain economic benefits from this initiative.</w:t>
      </w:r>
      <w:r>
        <w:rPr>
          <w:rFonts w:ascii="Times New Roman" w:eastAsia="Times New Roman" w:hAnsi="Times New Roman" w:cs="Times New Roman"/>
          <w:sz w:val="24"/>
          <w:szCs w:val="24"/>
        </w:rPr>
        <w:t xml:space="preserve"> Relationships may involve cooperative marketing, sponsorship, as well as distribution of transportation equipment. As a result, management of the International Exposition event will require the following: the application of numerous skills, proper planning, proper marketing, and proper cooperation with the population and organisations of the region (</w:t>
      </w:r>
      <w:proofErr w:type="spellStart"/>
      <w:r>
        <w:rPr>
          <w:rFonts w:ascii="Times New Roman" w:eastAsia="Times New Roman" w:hAnsi="Times New Roman" w:cs="Times New Roman"/>
          <w:sz w:val="24"/>
          <w:szCs w:val="24"/>
        </w:rPr>
        <w:t>Masoom</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2024). These elements will complement each other to establish an atmosphere of pleasure and the historic-cultural identity of Romanian winter.</w:t>
      </w:r>
    </w:p>
    <w:p w14:paraId="0000002A" w14:textId="77777777" w:rsidR="00CF35C4" w:rsidRDefault="00677A22">
      <w:pPr>
        <w:pStyle w:val="Heading1"/>
      </w:pPr>
      <w:bookmarkStart w:id="11" w:name="_heading=h.3rdcrjn" w:colFirst="0" w:colLast="0"/>
      <w:bookmarkEnd w:id="11"/>
      <w:r>
        <w:t>Event Budget</w:t>
      </w:r>
    </w:p>
    <w:p w14:paraId="0000002B" w14:textId="77777777" w:rsidR="00CF35C4" w:rsidRDefault="00677A22">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cost for hosting the International Exposition will be properly planned to sustain costs and at the same time create the best experience for the attendees.</w:t>
      </w:r>
    </w:p>
    <w:p w14:paraId="0000002C" w14:textId="77777777" w:rsidR="00CF35C4" w:rsidRDefault="00677A22">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Income Breakdown:</w:t>
      </w:r>
    </w:p>
    <w:p w14:paraId="0000002D" w14:textId="77777777" w:rsidR="00CF35C4" w:rsidRDefault="00677A22">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Ticket Sales: </w:t>
      </w:r>
      <w:r>
        <w:rPr>
          <w:rFonts w:ascii="Times New Roman" w:eastAsia="Times New Roman" w:hAnsi="Times New Roman" w:cs="Times New Roman"/>
          <w:sz w:val="24"/>
          <w:szCs w:val="24"/>
        </w:rPr>
        <w:t>The expected sales revenue from tickets is pegged at £15,000 equivalent to £3 per head, based on an expected target of 5,000 fans.</w:t>
      </w:r>
    </w:p>
    <w:p w14:paraId="0000002E" w14:textId="77777777" w:rsidR="00CF35C4" w:rsidRDefault="00677A22">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Vendor Fees: </w:t>
      </w:r>
      <w:r>
        <w:rPr>
          <w:rFonts w:ascii="Times New Roman" w:eastAsia="Times New Roman" w:hAnsi="Times New Roman" w:cs="Times New Roman"/>
          <w:sz w:val="24"/>
          <w:szCs w:val="24"/>
        </w:rPr>
        <w:t>50 local vendors will be participating in the event and on average, vendors pay £200 each; therefore, the total income from the fees will be about £10,000.</w:t>
      </w:r>
    </w:p>
    <w:p w14:paraId="0000002F" w14:textId="77777777" w:rsidR="00CF35C4" w:rsidRDefault="00677A22">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Sponsorships: </w:t>
      </w:r>
      <w:r>
        <w:rPr>
          <w:rFonts w:ascii="Times New Roman" w:eastAsia="Times New Roman" w:hAnsi="Times New Roman" w:cs="Times New Roman"/>
          <w:sz w:val="24"/>
          <w:szCs w:val="24"/>
        </w:rPr>
        <w:t>The formation of local business and organisational partnerships is expected to garner £10,000 of sponsorship income. This may involve cash sponsorships and kind assistance.</w:t>
      </w:r>
    </w:p>
    <w:p w14:paraId="00000030" w14:textId="77777777"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Income Projected: £35,000</w:t>
      </w:r>
    </w:p>
    <w:p w14:paraId="65699170" w14:textId="77777777" w:rsidR="0050229B" w:rsidRDefault="0050229B">
      <w:pPr>
        <w:spacing w:before="240" w:after="240" w:line="360" w:lineRule="auto"/>
        <w:jc w:val="both"/>
        <w:rPr>
          <w:rFonts w:ascii="Times New Roman" w:eastAsia="Times New Roman" w:hAnsi="Times New Roman" w:cs="Times New Roman"/>
          <w:sz w:val="24"/>
          <w:szCs w:val="24"/>
        </w:rPr>
      </w:pPr>
    </w:p>
    <w:p w14:paraId="1DF710A5" w14:textId="77777777" w:rsidR="0050229B" w:rsidRDefault="0050229B">
      <w:pPr>
        <w:spacing w:before="240" w:after="240" w:line="360" w:lineRule="auto"/>
        <w:jc w:val="both"/>
        <w:rPr>
          <w:rFonts w:ascii="Times New Roman" w:eastAsia="Times New Roman" w:hAnsi="Times New Roman" w:cs="Times New Roman"/>
          <w:sz w:val="24"/>
          <w:szCs w:val="24"/>
        </w:rPr>
      </w:pPr>
    </w:p>
    <w:p w14:paraId="00000031" w14:textId="77777777" w:rsidR="00CF35C4" w:rsidRDefault="00677A2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Expenditure Breakdown</w:t>
      </w:r>
    </w:p>
    <w:p w14:paraId="00000032" w14:textId="77777777"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Venue Rental: </w:t>
      </w:r>
      <w:r>
        <w:rPr>
          <w:rFonts w:ascii="Times New Roman" w:eastAsia="Times New Roman" w:hAnsi="Times New Roman" w:cs="Times New Roman"/>
          <w:sz w:val="24"/>
          <w:szCs w:val="24"/>
        </w:rPr>
        <w:t>The estimated cost for rentals of an adequate facility is estimated to be £7,000. This needs to contemplate chief services and supplies.</w:t>
      </w:r>
    </w:p>
    <w:p w14:paraId="00000033" w14:textId="77777777"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Marketing and Promotion:</w:t>
      </w:r>
      <w:r>
        <w:rPr>
          <w:rFonts w:ascii="Times New Roman" w:eastAsia="Times New Roman" w:hAnsi="Times New Roman" w:cs="Times New Roman"/>
          <w:sz w:val="24"/>
          <w:szCs w:val="24"/>
        </w:rPr>
        <w:t xml:space="preserve"> £5000 will be set aside for marketing as this project will embark on social media marketing, post office marketing, and local marketing.</w:t>
      </w:r>
    </w:p>
    <w:p w14:paraId="00000034" w14:textId="77777777"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Logistics:</w:t>
      </w:r>
      <w:r>
        <w:rPr>
          <w:rFonts w:ascii="Times New Roman" w:eastAsia="Times New Roman" w:hAnsi="Times New Roman" w:cs="Times New Roman"/>
          <w:sz w:val="24"/>
          <w:szCs w:val="24"/>
        </w:rPr>
        <w:t xml:space="preserve"> Administrative costs like hiring personnel, registration, sound equipment and hiring of items like tents are estimated at £8000.</w:t>
      </w:r>
    </w:p>
    <w:p w14:paraId="00000035" w14:textId="77777777"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Catering and Supplies:</w:t>
      </w:r>
      <w:r>
        <w:rPr>
          <w:rFonts w:ascii="Times New Roman" w:eastAsia="Times New Roman" w:hAnsi="Times New Roman" w:cs="Times New Roman"/>
          <w:sz w:val="24"/>
          <w:szCs w:val="24"/>
        </w:rPr>
        <w:t xml:space="preserve"> £5000 expenditure will be incurred in this area which will disburse food logistics and supplies for the entire eatery.</w:t>
      </w:r>
    </w:p>
    <w:p w14:paraId="00000036" w14:textId="77777777"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Miscellaneous Expenses:</w:t>
      </w:r>
      <w:r>
        <w:rPr>
          <w:rFonts w:ascii="Times New Roman" w:eastAsia="Times New Roman" w:hAnsi="Times New Roman" w:cs="Times New Roman"/>
          <w:sz w:val="24"/>
          <w:szCs w:val="24"/>
        </w:rPr>
        <w:t xml:space="preserve"> £2,000 which shall be used in case of unpredictable expenses or supplementary requirements during the planning and performing phases.</w:t>
      </w:r>
    </w:p>
    <w:p w14:paraId="00000037" w14:textId="77777777"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Total Estimated Costs:</w:t>
      </w:r>
      <w:r>
        <w:rPr>
          <w:rFonts w:ascii="Times New Roman" w:eastAsia="Times New Roman" w:hAnsi="Times New Roman" w:cs="Times New Roman"/>
          <w:sz w:val="24"/>
          <w:szCs w:val="24"/>
        </w:rPr>
        <w:t xml:space="preserve"> £27,000</w:t>
      </w:r>
    </w:p>
    <w:p w14:paraId="00000038" w14:textId="77777777" w:rsidR="00CF35C4" w:rsidRDefault="00677A2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Financial Summary</w:t>
      </w:r>
    </w:p>
    <w:p w14:paraId="00000039" w14:textId="77777777"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Profit Estimate: £8,000</w:t>
      </w:r>
    </w:p>
    <w:p w14:paraId="0000003A" w14:textId="77777777"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budget paints a positive picture; therefore, the exposition is able to run financially on the right side while serving the purpose of exposing the Romanian winter practices. If appropriately marketed, the income generation can be maximised and expenditures can be controlled to result in a cultural enrichment opportunity for the attendees as well as support the local economic base (</w:t>
      </w:r>
      <w:proofErr w:type="spellStart"/>
      <w:r>
        <w:rPr>
          <w:rFonts w:ascii="Times New Roman" w:eastAsia="Times New Roman" w:hAnsi="Times New Roman" w:cs="Times New Roman"/>
          <w:sz w:val="24"/>
          <w:szCs w:val="24"/>
        </w:rPr>
        <w:t>Nesterenko</w:t>
      </w:r>
      <w:proofErr w:type="spellEnd"/>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2023).</w:t>
      </w:r>
    </w:p>
    <w:p w14:paraId="0000003B" w14:textId="77777777" w:rsidR="00CF35C4" w:rsidRDefault="00677A22">
      <w:pPr>
        <w:pStyle w:val="Heading1"/>
      </w:pPr>
      <w:bookmarkStart w:id="12" w:name="_heading=h.26in1rg" w:colFirst="0" w:colLast="0"/>
      <w:bookmarkEnd w:id="12"/>
      <w:r>
        <w:t>Industrial Change</w:t>
      </w:r>
    </w:p>
    <w:p w14:paraId="0000003C" w14:textId="77777777" w:rsidR="00CF35C4" w:rsidRDefault="00677A2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tourism is coming back into fashion as tourists are looking for that real and tangible link with a new location. The indications that modern tourists prefer ‘touch and feel’ travel means that people will try to optimise their leisure time by taking part in any kind of workshops, master classes or demonstrations of local cuisine and traditional folk dance. Also, the LTO has seen the rise of sustainable tourism where consumers support events that patronise local artists and avoid polluting the environment (Mai</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 xml:space="preserve">2023). About the International Exposition, these trends will be significantly felt. In this particular way, which concentrates on inviting people to discover the authentic winter traditions of Romania through a series of workshops and live musical performances, it is fully compliant with the trends of experiential tourism. By providing opportunities to touch and feel, visitor engagement will be increased as well as the overall perceived worth of the exposition. In addition, it will also include collaboration with local vendors and organisations to appeal to a sustainable approach and attract a range of eco-conscious tourists. </w:t>
      </w:r>
    </w:p>
    <w:p w14:paraId="0000003D" w14:textId="77777777" w:rsidR="00CF35C4" w:rsidRDefault="00677A22">
      <w:pPr>
        <w:pStyle w:val="Heading1"/>
      </w:pPr>
      <w:bookmarkStart w:id="13" w:name="_heading=h.lnxbz9" w:colFirst="0" w:colLast="0"/>
      <w:bookmarkEnd w:id="13"/>
      <w:r>
        <w:t>Situational Issue and Cultural Issues</w:t>
      </w:r>
    </w:p>
    <w:p w14:paraId="78B178CD" w14:textId="77777777" w:rsidR="0050229B" w:rsidRPr="0050229B" w:rsidRDefault="0050229B" w:rsidP="0050229B">
      <w:pPr>
        <w:spacing w:before="240" w:after="240" w:line="360" w:lineRule="auto"/>
        <w:jc w:val="both"/>
        <w:rPr>
          <w:rFonts w:ascii="Times New Roman" w:eastAsia="Times New Roman" w:hAnsi="Times New Roman" w:cs="Times New Roman"/>
          <w:sz w:val="24"/>
          <w:szCs w:val="24"/>
        </w:rPr>
      </w:pPr>
      <w:r w:rsidRPr="0050229B">
        <w:rPr>
          <w:rFonts w:ascii="Times New Roman" w:eastAsia="Times New Roman" w:hAnsi="Times New Roman" w:cs="Times New Roman"/>
          <w:sz w:val="24"/>
          <w:szCs w:val="24"/>
        </w:rPr>
        <w:t>A SWOT analysis for the International Exposition in Romania highlights both promising aspects and potential challenges.</w:t>
      </w:r>
    </w:p>
    <w:p w14:paraId="4B744104" w14:textId="77777777" w:rsidR="0050229B" w:rsidRPr="0050229B" w:rsidRDefault="0050229B" w:rsidP="0050229B">
      <w:pPr>
        <w:spacing w:before="240" w:after="240" w:line="360" w:lineRule="auto"/>
        <w:jc w:val="both"/>
        <w:rPr>
          <w:rFonts w:ascii="Times New Roman" w:eastAsia="Times New Roman" w:hAnsi="Times New Roman" w:cs="Times New Roman"/>
          <w:b/>
          <w:bCs/>
          <w:sz w:val="24"/>
          <w:szCs w:val="24"/>
        </w:rPr>
      </w:pPr>
      <w:r w:rsidRPr="0050229B">
        <w:rPr>
          <w:rFonts w:ascii="Times New Roman" w:eastAsia="Times New Roman" w:hAnsi="Times New Roman" w:cs="Times New Roman"/>
          <w:b/>
          <w:bCs/>
          <w:sz w:val="24"/>
          <w:szCs w:val="24"/>
        </w:rPr>
        <w:t>SWOT Analysis</w:t>
      </w:r>
    </w:p>
    <w:p w14:paraId="45EF09B3" w14:textId="77777777" w:rsidR="0050229B" w:rsidRPr="0050229B" w:rsidRDefault="0050229B" w:rsidP="0050229B">
      <w:pPr>
        <w:spacing w:before="240" w:after="240" w:line="360" w:lineRule="auto"/>
        <w:jc w:val="both"/>
        <w:rPr>
          <w:rFonts w:ascii="Times New Roman" w:eastAsia="Times New Roman" w:hAnsi="Times New Roman" w:cs="Times New Roman"/>
          <w:sz w:val="24"/>
          <w:szCs w:val="24"/>
        </w:rPr>
      </w:pPr>
      <w:r w:rsidRPr="0050229B">
        <w:rPr>
          <w:rFonts w:ascii="Times New Roman" w:eastAsia="Times New Roman" w:hAnsi="Times New Roman" w:cs="Times New Roman"/>
          <w:b/>
          <w:bCs/>
          <w:sz w:val="24"/>
          <w:szCs w:val="24"/>
        </w:rPr>
        <w:t>Strengths</w:t>
      </w:r>
      <w:r w:rsidRPr="0050229B">
        <w:rPr>
          <w:rFonts w:ascii="Times New Roman" w:eastAsia="Times New Roman" w:hAnsi="Times New Roman" w:cs="Times New Roman"/>
          <w:sz w:val="24"/>
          <w:szCs w:val="24"/>
        </w:rPr>
        <w:br/>
        <w:t>Romania’s cultural richness, particularly during winter, can attract international visitors interested in immersive cultural experiences. By sourcing supplies and talent locally, the exposition can boost local engagement, enhance authenticity, and support regional businesses (Mai et al., 2023).</w:t>
      </w:r>
    </w:p>
    <w:p w14:paraId="7E53EA4C" w14:textId="77777777" w:rsidR="0050229B" w:rsidRPr="0050229B" w:rsidRDefault="0050229B" w:rsidP="0050229B">
      <w:pPr>
        <w:spacing w:before="240" w:after="240" w:line="360" w:lineRule="auto"/>
        <w:jc w:val="both"/>
        <w:rPr>
          <w:rFonts w:ascii="Times New Roman" w:eastAsia="Times New Roman" w:hAnsi="Times New Roman" w:cs="Times New Roman"/>
          <w:sz w:val="24"/>
          <w:szCs w:val="24"/>
        </w:rPr>
      </w:pPr>
      <w:r w:rsidRPr="0050229B">
        <w:rPr>
          <w:rFonts w:ascii="Times New Roman" w:eastAsia="Times New Roman" w:hAnsi="Times New Roman" w:cs="Times New Roman"/>
          <w:b/>
          <w:bCs/>
          <w:sz w:val="24"/>
          <w:szCs w:val="24"/>
        </w:rPr>
        <w:t>Weaknesses</w:t>
      </w:r>
      <w:r w:rsidRPr="0050229B">
        <w:rPr>
          <w:rFonts w:ascii="Times New Roman" w:eastAsia="Times New Roman" w:hAnsi="Times New Roman" w:cs="Times New Roman"/>
          <w:sz w:val="24"/>
          <w:szCs w:val="24"/>
        </w:rPr>
        <w:br/>
        <w:t>Limited experience in managing large-scale events could pose logistical challenges, particularly in organization and implementation. Budget constraints also threaten to limit promotional efforts, potentially impacting attendance and overall event reach.</w:t>
      </w:r>
    </w:p>
    <w:p w14:paraId="74505061" w14:textId="77777777" w:rsidR="0050229B" w:rsidRPr="0050229B" w:rsidRDefault="0050229B" w:rsidP="0050229B">
      <w:pPr>
        <w:spacing w:before="240" w:after="240" w:line="360" w:lineRule="auto"/>
        <w:jc w:val="both"/>
        <w:rPr>
          <w:rFonts w:ascii="Times New Roman" w:eastAsia="Times New Roman" w:hAnsi="Times New Roman" w:cs="Times New Roman"/>
          <w:sz w:val="24"/>
          <w:szCs w:val="24"/>
        </w:rPr>
      </w:pPr>
      <w:r w:rsidRPr="0050229B">
        <w:rPr>
          <w:rFonts w:ascii="Times New Roman" w:eastAsia="Times New Roman" w:hAnsi="Times New Roman" w:cs="Times New Roman"/>
          <w:b/>
          <w:bCs/>
          <w:sz w:val="24"/>
          <w:szCs w:val="24"/>
        </w:rPr>
        <w:t>Opportunities</w:t>
      </w:r>
      <w:r w:rsidRPr="0050229B">
        <w:rPr>
          <w:rFonts w:ascii="Times New Roman" w:eastAsia="Times New Roman" w:hAnsi="Times New Roman" w:cs="Times New Roman"/>
          <w:sz w:val="24"/>
          <w:szCs w:val="24"/>
        </w:rPr>
        <w:br/>
        <w:t>With cultural tourism on the rise, Romania has a chance to attract tourists and investors by highlighting its traditions. Building partnerships with tourism boards and cultural associations can further extend the event’s visibility and appeal (</w:t>
      </w:r>
      <w:proofErr w:type="spellStart"/>
      <w:r w:rsidRPr="0050229B">
        <w:rPr>
          <w:rFonts w:ascii="Times New Roman" w:eastAsia="Times New Roman" w:hAnsi="Times New Roman" w:cs="Times New Roman"/>
          <w:sz w:val="24"/>
          <w:szCs w:val="24"/>
        </w:rPr>
        <w:t>Nesterenko</w:t>
      </w:r>
      <w:proofErr w:type="spellEnd"/>
      <w:r w:rsidRPr="0050229B">
        <w:rPr>
          <w:rFonts w:ascii="Times New Roman" w:eastAsia="Times New Roman" w:hAnsi="Times New Roman" w:cs="Times New Roman"/>
          <w:sz w:val="24"/>
          <w:szCs w:val="24"/>
        </w:rPr>
        <w:t xml:space="preserve"> et al., 2023).</w:t>
      </w:r>
    </w:p>
    <w:p w14:paraId="4828934C" w14:textId="77777777" w:rsidR="0050229B" w:rsidRPr="0050229B" w:rsidRDefault="0050229B" w:rsidP="0050229B">
      <w:pPr>
        <w:spacing w:before="240" w:after="240" w:line="360" w:lineRule="auto"/>
        <w:jc w:val="both"/>
        <w:rPr>
          <w:rFonts w:ascii="Times New Roman" w:eastAsia="Times New Roman" w:hAnsi="Times New Roman" w:cs="Times New Roman"/>
          <w:sz w:val="24"/>
          <w:szCs w:val="24"/>
        </w:rPr>
      </w:pPr>
      <w:r w:rsidRPr="0050229B">
        <w:rPr>
          <w:rFonts w:ascii="Times New Roman" w:eastAsia="Times New Roman" w:hAnsi="Times New Roman" w:cs="Times New Roman"/>
          <w:b/>
          <w:bCs/>
          <w:sz w:val="24"/>
          <w:szCs w:val="24"/>
        </w:rPr>
        <w:t>Threats</w:t>
      </w:r>
      <w:r w:rsidRPr="0050229B">
        <w:rPr>
          <w:rFonts w:ascii="Times New Roman" w:eastAsia="Times New Roman" w:hAnsi="Times New Roman" w:cs="Times New Roman"/>
          <w:sz w:val="24"/>
          <w:szCs w:val="24"/>
        </w:rPr>
        <w:br/>
        <w:t>Competing winter events might draw away potential attendees, impacting visitor numbers. Additionally, economic downturns may reduce discretionary spending on travel and events, posing a risk to anticipated revenue and attendance.</w:t>
      </w:r>
    </w:p>
    <w:p w14:paraId="57A7A067" w14:textId="77777777" w:rsidR="0050229B" w:rsidRPr="0050229B" w:rsidRDefault="0050229B" w:rsidP="0050229B">
      <w:pPr>
        <w:spacing w:before="240" w:after="240" w:line="360" w:lineRule="auto"/>
        <w:jc w:val="both"/>
        <w:rPr>
          <w:rFonts w:ascii="Times New Roman" w:eastAsia="Times New Roman" w:hAnsi="Times New Roman" w:cs="Times New Roman"/>
          <w:sz w:val="24"/>
          <w:szCs w:val="24"/>
        </w:rPr>
      </w:pPr>
      <w:r w:rsidRPr="0050229B">
        <w:rPr>
          <w:rFonts w:ascii="Times New Roman" w:eastAsia="Times New Roman" w:hAnsi="Times New Roman" w:cs="Times New Roman"/>
          <w:sz w:val="24"/>
          <w:szCs w:val="24"/>
        </w:rPr>
        <w:t>In summary, while Romania’s International Exposition offers a valuable opportunity to showcase local culture and drive tourism, success will require strategic planning, partnerships, and budget management to navigate its challenges.</w:t>
      </w:r>
    </w:p>
    <w:p w14:paraId="0000004C" w14:textId="77777777" w:rsidR="00CF35C4" w:rsidRDefault="00677A22">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Role of Culture</w:t>
      </w:r>
    </w:p>
    <w:p w14:paraId="735FC156" w14:textId="77777777" w:rsidR="0050229B" w:rsidRDefault="0050229B" w:rsidP="0050229B">
      <w:pPr>
        <w:pStyle w:val="Heading1"/>
        <w:rPr>
          <w:b w:val="0"/>
        </w:rPr>
      </w:pPr>
      <w:r w:rsidRPr="0050229B">
        <w:rPr>
          <w:b w:val="0"/>
        </w:rPr>
        <w:t>The exposition, featuring authentic elements of Romanian tradition—such as food, arts, dance, and music—offers a unique opportunity for visitors to reconnect with Romania’s cultural heritage. Embracing these cultural aspects helps prevent misunderstandings or controversies, enhancing the event’s reputation and credibility (Mai et al., 2023).</w:t>
      </w:r>
      <w:r>
        <w:rPr>
          <w:b w:val="0"/>
        </w:rPr>
        <w:t xml:space="preserve"> </w:t>
      </w:r>
      <w:r w:rsidRPr="0050229B">
        <w:rPr>
          <w:b w:val="0"/>
        </w:rPr>
        <w:t>Minimizing outside influence in the event’s design is also beneficial, as it ensures the exposition authentically reflects local traditions, fostering a sense of ownership and pride within the community. Ultimately, prioritizing cultural sensitivity will not only enrich attendees' experiences but will also create a positive, lasting impact on the region.</w:t>
      </w:r>
    </w:p>
    <w:p w14:paraId="118F8AFD" w14:textId="77777777" w:rsidR="0050229B" w:rsidRDefault="0050229B" w:rsidP="0050229B">
      <w:pPr>
        <w:pStyle w:val="Heading1"/>
        <w:rPr>
          <w:b w:val="0"/>
        </w:rPr>
      </w:pPr>
    </w:p>
    <w:p w14:paraId="0000004F" w14:textId="3B88FE46" w:rsidR="00CF35C4" w:rsidRPr="0050229B" w:rsidRDefault="00677A22" w:rsidP="0050229B">
      <w:pPr>
        <w:pStyle w:val="Heading1"/>
        <w:rPr>
          <w:b w:val="0"/>
        </w:rPr>
      </w:pPr>
      <w:r>
        <w:t>Conclusion</w:t>
      </w:r>
    </w:p>
    <w:p w14:paraId="1CA56FB5" w14:textId="77777777" w:rsidR="0050229B" w:rsidRPr="0050229B" w:rsidRDefault="0050229B" w:rsidP="0050229B">
      <w:pPr>
        <w:spacing w:line="360" w:lineRule="auto"/>
        <w:jc w:val="both"/>
        <w:rPr>
          <w:rFonts w:ascii="Times New Roman" w:eastAsia="Times New Roman" w:hAnsi="Times New Roman" w:cs="Times New Roman"/>
          <w:sz w:val="24"/>
          <w:szCs w:val="24"/>
        </w:rPr>
      </w:pPr>
    </w:p>
    <w:p w14:paraId="00000050" w14:textId="58F8F155" w:rsidR="00CF35C4" w:rsidRDefault="0050229B" w:rsidP="0050229B">
      <w:pPr>
        <w:spacing w:line="360" w:lineRule="auto"/>
        <w:jc w:val="both"/>
        <w:rPr>
          <w:rFonts w:ascii="Times New Roman" w:eastAsia="Times New Roman" w:hAnsi="Times New Roman" w:cs="Times New Roman"/>
          <w:sz w:val="24"/>
          <w:szCs w:val="24"/>
        </w:rPr>
      </w:pPr>
      <w:r w:rsidRPr="0050229B">
        <w:rPr>
          <w:rFonts w:ascii="Times New Roman" w:eastAsia="Times New Roman" w:hAnsi="Times New Roman" w:cs="Times New Roman"/>
          <w:sz w:val="24"/>
          <w:szCs w:val="24"/>
        </w:rPr>
        <w:t xml:space="preserve">Winter holds a </w:t>
      </w:r>
      <w:r>
        <w:rPr>
          <w:rFonts w:ascii="Times New Roman" w:eastAsia="Times New Roman" w:hAnsi="Times New Roman" w:cs="Times New Roman"/>
          <w:sz w:val="24"/>
          <w:szCs w:val="24"/>
        </w:rPr>
        <w:t>significant</w:t>
      </w:r>
      <w:r w:rsidRPr="0050229B">
        <w:rPr>
          <w:rFonts w:ascii="Times New Roman" w:eastAsia="Times New Roman" w:hAnsi="Times New Roman" w:cs="Times New Roman"/>
          <w:sz w:val="24"/>
          <w:szCs w:val="24"/>
        </w:rPr>
        <w:t xml:space="preserve"> place in Romanian culture, marked by numerous ceremonies that emphasize togetherness and celebration. This makes Romania an ideal setting for an exposition focused on cultural richness and communal spirit. The study highlights Bucharest as a carefully chosen location, a beautiful and accessible city well-suited to welcome both domestic and international visitors. Its appeal enhances the potential success of the event, offering a vibrant backdrop that complements the exposition’s theme</w:t>
      </w:r>
      <w:r w:rsidR="00677A22">
        <w:rPr>
          <w:rFonts w:ascii="Times New Roman" w:eastAsia="Times New Roman" w:hAnsi="Times New Roman" w:cs="Times New Roman"/>
          <w:sz w:val="24"/>
          <w:szCs w:val="24"/>
        </w:rPr>
        <w:t xml:space="preserve">. </w:t>
      </w:r>
      <w:r w:rsidRPr="0050229B">
        <w:rPr>
          <w:rFonts w:ascii="Times New Roman" w:eastAsia="Times New Roman" w:hAnsi="Times New Roman" w:cs="Times New Roman"/>
          <w:sz w:val="24"/>
          <w:szCs w:val="24"/>
        </w:rPr>
        <w:t>The International Exhibition of Romanian Winter Traditions offers a unique opportunity to showcase the country’s rich cultural and historical heritage, while also boosting tourism and promoting regional products. This event aims to celebrate Romania's traditions and stimulate interest in local crafts, cuisine, and customs, creating lasting demand and economic growth for regional industries.</w:t>
      </w:r>
      <w:r>
        <w:rPr>
          <w:rFonts w:ascii="Times New Roman" w:eastAsia="Times New Roman" w:hAnsi="Times New Roman" w:cs="Times New Roman"/>
          <w:sz w:val="24"/>
          <w:szCs w:val="24"/>
        </w:rPr>
        <w:t xml:space="preserve"> </w:t>
      </w:r>
      <w:r w:rsidR="00677A22">
        <w:rPr>
          <w:rFonts w:ascii="Times New Roman" w:eastAsia="Times New Roman" w:hAnsi="Times New Roman" w:cs="Times New Roman"/>
          <w:sz w:val="24"/>
          <w:szCs w:val="24"/>
        </w:rPr>
        <w:t xml:space="preserve">In planning and organising </w:t>
      </w:r>
      <w:r>
        <w:rPr>
          <w:rFonts w:ascii="Times New Roman" w:eastAsia="Times New Roman" w:hAnsi="Times New Roman" w:cs="Times New Roman"/>
          <w:sz w:val="24"/>
          <w:szCs w:val="24"/>
        </w:rPr>
        <w:t>this</w:t>
      </w:r>
      <w:r w:rsidR="00677A22">
        <w:rPr>
          <w:rFonts w:ascii="Times New Roman" w:eastAsia="Times New Roman" w:hAnsi="Times New Roman" w:cs="Times New Roman"/>
          <w:sz w:val="24"/>
          <w:szCs w:val="24"/>
        </w:rPr>
        <w:t xml:space="preserve"> event, various factors such as market forces, organisational structures, and community needs and reactions are taken into consideration, in a bid to make the event challenging, exciting and meaningful to local as well as global audiences</w:t>
      </w:r>
      <w:r>
        <w:rPr>
          <w:rFonts w:ascii="Times New Roman" w:eastAsia="Times New Roman" w:hAnsi="Times New Roman" w:cs="Times New Roman"/>
          <w:sz w:val="24"/>
          <w:szCs w:val="24"/>
        </w:rPr>
        <w:t xml:space="preserve">. </w:t>
      </w:r>
      <w:r w:rsidR="00677A22">
        <w:rPr>
          <w:rFonts w:ascii="Times New Roman" w:eastAsia="Times New Roman" w:hAnsi="Times New Roman" w:cs="Times New Roman"/>
          <w:sz w:val="24"/>
          <w:szCs w:val="24"/>
        </w:rPr>
        <w:t xml:space="preserve">In addition to increasing people’s awareness of Romania’s winter </w:t>
      </w:r>
      <w:r>
        <w:rPr>
          <w:rFonts w:ascii="Times New Roman" w:eastAsia="Times New Roman" w:hAnsi="Times New Roman" w:cs="Times New Roman"/>
          <w:sz w:val="24"/>
          <w:szCs w:val="24"/>
        </w:rPr>
        <w:t>traditions</w:t>
      </w:r>
      <w:r w:rsidR="00677A22">
        <w:rPr>
          <w:rFonts w:ascii="Times New Roman" w:eastAsia="Times New Roman" w:hAnsi="Times New Roman" w:cs="Times New Roman"/>
          <w:sz w:val="24"/>
          <w:szCs w:val="24"/>
        </w:rPr>
        <w:t xml:space="preserve">, the exposition contributes to local traditions of crafting and selling handmade products. The following are the SMART objectives that guarantee measurable achievement on the attendance, stakeholders, and cultural promotion. This </w:t>
      </w:r>
      <w:r>
        <w:rPr>
          <w:rFonts w:ascii="Times New Roman" w:eastAsia="Times New Roman" w:hAnsi="Times New Roman" w:cs="Times New Roman"/>
          <w:sz w:val="24"/>
          <w:szCs w:val="24"/>
        </w:rPr>
        <w:t xml:space="preserve">report </w:t>
      </w:r>
      <w:r w:rsidR="00677A22">
        <w:rPr>
          <w:rFonts w:ascii="Times New Roman" w:eastAsia="Times New Roman" w:hAnsi="Times New Roman" w:cs="Times New Roman"/>
          <w:sz w:val="24"/>
          <w:szCs w:val="24"/>
        </w:rPr>
        <w:t>has also focused on presenting the SWOT analysis strength area and opportunities, threats and weaknesses. Cultural factors remain top priorities because they reduce the gap between the actual and the perceived environment while fostering attendees’ and participants’ trust. As the exposition targets to address various stakeholders and attract investors, it represents the idea that promotes cooperation and creativity in the cultural tourism industry. In conclusion, this event will create the foundation for other projects that can transform Romania’s selling proposition for winter tourism that supports winter cultural continuity.</w:t>
      </w:r>
    </w:p>
    <w:p w14:paraId="00000051" w14:textId="77777777" w:rsidR="00CF35C4" w:rsidRDefault="00CF35C4">
      <w:pPr>
        <w:spacing w:before="240" w:after="240" w:line="360" w:lineRule="auto"/>
        <w:jc w:val="both"/>
        <w:rPr>
          <w:rFonts w:ascii="Times New Roman" w:eastAsia="Times New Roman" w:hAnsi="Times New Roman" w:cs="Times New Roman"/>
          <w:sz w:val="24"/>
          <w:szCs w:val="24"/>
        </w:rPr>
      </w:pPr>
    </w:p>
    <w:p w14:paraId="00000052" w14:textId="77777777" w:rsidR="00CF35C4" w:rsidRDefault="00CF35C4">
      <w:pPr>
        <w:spacing w:line="360" w:lineRule="auto"/>
        <w:jc w:val="both"/>
        <w:rPr>
          <w:rFonts w:ascii="Times New Roman" w:eastAsia="Times New Roman" w:hAnsi="Times New Roman" w:cs="Times New Roman"/>
          <w:sz w:val="24"/>
          <w:szCs w:val="24"/>
        </w:rPr>
      </w:pPr>
    </w:p>
    <w:p w14:paraId="00000053" w14:textId="77777777" w:rsidR="00CF35C4" w:rsidRDefault="00CF35C4">
      <w:pPr>
        <w:spacing w:line="360" w:lineRule="auto"/>
        <w:jc w:val="both"/>
        <w:rPr>
          <w:rFonts w:ascii="Times New Roman" w:eastAsia="Times New Roman" w:hAnsi="Times New Roman" w:cs="Times New Roman"/>
          <w:sz w:val="24"/>
          <w:szCs w:val="24"/>
        </w:rPr>
      </w:pPr>
    </w:p>
    <w:p w14:paraId="00000054" w14:textId="77777777" w:rsidR="00CF35C4" w:rsidRDefault="00677A22">
      <w:pPr>
        <w:spacing w:line="360" w:lineRule="auto"/>
        <w:jc w:val="both"/>
        <w:rPr>
          <w:rFonts w:ascii="Times New Roman" w:eastAsia="Times New Roman" w:hAnsi="Times New Roman" w:cs="Times New Roman"/>
          <w:sz w:val="24"/>
          <w:szCs w:val="24"/>
        </w:rPr>
      </w:pPr>
      <w:r>
        <w:br w:type="page"/>
      </w:r>
    </w:p>
    <w:p w14:paraId="114C63C5" w14:textId="77777777" w:rsidR="0018059B" w:rsidRPr="0018059B" w:rsidRDefault="0018059B" w:rsidP="0018059B">
      <w:pPr>
        <w:pStyle w:val="Heading1"/>
        <w:rPr>
          <w:color w:val="000000" w:themeColor="text1"/>
        </w:rPr>
      </w:pPr>
      <w:bookmarkStart w:id="14" w:name="_heading=h.1ksv4uv" w:colFirst="0" w:colLast="0"/>
      <w:bookmarkEnd w:id="14"/>
      <w:r w:rsidRPr="0018059B">
        <w:rPr>
          <w:color w:val="000000" w:themeColor="text1"/>
        </w:rPr>
        <w:t xml:space="preserve">Reference List </w:t>
      </w:r>
    </w:p>
    <w:p w14:paraId="3A9C33B7" w14:textId="77777777" w:rsidR="0018059B" w:rsidRPr="0018059B" w:rsidRDefault="0018059B" w:rsidP="0018059B">
      <w:pPr>
        <w:spacing w:before="240" w:after="240" w:line="360" w:lineRule="auto"/>
        <w:jc w:val="both"/>
        <w:rPr>
          <w:rFonts w:ascii="Times New Roman" w:eastAsia="Times New Roman" w:hAnsi="Times New Roman" w:cs="Times New Roman"/>
          <w:color w:val="000000" w:themeColor="text1"/>
          <w:sz w:val="24"/>
          <w:szCs w:val="24"/>
          <w:highlight w:val="white"/>
        </w:rPr>
      </w:pPr>
      <w:r w:rsidRPr="0018059B">
        <w:rPr>
          <w:rFonts w:ascii="Times New Roman" w:eastAsia="Times New Roman" w:hAnsi="Times New Roman" w:cs="Times New Roman"/>
          <w:color w:val="000000" w:themeColor="text1"/>
          <w:sz w:val="24"/>
          <w:szCs w:val="24"/>
          <w:highlight w:val="white"/>
        </w:rPr>
        <w:t xml:space="preserve">Bogdan, A., Chambre, D., </w:t>
      </w:r>
      <w:proofErr w:type="spellStart"/>
      <w:r w:rsidRPr="0018059B">
        <w:rPr>
          <w:rFonts w:ascii="Times New Roman" w:eastAsia="Times New Roman" w:hAnsi="Times New Roman" w:cs="Times New Roman"/>
          <w:color w:val="000000" w:themeColor="text1"/>
          <w:sz w:val="24"/>
          <w:szCs w:val="24"/>
          <w:highlight w:val="white"/>
        </w:rPr>
        <w:t>Copolovici</w:t>
      </w:r>
      <w:proofErr w:type="spellEnd"/>
      <w:r w:rsidRPr="0018059B">
        <w:rPr>
          <w:rFonts w:ascii="Times New Roman" w:eastAsia="Times New Roman" w:hAnsi="Times New Roman" w:cs="Times New Roman"/>
          <w:color w:val="000000" w:themeColor="text1"/>
          <w:sz w:val="24"/>
          <w:szCs w:val="24"/>
          <w:highlight w:val="white"/>
        </w:rPr>
        <w:t xml:space="preserve">, D.M., </w:t>
      </w:r>
      <w:proofErr w:type="spellStart"/>
      <w:r w:rsidRPr="0018059B">
        <w:rPr>
          <w:rFonts w:ascii="Times New Roman" w:eastAsia="Times New Roman" w:hAnsi="Times New Roman" w:cs="Times New Roman"/>
          <w:color w:val="000000" w:themeColor="text1"/>
          <w:sz w:val="24"/>
          <w:szCs w:val="24"/>
          <w:highlight w:val="white"/>
        </w:rPr>
        <w:t>Bungau</w:t>
      </w:r>
      <w:proofErr w:type="spellEnd"/>
      <w:r w:rsidRPr="0018059B">
        <w:rPr>
          <w:rFonts w:ascii="Times New Roman" w:eastAsia="Times New Roman" w:hAnsi="Times New Roman" w:cs="Times New Roman"/>
          <w:color w:val="000000" w:themeColor="text1"/>
          <w:sz w:val="24"/>
          <w:szCs w:val="24"/>
          <w:highlight w:val="white"/>
        </w:rPr>
        <w:t xml:space="preserve">, T., </w:t>
      </w:r>
      <w:proofErr w:type="spellStart"/>
      <w:r w:rsidRPr="0018059B">
        <w:rPr>
          <w:rFonts w:ascii="Times New Roman" w:eastAsia="Times New Roman" w:hAnsi="Times New Roman" w:cs="Times New Roman"/>
          <w:color w:val="000000" w:themeColor="text1"/>
          <w:sz w:val="24"/>
          <w:szCs w:val="24"/>
          <w:highlight w:val="white"/>
        </w:rPr>
        <w:t>Bungau</w:t>
      </w:r>
      <w:proofErr w:type="spellEnd"/>
      <w:r w:rsidRPr="0018059B">
        <w:rPr>
          <w:rFonts w:ascii="Times New Roman" w:eastAsia="Times New Roman" w:hAnsi="Times New Roman" w:cs="Times New Roman"/>
          <w:color w:val="000000" w:themeColor="text1"/>
          <w:sz w:val="24"/>
          <w:szCs w:val="24"/>
          <w:highlight w:val="white"/>
        </w:rPr>
        <w:t xml:space="preserve">, C.C. and </w:t>
      </w:r>
      <w:proofErr w:type="spellStart"/>
      <w:r w:rsidRPr="0018059B">
        <w:rPr>
          <w:rFonts w:ascii="Times New Roman" w:eastAsia="Times New Roman" w:hAnsi="Times New Roman" w:cs="Times New Roman"/>
          <w:color w:val="000000" w:themeColor="text1"/>
          <w:sz w:val="24"/>
          <w:szCs w:val="24"/>
          <w:highlight w:val="white"/>
        </w:rPr>
        <w:t>Copolovici</w:t>
      </w:r>
      <w:proofErr w:type="spellEnd"/>
      <w:r w:rsidRPr="0018059B">
        <w:rPr>
          <w:rFonts w:ascii="Times New Roman" w:eastAsia="Times New Roman" w:hAnsi="Times New Roman" w:cs="Times New Roman"/>
          <w:color w:val="000000" w:themeColor="text1"/>
          <w:sz w:val="24"/>
          <w:szCs w:val="24"/>
          <w:highlight w:val="white"/>
        </w:rPr>
        <w:t xml:space="preserve">, L., 2022. Heritage Building Preservation in the Process of Sustainable Urban Development: The Case of Brasov Medieval City, Romania. </w:t>
      </w:r>
      <w:r w:rsidRPr="0018059B">
        <w:rPr>
          <w:rFonts w:ascii="Times New Roman" w:eastAsia="Times New Roman" w:hAnsi="Times New Roman" w:cs="Times New Roman"/>
          <w:i/>
          <w:color w:val="000000" w:themeColor="text1"/>
          <w:sz w:val="24"/>
          <w:szCs w:val="24"/>
          <w:highlight w:val="white"/>
        </w:rPr>
        <w:t>Sustainability</w:t>
      </w:r>
      <w:r w:rsidRPr="0018059B">
        <w:rPr>
          <w:rFonts w:ascii="Times New Roman" w:eastAsia="Times New Roman" w:hAnsi="Times New Roman" w:cs="Times New Roman"/>
          <w:color w:val="000000" w:themeColor="text1"/>
          <w:sz w:val="24"/>
          <w:szCs w:val="24"/>
          <w:highlight w:val="white"/>
        </w:rPr>
        <w:t xml:space="preserve">, </w:t>
      </w:r>
      <w:r w:rsidRPr="0018059B">
        <w:rPr>
          <w:rFonts w:ascii="Times New Roman" w:eastAsia="Times New Roman" w:hAnsi="Times New Roman" w:cs="Times New Roman"/>
          <w:i/>
          <w:color w:val="000000" w:themeColor="text1"/>
          <w:sz w:val="24"/>
          <w:szCs w:val="24"/>
          <w:highlight w:val="white"/>
        </w:rPr>
        <w:t>14</w:t>
      </w:r>
      <w:r w:rsidRPr="0018059B">
        <w:rPr>
          <w:rFonts w:ascii="Times New Roman" w:eastAsia="Times New Roman" w:hAnsi="Times New Roman" w:cs="Times New Roman"/>
          <w:color w:val="000000" w:themeColor="text1"/>
          <w:sz w:val="24"/>
          <w:szCs w:val="24"/>
          <w:highlight w:val="white"/>
        </w:rPr>
        <w:t>(12), p.6959.</w:t>
      </w:r>
    </w:p>
    <w:p w14:paraId="1578C155" w14:textId="77777777" w:rsidR="0018059B" w:rsidRPr="0018059B" w:rsidRDefault="0018059B" w:rsidP="0018059B">
      <w:pPr>
        <w:spacing w:before="240" w:after="240" w:line="360" w:lineRule="auto"/>
        <w:jc w:val="both"/>
        <w:rPr>
          <w:rFonts w:ascii="Times New Roman" w:eastAsia="Times New Roman" w:hAnsi="Times New Roman" w:cs="Times New Roman"/>
          <w:color w:val="000000" w:themeColor="text1"/>
          <w:sz w:val="24"/>
          <w:szCs w:val="24"/>
          <w:highlight w:val="white"/>
        </w:rPr>
      </w:pPr>
      <w:r w:rsidRPr="0018059B">
        <w:rPr>
          <w:rFonts w:ascii="Times New Roman" w:eastAsia="Times New Roman" w:hAnsi="Times New Roman" w:cs="Times New Roman"/>
          <w:color w:val="000000" w:themeColor="text1"/>
          <w:sz w:val="24"/>
          <w:szCs w:val="24"/>
          <w:highlight w:val="white"/>
        </w:rPr>
        <w:t xml:space="preserve">Bogdan, C., </w:t>
      </w:r>
      <w:proofErr w:type="spellStart"/>
      <w:r w:rsidRPr="0018059B">
        <w:rPr>
          <w:rFonts w:ascii="Times New Roman" w:eastAsia="Times New Roman" w:hAnsi="Times New Roman" w:cs="Times New Roman"/>
          <w:color w:val="000000" w:themeColor="text1"/>
          <w:sz w:val="24"/>
          <w:szCs w:val="24"/>
          <w:highlight w:val="white"/>
        </w:rPr>
        <w:t>Ranta</w:t>
      </w:r>
      <w:proofErr w:type="spellEnd"/>
      <w:r w:rsidRPr="0018059B">
        <w:rPr>
          <w:rFonts w:ascii="Times New Roman" w:eastAsia="Times New Roman" w:hAnsi="Times New Roman" w:cs="Times New Roman"/>
          <w:color w:val="000000" w:themeColor="text1"/>
          <w:sz w:val="24"/>
          <w:szCs w:val="24"/>
          <w:highlight w:val="white"/>
        </w:rPr>
        <w:t xml:space="preserve">, O., </w:t>
      </w:r>
      <w:proofErr w:type="spellStart"/>
      <w:r w:rsidRPr="0018059B">
        <w:rPr>
          <w:rFonts w:ascii="Times New Roman" w:eastAsia="Times New Roman" w:hAnsi="Times New Roman" w:cs="Times New Roman"/>
          <w:color w:val="000000" w:themeColor="text1"/>
          <w:sz w:val="24"/>
          <w:szCs w:val="24"/>
          <w:highlight w:val="white"/>
        </w:rPr>
        <w:t>Ghețe</w:t>
      </w:r>
      <w:proofErr w:type="spellEnd"/>
      <w:r w:rsidRPr="0018059B">
        <w:rPr>
          <w:rFonts w:ascii="Times New Roman" w:eastAsia="Times New Roman" w:hAnsi="Times New Roman" w:cs="Times New Roman"/>
          <w:color w:val="000000" w:themeColor="text1"/>
          <w:sz w:val="24"/>
          <w:szCs w:val="24"/>
          <w:highlight w:val="white"/>
        </w:rPr>
        <w:t xml:space="preserve">, A.B., Marian, O. and </w:t>
      </w:r>
      <w:proofErr w:type="spellStart"/>
      <w:r w:rsidRPr="0018059B">
        <w:rPr>
          <w:rFonts w:ascii="Times New Roman" w:eastAsia="Times New Roman" w:hAnsi="Times New Roman" w:cs="Times New Roman"/>
          <w:color w:val="000000" w:themeColor="text1"/>
          <w:sz w:val="24"/>
          <w:szCs w:val="24"/>
          <w:highlight w:val="white"/>
        </w:rPr>
        <w:t>Andraș</w:t>
      </w:r>
      <w:proofErr w:type="spellEnd"/>
      <w:r w:rsidRPr="0018059B">
        <w:rPr>
          <w:rFonts w:ascii="Times New Roman" w:eastAsia="Times New Roman" w:hAnsi="Times New Roman" w:cs="Times New Roman"/>
          <w:color w:val="000000" w:themeColor="text1"/>
          <w:sz w:val="24"/>
          <w:szCs w:val="24"/>
          <w:highlight w:val="white"/>
        </w:rPr>
        <w:t xml:space="preserve">, I.G.C., (2024), June. A Romanian Standpoint on Minimum Tillage Soil System and Prospects for </w:t>
      </w:r>
      <w:proofErr w:type="gramStart"/>
      <w:r w:rsidRPr="0018059B">
        <w:rPr>
          <w:rFonts w:ascii="Times New Roman" w:eastAsia="Times New Roman" w:hAnsi="Times New Roman" w:cs="Times New Roman"/>
          <w:color w:val="000000" w:themeColor="text1"/>
          <w:sz w:val="24"/>
          <w:szCs w:val="24"/>
          <w:highlight w:val="white"/>
        </w:rPr>
        <w:t>an</w:t>
      </w:r>
      <w:proofErr w:type="gramEnd"/>
      <w:r w:rsidRPr="0018059B">
        <w:rPr>
          <w:rFonts w:ascii="Times New Roman" w:eastAsia="Times New Roman" w:hAnsi="Times New Roman" w:cs="Times New Roman"/>
          <w:color w:val="000000" w:themeColor="text1"/>
          <w:sz w:val="24"/>
          <w:szCs w:val="24"/>
          <w:highlight w:val="white"/>
        </w:rPr>
        <w:t xml:space="preserve"> Sustainable Agriculture: A Review. In </w:t>
      </w:r>
      <w:r w:rsidRPr="0018059B">
        <w:rPr>
          <w:rFonts w:ascii="Times New Roman" w:eastAsia="Times New Roman" w:hAnsi="Times New Roman" w:cs="Times New Roman"/>
          <w:i/>
          <w:color w:val="000000" w:themeColor="text1"/>
          <w:sz w:val="24"/>
          <w:szCs w:val="24"/>
          <w:highlight w:val="white"/>
        </w:rPr>
        <w:t>International Symposium on Farm Machinery and Processes Management in Sustainable Agriculture</w:t>
      </w:r>
      <w:r w:rsidRPr="0018059B">
        <w:rPr>
          <w:rFonts w:ascii="Times New Roman" w:eastAsia="Times New Roman" w:hAnsi="Times New Roman" w:cs="Times New Roman"/>
          <w:color w:val="000000" w:themeColor="text1"/>
          <w:sz w:val="24"/>
          <w:szCs w:val="24"/>
          <w:highlight w:val="white"/>
        </w:rPr>
        <w:t xml:space="preserve"> (pp. 77-86). Cham: Springer Nature Switzerland.</w:t>
      </w:r>
    </w:p>
    <w:p w14:paraId="549DA927" w14:textId="77777777" w:rsidR="0018059B" w:rsidRPr="0018059B" w:rsidRDefault="0018059B" w:rsidP="0018059B">
      <w:pPr>
        <w:spacing w:before="240" w:after="240" w:line="360" w:lineRule="auto"/>
        <w:jc w:val="both"/>
        <w:rPr>
          <w:rFonts w:ascii="Times New Roman" w:eastAsia="Times New Roman" w:hAnsi="Times New Roman" w:cs="Times New Roman"/>
          <w:color w:val="000000" w:themeColor="text1"/>
          <w:sz w:val="24"/>
          <w:szCs w:val="24"/>
          <w:highlight w:val="white"/>
        </w:rPr>
      </w:pPr>
      <w:r w:rsidRPr="0018059B">
        <w:rPr>
          <w:rFonts w:ascii="Times New Roman" w:eastAsia="Times New Roman" w:hAnsi="Times New Roman" w:cs="Times New Roman"/>
          <w:color w:val="000000" w:themeColor="text1"/>
          <w:sz w:val="24"/>
          <w:szCs w:val="24"/>
          <w:highlight w:val="white"/>
        </w:rPr>
        <w:t xml:space="preserve">Neuhaus, T., </w:t>
      </w:r>
      <w:proofErr w:type="spellStart"/>
      <w:r w:rsidRPr="0018059B">
        <w:rPr>
          <w:rFonts w:ascii="Times New Roman" w:eastAsia="Times New Roman" w:hAnsi="Times New Roman" w:cs="Times New Roman"/>
          <w:color w:val="000000" w:themeColor="text1"/>
          <w:sz w:val="24"/>
          <w:szCs w:val="24"/>
          <w:highlight w:val="white"/>
        </w:rPr>
        <w:t>Millemann</w:t>
      </w:r>
      <w:proofErr w:type="spellEnd"/>
      <w:r w:rsidRPr="0018059B">
        <w:rPr>
          <w:rFonts w:ascii="Times New Roman" w:eastAsia="Times New Roman" w:hAnsi="Times New Roman" w:cs="Times New Roman"/>
          <w:color w:val="000000" w:themeColor="text1"/>
          <w:sz w:val="24"/>
          <w:szCs w:val="24"/>
          <w:highlight w:val="white"/>
        </w:rPr>
        <w:t xml:space="preserve">, J.A. and </w:t>
      </w:r>
      <w:proofErr w:type="spellStart"/>
      <w:r w:rsidRPr="0018059B">
        <w:rPr>
          <w:rFonts w:ascii="Times New Roman" w:eastAsia="Times New Roman" w:hAnsi="Times New Roman" w:cs="Times New Roman"/>
          <w:color w:val="000000" w:themeColor="text1"/>
          <w:sz w:val="24"/>
          <w:szCs w:val="24"/>
          <w:highlight w:val="white"/>
        </w:rPr>
        <w:t>Nijssen</w:t>
      </w:r>
      <w:proofErr w:type="spellEnd"/>
      <w:r w:rsidRPr="0018059B">
        <w:rPr>
          <w:rFonts w:ascii="Times New Roman" w:eastAsia="Times New Roman" w:hAnsi="Times New Roman" w:cs="Times New Roman"/>
          <w:color w:val="000000" w:themeColor="text1"/>
          <w:sz w:val="24"/>
          <w:szCs w:val="24"/>
          <w:highlight w:val="white"/>
        </w:rPr>
        <w:t xml:space="preserve">, E., 2022. Bridging the gap between B2B and B2C: Thought leadership in industrial marketing–A systematic literature review and propositions. </w:t>
      </w:r>
      <w:r w:rsidRPr="0018059B">
        <w:rPr>
          <w:rFonts w:ascii="Times New Roman" w:eastAsia="Times New Roman" w:hAnsi="Times New Roman" w:cs="Times New Roman"/>
          <w:i/>
          <w:color w:val="000000" w:themeColor="text1"/>
          <w:sz w:val="24"/>
          <w:szCs w:val="24"/>
          <w:highlight w:val="white"/>
        </w:rPr>
        <w:t>Industrial Marketing Management</w:t>
      </w:r>
      <w:r w:rsidRPr="0018059B">
        <w:rPr>
          <w:rFonts w:ascii="Times New Roman" w:eastAsia="Times New Roman" w:hAnsi="Times New Roman" w:cs="Times New Roman"/>
          <w:color w:val="000000" w:themeColor="text1"/>
          <w:sz w:val="24"/>
          <w:szCs w:val="24"/>
          <w:highlight w:val="white"/>
        </w:rPr>
        <w:t xml:space="preserve">, </w:t>
      </w:r>
      <w:r w:rsidRPr="0018059B">
        <w:rPr>
          <w:rFonts w:ascii="Times New Roman" w:eastAsia="Times New Roman" w:hAnsi="Times New Roman" w:cs="Times New Roman"/>
          <w:i/>
          <w:color w:val="000000" w:themeColor="text1"/>
          <w:sz w:val="24"/>
          <w:szCs w:val="24"/>
          <w:highlight w:val="white"/>
        </w:rPr>
        <w:t>106</w:t>
      </w:r>
      <w:r w:rsidRPr="0018059B">
        <w:rPr>
          <w:rFonts w:ascii="Times New Roman" w:eastAsia="Times New Roman" w:hAnsi="Times New Roman" w:cs="Times New Roman"/>
          <w:color w:val="000000" w:themeColor="text1"/>
          <w:sz w:val="24"/>
          <w:szCs w:val="24"/>
          <w:highlight w:val="white"/>
        </w:rPr>
        <w:t>, pp.99-111.</w:t>
      </w:r>
    </w:p>
    <w:p w14:paraId="3F6F1DC0" w14:textId="77777777" w:rsidR="0018059B" w:rsidRPr="0018059B" w:rsidRDefault="0018059B" w:rsidP="0018059B">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18059B">
        <w:rPr>
          <w:rFonts w:ascii="Times New Roman" w:eastAsia="Times New Roman" w:hAnsi="Times New Roman" w:cs="Times New Roman"/>
          <w:color w:val="000000" w:themeColor="text1"/>
          <w:sz w:val="24"/>
          <w:szCs w:val="24"/>
          <w:highlight w:val="white"/>
        </w:rPr>
        <w:t>Kucsicsa</w:t>
      </w:r>
      <w:proofErr w:type="spellEnd"/>
      <w:r w:rsidRPr="0018059B">
        <w:rPr>
          <w:rFonts w:ascii="Times New Roman" w:eastAsia="Times New Roman" w:hAnsi="Times New Roman" w:cs="Times New Roman"/>
          <w:color w:val="000000" w:themeColor="text1"/>
          <w:sz w:val="24"/>
          <w:szCs w:val="24"/>
          <w:highlight w:val="white"/>
        </w:rPr>
        <w:t xml:space="preserve">, G. and </w:t>
      </w:r>
      <w:proofErr w:type="spellStart"/>
      <w:r w:rsidRPr="0018059B">
        <w:rPr>
          <w:rFonts w:ascii="Times New Roman" w:eastAsia="Times New Roman" w:hAnsi="Times New Roman" w:cs="Times New Roman"/>
          <w:color w:val="000000" w:themeColor="text1"/>
          <w:sz w:val="24"/>
          <w:szCs w:val="24"/>
          <w:highlight w:val="white"/>
        </w:rPr>
        <w:t>Bălteanu</w:t>
      </w:r>
      <w:proofErr w:type="spellEnd"/>
      <w:r w:rsidRPr="0018059B">
        <w:rPr>
          <w:rFonts w:ascii="Times New Roman" w:eastAsia="Times New Roman" w:hAnsi="Times New Roman" w:cs="Times New Roman"/>
          <w:color w:val="000000" w:themeColor="text1"/>
          <w:sz w:val="24"/>
          <w:szCs w:val="24"/>
          <w:highlight w:val="white"/>
        </w:rPr>
        <w:t xml:space="preserve">, D., 2020. The influence of man-induced land-use change on the upper forest limit in the Romanian Carpathians. </w:t>
      </w:r>
      <w:r w:rsidRPr="0018059B">
        <w:rPr>
          <w:rFonts w:ascii="Times New Roman" w:eastAsia="Times New Roman" w:hAnsi="Times New Roman" w:cs="Times New Roman"/>
          <w:i/>
          <w:color w:val="000000" w:themeColor="text1"/>
          <w:sz w:val="24"/>
          <w:szCs w:val="24"/>
          <w:highlight w:val="white"/>
        </w:rPr>
        <w:t>European Journal of Forest Research</w:t>
      </w:r>
      <w:r w:rsidRPr="0018059B">
        <w:rPr>
          <w:rFonts w:ascii="Times New Roman" w:eastAsia="Times New Roman" w:hAnsi="Times New Roman" w:cs="Times New Roman"/>
          <w:color w:val="000000" w:themeColor="text1"/>
          <w:sz w:val="24"/>
          <w:szCs w:val="24"/>
          <w:highlight w:val="white"/>
        </w:rPr>
        <w:t xml:space="preserve">, </w:t>
      </w:r>
      <w:r w:rsidRPr="0018059B">
        <w:rPr>
          <w:rFonts w:ascii="Times New Roman" w:eastAsia="Times New Roman" w:hAnsi="Times New Roman" w:cs="Times New Roman"/>
          <w:i/>
          <w:color w:val="000000" w:themeColor="text1"/>
          <w:sz w:val="24"/>
          <w:szCs w:val="24"/>
          <w:highlight w:val="white"/>
        </w:rPr>
        <w:t>139</w:t>
      </w:r>
      <w:r w:rsidRPr="0018059B">
        <w:rPr>
          <w:rFonts w:ascii="Times New Roman" w:eastAsia="Times New Roman" w:hAnsi="Times New Roman" w:cs="Times New Roman"/>
          <w:color w:val="000000" w:themeColor="text1"/>
          <w:sz w:val="24"/>
          <w:szCs w:val="24"/>
          <w:highlight w:val="white"/>
        </w:rPr>
        <w:t>(6), pp.893-914.</w:t>
      </w:r>
    </w:p>
    <w:p w14:paraId="24D52DC3" w14:textId="77777777" w:rsidR="0018059B" w:rsidRPr="0018059B" w:rsidRDefault="0018059B" w:rsidP="0018059B">
      <w:pPr>
        <w:spacing w:line="360" w:lineRule="auto"/>
        <w:jc w:val="both"/>
        <w:rPr>
          <w:rFonts w:ascii="Times New Roman" w:eastAsia="Times New Roman" w:hAnsi="Times New Roman" w:cs="Times New Roman"/>
          <w:color w:val="000000" w:themeColor="text1"/>
          <w:sz w:val="24"/>
          <w:szCs w:val="24"/>
          <w:highlight w:val="white"/>
        </w:rPr>
      </w:pPr>
      <w:r w:rsidRPr="0018059B">
        <w:rPr>
          <w:rFonts w:ascii="Times New Roman" w:eastAsia="Times New Roman" w:hAnsi="Times New Roman" w:cs="Times New Roman"/>
          <w:color w:val="000000" w:themeColor="text1"/>
          <w:sz w:val="24"/>
          <w:szCs w:val="24"/>
          <w:highlight w:val="white"/>
        </w:rPr>
        <w:t xml:space="preserve">Mai, N.T.T., Tuan, H.T., Tien, N.H., Van </w:t>
      </w:r>
      <w:proofErr w:type="spellStart"/>
      <w:r w:rsidRPr="0018059B">
        <w:rPr>
          <w:rFonts w:ascii="Times New Roman" w:eastAsia="Times New Roman" w:hAnsi="Times New Roman" w:cs="Times New Roman"/>
          <w:color w:val="000000" w:themeColor="text1"/>
          <w:sz w:val="24"/>
          <w:szCs w:val="24"/>
          <w:highlight w:val="white"/>
        </w:rPr>
        <w:t>Tho</w:t>
      </w:r>
      <w:proofErr w:type="spellEnd"/>
      <w:r w:rsidRPr="0018059B">
        <w:rPr>
          <w:rFonts w:ascii="Times New Roman" w:eastAsia="Times New Roman" w:hAnsi="Times New Roman" w:cs="Times New Roman"/>
          <w:color w:val="000000" w:themeColor="text1"/>
          <w:sz w:val="24"/>
          <w:szCs w:val="24"/>
          <w:highlight w:val="white"/>
        </w:rPr>
        <w:t xml:space="preserve">, D., Trang, N.T.T. and Mai, N.P., (2023). Cultural tourism resources: state policy and solutions for SMEs in tourism industry. </w:t>
      </w:r>
      <w:r w:rsidRPr="0018059B">
        <w:rPr>
          <w:rFonts w:ascii="Times New Roman" w:eastAsia="Times New Roman" w:hAnsi="Times New Roman" w:cs="Times New Roman"/>
          <w:i/>
          <w:color w:val="000000" w:themeColor="text1"/>
          <w:sz w:val="24"/>
          <w:szCs w:val="24"/>
          <w:highlight w:val="white"/>
        </w:rPr>
        <w:t>International Journal of Entrepreneurship and Small Business</w:t>
      </w:r>
      <w:r w:rsidRPr="0018059B">
        <w:rPr>
          <w:rFonts w:ascii="Times New Roman" w:eastAsia="Times New Roman" w:hAnsi="Times New Roman" w:cs="Times New Roman"/>
          <w:color w:val="000000" w:themeColor="text1"/>
          <w:sz w:val="24"/>
          <w:szCs w:val="24"/>
          <w:highlight w:val="white"/>
        </w:rPr>
        <w:t>.</w:t>
      </w:r>
    </w:p>
    <w:p w14:paraId="2149519B" w14:textId="77777777" w:rsidR="0018059B" w:rsidRPr="0018059B" w:rsidRDefault="0018059B" w:rsidP="0018059B">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18059B">
        <w:rPr>
          <w:rFonts w:ascii="Times New Roman" w:eastAsia="Times New Roman" w:hAnsi="Times New Roman" w:cs="Times New Roman"/>
          <w:color w:val="000000" w:themeColor="text1"/>
          <w:sz w:val="24"/>
          <w:szCs w:val="24"/>
          <w:highlight w:val="white"/>
        </w:rPr>
        <w:t>Masoom</w:t>
      </w:r>
      <w:proofErr w:type="spellEnd"/>
      <w:r w:rsidRPr="0018059B">
        <w:rPr>
          <w:rFonts w:ascii="Times New Roman" w:eastAsia="Times New Roman" w:hAnsi="Times New Roman" w:cs="Times New Roman"/>
          <w:color w:val="000000" w:themeColor="text1"/>
          <w:sz w:val="24"/>
          <w:szCs w:val="24"/>
          <w:highlight w:val="white"/>
        </w:rPr>
        <w:t xml:space="preserve">, K., Rastogi, A. and Khan, S.A., (2024). Impact of AI on Knowledge-based Marketing: A Study of B2B Markets. In </w:t>
      </w:r>
      <w:r w:rsidRPr="0018059B">
        <w:rPr>
          <w:rFonts w:ascii="Times New Roman" w:eastAsia="Times New Roman" w:hAnsi="Times New Roman" w:cs="Times New Roman"/>
          <w:i/>
          <w:color w:val="000000" w:themeColor="text1"/>
          <w:sz w:val="24"/>
          <w:szCs w:val="24"/>
          <w:highlight w:val="white"/>
        </w:rPr>
        <w:t>Digital Influence on Consumer Habits: Marketing Challenges and Opportunities</w:t>
      </w:r>
      <w:r w:rsidRPr="0018059B">
        <w:rPr>
          <w:rFonts w:ascii="Times New Roman" w:eastAsia="Times New Roman" w:hAnsi="Times New Roman" w:cs="Times New Roman"/>
          <w:color w:val="000000" w:themeColor="text1"/>
          <w:sz w:val="24"/>
          <w:szCs w:val="24"/>
          <w:highlight w:val="white"/>
        </w:rPr>
        <w:t xml:space="preserve"> (pp. 147-158). Emerald Publishing Limited.</w:t>
      </w:r>
    </w:p>
    <w:p w14:paraId="14CC70E4" w14:textId="77777777" w:rsidR="0018059B" w:rsidRPr="0018059B" w:rsidRDefault="0018059B" w:rsidP="0018059B">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18059B">
        <w:rPr>
          <w:rFonts w:ascii="Times New Roman" w:eastAsia="Times New Roman" w:hAnsi="Times New Roman" w:cs="Times New Roman"/>
          <w:color w:val="000000" w:themeColor="text1"/>
          <w:sz w:val="24"/>
          <w:szCs w:val="24"/>
          <w:highlight w:val="white"/>
        </w:rPr>
        <w:t>Mihăilă</w:t>
      </w:r>
      <w:proofErr w:type="spellEnd"/>
      <w:r w:rsidRPr="0018059B">
        <w:rPr>
          <w:rFonts w:ascii="Times New Roman" w:eastAsia="Times New Roman" w:hAnsi="Times New Roman" w:cs="Times New Roman"/>
          <w:color w:val="000000" w:themeColor="text1"/>
          <w:sz w:val="24"/>
          <w:szCs w:val="24"/>
          <w:highlight w:val="white"/>
        </w:rPr>
        <w:t xml:space="preserve">, D., </w:t>
      </w:r>
      <w:proofErr w:type="spellStart"/>
      <w:r w:rsidRPr="0018059B">
        <w:rPr>
          <w:rFonts w:ascii="Times New Roman" w:eastAsia="Times New Roman" w:hAnsi="Times New Roman" w:cs="Times New Roman"/>
          <w:color w:val="000000" w:themeColor="text1"/>
          <w:sz w:val="24"/>
          <w:szCs w:val="24"/>
          <w:highlight w:val="white"/>
        </w:rPr>
        <w:t>Bistricean</w:t>
      </w:r>
      <w:proofErr w:type="spellEnd"/>
      <w:r w:rsidRPr="0018059B">
        <w:rPr>
          <w:rFonts w:ascii="Times New Roman" w:eastAsia="Times New Roman" w:hAnsi="Times New Roman" w:cs="Times New Roman"/>
          <w:color w:val="000000" w:themeColor="text1"/>
          <w:sz w:val="24"/>
          <w:szCs w:val="24"/>
          <w:highlight w:val="white"/>
        </w:rPr>
        <w:t xml:space="preserve">, P.I., </w:t>
      </w:r>
      <w:proofErr w:type="spellStart"/>
      <w:r w:rsidRPr="0018059B">
        <w:rPr>
          <w:rFonts w:ascii="Times New Roman" w:eastAsia="Times New Roman" w:hAnsi="Times New Roman" w:cs="Times New Roman"/>
          <w:color w:val="000000" w:themeColor="text1"/>
          <w:sz w:val="24"/>
          <w:szCs w:val="24"/>
          <w:highlight w:val="white"/>
        </w:rPr>
        <w:t>Gaceu</w:t>
      </w:r>
      <w:proofErr w:type="spellEnd"/>
      <w:r w:rsidRPr="0018059B">
        <w:rPr>
          <w:rFonts w:ascii="Times New Roman" w:eastAsia="Times New Roman" w:hAnsi="Times New Roman" w:cs="Times New Roman"/>
          <w:color w:val="000000" w:themeColor="text1"/>
          <w:sz w:val="24"/>
          <w:szCs w:val="24"/>
          <w:highlight w:val="white"/>
        </w:rPr>
        <w:t xml:space="preserve">, R.O., </w:t>
      </w:r>
      <w:proofErr w:type="spellStart"/>
      <w:r w:rsidRPr="0018059B">
        <w:rPr>
          <w:rFonts w:ascii="Times New Roman" w:eastAsia="Times New Roman" w:hAnsi="Times New Roman" w:cs="Times New Roman"/>
          <w:color w:val="000000" w:themeColor="text1"/>
          <w:sz w:val="24"/>
          <w:szCs w:val="24"/>
          <w:highlight w:val="white"/>
        </w:rPr>
        <w:t>Emandi</w:t>
      </w:r>
      <w:proofErr w:type="spellEnd"/>
      <w:r w:rsidRPr="0018059B">
        <w:rPr>
          <w:rFonts w:ascii="Times New Roman" w:eastAsia="Times New Roman" w:hAnsi="Times New Roman" w:cs="Times New Roman"/>
          <w:color w:val="000000" w:themeColor="text1"/>
          <w:sz w:val="24"/>
          <w:szCs w:val="24"/>
          <w:highlight w:val="white"/>
        </w:rPr>
        <w:t xml:space="preserve">, E.M., </w:t>
      </w:r>
      <w:proofErr w:type="spellStart"/>
      <w:r w:rsidRPr="0018059B">
        <w:rPr>
          <w:rFonts w:ascii="Times New Roman" w:eastAsia="Times New Roman" w:hAnsi="Times New Roman" w:cs="Times New Roman"/>
          <w:color w:val="000000" w:themeColor="text1"/>
          <w:sz w:val="24"/>
          <w:szCs w:val="24"/>
          <w:highlight w:val="white"/>
        </w:rPr>
        <w:t>Mihăilă</w:t>
      </w:r>
      <w:proofErr w:type="spellEnd"/>
      <w:r w:rsidRPr="0018059B">
        <w:rPr>
          <w:rFonts w:ascii="Times New Roman" w:eastAsia="Times New Roman" w:hAnsi="Times New Roman" w:cs="Times New Roman"/>
          <w:color w:val="000000" w:themeColor="text1"/>
          <w:sz w:val="24"/>
          <w:szCs w:val="24"/>
          <w:highlight w:val="white"/>
        </w:rPr>
        <w:t xml:space="preserve">, E.V. and </w:t>
      </w:r>
      <w:proofErr w:type="spellStart"/>
      <w:r w:rsidRPr="0018059B">
        <w:rPr>
          <w:rFonts w:ascii="Times New Roman" w:eastAsia="Times New Roman" w:hAnsi="Times New Roman" w:cs="Times New Roman"/>
          <w:color w:val="000000" w:themeColor="text1"/>
          <w:sz w:val="24"/>
          <w:szCs w:val="24"/>
          <w:highlight w:val="white"/>
        </w:rPr>
        <w:t>Horodnic</w:t>
      </w:r>
      <w:proofErr w:type="spellEnd"/>
      <w:r w:rsidRPr="0018059B">
        <w:rPr>
          <w:rFonts w:ascii="Times New Roman" w:eastAsia="Times New Roman" w:hAnsi="Times New Roman" w:cs="Times New Roman"/>
          <w:color w:val="000000" w:themeColor="text1"/>
          <w:sz w:val="24"/>
          <w:szCs w:val="24"/>
          <w:highlight w:val="white"/>
        </w:rPr>
        <w:t xml:space="preserve">, V.D., (2024). A bioclimatic evaluation of sustainable tourist activities in western Romania. </w:t>
      </w:r>
      <w:proofErr w:type="spellStart"/>
      <w:r w:rsidRPr="0018059B">
        <w:rPr>
          <w:rFonts w:ascii="Times New Roman" w:eastAsia="Times New Roman" w:hAnsi="Times New Roman" w:cs="Times New Roman"/>
          <w:i/>
          <w:color w:val="000000" w:themeColor="text1"/>
          <w:sz w:val="24"/>
          <w:szCs w:val="24"/>
          <w:highlight w:val="white"/>
        </w:rPr>
        <w:t>Heliyon</w:t>
      </w:r>
      <w:proofErr w:type="spellEnd"/>
      <w:r w:rsidRPr="0018059B">
        <w:rPr>
          <w:rFonts w:ascii="Times New Roman" w:eastAsia="Times New Roman" w:hAnsi="Times New Roman" w:cs="Times New Roman"/>
          <w:color w:val="000000" w:themeColor="text1"/>
          <w:sz w:val="24"/>
          <w:szCs w:val="24"/>
          <w:highlight w:val="white"/>
        </w:rPr>
        <w:t xml:space="preserve">, </w:t>
      </w:r>
      <w:r w:rsidRPr="0018059B">
        <w:rPr>
          <w:rFonts w:ascii="Times New Roman" w:eastAsia="Times New Roman" w:hAnsi="Times New Roman" w:cs="Times New Roman"/>
          <w:i/>
          <w:color w:val="000000" w:themeColor="text1"/>
          <w:sz w:val="24"/>
          <w:szCs w:val="24"/>
          <w:highlight w:val="white"/>
        </w:rPr>
        <w:t>10</w:t>
      </w:r>
      <w:r w:rsidRPr="0018059B">
        <w:rPr>
          <w:rFonts w:ascii="Times New Roman" w:eastAsia="Times New Roman" w:hAnsi="Times New Roman" w:cs="Times New Roman"/>
          <w:color w:val="000000" w:themeColor="text1"/>
          <w:sz w:val="24"/>
          <w:szCs w:val="24"/>
          <w:highlight w:val="white"/>
        </w:rPr>
        <w:t>(8).</w:t>
      </w:r>
    </w:p>
    <w:p w14:paraId="02139C8B" w14:textId="77777777" w:rsidR="0018059B" w:rsidRPr="0018059B" w:rsidRDefault="0018059B" w:rsidP="0018059B">
      <w:pPr>
        <w:spacing w:line="360" w:lineRule="auto"/>
        <w:jc w:val="both"/>
        <w:rPr>
          <w:rFonts w:ascii="Times New Roman" w:eastAsia="Times New Roman" w:hAnsi="Times New Roman" w:cs="Times New Roman"/>
          <w:color w:val="000000" w:themeColor="text1"/>
          <w:sz w:val="24"/>
          <w:szCs w:val="24"/>
          <w:highlight w:val="white"/>
        </w:rPr>
      </w:pPr>
      <w:r w:rsidRPr="0018059B">
        <w:rPr>
          <w:rFonts w:ascii="Times New Roman" w:eastAsia="Times New Roman" w:hAnsi="Times New Roman" w:cs="Times New Roman"/>
          <w:color w:val="000000" w:themeColor="text1"/>
          <w:sz w:val="24"/>
          <w:szCs w:val="24"/>
          <w:highlight w:val="white"/>
        </w:rPr>
        <w:t xml:space="preserve">Miller, D.L., (2023). An introductory guide to event study models. </w:t>
      </w:r>
      <w:r w:rsidRPr="0018059B">
        <w:rPr>
          <w:rFonts w:ascii="Times New Roman" w:eastAsia="Times New Roman" w:hAnsi="Times New Roman" w:cs="Times New Roman"/>
          <w:i/>
          <w:color w:val="000000" w:themeColor="text1"/>
          <w:sz w:val="24"/>
          <w:szCs w:val="24"/>
          <w:highlight w:val="white"/>
        </w:rPr>
        <w:t>Journal of Economic Perspectives</w:t>
      </w:r>
      <w:r w:rsidRPr="0018059B">
        <w:rPr>
          <w:rFonts w:ascii="Times New Roman" w:eastAsia="Times New Roman" w:hAnsi="Times New Roman" w:cs="Times New Roman"/>
          <w:color w:val="000000" w:themeColor="text1"/>
          <w:sz w:val="24"/>
          <w:szCs w:val="24"/>
          <w:highlight w:val="white"/>
        </w:rPr>
        <w:t xml:space="preserve">, </w:t>
      </w:r>
      <w:r w:rsidRPr="0018059B">
        <w:rPr>
          <w:rFonts w:ascii="Times New Roman" w:eastAsia="Times New Roman" w:hAnsi="Times New Roman" w:cs="Times New Roman"/>
          <w:i/>
          <w:color w:val="000000" w:themeColor="text1"/>
          <w:sz w:val="24"/>
          <w:szCs w:val="24"/>
          <w:highlight w:val="white"/>
        </w:rPr>
        <w:t>37</w:t>
      </w:r>
      <w:r w:rsidRPr="0018059B">
        <w:rPr>
          <w:rFonts w:ascii="Times New Roman" w:eastAsia="Times New Roman" w:hAnsi="Times New Roman" w:cs="Times New Roman"/>
          <w:color w:val="000000" w:themeColor="text1"/>
          <w:sz w:val="24"/>
          <w:szCs w:val="24"/>
          <w:highlight w:val="white"/>
        </w:rPr>
        <w:t>(2), pp.203-230.</w:t>
      </w:r>
    </w:p>
    <w:p w14:paraId="45693F70" w14:textId="77777777" w:rsidR="0018059B" w:rsidRPr="0018059B" w:rsidRDefault="0018059B" w:rsidP="0018059B">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18059B">
        <w:rPr>
          <w:rFonts w:ascii="Times New Roman" w:eastAsia="Times New Roman" w:hAnsi="Times New Roman" w:cs="Times New Roman"/>
          <w:color w:val="000000" w:themeColor="text1"/>
          <w:sz w:val="24"/>
          <w:szCs w:val="24"/>
          <w:highlight w:val="white"/>
        </w:rPr>
        <w:t>Nesterenko</w:t>
      </w:r>
      <w:proofErr w:type="spellEnd"/>
      <w:r w:rsidRPr="0018059B">
        <w:rPr>
          <w:rFonts w:ascii="Times New Roman" w:eastAsia="Times New Roman" w:hAnsi="Times New Roman" w:cs="Times New Roman"/>
          <w:color w:val="000000" w:themeColor="text1"/>
          <w:sz w:val="24"/>
          <w:szCs w:val="24"/>
          <w:highlight w:val="white"/>
        </w:rPr>
        <w:t xml:space="preserve">, V., </w:t>
      </w:r>
      <w:proofErr w:type="spellStart"/>
      <w:r w:rsidRPr="0018059B">
        <w:rPr>
          <w:rFonts w:ascii="Times New Roman" w:eastAsia="Times New Roman" w:hAnsi="Times New Roman" w:cs="Times New Roman"/>
          <w:color w:val="000000" w:themeColor="text1"/>
          <w:sz w:val="24"/>
          <w:szCs w:val="24"/>
          <w:highlight w:val="white"/>
        </w:rPr>
        <w:t>Miskiewicz</w:t>
      </w:r>
      <w:proofErr w:type="spellEnd"/>
      <w:r w:rsidRPr="0018059B">
        <w:rPr>
          <w:rFonts w:ascii="Times New Roman" w:eastAsia="Times New Roman" w:hAnsi="Times New Roman" w:cs="Times New Roman"/>
          <w:color w:val="000000" w:themeColor="text1"/>
          <w:sz w:val="24"/>
          <w:szCs w:val="24"/>
          <w:highlight w:val="white"/>
        </w:rPr>
        <w:t xml:space="preserve">, R. and </w:t>
      </w:r>
      <w:proofErr w:type="spellStart"/>
      <w:r w:rsidRPr="0018059B">
        <w:rPr>
          <w:rFonts w:ascii="Times New Roman" w:eastAsia="Times New Roman" w:hAnsi="Times New Roman" w:cs="Times New Roman"/>
          <w:color w:val="000000" w:themeColor="text1"/>
          <w:sz w:val="24"/>
          <w:szCs w:val="24"/>
          <w:highlight w:val="white"/>
        </w:rPr>
        <w:t>Abazov</w:t>
      </w:r>
      <w:proofErr w:type="spellEnd"/>
      <w:r w:rsidRPr="0018059B">
        <w:rPr>
          <w:rFonts w:ascii="Times New Roman" w:eastAsia="Times New Roman" w:hAnsi="Times New Roman" w:cs="Times New Roman"/>
          <w:color w:val="000000" w:themeColor="text1"/>
          <w:sz w:val="24"/>
          <w:szCs w:val="24"/>
          <w:highlight w:val="white"/>
        </w:rPr>
        <w:t xml:space="preserve">, R., (2023). Marketing communications in the era of digital transformation. </w:t>
      </w:r>
      <w:r w:rsidRPr="0018059B">
        <w:rPr>
          <w:rFonts w:ascii="Times New Roman" w:eastAsia="Times New Roman" w:hAnsi="Times New Roman" w:cs="Times New Roman"/>
          <w:i/>
          <w:color w:val="000000" w:themeColor="text1"/>
          <w:sz w:val="24"/>
          <w:szCs w:val="24"/>
          <w:highlight w:val="white"/>
        </w:rPr>
        <w:t>Virtual Economics</w:t>
      </w:r>
      <w:r w:rsidRPr="0018059B">
        <w:rPr>
          <w:rFonts w:ascii="Times New Roman" w:eastAsia="Times New Roman" w:hAnsi="Times New Roman" w:cs="Times New Roman"/>
          <w:color w:val="000000" w:themeColor="text1"/>
          <w:sz w:val="24"/>
          <w:szCs w:val="24"/>
          <w:highlight w:val="white"/>
        </w:rPr>
        <w:t xml:space="preserve">, </w:t>
      </w:r>
      <w:r w:rsidRPr="0018059B">
        <w:rPr>
          <w:rFonts w:ascii="Times New Roman" w:eastAsia="Times New Roman" w:hAnsi="Times New Roman" w:cs="Times New Roman"/>
          <w:i/>
          <w:color w:val="000000" w:themeColor="text1"/>
          <w:sz w:val="24"/>
          <w:szCs w:val="24"/>
          <w:highlight w:val="white"/>
        </w:rPr>
        <w:t>6</w:t>
      </w:r>
      <w:r w:rsidRPr="0018059B">
        <w:rPr>
          <w:rFonts w:ascii="Times New Roman" w:eastAsia="Times New Roman" w:hAnsi="Times New Roman" w:cs="Times New Roman"/>
          <w:color w:val="000000" w:themeColor="text1"/>
          <w:sz w:val="24"/>
          <w:szCs w:val="24"/>
          <w:highlight w:val="white"/>
        </w:rPr>
        <w:t>(1), pp.57-70.</w:t>
      </w:r>
    </w:p>
    <w:p w14:paraId="71B37557" w14:textId="77777777" w:rsidR="0018059B" w:rsidRPr="0018059B" w:rsidRDefault="0018059B" w:rsidP="0018059B">
      <w:pPr>
        <w:spacing w:line="360" w:lineRule="auto"/>
        <w:jc w:val="both"/>
        <w:rPr>
          <w:rFonts w:ascii="Times New Roman" w:eastAsia="Times New Roman" w:hAnsi="Times New Roman" w:cs="Times New Roman"/>
          <w:color w:val="000000" w:themeColor="text1"/>
          <w:sz w:val="24"/>
          <w:szCs w:val="24"/>
          <w:highlight w:val="white"/>
        </w:rPr>
      </w:pPr>
      <w:r w:rsidRPr="0018059B">
        <w:rPr>
          <w:rFonts w:ascii="Times New Roman" w:eastAsia="Times New Roman" w:hAnsi="Times New Roman" w:cs="Times New Roman"/>
          <w:color w:val="000000" w:themeColor="text1"/>
          <w:sz w:val="24"/>
          <w:szCs w:val="24"/>
          <w:highlight w:val="white"/>
        </w:rPr>
        <w:t xml:space="preserve">Rus, A., (2024). </w:t>
      </w:r>
      <w:proofErr w:type="spellStart"/>
      <w:r w:rsidRPr="0018059B">
        <w:rPr>
          <w:rFonts w:ascii="Times New Roman" w:eastAsia="Times New Roman" w:hAnsi="Times New Roman" w:cs="Times New Roman"/>
          <w:color w:val="000000" w:themeColor="text1"/>
          <w:sz w:val="24"/>
          <w:szCs w:val="24"/>
          <w:highlight w:val="white"/>
        </w:rPr>
        <w:t>Labor</w:t>
      </w:r>
      <w:proofErr w:type="spellEnd"/>
      <w:r w:rsidRPr="0018059B">
        <w:rPr>
          <w:rFonts w:ascii="Times New Roman" w:eastAsia="Times New Roman" w:hAnsi="Times New Roman" w:cs="Times New Roman"/>
          <w:color w:val="000000" w:themeColor="text1"/>
          <w:sz w:val="24"/>
          <w:szCs w:val="24"/>
          <w:highlight w:val="white"/>
        </w:rPr>
        <w:t xml:space="preserve"> Migration and Intangible Cultural Heritage in </w:t>
      </w:r>
      <w:proofErr w:type="spellStart"/>
      <w:r w:rsidRPr="0018059B">
        <w:rPr>
          <w:rFonts w:ascii="Times New Roman" w:eastAsia="Times New Roman" w:hAnsi="Times New Roman" w:cs="Times New Roman"/>
          <w:color w:val="000000" w:themeColor="text1"/>
          <w:sz w:val="24"/>
          <w:szCs w:val="24"/>
          <w:highlight w:val="white"/>
        </w:rPr>
        <w:t>Postsocialist</w:t>
      </w:r>
      <w:proofErr w:type="spellEnd"/>
      <w:r w:rsidRPr="0018059B">
        <w:rPr>
          <w:rFonts w:ascii="Times New Roman" w:eastAsia="Times New Roman" w:hAnsi="Times New Roman" w:cs="Times New Roman"/>
          <w:color w:val="000000" w:themeColor="text1"/>
          <w:sz w:val="24"/>
          <w:szCs w:val="24"/>
          <w:highlight w:val="white"/>
        </w:rPr>
        <w:t xml:space="preserve"> Rural Romania.</w:t>
      </w:r>
    </w:p>
    <w:p w14:paraId="0CA990A8" w14:textId="77777777" w:rsidR="0018059B" w:rsidRPr="0018059B" w:rsidRDefault="0018059B" w:rsidP="0018059B">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18059B">
        <w:rPr>
          <w:rFonts w:ascii="Times New Roman" w:eastAsia="Times New Roman" w:hAnsi="Times New Roman" w:cs="Times New Roman"/>
          <w:color w:val="000000" w:themeColor="text1"/>
          <w:sz w:val="24"/>
          <w:szCs w:val="24"/>
          <w:highlight w:val="white"/>
        </w:rPr>
        <w:t>Toha</w:t>
      </w:r>
      <w:proofErr w:type="spellEnd"/>
      <w:r w:rsidRPr="0018059B">
        <w:rPr>
          <w:rFonts w:ascii="Times New Roman" w:eastAsia="Times New Roman" w:hAnsi="Times New Roman" w:cs="Times New Roman"/>
          <w:color w:val="000000" w:themeColor="text1"/>
          <w:sz w:val="24"/>
          <w:szCs w:val="24"/>
          <w:highlight w:val="white"/>
        </w:rPr>
        <w:t xml:space="preserve">, M. and </w:t>
      </w:r>
      <w:proofErr w:type="spellStart"/>
      <w:r w:rsidRPr="0018059B">
        <w:rPr>
          <w:rFonts w:ascii="Times New Roman" w:eastAsia="Times New Roman" w:hAnsi="Times New Roman" w:cs="Times New Roman"/>
          <w:color w:val="000000" w:themeColor="text1"/>
          <w:sz w:val="24"/>
          <w:szCs w:val="24"/>
          <w:highlight w:val="white"/>
        </w:rPr>
        <w:t>Supriyanto</w:t>
      </w:r>
      <w:proofErr w:type="spellEnd"/>
      <w:r w:rsidRPr="0018059B">
        <w:rPr>
          <w:rFonts w:ascii="Times New Roman" w:eastAsia="Times New Roman" w:hAnsi="Times New Roman" w:cs="Times New Roman"/>
          <w:color w:val="000000" w:themeColor="text1"/>
          <w:sz w:val="24"/>
          <w:szCs w:val="24"/>
          <w:highlight w:val="white"/>
        </w:rPr>
        <w:t xml:space="preserve">, S., (2023). Factors Influencing the Consumer Research Process: Market Target, Purchasing </w:t>
      </w:r>
      <w:proofErr w:type="spellStart"/>
      <w:r w:rsidRPr="0018059B">
        <w:rPr>
          <w:rFonts w:ascii="Times New Roman" w:eastAsia="Times New Roman" w:hAnsi="Times New Roman" w:cs="Times New Roman"/>
          <w:color w:val="000000" w:themeColor="text1"/>
          <w:sz w:val="24"/>
          <w:szCs w:val="24"/>
          <w:highlight w:val="white"/>
        </w:rPr>
        <w:t>Behavior</w:t>
      </w:r>
      <w:proofErr w:type="spellEnd"/>
      <w:r w:rsidRPr="0018059B">
        <w:rPr>
          <w:rFonts w:ascii="Times New Roman" w:eastAsia="Times New Roman" w:hAnsi="Times New Roman" w:cs="Times New Roman"/>
          <w:color w:val="000000" w:themeColor="text1"/>
          <w:sz w:val="24"/>
          <w:szCs w:val="24"/>
          <w:highlight w:val="white"/>
        </w:rPr>
        <w:t xml:space="preserve"> and Market Demand (Literature Review of Consumer </w:t>
      </w:r>
      <w:proofErr w:type="spellStart"/>
      <w:r w:rsidRPr="0018059B">
        <w:rPr>
          <w:rFonts w:ascii="Times New Roman" w:eastAsia="Times New Roman" w:hAnsi="Times New Roman" w:cs="Times New Roman"/>
          <w:color w:val="000000" w:themeColor="text1"/>
          <w:sz w:val="24"/>
          <w:szCs w:val="24"/>
          <w:highlight w:val="white"/>
        </w:rPr>
        <w:t>Behavior</w:t>
      </w:r>
      <w:proofErr w:type="spellEnd"/>
      <w:r w:rsidRPr="0018059B">
        <w:rPr>
          <w:rFonts w:ascii="Times New Roman" w:eastAsia="Times New Roman" w:hAnsi="Times New Roman" w:cs="Times New Roman"/>
          <w:color w:val="000000" w:themeColor="text1"/>
          <w:sz w:val="24"/>
          <w:szCs w:val="24"/>
          <w:highlight w:val="white"/>
        </w:rPr>
        <w:t xml:space="preserve">). </w:t>
      </w:r>
      <w:proofErr w:type="spellStart"/>
      <w:r w:rsidRPr="0018059B">
        <w:rPr>
          <w:rFonts w:ascii="Times New Roman" w:eastAsia="Times New Roman" w:hAnsi="Times New Roman" w:cs="Times New Roman"/>
          <w:i/>
          <w:color w:val="000000" w:themeColor="text1"/>
          <w:sz w:val="24"/>
          <w:szCs w:val="24"/>
          <w:highlight w:val="white"/>
        </w:rPr>
        <w:t>Danadyaksa</w:t>
      </w:r>
      <w:proofErr w:type="spellEnd"/>
      <w:r w:rsidRPr="0018059B">
        <w:rPr>
          <w:rFonts w:ascii="Times New Roman" w:eastAsia="Times New Roman" w:hAnsi="Times New Roman" w:cs="Times New Roman"/>
          <w:i/>
          <w:color w:val="000000" w:themeColor="text1"/>
          <w:sz w:val="24"/>
          <w:szCs w:val="24"/>
          <w:highlight w:val="white"/>
        </w:rPr>
        <w:t>: Post Modern Economy Journal</w:t>
      </w:r>
      <w:r w:rsidRPr="0018059B">
        <w:rPr>
          <w:rFonts w:ascii="Times New Roman" w:eastAsia="Times New Roman" w:hAnsi="Times New Roman" w:cs="Times New Roman"/>
          <w:color w:val="000000" w:themeColor="text1"/>
          <w:sz w:val="24"/>
          <w:szCs w:val="24"/>
          <w:highlight w:val="white"/>
        </w:rPr>
        <w:t xml:space="preserve">, </w:t>
      </w:r>
      <w:r w:rsidRPr="0018059B">
        <w:rPr>
          <w:rFonts w:ascii="Times New Roman" w:eastAsia="Times New Roman" w:hAnsi="Times New Roman" w:cs="Times New Roman"/>
          <w:i/>
          <w:color w:val="000000" w:themeColor="text1"/>
          <w:sz w:val="24"/>
          <w:szCs w:val="24"/>
          <w:highlight w:val="white"/>
        </w:rPr>
        <w:t>1</w:t>
      </w:r>
      <w:r w:rsidRPr="0018059B">
        <w:rPr>
          <w:rFonts w:ascii="Times New Roman" w:eastAsia="Times New Roman" w:hAnsi="Times New Roman" w:cs="Times New Roman"/>
          <w:color w:val="000000" w:themeColor="text1"/>
          <w:sz w:val="24"/>
          <w:szCs w:val="24"/>
          <w:highlight w:val="white"/>
        </w:rPr>
        <w:t>(1), pp.1-17.</w:t>
      </w:r>
    </w:p>
    <w:p w14:paraId="601F2EDB" w14:textId="77777777" w:rsidR="0018059B" w:rsidRPr="0018059B" w:rsidRDefault="0018059B" w:rsidP="0018059B">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18059B">
        <w:rPr>
          <w:rFonts w:ascii="Times New Roman" w:eastAsia="Times New Roman" w:hAnsi="Times New Roman" w:cs="Times New Roman"/>
          <w:color w:val="000000" w:themeColor="text1"/>
          <w:sz w:val="24"/>
          <w:szCs w:val="24"/>
          <w:highlight w:val="white"/>
        </w:rPr>
        <w:t>Velea</w:t>
      </w:r>
      <w:proofErr w:type="spellEnd"/>
      <w:r w:rsidRPr="0018059B">
        <w:rPr>
          <w:rFonts w:ascii="Times New Roman" w:eastAsia="Times New Roman" w:hAnsi="Times New Roman" w:cs="Times New Roman"/>
          <w:color w:val="000000" w:themeColor="text1"/>
          <w:sz w:val="24"/>
          <w:szCs w:val="24"/>
          <w:highlight w:val="white"/>
        </w:rPr>
        <w:t xml:space="preserve">, L., </w:t>
      </w:r>
      <w:proofErr w:type="spellStart"/>
      <w:r w:rsidRPr="0018059B">
        <w:rPr>
          <w:rFonts w:ascii="Times New Roman" w:eastAsia="Times New Roman" w:hAnsi="Times New Roman" w:cs="Times New Roman"/>
          <w:color w:val="000000" w:themeColor="text1"/>
          <w:sz w:val="24"/>
          <w:szCs w:val="24"/>
          <w:highlight w:val="white"/>
        </w:rPr>
        <w:t>Irimescu</w:t>
      </w:r>
      <w:proofErr w:type="spellEnd"/>
      <w:r w:rsidRPr="0018059B">
        <w:rPr>
          <w:rFonts w:ascii="Times New Roman" w:eastAsia="Times New Roman" w:hAnsi="Times New Roman" w:cs="Times New Roman"/>
          <w:color w:val="000000" w:themeColor="text1"/>
          <w:sz w:val="24"/>
          <w:szCs w:val="24"/>
          <w:highlight w:val="white"/>
        </w:rPr>
        <w:t xml:space="preserve">, A., </w:t>
      </w:r>
      <w:proofErr w:type="spellStart"/>
      <w:r w:rsidRPr="0018059B">
        <w:rPr>
          <w:rFonts w:ascii="Times New Roman" w:eastAsia="Times New Roman" w:hAnsi="Times New Roman" w:cs="Times New Roman"/>
          <w:color w:val="000000" w:themeColor="text1"/>
          <w:sz w:val="24"/>
          <w:szCs w:val="24"/>
          <w:highlight w:val="white"/>
        </w:rPr>
        <w:t>Bojariu</w:t>
      </w:r>
      <w:proofErr w:type="spellEnd"/>
      <w:r w:rsidRPr="0018059B">
        <w:rPr>
          <w:rFonts w:ascii="Times New Roman" w:eastAsia="Times New Roman" w:hAnsi="Times New Roman" w:cs="Times New Roman"/>
          <w:color w:val="000000" w:themeColor="text1"/>
          <w:sz w:val="24"/>
          <w:szCs w:val="24"/>
          <w:highlight w:val="white"/>
        </w:rPr>
        <w:t xml:space="preserve">, R. and </w:t>
      </w:r>
      <w:proofErr w:type="spellStart"/>
      <w:r w:rsidRPr="0018059B">
        <w:rPr>
          <w:rFonts w:ascii="Times New Roman" w:eastAsia="Times New Roman" w:hAnsi="Times New Roman" w:cs="Times New Roman"/>
          <w:color w:val="000000" w:themeColor="text1"/>
          <w:sz w:val="24"/>
          <w:szCs w:val="24"/>
          <w:highlight w:val="white"/>
        </w:rPr>
        <w:t>Chitu</w:t>
      </w:r>
      <w:proofErr w:type="spellEnd"/>
      <w:r w:rsidRPr="0018059B">
        <w:rPr>
          <w:rFonts w:ascii="Times New Roman" w:eastAsia="Times New Roman" w:hAnsi="Times New Roman" w:cs="Times New Roman"/>
          <w:color w:val="000000" w:themeColor="text1"/>
          <w:sz w:val="24"/>
          <w:szCs w:val="24"/>
          <w:highlight w:val="white"/>
        </w:rPr>
        <w:t xml:space="preserve">, Z., (2024). Climate Change and Its Impact on Romanian Rural Tourism—A Review of Actionable Knowledge. </w:t>
      </w:r>
      <w:r w:rsidRPr="0018059B">
        <w:rPr>
          <w:rFonts w:ascii="Times New Roman" w:eastAsia="Times New Roman" w:hAnsi="Times New Roman" w:cs="Times New Roman"/>
          <w:i/>
          <w:color w:val="000000" w:themeColor="text1"/>
          <w:sz w:val="24"/>
          <w:szCs w:val="24"/>
          <w:highlight w:val="white"/>
        </w:rPr>
        <w:t>Agriculture</w:t>
      </w:r>
      <w:r w:rsidRPr="0018059B">
        <w:rPr>
          <w:rFonts w:ascii="Times New Roman" w:eastAsia="Times New Roman" w:hAnsi="Times New Roman" w:cs="Times New Roman"/>
          <w:color w:val="000000" w:themeColor="text1"/>
          <w:sz w:val="24"/>
          <w:szCs w:val="24"/>
          <w:highlight w:val="white"/>
        </w:rPr>
        <w:t xml:space="preserve">, </w:t>
      </w:r>
      <w:r w:rsidRPr="0018059B">
        <w:rPr>
          <w:rFonts w:ascii="Times New Roman" w:eastAsia="Times New Roman" w:hAnsi="Times New Roman" w:cs="Times New Roman"/>
          <w:i/>
          <w:color w:val="000000" w:themeColor="text1"/>
          <w:sz w:val="24"/>
          <w:szCs w:val="24"/>
          <w:highlight w:val="white"/>
        </w:rPr>
        <w:t>14</w:t>
      </w:r>
      <w:r w:rsidRPr="0018059B">
        <w:rPr>
          <w:rFonts w:ascii="Times New Roman" w:eastAsia="Times New Roman" w:hAnsi="Times New Roman" w:cs="Times New Roman"/>
          <w:color w:val="000000" w:themeColor="text1"/>
          <w:sz w:val="24"/>
          <w:szCs w:val="24"/>
          <w:highlight w:val="white"/>
        </w:rPr>
        <w:t>(11), p.1917.</w:t>
      </w:r>
    </w:p>
    <w:p w14:paraId="27557FBF" w14:textId="77777777" w:rsidR="0018059B" w:rsidRPr="0018059B" w:rsidRDefault="0018059B" w:rsidP="0018059B">
      <w:pPr>
        <w:spacing w:line="360" w:lineRule="auto"/>
        <w:jc w:val="both"/>
        <w:rPr>
          <w:rFonts w:ascii="Times New Roman" w:eastAsia="Times New Roman" w:hAnsi="Times New Roman" w:cs="Times New Roman"/>
          <w:color w:val="000000" w:themeColor="text1"/>
          <w:sz w:val="24"/>
          <w:szCs w:val="24"/>
        </w:rPr>
      </w:pPr>
    </w:p>
    <w:p w14:paraId="1612835A" w14:textId="77777777" w:rsidR="0018059B" w:rsidRDefault="0018059B" w:rsidP="0018059B">
      <w:pPr>
        <w:spacing w:line="360" w:lineRule="auto"/>
        <w:jc w:val="both"/>
        <w:rPr>
          <w:rFonts w:ascii="Times New Roman" w:eastAsia="Times New Roman" w:hAnsi="Times New Roman" w:cs="Times New Roman"/>
          <w:sz w:val="24"/>
          <w:szCs w:val="24"/>
        </w:rPr>
      </w:pPr>
    </w:p>
    <w:p w14:paraId="5F45D9AD" w14:textId="77777777" w:rsidR="0018059B" w:rsidRDefault="0018059B" w:rsidP="0018059B">
      <w:pPr>
        <w:spacing w:line="360" w:lineRule="auto"/>
        <w:jc w:val="both"/>
        <w:rPr>
          <w:rFonts w:ascii="Times New Roman" w:eastAsia="Times New Roman" w:hAnsi="Times New Roman" w:cs="Times New Roman"/>
          <w:sz w:val="24"/>
          <w:szCs w:val="24"/>
        </w:rPr>
      </w:pPr>
    </w:p>
    <w:p w14:paraId="15BCB4B7" w14:textId="77777777" w:rsidR="0018059B" w:rsidRDefault="0018059B" w:rsidP="0018059B">
      <w:pPr>
        <w:spacing w:line="360" w:lineRule="auto"/>
        <w:jc w:val="both"/>
        <w:rPr>
          <w:rFonts w:ascii="Times New Roman" w:eastAsia="Times New Roman" w:hAnsi="Times New Roman" w:cs="Times New Roman"/>
          <w:sz w:val="24"/>
          <w:szCs w:val="24"/>
        </w:rPr>
      </w:pPr>
    </w:p>
    <w:p w14:paraId="0000005D" w14:textId="77777777" w:rsidR="00CF35C4" w:rsidRDefault="00CF35C4">
      <w:pPr>
        <w:spacing w:line="360" w:lineRule="auto"/>
        <w:jc w:val="both"/>
        <w:rPr>
          <w:rFonts w:ascii="Times New Roman" w:eastAsia="Times New Roman" w:hAnsi="Times New Roman" w:cs="Times New Roman"/>
          <w:sz w:val="24"/>
          <w:szCs w:val="24"/>
        </w:rPr>
      </w:pPr>
    </w:p>
    <w:p w14:paraId="0000005E" w14:textId="77777777" w:rsidR="00CF35C4" w:rsidRDefault="00CF35C4">
      <w:pPr>
        <w:spacing w:line="360" w:lineRule="auto"/>
        <w:jc w:val="both"/>
        <w:rPr>
          <w:rFonts w:ascii="Times New Roman" w:eastAsia="Times New Roman" w:hAnsi="Times New Roman" w:cs="Times New Roman"/>
          <w:sz w:val="24"/>
          <w:szCs w:val="24"/>
        </w:rPr>
      </w:pPr>
    </w:p>
    <w:p w14:paraId="0000005F" w14:textId="77777777" w:rsidR="00CF35C4" w:rsidRDefault="00CF35C4">
      <w:pPr>
        <w:spacing w:line="360" w:lineRule="auto"/>
        <w:jc w:val="both"/>
        <w:rPr>
          <w:rFonts w:ascii="Times New Roman" w:eastAsia="Times New Roman" w:hAnsi="Times New Roman" w:cs="Times New Roman"/>
          <w:sz w:val="24"/>
          <w:szCs w:val="24"/>
        </w:rPr>
      </w:pPr>
    </w:p>
    <w:p w14:paraId="00000060" w14:textId="77777777" w:rsidR="00CF35C4" w:rsidRDefault="00CF35C4">
      <w:pPr>
        <w:spacing w:line="360" w:lineRule="auto"/>
        <w:jc w:val="both"/>
        <w:rPr>
          <w:rFonts w:ascii="Times New Roman" w:eastAsia="Times New Roman" w:hAnsi="Times New Roman" w:cs="Times New Roman"/>
          <w:sz w:val="24"/>
          <w:szCs w:val="24"/>
        </w:rPr>
      </w:pPr>
    </w:p>
    <w:p w14:paraId="00000061" w14:textId="77777777" w:rsidR="00CF35C4" w:rsidRDefault="00CF35C4">
      <w:pPr>
        <w:spacing w:line="360" w:lineRule="auto"/>
        <w:jc w:val="both"/>
        <w:rPr>
          <w:rFonts w:ascii="Times New Roman" w:eastAsia="Times New Roman" w:hAnsi="Times New Roman" w:cs="Times New Roman"/>
          <w:sz w:val="24"/>
          <w:szCs w:val="24"/>
        </w:rPr>
      </w:pPr>
    </w:p>
    <w:p w14:paraId="00000062" w14:textId="77777777" w:rsidR="00CF35C4" w:rsidRDefault="00CF35C4">
      <w:pPr>
        <w:spacing w:line="360" w:lineRule="auto"/>
        <w:jc w:val="both"/>
        <w:rPr>
          <w:rFonts w:ascii="Times New Roman" w:eastAsia="Times New Roman" w:hAnsi="Times New Roman" w:cs="Times New Roman"/>
          <w:sz w:val="24"/>
          <w:szCs w:val="24"/>
        </w:rPr>
      </w:pPr>
    </w:p>
    <w:sectPr w:rsidR="00CF35C4">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407CA" w14:textId="77777777" w:rsidR="00106A17" w:rsidRDefault="00106A17">
      <w:pPr>
        <w:spacing w:line="240" w:lineRule="auto"/>
      </w:pPr>
      <w:r>
        <w:separator/>
      </w:r>
    </w:p>
  </w:endnote>
  <w:endnote w:type="continuationSeparator" w:id="0">
    <w:p w14:paraId="7FCE43BC" w14:textId="77777777" w:rsidR="00106A17" w:rsidRDefault="00106A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3" w14:textId="583CC1AA" w:rsidR="00CF35C4" w:rsidRDefault="00677A22">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50229B">
      <w:rPr>
        <w:noProof/>
        <w:color w:val="000000"/>
      </w:rPr>
      <w:t>1</w:t>
    </w:r>
    <w:r>
      <w:rPr>
        <w:color w:val="000000"/>
      </w:rPr>
      <w:fldChar w:fldCharType="end"/>
    </w:r>
  </w:p>
  <w:p w14:paraId="00000064" w14:textId="77777777" w:rsidR="00CF35C4" w:rsidRDefault="00CF35C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DBCE8" w14:textId="77777777" w:rsidR="00106A17" w:rsidRDefault="00106A17">
      <w:pPr>
        <w:spacing w:line="240" w:lineRule="auto"/>
      </w:pPr>
      <w:r>
        <w:separator/>
      </w:r>
    </w:p>
  </w:footnote>
  <w:footnote w:type="continuationSeparator" w:id="0">
    <w:p w14:paraId="2AB74C56" w14:textId="77777777" w:rsidR="00106A17" w:rsidRDefault="00106A1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35C4"/>
    <w:rsid w:val="00106A17"/>
    <w:rsid w:val="0018059B"/>
    <w:rsid w:val="003D7B32"/>
    <w:rsid w:val="0050229B"/>
    <w:rsid w:val="00677A22"/>
    <w:rsid w:val="00CF3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5CC45A"/>
  <w15:docId w15:val="{BE4C7F6C-D655-8541-9BBB-130E8C2F7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4415F6"/>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415F6"/>
    <w:pPr>
      <w:spacing w:after="100"/>
    </w:pPr>
  </w:style>
  <w:style w:type="character" w:styleId="Hyperlink">
    <w:name w:val="Hyperlink"/>
    <w:basedOn w:val="DefaultParagraphFont"/>
    <w:uiPriority w:val="99"/>
    <w:unhideWhenUsed/>
    <w:rsid w:val="004415F6"/>
    <w:rPr>
      <w:color w:val="0000FF" w:themeColor="hyperlink"/>
      <w:u w:val="single"/>
    </w:rPr>
  </w:style>
  <w:style w:type="paragraph" w:styleId="Header">
    <w:name w:val="header"/>
    <w:basedOn w:val="Normal"/>
    <w:link w:val="HeaderChar"/>
    <w:uiPriority w:val="99"/>
    <w:unhideWhenUsed/>
    <w:rsid w:val="004415F6"/>
    <w:pPr>
      <w:tabs>
        <w:tab w:val="center" w:pos="4513"/>
        <w:tab w:val="right" w:pos="9026"/>
      </w:tabs>
      <w:spacing w:line="240" w:lineRule="auto"/>
    </w:pPr>
  </w:style>
  <w:style w:type="character" w:customStyle="1" w:styleId="HeaderChar">
    <w:name w:val="Header Char"/>
    <w:basedOn w:val="DefaultParagraphFont"/>
    <w:link w:val="Header"/>
    <w:uiPriority w:val="99"/>
    <w:rsid w:val="004415F6"/>
  </w:style>
  <w:style w:type="paragraph" w:styleId="Footer">
    <w:name w:val="footer"/>
    <w:basedOn w:val="Normal"/>
    <w:link w:val="FooterChar"/>
    <w:uiPriority w:val="99"/>
    <w:unhideWhenUsed/>
    <w:rsid w:val="004415F6"/>
    <w:pPr>
      <w:tabs>
        <w:tab w:val="center" w:pos="4513"/>
        <w:tab w:val="right" w:pos="9026"/>
      </w:tabs>
      <w:spacing w:line="240" w:lineRule="auto"/>
    </w:pPr>
  </w:style>
  <w:style w:type="character" w:customStyle="1" w:styleId="FooterChar">
    <w:name w:val="Footer Char"/>
    <w:basedOn w:val="DefaultParagraphFont"/>
    <w:link w:val="Footer"/>
    <w:uiPriority w:val="99"/>
    <w:rsid w:val="004415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899583">
      <w:bodyDiv w:val="1"/>
      <w:marLeft w:val="0"/>
      <w:marRight w:val="0"/>
      <w:marTop w:val="0"/>
      <w:marBottom w:val="0"/>
      <w:divBdr>
        <w:top w:val="none" w:sz="0" w:space="0" w:color="auto"/>
        <w:left w:val="none" w:sz="0" w:space="0" w:color="auto"/>
        <w:bottom w:val="none" w:sz="0" w:space="0" w:color="auto"/>
        <w:right w:val="none" w:sz="0" w:space="0" w:color="auto"/>
      </w:divBdr>
    </w:div>
    <w:div w:id="1333987522">
      <w:bodyDiv w:val="1"/>
      <w:marLeft w:val="0"/>
      <w:marRight w:val="0"/>
      <w:marTop w:val="0"/>
      <w:marBottom w:val="0"/>
      <w:divBdr>
        <w:top w:val="none" w:sz="0" w:space="0" w:color="auto"/>
        <w:left w:val="none" w:sz="0" w:space="0" w:color="auto"/>
        <w:bottom w:val="none" w:sz="0" w:space="0" w:color="auto"/>
        <w:right w:val="none" w:sz="0" w:space="0" w:color="auto"/>
      </w:divBdr>
    </w:div>
    <w:div w:id="1426656009">
      <w:bodyDiv w:val="1"/>
      <w:marLeft w:val="0"/>
      <w:marRight w:val="0"/>
      <w:marTop w:val="0"/>
      <w:marBottom w:val="0"/>
      <w:divBdr>
        <w:top w:val="none" w:sz="0" w:space="0" w:color="auto"/>
        <w:left w:val="none" w:sz="0" w:space="0" w:color="auto"/>
        <w:bottom w:val="none" w:sz="0" w:space="0" w:color="auto"/>
        <w:right w:val="none" w:sz="0" w:space="0" w:color="auto"/>
      </w:divBdr>
      <w:divsChild>
        <w:div w:id="646202672">
          <w:marLeft w:val="0"/>
          <w:marRight w:val="0"/>
          <w:marTop w:val="0"/>
          <w:marBottom w:val="0"/>
          <w:divBdr>
            <w:top w:val="none" w:sz="0" w:space="0" w:color="auto"/>
            <w:left w:val="none" w:sz="0" w:space="0" w:color="auto"/>
            <w:bottom w:val="none" w:sz="0" w:space="0" w:color="auto"/>
            <w:right w:val="none" w:sz="0" w:space="0" w:color="auto"/>
          </w:divBdr>
          <w:divsChild>
            <w:div w:id="1376393996">
              <w:marLeft w:val="0"/>
              <w:marRight w:val="0"/>
              <w:marTop w:val="0"/>
              <w:marBottom w:val="0"/>
              <w:divBdr>
                <w:top w:val="none" w:sz="0" w:space="0" w:color="auto"/>
                <w:left w:val="none" w:sz="0" w:space="0" w:color="auto"/>
                <w:bottom w:val="none" w:sz="0" w:space="0" w:color="auto"/>
                <w:right w:val="none" w:sz="0" w:space="0" w:color="auto"/>
              </w:divBdr>
              <w:divsChild>
                <w:div w:id="728504013">
                  <w:marLeft w:val="0"/>
                  <w:marRight w:val="0"/>
                  <w:marTop w:val="0"/>
                  <w:marBottom w:val="0"/>
                  <w:divBdr>
                    <w:top w:val="none" w:sz="0" w:space="0" w:color="auto"/>
                    <w:left w:val="none" w:sz="0" w:space="0" w:color="auto"/>
                    <w:bottom w:val="none" w:sz="0" w:space="0" w:color="auto"/>
                    <w:right w:val="none" w:sz="0" w:space="0" w:color="auto"/>
                  </w:divBdr>
                  <w:divsChild>
                    <w:div w:id="1971477024">
                      <w:marLeft w:val="0"/>
                      <w:marRight w:val="0"/>
                      <w:marTop w:val="0"/>
                      <w:marBottom w:val="0"/>
                      <w:divBdr>
                        <w:top w:val="none" w:sz="0" w:space="0" w:color="auto"/>
                        <w:left w:val="none" w:sz="0" w:space="0" w:color="auto"/>
                        <w:bottom w:val="none" w:sz="0" w:space="0" w:color="auto"/>
                        <w:right w:val="none" w:sz="0" w:space="0" w:color="auto"/>
                      </w:divBdr>
                      <w:divsChild>
                        <w:div w:id="1941061840">
                          <w:marLeft w:val="0"/>
                          <w:marRight w:val="0"/>
                          <w:marTop w:val="0"/>
                          <w:marBottom w:val="0"/>
                          <w:divBdr>
                            <w:top w:val="none" w:sz="0" w:space="0" w:color="auto"/>
                            <w:left w:val="none" w:sz="0" w:space="0" w:color="auto"/>
                            <w:bottom w:val="none" w:sz="0" w:space="0" w:color="auto"/>
                            <w:right w:val="none" w:sz="0" w:space="0" w:color="auto"/>
                          </w:divBdr>
                          <w:divsChild>
                            <w:div w:id="81661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0614001">
      <w:bodyDiv w:val="1"/>
      <w:marLeft w:val="0"/>
      <w:marRight w:val="0"/>
      <w:marTop w:val="0"/>
      <w:marBottom w:val="0"/>
      <w:divBdr>
        <w:top w:val="none" w:sz="0" w:space="0" w:color="auto"/>
        <w:left w:val="none" w:sz="0" w:space="0" w:color="auto"/>
        <w:bottom w:val="none" w:sz="0" w:space="0" w:color="auto"/>
        <w:right w:val="none" w:sz="0" w:space="0" w:color="auto"/>
      </w:divBdr>
    </w:div>
    <w:div w:id="2146197660">
      <w:bodyDiv w:val="1"/>
      <w:marLeft w:val="0"/>
      <w:marRight w:val="0"/>
      <w:marTop w:val="0"/>
      <w:marBottom w:val="0"/>
      <w:divBdr>
        <w:top w:val="none" w:sz="0" w:space="0" w:color="auto"/>
        <w:left w:val="none" w:sz="0" w:space="0" w:color="auto"/>
        <w:bottom w:val="none" w:sz="0" w:space="0" w:color="auto"/>
        <w:right w:val="none" w:sz="0" w:space="0" w:color="auto"/>
      </w:divBdr>
      <w:divsChild>
        <w:div w:id="1577714328">
          <w:marLeft w:val="0"/>
          <w:marRight w:val="0"/>
          <w:marTop w:val="0"/>
          <w:marBottom w:val="0"/>
          <w:divBdr>
            <w:top w:val="none" w:sz="0" w:space="0" w:color="auto"/>
            <w:left w:val="none" w:sz="0" w:space="0" w:color="auto"/>
            <w:bottom w:val="none" w:sz="0" w:space="0" w:color="auto"/>
            <w:right w:val="none" w:sz="0" w:space="0" w:color="auto"/>
          </w:divBdr>
          <w:divsChild>
            <w:div w:id="923412925">
              <w:marLeft w:val="0"/>
              <w:marRight w:val="0"/>
              <w:marTop w:val="0"/>
              <w:marBottom w:val="0"/>
              <w:divBdr>
                <w:top w:val="none" w:sz="0" w:space="0" w:color="auto"/>
                <w:left w:val="none" w:sz="0" w:space="0" w:color="auto"/>
                <w:bottom w:val="none" w:sz="0" w:space="0" w:color="auto"/>
                <w:right w:val="none" w:sz="0" w:space="0" w:color="auto"/>
              </w:divBdr>
              <w:divsChild>
                <w:div w:id="2118595626">
                  <w:marLeft w:val="0"/>
                  <w:marRight w:val="0"/>
                  <w:marTop w:val="0"/>
                  <w:marBottom w:val="0"/>
                  <w:divBdr>
                    <w:top w:val="none" w:sz="0" w:space="0" w:color="auto"/>
                    <w:left w:val="none" w:sz="0" w:space="0" w:color="auto"/>
                    <w:bottom w:val="none" w:sz="0" w:space="0" w:color="auto"/>
                    <w:right w:val="none" w:sz="0" w:space="0" w:color="auto"/>
                  </w:divBdr>
                  <w:divsChild>
                    <w:div w:id="1687169467">
                      <w:marLeft w:val="0"/>
                      <w:marRight w:val="0"/>
                      <w:marTop w:val="0"/>
                      <w:marBottom w:val="0"/>
                      <w:divBdr>
                        <w:top w:val="none" w:sz="0" w:space="0" w:color="auto"/>
                        <w:left w:val="none" w:sz="0" w:space="0" w:color="auto"/>
                        <w:bottom w:val="none" w:sz="0" w:space="0" w:color="auto"/>
                        <w:right w:val="none" w:sz="0" w:space="0" w:color="auto"/>
                      </w:divBdr>
                      <w:divsChild>
                        <w:div w:id="850413856">
                          <w:marLeft w:val="0"/>
                          <w:marRight w:val="0"/>
                          <w:marTop w:val="0"/>
                          <w:marBottom w:val="0"/>
                          <w:divBdr>
                            <w:top w:val="none" w:sz="0" w:space="0" w:color="auto"/>
                            <w:left w:val="none" w:sz="0" w:space="0" w:color="auto"/>
                            <w:bottom w:val="none" w:sz="0" w:space="0" w:color="auto"/>
                            <w:right w:val="none" w:sz="0" w:space="0" w:color="auto"/>
                          </w:divBdr>
                          <w:divsChild>
                            <w:div w:id="120613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z6NdMcwPeF7cUOWPzosR81e9nJg==">CgMxLjAyCGguZ2pkZ3hzMgloLjMwajB6bGwyCWguMWZvYjl0ZTIJaC4zem55c2g3MgloLjJldDkycDAyCGgudHlqY3d0MgloLjNkeTZ2a20yCWguMXQzaDVzZjIJaC40ZDM0b2c4MgloLjJzOGV5bzEyCWguMTdkcDh2dTIJaC4zcmRjcmpuMgloLjI2aW4xcmcyCGgubG54Yno5MgloLjM1bmt1bjIyCWguMWtzdjR1djgAciExd3hXUHZVWVQtVXNzN3VaVGNCRWxqU19OM2ZRUy1mYm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3064</Words>
  <Characters>17465</Characters>
  <Application>Microsoft Office Word</Application>
  <DocSecurity>0</DocSecurity>
  <Lines>145</Lines>
  <Paragraphs>40</Paragraphs>
  <ScaleCrop>false</ScaleCrop>
  <Company/>
  <LinksUpToDate>false</LinksUpToDate>
  <CharactersWithSpaces>20489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(stu) MARIA MACARAN</cp:lastModifiedBy>
  <cp:revision>2</cp:revision>
  <dcterms:created xsi:type="dcterms:W3CDTF">2024-11-08T16:13:00Z</dcterms:created>
  <dcterms:modified xsi:type="dcterms:W3CDTF">2024-11-08T16:13:00Z</dcterms:modified>
</cp:coreProperties>
</file>