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F7A4E3" w14:textId="77777777" w:rsidR="00EF0F73" w:rsidRPr="00F94D66" w:rsidRDefault="00EF0F73" w:rsidP="00F94D66">
      <w:pPr>
        <w:rPr>
          <w:rFonts w:asciiTheme="minorBidi" w:hAnsiTheme="minorBidi" w:cstheme="minorBidi"/>
          <w:sz w:val="22"/>
        </w:rPr>
      </w:pPr>
    </w:p>
    <w:p w14:paraId="377D3D41" w14:textId="77777777" w:rsidR="00EF0F73" w:rsidRPr="00F94D66" w:rsidRDefault="00EF0F73" w:rsidP="00F94D66">
      <w:pPr>
        <w:rPr>
          <w:rFonts w:asciiTheme="minorBidi" w:hAnsiTheme="minorBidi" w:cstheme="minorBidi"/>
          <w:sz w:val="22"/>
        </w:rPr>
      </w:pPr>
    </w:p>
    <w:p w14:paraId="5AA3C792" w14:textId="77777777" w:rsidR="00EF0F73" w:rsidRPr="00F94D66" w:rsidRDefault="00EF0F73" w:rsidP="00F94D66">
      <w:pPr>
        <w:rPr>
          <w:rFonts w:asciiTheme="minorBidi" w:hAnsiTheme="minorBidi" w:cstheme="minorBidi"/>
          <w:sz w:val="22"/>
        </w:rPr>
      </w:pPr>
    </w:p>
    <w:p w14:paraId="2DE163C8" w14:textId="77777777" w:rsidR="00EF0F73" w:rsidRPr="00F94D66" w:rsidRDefault="00EF0F73" w:rsidP="00F94D66">
      <w:pPr>
        <w:rPr>
          <w:rFonts w:asciiTheme="minorBidi" w:hAnsiTheme="minorBidi" w:cstheme="minorBidi"/>
          <w:sz w:val="28"/>
          <w:szCs w:val="28"/>
        </w:rPr>
      </w:pPr>
    </w:p>
    <w:p w14:paraId="3ABDAA67" w14:textId="77777777" w:rsidR="00EF0F73" w:rsidRPr="00F94D66" w:rsidRDefault="00B46A69" w:rsidP="00F94D66">
      <w:pPr>
        <w:jc w:val="center"/>
        <w:rPr>
          <w:rFonts w:asciiTheme="minorBidi" w:hAnsiTheme="minorBidi" w:cstheme="minorBidi"/>
          <w:b/>
          <w:sz w:val="28"/>
          <w:szCs w:val="28"/>
        </w:rPr>
      </w:pPr>
      <w:r w:rsidRPr="00F94D66">
        <w:rPr>
          <w:rFonts w:asciiTheme="minorBidi" w:hAnsiTheme="minorBidi" w:cstheme="minorBidi"/>
          <w:b/>
          <w:sz w:val="28"/>
          <w:szCs w:val="28"/>
        </w:rPr>
        <w:t>Component 2: Written Assignment (Report)</w:t>
      </w:r>
    </w:p>
    <w:p w14:paraId="48D36340" w14:textId="77777777" w:rsidR="00F94D66" w:rsidRPr="00F94D66" w:rsidRDefault="00F94D66" w:rsidP="00F94D66">
      <w:pPr>
        <w:jc w:val="center"/>
        <w:rPr>
          <w:rFonts w:asciiTheme="minorBidi" w:hAnsiTheme="minorBidi" w:cstheme="minorBidi"/>
          <w:b/>
          <w:sz w:val="28"/>
          <w:szCs w:val="28"/>
        </w:rPr>
      </w:pPr>
    </w:p>
    <w:p w14:paraId="5F978859" w14:textId="77777777" w:rsidR="00F94D66" w:rsidRPr="00F94D66" w:rsidRDefault="00F94D66" w:rsidP="00F94D66">
      <w:pPr>
        <w:jc w:val="center"/>
        <w:rPr>
          <w:rFonts w:asciiTheme="minorBidi" w:hAnsiTheme="minorBidi" w:cstheme="minorBidi"/>
          <w:sz w:val="28"/>
          <w:szCs w:val="28"/>
        </w:rPr>
      </w:pPr>
    </w:p>
    <w:p w14:paraId="193EF47B" w14:textId="77777777" w:rsidR="00EF0F73" w:rsidRPr="00F94D66" w:rsidRDefault="00B46A69" w:rsidP="00F94D66">
      <w:pPr>
        <w:jc w:val="center"/>
        <w:rPr>
          <w:rFonts w:asciiTheme="minorBidi" w:hAnsiTheme="minorBidi" w:cstheme="minorBidi"/>
          <w:sz w:val="28"/>
          <w:szCs w:val="28"/>
        </w:rPr>
      </w:pPr>
      <w:r w:rsidRPr="00F94D66">
        <w:rPr>
          <w:rFonts w:asciiTheme="minorBidi" w:hAnsiTheme="minorBidi" w:cstheme="minorBidi"/>
          <w:b/>
          <w:sz w:val="28"/>
          <w:szCs w:val="28"/>
        </w:rPr>
        <w:t>A Critical Evaluation of SDG 3 and SDG 10</w:t>
      </w:r>
    </w:p>
    <w:p w14:paraId="74944D67" w14:textId="6A100DA6" w:rsidR="00EF0F73" w:rsidRPr="00452789" w:rsidRDefault="00B46A69" w:rsidP="00452789">
      <w:pPr>
        <w:jc w:val="center"/>
        <w:rPr>
          <w:rFonts w:asciiTheme="minorBidi" w:hAnsiTheme="minorBidi" w:cstheme="minorBidi"/>
          <w:sz w:val="28"/>
          <w:szCs w:val="28"/>
        </w:rPr>
      </w:pPr>
      <w:r w:rsidRPr="00F94D66">
        <w:rPr>
          <w:rFonts w:asciiTheme="minorBidi" w:hAnsiTheme="minorBidi" w:cstheme="minorBidi"/>
          <w:b/>
          <w:sz w:val="28"/>
          <w:szCs w:val="28"/>
        </w:rPr>
        <w:t>Health, Wellbeing and Reduced Inequalities</w:t>
      </w:r>
    </w:p>
    <w:p w14:paraId="786A658C" w14:textId="77777777" w:rsidR="00EF0F73" w:rsidRPr="00F94D66" w:rsidRDefault="00EF0F73" w:rsidP="00F94D66">
      <w:pPr>
        <w:jc w:val="center"/>
        <w:rPr>
          <w:rFonts w:asciiTheme="minorBidi" w:hAnsiTheme="minorBidi" w:cstheme="minorBidi"/>
          <w:b/>
          <w:bCs/>
          <w:sz w:val="28"/>
          <w:szCs w:val="28"/>
        </w:rPr>
      </w:pPr>
    </w:p>
    <w:p w14:paraId="24C692E3" w14:textId="4E78E00B" w:rsidR="00EF0F73" w:rsidRPr="00F94D66" w:rsidRDefault="00B46A69" w:rsidP="00F94D66">
      <w:pPr>
        <w:jc w:val="center"/>
        <w:rPr>
          <w:rFonts w:asciiTheme="minorBidi" w:hAnsiTheme="minorBidi" w:cstheme="minorBidi"/>
          <w:b/>
          <w:bCs/>
          <w:sz w:val="28"/>
          <w:szCs w:val="28"/>
          <w:lang w:val="nl-NL"/>
        </w:rPr>
      </w:pPr>
      <w:r w:rsidRPr="00F94D66">
        <w:rPr>
          <w:rFonts w:asciiTheme="minorBidi" w:hAnsiTheme="minorBidi" w:cstheme="minorBidi"/>
          <w:b/>
          <w:bCs/>
          <w:sz w:val="28"/>
          <w:szCs w:val="28"/>
          <w:lang w:val="nl-NL"/>
        </w:rPr>
        <w:t xml:space="preserve">Student Name: </w:t>
      </w:r>
      <w:proofErr w:type="spellStart"/>
      <w:r w:rsidR="00F94D66" w:rsidRPr="00F94D66">
        <w:rPr>
          <w:rFonts w:asciiTheme="minorBidi" w:hAnsiTheme="minorBidi" w:cstheme="minorBidi"/>
          <w:b/>
          <w:bCs/>
          <w:sz w:val="28"/>
          <w:szCs w:val="28"/>
          <w:lang w:val="nl-NL"/>
        </w:rPr>
        <w:t>Nasreen</w:t>
      </w:r>
      <w:proofErr w:type="spellEnd"/>
      <w:r w:rsidR="00F94D66" w:rsidRPr="00F94D66">
        <w:rPr>
          <w:rFonts w:asciiTheme="minorBidi" w:hAnsiTheme="minorBidi" w:cstheme="minorBidi"/>
          <w:b/>
          <w:bCs/>
          <w:sz w:val="28"/>
          <w:szCs w:val="28"/>
          <w:lang w:val="nl-NL"/>
        </w:rPr>
        <w:t xml:space="preserve"> </w:t>
      </w:r>
      <w:proofErr w:type="spellStart"/>
      <w:r w:rsidR="00F94D66" w:rsidRPr="00F94D66">
        <w:rPr>
          <w:rFonts w:asciiTheme="minorBidi" w:hAnsiTheme="minorBidi" w:cstheme="minorBidi"/>
          <w:b/>
          <w:bCs/>
          <w:sz w:val="28"/>
          <w:szCs w:val="28"/>
          <w:lang w:val="nl-NL"/>
        </w:rPr>
        <w:t>Akhtar</w:t>
      </w:r>
      <w:proofErr w:type="spellEnd"/>
    </w:p>
    <w:p w14:paraId="70FDDF03" w14:textId="417D2084" w:rsidR="00EF0F73" w:rsidRPr="00F94D66" w:rsidRDefault="00B46A69" w:rsidP="00F94D66">
      <w:pPr>
        <w:jc w:val="center"/>
        <w:rPr>
          <w:rFonts w:asciiTheme="minorBidi" w:hAnsiTheme="minorBidi" w:cstheme="minorBidi"/>
          <w:b/>
          <w:bCs/>
          <w:sz w:val="28"/>
          <w:szCs w:val="28"/>
          <w:lang w:val="nl-NL"/>
        </w:rPr>
      </w:pPr>
      <w:r w:rsidRPr="00F94D66">
        <w:rPr>
          <w:rFonts w:asciiTheme="minorBidi" w:hAnsiTheme="minorBidi" w:cstheme="minorBidi"/>
          <w:b/>
          <w:bCs/>
          <w:sz w:val="28"/>
          <w:szCs w:val="28"/>
          <w:lang w:val="nl-NL"/>
        </w:rPr>
        <w:t xml:space="preserve">Student ID: </w:t>
      </w:r>
      <w:r w:rsidR="00F94D66" w:rsidRPr="00F94D66">
        <w:rPr>
          <w:rFonts w:asciiTheme="minorBidi" w:hAnsiTheme="minorBidi" w:cstheme="minorBidi"/>
          <w:b/>
          <w:bCs/>
          <w:sz w:val="28"/>
          <w:szCs w:val="28"/>
          <w:lang w:val="nl-NL"/>
        </w:rPr>
        <w:t>2316030</w:t>
      </w:r>
    </w:p>
    <w:p w14:paraId="56615A0B" w14:textId="64C8565A" w:rsidR="00EF0F73" w:rsidRPr="00F94D66" w:rsidRDefault="00F94D66" w:rsidP="00F94D66">
      <w:pPr>
        <w:jc w:val="center"/>
        <w:rPr>
          <w:rFonts w:asciiTheme="minorBidi" w:hAnsiTheme="minorBidi" w:cstheme="minorBidi"/>
          <w:b/>
          <w:bCs/>
          <w:sz w:val="28"/>
          <w:szCs w:val="28"/>
        </w:rPr>
      </w:pPr>
      <w:r w:rsidRPr="00F94D66">
        <w:rPr>
          <w:rFonts w:asciiTheme="minorBidi" w:hAnsiTheme="minorBidi" w:cstheme="minorBidi"/>
          <w:b/>
          <w:bCs/>
          <w:sz w:val="28"/>
          <w:szCs w:val="28"/>
        </w:rPr>
        <w:t>BMHP6030</w:t>
      </w:r>
      <w:r w:rsidRPr="00F94D66">
        <w:rPr>
          <w:rFonts w:asciiTheme="minorBidi" w:hAnsiTheme="minorBidi" w:cstheme="minorBidi"/>
          <w:b/>
          <w:bCs/>
          <w:sz w:val="28"/>
          <w:szCs w:val="28"/>
        </w:rPr>
        <w:t xml:space="preserve"> - </w:t>
      </w:r>
      <w:r w:rsidR="00B46A69" w:rsidRPr="00F94D66">
        <w:rPr>
          <w:rFonts w:asciiTheme="minorBidi" w:hAnsiTheme="minorBidi" w:cstheme="minorBidi"/>
          <w:b/>
          <w:bCs/>
          <w:sz w:val="28"/>
          <w:szCs w:val="28"/>
        </w:rPr>
        <w:t>Health, Wellbeing and Sustainable Development</w:t>
      </w:r>
    </w:p>
    <w:p w14:paraId="6FF89BB8" w14:textId="3923D4AB" w:rsidR="00EF0F73" w:rsidRPr="00F94D66" w:rsidRDefault="00B46A69" w:rsidP="00F94D66">
      <w:pPr>
        <w:jc w:val="center"/>
        <w:rPr>
          <w:rFonts w:asciiTheme="minorBidi" w:hAnsiTheme="minorBidi" w:cstheme="minorBidi"/>
          <w:b/>
          <w:bCs/>
          <w:sz w:val="28"/>
          <w:szCs w:val="28"/>
        </w:rPr>
      </w:pPr>
      <w:r w:rsidRPr="00F94D66">
        <w:rPr>
          <w:rFonts w:asciiTheme="minorBidi" w:hAnsiTheme="minorBidi" w:cstheme="minorBidi"/>
          <w:b/>
          <w:bCs/>
          <w:sz w:val="28"/>
          <w:szCs w:val="28"/>
        </w:rPr>
        <w:t xml:space="preserve">Lecturer: </w:t>
      </w:r>
      <w:r w:rsidR="00F94D66" w:rsidRPr="00F94D66">
        <w:rPr>
          <w:rFonts w:asciiTheme="minorBidi" w:hAnsiTheme="minorBidi" w:cstheme="minorBidi"/>
          <w:b/>
          <w:bCs/>
          <w:sz w:val="28"/>
          <w:szCs w:val="28"/>
        </w:rPr>
        <w:t>Philip Jones</w:t>
      </w:r>
    </w:p>
    <w:p w14:paraId="2F7ADA8E" w14:textId="77777777" w:rsidR="00EF0F73" w:rsidRPr="00F94D66" w:rsidRDefault="00B46A69" w:rsidP="00F94D66">
      <w:pPr>
        <w:jc w:val="center"/>
        <w:rPr>
          <w:rFonts w:asciiTheme="minorBidi" w:hAnsiTheme="minorBidi" w:cstheme="minorBidi"/>
          <w:b/>
          <w:bCs/>
          <w:sz w:val="28"/>
          <w:szCs w:val="28"/>
        </w:rPr>
      </w:pPr>
      <w:r w:rsidRPr="00F94D66">
        <w:rPr>
          <w:rFonts w:asciiTheme="minorBidi" w:hAnsiTheme="minorBidi" w:cstheme="minorBidi"/>
          <w:b/>
          <w:bCs/>
          <w:sz w:val="28"/>
          <w:szCs w:val="28"/>
        </w:rPr>
        <w:t xml:space="preserve">Word Count: </w:t>
      </w:r>
      <w:r w:rsidR="00506833" w:rsidRPr="00F94D66">
        <w:rPr>
          <w:rFonts w:asciiTheme="minorBidi" w:hAnsiTheme="minorBidi" w:cstheme="minorBidi"/>
          <w:b/>
          <w:bCs/>
          <w:sz w:val="28"/>
          <w:szCs w:val="28"/>
        </w:rPr>
        <w:t>2113</w:t>
      </w:r>
    </w:p>
    <w:p w14:paraId="171F450B"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br w:type="page"/>
      </w:r>
    </w:p>
    <w:p w14:paraId="25A8671A" w14:textId="77777777" w:rsidR="00EF0F73" w:rsidRPr="00BD3C5F" w:rsidRDefault="00B46A69" w:rsidP="00F94D66">
      <w:pPr>
        <w:pStyle w:val="TOCHeading"/>
        <w:jc w:val="center"/>
        <w:rPr>
          <w:rFonts w:asciiTheme="minorBidi" w:hAnsiTheme="minorBidi" w:cstheme="minorBidi"/>
          <w:sz w:val="22"/>
          <w:szCs w:val="22"/>
        </w:rPr>
      </w:pPr>
      <w:r w:rsidRPr="00BD3C5F">
        <w:rPr>
          <w:rFonts w:asciiTheme="minorBidi" w:hAnsiTheme="minorBidi" w:cstheme="minorBidi"/>
          <w:sz w:val="22"/>
          <w:szCs w:val="22"/>
        </w:rPr>
        <w:lastRenderedPageBreak/>
        <w:t>Contents</w:t>
      </w:r>
    </w:p>
    <w:p w14:paraId="48881B73" w14:textId="77777777" w:rsidR="00EF0F73" w:rsidRPr="00BD3C5F" w:rsidRDefault="00B46A69" w:rsidP="00F94D66">
      <w:pPr>
        <w:pStyle w:val="TOC1"/>
        <w:tabs>
          <w:tab w:val="right" w:leader="dot" w:pos="9350"/>
        </w:tabs>
        <w:rPr>
          <w:rFonts w:asciiTheme="minorBidi" w:eastAsia="MS Mincho" w:hAnsiTheme="minorBidi" w:cstheme="minorBidi"/>
          <w:b/>
          <w:bCs/>
          <w:noProof/>
          <w:sz w:val="22"/>
        </w:rPr>
      </w:pPr>
      <w:r w:rsidRPr="00BD3C5F">
        <w:rPr>
          <w:rFonts w:asciiTheme="minorBidi" w:hAnsiTheme="minorBidi" w:cstheme="minorBidi"/>
          <w:b/>
          <w:bCs/>
          <w:sz w:val="22"/>
        </w:rPr>
        <w:fldChar w:fldCharType="begin"/>
      </w:r>
      <w:r w:rsidRPr="00BD3C5F">
        <w:rPr>
          <w:rFonts w:asciiTheme="minorBidi" w:hAnsiTheme="minorBidi" w:cstheme="minorBidi"/>
          <w:b/>
          <w:bCs/>
          <w:sz w:val="22"/>
        </w:rPr>
        <w:instrText xml:space="preserve"> TOC \o "1-3" \h \z \u </w:instrText>
      </w:r>
      <w:r w:rsidRPr="00BD3C5F">
        <w:rPr>
          <w:rFonts w:asciiTheme="minorBidi" w:hAnsiTheme="minorBidi" w:cstheme="minorBidi"/>
          <w:b/>
          <w:bCs/>
          <w:sz w:val="22"/>
        </w:rPr>
        <w:fldChar w:fldCharType="separate"/>
      </w:r>
      <w:hyperlink w:anchor="_Toc233893324" w:history="1">
        <w:r w:rsidRPr="00BD3C5F">
          <w:rPr>
            <w:rStyle w:val="Hyperlink"/>
            <w:rFonts w:asciiTheme="minorBidi" w:hAnsiTheme="minorBidi" w:cstheme="minorBidi"/>
            <w:b/>
            <w:bCs/>
            <w:noProof/>
            <w:sz w:val="22"/>
          </w:rPr>
          <w:t>1. Introduction</w:t>
        </w:r>
        <w:r w:rsidRPr="00BD3C5F">
          <w:rPr>
            <w:rFonts w:asciiTheme="minorBidi" w:hAnsiTheme="minorBidi" w:cstheme="minorBidi"/>
            <w:b/>
            <w:bCs/>
            <w:noProof/>
            <w:webHidden/>
            <w:sz w:val="22"/>
          </w:rPr>
          <w:tab/>
        </w:r>
        <w:r w:rsidRPr="00BD3C5F">
          <w:rPr>
            <w:rFonts w:asciiTheme="minorBidi" w:hAnsiTheme="minorBidi" w:cstheme="minorBidi"/>
            <w:b/>
            <w:bCs/>
            <w:noProof/>
            <w:webHidden/>
            <w:sz w:val="22"/>
          </w:rPr>
          <w:fldChar w:fldCharType="begin"/>
        </w:r>
        <w:r w:rsidRPr="00BD3C5F">
          <w:rPr>
            <w:rFonts w:asciiTheme="minorBidi" w:hAnsiTheme="minorBidi" w:cstheme="minorBidi"/>
            <w:b/>
            <w:bCs/>
            <w:noProof/>
            <w:webHidden/>
            <w:sz w:val="22"/>
          </w:rPr>
          <w:instrText xml:space="preserve"> PAGEREF _Toc233893324 \h </w:instrText>
        </w:r>
        <w:r w:rsidRPr="00BD3C5F">
          <w:rPr>
            <w:rFonts w:asciiTheme="minorBidi" w:hAnsiTheme="minorBidi" w:cstheme="minorBidi"/>
            <w:b/>
            <w:bCs/>
            <w:noProof/>
            <w:webHidden/>
            <w:sz w:val="22"/>
          </w:rPr>
        </w:r>
        <w:r w:rsidRPr="00BD3C5F">
          <w:rPr>
            <w:rFonts w:asciiTheme="minorBidi" w:hAnsiTheme="minorBidi" w:cstheme="minorBidi"/>
            <w:b/>
            <w:bCs/>
            <w:noProof/>
            <w:webHidden/>
            <w:sz w:val="22"/>
          </w:rPr>
          <w:fldChar w:fldCharType="separate"/>
        </w:r>
        <w:r w:rsidRPr="00BD3C5F">
          <w:rPr>
            <w:rFonts w:asciiTheme="minorBidi" w:hAnsiTheme="minorBidi" w:cstheme="minorBidi"/>
            <w:b/>
            <w:bCs/>
            <w:noProof/>
            <w:webHidden/>
            <w:sz w:val="22"/>
          </w:rPr>
          <w:t>3</w:t>
        </w:r>
        <w:r w:rsidRPr="00BD3C5F">
          <w:rPr>
            <w:rFonts w:asciiTheme="minorBidi" w:hAnsiTheme="minorBidi" w:cstheme="minorBidi"/>
            <w:b/>
            <w:bCs/>
            <w:noProof/>
            <w:webHidden/>
            <w:sz w:val="22"/>
          </w:rPr>
          <w:fldChar w:fldCharType="end"/>
        </w:r>
      </w:hyperlink>
    </w:p>
    <w:p w14:paraId="2891DDCD" w14:textId="77777777" w:rsidR="00EF0F73" w:rsidRPr="00BD3C5F" w:rsidRDefault="00B46A69" w:rsidP="00F94D66">
      <w:pPr>
        <w:pStyle w:val="TOC1"/>
        <w:tabs>
          <w:tab w:val="right" w:leader="dot" w:pos="9350"/>
        </w:tabs>
        <w:rPr>
          <w:rFonts w:asciiTheme="minorBidi" w:eastAsia="MS Mincho" w:hAnsiTheme="minorBidi" w:cstheme="minorBidi"/>
          <w:b/>
          <w:bCs/>
          <w:noProof/>
          <w:sz w:val="22"/>
        </w:rPr>
      </w:pPr>
      <w:hyperlink w:anchor="_Toc233893325" w:history="1">
        <w:r w:rsidRPr="00BD3C5F">
          <w:rPr>
            <w:rStyle w:val="Hyperlink"/>
            <w:rFonts w:asciiTheme="minorBidi" w:hAnsiTheme="minorBidi" w:cstheme="minorBidi"/>
            <w:b/>
            <w:bCs/>
            <w:noProof/>
            <w:sz w:val="22"/>
          </w:rPr>
          <w:t>2. Good Health and Wellbeing: SDG 3</w:t>
        </w:r>
        <w:r w:rsidRPr="00BD3C5F">
          <w:rPr>
            <w:rFonts w:asciiTheme="minorBidi" w:hAnsiTheme="minorBidi" w:cstheme="minorBidi"/>
            <w:b/>
            <w:bCs/>
            <w:noProof/>
            <w:webHidden/>
            <w:sz w:val="22"/>
          </w:rPr>
          <w:tab/>
        </w:r>
        <w:r w:rsidRPr="00BD3C5F">
          <w:rPr>
            <w:rFonts w:asciiTheme="minorBidi" w:hAnsiTheme="minorBidi" w:cstheme="minorBidi"/>
            <w:b/>
            <w:bCs/>
            <w:noProof/>
            <w:webHidden/>
            <w:sz w:val="22"/>
          </w:rPr>
          <w:fldChar w:fldCharType="begin"/>
        </w:r>
        <w:r w:rsidRPr="00BD3C5F">
          <w:rPr>
            <w:rFonts w:asciiTheme="minorBidi" w:hAnsiTheme="minorBidi" w:cstheme="minorBidi"/>
            <w:b/>
            <w:bCs/>
            <w:noProof/>
            <w:webHidden/>
            <w:sz w:val="22"/>
          </w:rPr>
          <w:instrText xml:space="preserve"> PAGEREF _Toc233893325 \h </w:instrText>
        </w:r>
        <w:r w:rsidRPr="00BD3C5F">
          <w:rPr>
            <w:rFonts w:asciiTheme="minorBidi" w:hAnsiTheme="minorBidi" w:cstheme="minorBidi"/>
            <w:b/>
            <w:bCs/>
            <w:noProof/>
            <w:webHidden/>
            <w:sz w:val="22"/>
          </w:rPr>
        </w:r>
        <w:r w:rsidRPr="00BD3C5F">
          <w:rPr>
            <w:rFonts w:asciiTheme="minorBidi" w:hAnsiTheme="minorBidi" w:cstheme="minorBidi"/>
            <w:b/>
            <w:bCs/>
            <w:noProof/>
            <w:webHidden/>
            <w:sz w:val="22"/>
          </w:rPr>
          <w:fldChar w:fldCharType="separate"/>
        </w:r>
        <w:r w:rsidRPr="00BD3C5F">
          <w:rPr>
            <w:rFonts w:asciiTheme="minorBidi" w:hAnsiTheme="minorBidi" w:cstheme="minorBidi"/>
            <w:b/>
            <w:bCs/>
            <w:noProof/>
            <w:webHidden/>
            <w:sz w:val="22"/>
          </w:rPr>
          <w:t>4</w:t>
        </w:r>
        <w:r w:rsidRPr="00BD3C5F">
          <w:rPr>
            <w:rFonts w:asciiTheme="minorBidi" w:hAnsiTheme="minorBidi" w:cstheme="minorBidi"/>
            <w:b/>
            <w:bCs/>
            <w:noProof/>
            <w:webHidden/>
            <w:sz w:val="22"/>
          </w:rPr>
          <w:fldChar w:fldCharType="end"/>
        </w:r>
      </w:hyperlink>
    </w:p>
    <w:p w14:paraId="7EF6BED6" w14:textId="77777777" w:rsidR="00EF0F73" w:rsidRPr="00BD3C5F" w:rsidRDefault="00B46A69" w:rsidP="00F94D66">
      <w:pPr>
        <w:pStyle w:val="TOC2"/>
        <w:tabs>
          <w:tab w:val="right" w:leader="dot" w:pos="9350"/>
        </w:tabs>
        <w:rPr>
          <w:rFonts w:asciiTheme="minorBidi" w:eastAsia="MS Mincho" w:hAnsiTheme="minorBidi" w:cstheme="minorBidi"/>
          <w:b/>
          <w:bCs/>
          <w:noProof/>
          <w:sz w:val="22"/>
        </w:rPr>
      </w:pPr>
      <w:hyperlink w:anchor="_Toc233893326" w:history="1">
        <w:r w:rsidRPr="00BD3C5F">
          <w:rPr>
            <w:rStyle w:val="Hyperlink"/>
            <w:rFonts w:asciiTheme="minorBidi" w:hAnsiTheme="minorBidi" w:cstheme="minorBidi"/>
            <w:b/>
            <w:bCs/>
            <w:noProof/>
            <w:sz w:val="22"/>
          </w:rPr>
          <w:t>2.1 Overview and targets</w:t>
        </w:r>
        <w:r w:rsidRPr="00BD3C5F">
          <w:rPr>
            <w:rFonts w:asciiTheme="minorBidi" w:hAnsiTheme="minorBidi" w:cstheme="minorBidi"/>
            <w:b/>
            <w:bCs/>
            <w:noProof/>
            <w:webHidden/>
            <w:sz w:val="22"/>
          </w:rPr>
          <w:tab/>
        </w:r>
        <w:r w:rsidRPr="00BD3C5F">
          <w:rPr>
            <w:rFonts w:asciiTheme="minorBidi" w:hAnsiTheme="minorBidi" w:cstheme="minorBidi"/>
            <w:b/>
            <w:bCs/>
            <w:noProof/>
            <w:webHidden/>
            <w:sz w:val="22"/>
          </w:rPr>
          <w:fldChar w:fldCharType="begin"/>
        </w:r>
        <w:r w:rsidRPr="00BD3C5F">
          <w:rPr>
            <w:rFonts w:asciiTheme="minorBidi" w:hAnsiTheme="minorBidi" w:cstheme="minorBidi"/>
            <w:b/>
            <w:bCs/>
            <w:noProof/>
            <w:webHidden/>
            <w:sz w:val="22"/>
          </w:rPr>
          <w:instrText xml:space="preserve"> PAGEREF _Toc233893326 \h </w:instrText>
        </w:r>
        <w:r w:rsidRPr="00BD3C5F">
          <w:rPr>
            <w:rFonts w:asciiTheme="minorBidi" w:hAnsiTheme="minorBidi" w:cstheme="minorBidi"/>
            <w:b/>
            <w:bCs/>
            <w:noProof/>
            <w:webHidden/>
            <w:sz w:val="22"/>
          </w:rPr>
        </w:r>
        <w:r w:rsidRPr="00BD3C5F">
          <w:rPr>
            <w:rFonts w:asciiTheme="minorBidi" w:hAnsiTheme="minorBidi" w:cstheme="minorBidi"/>
            <w:b/>
            <w:bCs/>
            <w:noProof/>
            <w:webHidden/>
            <w:sz w:val="22"/>
          </w:rPr>
          <w:fldChar w:fldCharType="separate"/>
        </w:r>
        <w:r w:rsidRPr="00BD3C5F">
          <w:rPr>
            <w:rFonts w:asciiTheme="minorBidi" w:hAnsiTheme="minorBidi" w:cstheme="minorBidi"/>
            <w:b/>
            <w:bCs/>
            <w:noProof/>
            <w:webHidden/>
            <w:sz w:val="22"/>
          </w:rPr>
          <w:t>4</w:t>
        </w:r>
        <w:r w:rsidRPr="00BD3C5F">
          <w:rPr>
            <w:rFonts w:asciiTheme="minorBidi" w:hAnsiTheme="minorBidi" w:cstheme="minorBidi"/>
            <w:b/>
            <w:bCs/>
            <w:noProof/>
            <w:webHidden/>
            <w:sz w:val="22"/>
          </w:rPr>
          <w:fldChar w:fldCharType="end"/>
        </w:r>
      </w:hyperlink>
    </w:p>
    <w:p w14:paraId="5B040EE0" w14:textId="77777777" w:rsidR="00EF0F73" w:rsidRPr="00BD3C5F" w:rsidRDefault="00B46A69" w:rsidP="00F94D66">
      <w:pPr>
        <w:pStyle w:val="TOC2"/>
        <w:tabs>
          <w:tab w:val="right" w:leader="dot" w:pos="9350"/>
        </w:tabs>
        <w:rPr>
          <w:rFonts w:asciiTheme="minorBidi" w:eastAsia="MS Mincho" w:hAnsiTheme="minorBidi" w:cstheme="minorBidi"/>
          <w:b/>
          <w:bCs/>
          <w:noProof/>
          <w:sz w:val="22"/>
        </w:rPr>
      </w:pPr>
      <w:hyperlink w:anchor="_Toc233893327" w:history="1">
        <w:r w:rsidRPr="00BD3C5F">
          <w:rPr>
            <w:rStyle w:val="Hyperlink"/>
            <w:rFonts w:asciiTheme="minorBidi" w:hAnsiTheme="minorBidi" w:cstheme="minorBidi"/>
            <w:b/>
            <w:bCs/>
            <w:noProof/>
            <w:sz w:val="22"/>
          </w:rPr>
          <w:t>2.2 Critical evaluation of global initiatives</w:t>
        </w:r>
        <w:r w:rsidRPr="00BD3C5F">
          <w:rPr>
            <w:rFonts w:asciiTheme="minorBidi" w:hAnsiTheme="minorBidi" w:cstheme="minorBidi"/>
            <w:b/>
            <w:bCs/>
            <w:noProof/>
            <w:webHidden/>
            <w:sz w:val="22"/>
          </w:rPr>
          <w:tab/>
        </w:r>
        <w:r w:rsidRPr="00BD3C5F">
          <w:rPr>
            <w:rFonts w:asciiTheme="minorBidi" w:hAnsiTheme="minorBidi" w:cstheme="minorBidi"/>
            <w:b/>
            <w:bCs/>
            <w:noProof/>
            <w:webHidden/>
            <w:sz w:val="22"/>
          </w:rPr>
          <w:fldChar w:fldCharType="begin"/>
        </w:r>
        <w:r w:rsidRPr="00BD3C5F">
          <w:rPr>
            <w:rFonts w:asciiTheme="minorBidi" w:hAnsiTheme="minorBidi" w:cstheme="minorBidi"/>
            <w:b/>
            <w:bCs/>
            <w:noProof/>
            <w:webHidden/>
            <w:sz w:val="22"/>
          </w:rPr>
          <w:instrText xml:space="preserve"> PAGEREF _Toc233893327 \h </w:instrText>
        </w:r>
        <w:r w:rsidRPr="00BD3C5F">
          <w:rPr>
            <w:rFonts w:asciiTheme="minorBidi" w:hAnsiTheme="minorBidi" w:cstheme="minorBidi"/>
            <w:b/>
            <w:bCs/>
            <w:noProof/>
            <w:webHidden/>
            <w:sz w:val="22"/>
          </w:rPr>
        </w:r>
        <w:r w:rsidRPr="00BD3C5F">
          <w:rPr>
            <w:rFonts w:asciiTheme="minorBidi" w:hAnsiTheme="minorBidi" w:cstheme="minorBidi"/>
            <w:b/>
            <w:bCs/>
            <w:noProof/>
            <w:webHidden/>
            <w:sz w:val="22"/>
          </w:rPr>
          <w:fldChar w:fldCharType="separate"/>
        </w:r>
        <w:r w:rsidRPr="00BD3C5F">
          <w:rPr>
            <w:rFonts w:asciiTheme="minorBidi" w:hAnsiTheme="minorBidi" w:cstheme="minorBidi"/>
            <w:b/>
            <w:bCs/>
            <w:noProof/>
            <w:webHidden/>
            <w:sz w:val="22"/>
          </w:rPr>
          <w:t>4</w:t>
        </w:r>
        <w:r w:rsidRPr="00BD3C5F">
          <w:rPr>
            <w:rFonts w:asciiTheme="minorBidi" w:hAnsiTheme="minorBidi" w:cstheme="minorBidi"/>
            <w:b/>
            <w:bCs/>
            <w:noProof/>
            <w:webHidden/>
            <w:sz w:val="22"/>
          </w:rPr>
          <w:fldChar w:fldCharType="end"/>
        </w:r>
      </w:hyperlink>
    </w:p>
    <w:p w14:paraId="45BBA062" w14:textId="77777777" w:rsidR="00EF0F73" w:rsidRPr="00BD3C5F" w:rsidRDefault="00B46A69" w:rsidP="00F94D66">
      <w:pPr>
        <w:pStyle w:val="TOC2"/>
        <w:tabs>
          <w:tab w:val="right" w:leader="dot" w:pos="9350"/>
        </w:tabs>
        <w:rPr>
          <w:rFonts w:asciiTheme="minorBidi" w:eastAsia="MS Mincho" w:hAnsiTheme="minorBidi" w:cstheme="minorBidi"/>
          <w:b/>
          <w:bCs/>
          <w:noProof/>
          <w:sz w:val="22"/>
        </w:rPr>
      </w:pPr>
      <w:hyperlink w:anchor="_Toc233893328" w:history="1">
        <w:r w:rsidRPr="00BD3C5F">
          <w:rPr>
            <w:rStyle w:val="Hyperlink"/>
            <w:rFonts w:asciiTheme="minorBidi" w:hAnsiTheme="minorBidi" w:cstheme="minorBidi"/>
            <w:b/>
            <w:bCs/>
            <w:noProof/>
            <w:sz w:val="22"/>
          </w:rPr>
          <w:t>2.3 UK and local initiatives</w:t>
        </w:r>
        <w:r w:rsidRPr="00BD3C5F">
          <w:rPr>
            <w:rFonts w:asciiTheme="minorBidi" w:hAnsiTheme="minorBidi" w:cstheme="minorBidi"/>
            <w:b/>
            <w:bCs/>
            <w:noProof/>
            <w:webHidden/>
            <w:sz w:val="22"/>
          </w:rPr>
          <w:tab/>
        </w:r>
        <w:r w:rsidRPr="00BD3C5F">
          <w:rPr>
            <w:rFonts w:asciiTheme="minorBidi" w:hAnsiTheme="minorBidi" w:cstheme="minorBidi"/>
            <w:b/>
            <w:bCs/>
            <w:noProof/>
            <w:webHidden/>
            <w:sz w:val="22"/>
          </w:rPr>
          <w:fldChar w:fldCharType="begin"/>
        </w:r>
        <w:r w:rsidRPr="00BD3C5F">
          <w:rPr>
            <w:rFonts w:asciiTheme="minorBidi" w:hAnsiTheme="minorBidi" w:cstheme="minorBidi"/>
            <w:b/>
            <w:bCs/>
            <w:noProof/>
            <w:webHidden/>
            <w:sz w:val="22"/>
          </w:rPr>
          <w:instrText xml:space="preserve"> PAGEREF _Toc233893328 \h </w:instrText>
        </w:r>
        <w:r w:rsidRPr="00BD3C5F">
          <w:rPr>
            <w:rFonts w:asciiTheme="minorBidi" w:hAnsiTheme="minorBidi" w:cstheme="minorBidi"/>
            <w:b/>
            <w:bCs/>
            <w:noProof/>
            <w:webHidden/>
            <w:sz w:val="22"/>
          </w:rPr>
        </w:r>
        <w:r w:rsidRPr="00BD3C5F">
          <w:rPr>
            <w:rFonts w:asciiTheme="minorBidi" w:hAnsiTheme="minorBidi" w:cstheme="minorBidi"/>
            <w:b/>
            <w:bCs/>
            <w:noProof/>
            <w:webHidden/>
            <w:sz w:val="22"/>
          </w:rPr>
          <w:fldChar w:fldCharType="separate"/>
        </w:r>
        <w:r w:rsidRPr="00BD3C5F">
          <w:rPr>
            <w:rFonts w:asciiTheme="minorBidi" w:hAnsiTheme="minorBidi" w:cstheme="minorBidi"/>
            <w:b/>
            <w:bCs/>
            <w:noProof/>
            <w:webHidden/>
            <w:sz w:val="22"/>
          </w:rPr>
          <w:t>5</w:t>
        </w:r>
        <w:r w:rsidRPr="00BD3C5F">
          <w:rPr>
            <w:rFonts w:asciiTheme="minorBidi" w:hAnsiTheme="minorBidi" w:cstheme="minorBidi"/>
            <w:b/>
            <w:bCs/>
            <w:noProof/>
            <w:webHidden/>
            <w:sz w:val="22"/>
          </w:rPr>
          <w:fldChar w:fldCharType="end"/>
        </w:r>
      </w:hyperlink>
    </w:p>
    <w:p w14:paraId="4A04B6DA" w14:textId="77777777" w:rsidR="00EF0F73" w:rsidRPr="00BD3C5F" w:rsidRDefault="00B46A69" w:rsidP="00F94D66">
      <w:pPr>
        <w:pStyle w:val="TOC2"/>
        <w:tabs>
          <w:tab w:val="right" w:leader="dot" w:pos="9350"/>
        </w:tabs>
        <w:rPr>
          <w:rFonts w:asciiTheme="minorBidi" w:eastAsia="MS Mincho" w:hAnsiTheme="minorBidi" w:cstheme="minorBidi"/>
          <w:b/>
          <w:bCs/>
          <w:noProof/>
          <w:sz w:val="22"/>
        </w:rPr>
      </w:pPr>
      <w:r w:rsidRPr="00BD3C5F">
        <w:rPr>
          <w:rFonts w:asciiTheme="minorBidi" w:hAnsiTheme="minorBidi" w:cstheme="minorBidi"/>
          <w:b/>
          <w:bCs/>
          <w:sz w:val="22"/>
        </w:rPr>
        <w:t>2.4 Theoretical framework, challenges and recommendations</w:t>
      </w:r>
      <w:r w:rsidRPr="00BD3C5F">
        <w:rPr>
          <w:rFonts w:asciiTheme="minorBidi" w:hAnsiTheme="minorBidi" w:cstheme="minorBidi"/>
          <w:b/>
          <w:bCs/>
          <w:sz w:val="22"/>
        </w:rPr>
        <w:tab/>
        <w:t>6</w:t>
      </w:r>
    </w:p>
    <w:p w14:paraId="31E7AE93" w14:textId="77777777" w:rsidR="00EF0F73" w:rsidRPr="00BD3C5F" w:rsidRDefault="00B46A69" w:rsidP="00F94D66">
      <w:pPr>
        <w:pStyle w:val="TOC1"/>
        <w:tabs>
          <w:tab w:val="right" w:leader="dot" w:pos="9350"/>
        </w:tabs>
        <w:rPr>
          <w:rFonts w:asciiTheme="minorBidi" w:eastAsia="MS Mincho" w:hAnsiTheme="minorBidi" w:cstheme="minorBidi"/>
          <w:b/>
          <w:bCs/>
          <w:noProof/>
          <w:sz w:val="22"/>
        </w:rPr>
      </w:pPr>
      <w:hyperlink w:anchor="_Toc233893330" w:history="1">
        <w:r w:rsidRPr="00BD3C5F">
          <w:rPr>
            <w:rStyle w:val="Hyperlink"/>
            <w:rFonts w:asciiTheme="minorBidi" w:hAnsiTheme="minorBidi" w:cstheme="minorBidi"/>
            <w:b/>
            <w:bCs/>
            <w:noProof/>
            <w:sz w:val="22"/>
          </w:rPr>
          <w:t>3. Reduced Inequalities: SDG 10</w:t>
        </w:r>
        <w:r w:rsidRPr="00BD3C5F">
          <w:rPr>
            <w:rFonts w:asciiTheme="minorBidi" w:hAnsiTheme="minorBidi" w:cstheme="minorBidi"/>
            <w:b/>
            <w:bCs/>
            <w:noProof/>
            <w:webHidden/>
            <w:sz w:val="22"/>
          </w:rPr>
          <w:tab/>
        </w:r>
        <w:r w:rsidRPr="00BD3C5F">
          <w:rPr>
            <w:rFonts w:asciiTheme="minorBidi" w:hAnsiTheme="minorBidi" w:cstheme="minorBidi"/>
            <w:b/>
            <w:bCs/>
            <w:noProof/>
            <w:webHidden/>
            <w:sz w:val="22"/>
          </w:rPr>
          <w:fldChar w:fldCharType="begin"/>
        </w:r>
        <w:r w:rsidRPr="00BD3C5F">
          <w:rPr>
            <w:rFonts w:asciiTheme="minorBidi" w:hAnsiTheme="minorBidi" w:cstheme="minorBidi"/>
            <w:b/>
            <w:bCs/>
            <w:noProof/>
            <w:webHidden/>
            <w:sz w:val="22"/>
          </w:rPr>
          <w:instrText xml:space="preserve"> PAGEREF _Toc233893330 \h </w:instrText>
        </w:r>
        <w:r w:rsidRPr="00BD3C5F">
          <w:rPr>
            <w:rFonts w:asciiTheme="minorBidi" w:hAnsiTheme="minorBidi" w:cstheme="minorBidi"/>
            <w:b/>
            <w:bCs/>
            <w:noProof/>
            <w:webHidden/>
            <w:sz w:val="22"/>
          </w:rPr>
        </w:r>
        <w:r w:rsidRPr="00BD3C5F">
          <w:rPr>
            <w:rFonts w:asciiTheme="minorBidi" w:hAnsiTheme="minorBidi" w:cstheme="minorBidi"/>
            <w:b/>
            <w:bCs/>
            <w:noProof/>
            <w:webHidden/>
            <w:sz w:val="22"/>
          </w:rPr>
          <w:fldChar w:fldCharType="separate"/>
        </w:r>
        <w:r w:rsidRPr="00BD3C5F">
          <w:rPr>
            <w:rFonts w:asciiTheme="minorBidi" w:hAnsiTheme="minorBidi" w:cstheme="minorBidi"/>
            <w:b/>
            <w:bCs/>
            <w:noProof/>
            <w:webHidden/>
            <w:sz w:val="22"/>
          </w:rPr>
          <w:t>7</w:t>
        </w:r>
        <w:r w:rsidRPr="00BD3C5F">
          <w:rPr>
            <w:rFonts w:asciiTheme="minorBidi" w:hAnsiTheme="minorBidi" w:cstheme="minorBidi"/>
            <w:b/>
            <w:bCs/>
            <w:noProof/>
            <w:webHidden/>
            <w:sz w:val="22"/>
          </w:rPr>
          <w:fldChar w:fldCharType="end"/>
        </w:r>
      </w:hyperlink>
    </w:p>
    <w:p w14:paraId="20210E07" w14:textId="77777777" w:rsidR="00EF0F73" w:rsidRPr="00BD3C5F" w:rsidRDefault="00B46A69" w:rsidP="00F94D66">
      <w:pPr>
        <w:pStyle w:val="TOC2"/>
        <w:tabs>
          <w:tab w:val="right" w:leader="dot" w:pos="9350"/>
        </w:tabs>
        <w:rPr>
          <w:rFonts w:asciiTheme="minorBidi" w:eastAsia="MS Mincho" w:hAnsiTheme="minorBidi" w:cstheme="minorBidi"/>
          <w:b/>
          <w:bCs/>
          <w:noProof/>
          <w:sz w:val="22"/>
        </w:rPr>
      </w:pPr>
      <w:hyperlink w:anchor="_Toc233893331" w:history="1">
        <w:r w:rsidRPr="00BD3C5F">
          <w:rPr>
            <w:rStyle w:val="Hyperlink"/>
            <w:rFonts w:asciiTheme="minorBidi" w:hAnsiTheme="minorBidi" w:cstheme="minorBidi"/>
            <w:b/>
            <w:bCs/>
            <w:noProof/>
            <w:sz w:val="22"/>
          </w:rPr>
          <w:t>3.1 Link between SDG 10 and SDG 3</w:t>
        </w:r>
        <w:r w:rsidRPr="00BD3C5F">
          <w:rPr>
            <w:rFonts w:asciiTheme="minorBidi" w:hAnsiTheme="minorBidi" w:cstheme="minorBidi"/>
            <w:b/>
            <w:bCs/>
            <w:noProof/>
            <w:webHidden/>
            <w:sz w:val="22"/>
          </w:rPr>
          <w:tab/>
        </w:r>
        <w:r w:rsidRPr="00BD3C5F">
          <w:rPr>
            <w:rFonts w:asciiTheme="minorBidi" w:hAnsiTheme="minorBidi" w:cstheme="minorBidi"/>
            <w:b/>
            <w:bCs/>
            <w:noProof/>
            <w:webHidden/>
            <w:sz w:val="22"/>
          </w:rPr>
          <w:fldChar w:fldCharType="begin"/>
        </w:r>
        <w:r w:rsidRPr="00BD3C5F">
          <w:rPr>
            <w:rFonts w:asciiTheme="minorBidi" w:hAnsiTheme="minorBidi" w:cstheme="minorBidi"/>
            <w:b/>
            <w:bCs/>
            <w:noProof/>
            <w:webHidden/>
            <w:sz w:val="22"/>
          </w:rPr>
          <w:instrText xml:space="preserve"> PAGEREF _Toc233893331 \h </w:instrText>
        </w:r>
        <w:r w:rsidRPr="00BD3C5F">
          <w:rPr>
            <w:rFonts w:asciiTheme="minorBidi" w:hAnsiTheme="minorBidi" w:cstheme="minorBidi"/>
            <w:b/>
            <w:bCs/>
            <w:noProof/>
            <w:webHidden/>
            <w:sz w:val="22"/>
          </w:rPr>
        </w:r>
        <w:r w:rsidRPr="00BD3C5F">
          <w:rPr>
            <w:rFonts w:asciiTheme="minorBidi" w:hAnsiTheme="minorBidi" w:cstheme="minorBidi"/>
            <w:b/>
            <w:bCs/>
            <w:noProof/>
            <w:webHidden/>
            <w:sz w:val="22"/>
          </w:rPr>
          <w:fldChar w:fldCharType="separate"/>
        </w:r>
        <w:r w:rsidRPr="00BD3C5F">
          <w:rPr>
            <w:rFonts w:asciiTheme="minorBidi" w:hAnsiTheme="minorBidi" w:cstheme="minorBidi"/>
            <w:b/>
            <w:bCs/>
            <w:noProof/>
            <w:webHidden/>
            <w:sz w:val="22"/>
          </w:rPr>
          <w:t>7</w:t>
        </w:r>
        <w:r w:rsidRPr="00BD3C5F">
          <w:rPr>
            <w:rFonts w:asciiTheme="minorBidi" w:hAnsiTheme="minorBidi" w:cstheme="minorBidi"/>
            <w:b/>
            <w:bCs/>
            <w:noProof/>
            <w:webHidden/>
            <w:sz w:val="22"/>
          </w:rPr>
          <w:fldChar w:fldCharType="end"/>
        </w:r>
      </w:hyperlink>
    </w:p>
    <w:p w14:paraId="2F23E71B" w14:textId="77777777" w:rsidR="00EF0F73" w:rsidRPr="00BD3C5F" w:rsidRDefault="00B46A69" w:rsidP="00F94D66">
      <w:pPr>
        <w:pStyle w:val="TOC2"/>
        <w:tabs>
          <w:tab w:val="right" w:leader="dot" w:pos="9350"/>
        </w:tabs>
        <w:rPr>
          <w:rFonts w:asciiTheme="minorBidi" w:eastAsia="MS Mincho" w:hAnsiTheme="minorBidi" w:cstheme="minorBidi"/>
          <w:b/>
          <w:bCs/>
          <w:noProof/>
          <w:sz w:val="22"/>
        </w:rPr>
      </w:pPr>
      <w:hyperlink w:anchor="_Toc233893332" w:history="1">
        <w:r w:rsidRPr="00BD3C5F">
          <w:rPr>
            <w:rStyle w:val="Hyperlink"/>
            <w:rFonts w:asciiTheme="minorBidi" w:hAnsiTheme="minorBidi" w:cstheme="minorBidi"/>
            <w:b/>
            <w:bCs/>
            <w:noProof/>
            <w:sz w:val="22"/>
          </w:rPr>
          <w:t>3.2 Evaluation of global and national policies</w:t>
        </w:r>
        <w:r w:rsidRPr="00BD3C5F">
          <w:rPr>
            <w:rFonts w:asciiTheme="minorBidi" w:hAnsiTheme="minorBidi" w:cstheme="minorBidi"/>
            <w:b/>
            <w:bCs/>
            <w:noProof/>
            <w:webHidden/>
            <w:sz w:val="22"/>
          </w:rPr>
          <w:tab/>
        </w:r>
        <w:r w:rsidRPr="00BD3C5F">
          <w:rPr>
            <w:rFonts w:asciiTheme="minorBidi" w:hAnsiTheme="minorBidi" w:cstheme="minorBidi"/>
            <w:b/>
            <w:bCs/>
            <w:noProof/>
            <w:webHidden/>
            <w:sz w:val="22"/>
          </w:rPr>
          <w:fldChar w:fldCharType="begin"/>
        </w:r>
        <w:r w:rsidRPr="00BD3C5F">
          <w:rPr>
            <w:rFonts w:asciiTheme="minorBidi" w:hAnsiTheme="minorBidi" w:cstheme="minorBidi"/>
            <w:b/>
            <w:bCs/>
            <w:noProof/>
            <w:webHidden/>
            <w:sz w:val="22"/>
          </w:rPr>
          <w:instrText xml:space="preserve"> PAGEREF _Toc233893332 \h </w:instrText>
        </w:r>
        <w:r w:rsidRPr="00BD3C5F">
          <w:rPr>
            <w:rFonts w:asciiTheme="minorBidi" w:hAnsiTheme="minorBidi" w:cstheme="minorBidi"/>
            <w:b/>
            <w:bCs/>
            <w:noProof/>
            <w:webHidden/>
            <w:sz w:val="22"/>
          </w:rPr>
        </w:r>
        <w:r w:rsidRPr="00BD3C5F">
          <w:rPr>
            <w:rFonts w:asciiTheme="minorBidi" w:hAnsiTheme="minorBidi" w:cstheme="minorBidi"/>
            <w:b/>
            <w:bCs/>
            <w:noProof/>
            <w:webHidden/>
            <w:sz w:val="22"/>
          </w:rPr>
          <w:fldChar w:fldCharType="separate"/>
        </w:r>
        <w:r w:rsidRPr="00BD3C5F">
          <w:rPr>
            <w:rFonts w:asciiTheme="minorBidi" w:hAnsiTheme="minorBidi" w:cstheme="minorBidi"/>
            <w:b/>
            <w:bCs/>
            <w:noProof/>
            <w:webHidden/>
            <w:sz w:val="22"/>
          </w:rPr>
          <w:t>7</w:t>
        </w:r>
        <w:r w:rsidRPr="00BD3C5F">
          <w:rPr>
            <w:rFonts w:asciiTheme="minorBidi" w:hAnsiTheme="minorBidi" w:cstheme="minorBidi"/>
            <w:b/>
            <w:bCs/>
            <w:noProof/>
            <w:webHidden/>
            <w:sz w:val="22"/>
          </w:rPr>
          <w:fldChar w:fldCharType="end"/>
        </w:r>
      </w:hyperlink>
    </w:p>
    <w:p w14:paraId="0F65B201" w14:textId="77777777" w:rsidR="00EF0F73" w:rsidRPr="00BD3C5F" w:rsidRDefault="00B46A69" w:rsidP="00F94D66">
      <w:pPr>
        <w:pStyle w:val="TOC2"/>
        <w:tabs>
          <w:tab w:val="right" w:leader="dot" w:pos="9350"/>
        </w:tabs>
        <w:rPr>
          <w:rFonts w:asciiTheme="minorBidi" w:eastAsia="MS Mincho" w:hAnsiTheme="minorBidi" w:cstheme="minorBidi"/>
          <w:b/>
          <w:bCs/>
          <w:noProof/>
          <w:sz w:val="22"/>
        </w:rPr>
      </w:pPr>
      <w:r w:rsidRPr="00BD3C5F">
        <w:rPr>
          <w:rFonts w:asciiTheme="minorBidi" w:hAnsiTheme="minorBidi" w:cstheme="minorBidi"/>
          <w:b/>
          <w:bCs/>
          <w:sz w:val="22"/>
        </w:rPr>
        <w:t>3.3 Local application and theoretical model</w:t>
      </w:r>
      <w:r w:rsidRPr="00BD3C5F">
        <w:rPr>
          <w:rFonts w:asciiTheme="minorBidi" w:hAnsiTheme="minorBidi" w:cstheme="minorBidi"/>
          <w:b/>
          <w:bCs/>
          <w:sz w:val="22"/>
        </w:rPr>
        <w:tab/>
        <w:t>9</w:t>
      </w:r>
    </w:p>
    <w:p w14:paraId="4B6A96DF" w14:textId="77777777" w:rsidR="00EF0F73" w:rsidRPr="00BD3C5F" w:rsidRDefault="00B46A69" w:rsidP="00F94D66">
      <w:pPr>
        <w:pStyle w:val="TOC2"/>
        <w:tabs>
          <w:tab w:val="right" w:leader="dot" w:pos="9350"/>
        </w:tabs>
        <w:rPr>
          <w:rFonts w:asciiTheme="minorBidi" w:eastAsia="MS Mincho" w:hAnsiTheme="minorBidi" w:cstheme="minorBidi"/>
          <w:b/>
          <w:bCs/>
          <w:noProof/>
          <w:sz w:val="22"/>
        </w:rPr>
      </w:pPr>
      <w:hyperlink w:anchor="_Toc233893334" w:history="1">
        <w:r w:rsidRPr="00BD3C5F">
          <w:rPr>
            <w:rStyle w:val="Hyperlink"/>
            <w:rFonts w:asciiTheme="minorBidi" w:hAnsiTheme="minorBidi" w:cstheme="minorBidi"/>
            <w:b/>
            <w:bCs/>
            <w:noProof/>
            <w:sz w:val="22"/>
          </w:rPr>
          <w:t>3.4 Challenges and recommendations</w:t>
        </w:r>
        <w:r w:rsidRPr="00BD3C5F">
          <w:rPr>
            <w:rFonts w:asciiTheme="minorBidi" w:hAnsiTheme="minorBidi" w:cstheme="minorBidi"/>
            <w:b/>
            <w:bCs/>
            <w:noProof/>
            <w:webHidden/>
            <w:sz w:val="22"/>
          </w:rPr>
          <w:tab/>
        </w:r>
        <w:r w:rsidRPr="00BD3C5F">
          <w:rPr>
            <w:rFonts w:asciiTheme="minorBidi" w:hAnsiTheme="minorBidi" w:cstheme="minorBidi"/>
            <w:b/>
            <w:bCs/>
            <w:noProof/>
            <w:webHidden/>
            <w:sz w:val="22"/>
          </w:rPr>
          <w:fldChar w:fldCharType="begin"/>
        </w:r>
        <w:r w:rsidRPr="00BD3C5F">
          <w:rPr>
            <w:rFonts w:asciiTheme="minorBidi" w:hAnsiTheme="minorBidi" w:cstheme="minorBidi"/>
            <w:b/>
            <w:bCs/>
            <w:noProof/>
            <w:webHidden/>
            <w:sz w:val="22"/>
          </w:rPr>
          <w:instrText xml:space="preserve"> PAGEREF _Toc233893334 \h </w:instrText>
        </w:r>
        <w:r w:rsidRPr="00BD3C5F">
          <w:rPr>
            <w:rFonts w:asciiTheme="minorBidi" w:hAnsiTheme="minorBidi" w:cstheme="minorBidi"/>
            <w:b/>
            <w:bCs/>
            <w:noProof/>
            <w:webHidden/>
            <w:sz w:val="22"/>
          </w:rPr>
        </w:r>
        <w:r w:rsidRPr="00BD3C5F">
          <w:rPr>
            <w:rFonts w:asciiTheme="minorBidi" w:hAnsiTheme="minorBidi" w:cstheme="minorBidi"/>
            <w:b/>
            <w:bCs/>
            <w:noProof/>
            <w:webHidden/>
            <w:sz w:val="22"/>
          </w:rPr>
          <w:fldChar w:fldCharType="separate"/>
        </w:r>
        <w:r w:rsidRPr="00BD3C5F">
          <w:rPr>
            <w:rFonts w:asciiTheme="minorBidi" w:hAnsiTheme="minorBidi" w:cstheme="minorBidi"/>
            <w:b/>
            <w:bCs/>
            <w:noProof/>
            <w:webHidden/>
            <w:sz w:val="22"/>
          </w:rPr>
          <w:t>10</w:t>
        </w:r>
        <w:r w:rsidRPr="00BD3C5F">
          <w:rPr>
            <w:rFonts w:asciiTheme="minorBidi" w:hAnsiTheme="minorBidi" w:cstheme="minorBidi"/>
            <w:b/>
            <w:bCs/>
            <w:noProof/>
            <w:webHidden/>
            <w:sz w:val="22"/>
          </w:rPr>
          <w:fldChar w:fldCharType="end"/>
        </w:r>
      </w:hyperlink>
    </w:p>
    <w:p w14:paraId="532ABFED" w14:textId="77777777" w:rsidR="00EF0F73" w:rsidRPr="00BD3C5F" w:rsidRDefault="00B46A69" w:rsidP="00F94D66">
      <w:pPr>
        <w:pStyle w:val="TOC1"/>
        <w:tabs>
          <w:tab w:val="right" w:leader="dot" w:pos="9350"/>
        </w:tabs>
        <w:rPr>
          <w:rFonts w:asciiTheme="minorBidi" w:eastAsia="MS Mincho" w:hAnsiTheme="minorBidi" w:cstheme="minorBidi"/>
          <w:b/>
          <w:bCs/>
          <w:noProof/>
          <w:sz w:val="22"/>
        </w:rPr>
      </w:pPr>
      <w:r w:rsidRPr="00BD3C5F">
        <w:rPr>
          <w:rFonts w:asciiTheme="minorBidi" w:hAnsiTheme="minorBidi" w:cstheme="minorBidi"/>
          <w:b/>
          <w:bCs/>
          <w:sz w:val="22"/>
        </w:rPr>
        <w:t>4. Conclusion</w:t>
      </w:r>
      <w:r w:rsidRPr="00BD3C5F">
        <w:rPr>
          <w:rFonts w:asciiTheme="minorBidi" w:hAnsiTheme="minorBidi" w:cstheme="minorBidi"/>
          <w:b/>
          <w:bCs/>
          <w:sz w:val="22"/>
        </w:rPr>
        <w:tab/>
        <w:t>11</w:t>
      </w:r>
    </w:p>
    <w:p w14:paraId="2A11DBEA" w14:textId="77777777" w:rsidR="00EF0F73" w:rsidRPr="00BD3C5F" w:rsidRDefault="00B46A69" w:rsidP="00F94D66">
      <w:pPr>
        <w:pStyle w:val="TOC1"/>
        <w:tabs>
          <w:tab w:val="right" w:leader="dot" w:pos="9350"/>
        </w:tabs>
        <w:rPr>
          <w:rFonts w:asciiTheme="minorBidi" w:eastAsia="MS Mincho" w:hAnsiTheme="minorBidi" w:cstheme="minorBidi"/>
          <w:b/>
          <w:bCs/>
          <w:noProof/>
          <w:sz w:val="22"/>
        </w:rPr>
      </w:pPr>
      <w:hyperlink w:anchor="_Toc233893336" w:history="1">
        <w:r w:rsidRPr="00BD3C5F">
          <w:rPr>
            <w:rStyle w:val="Hyperlink"/>
            <w:rFonts w:asciiTheme="minorBidi" w:hAnsiTheme="minorBidi" w:cstheme="minorBidi"/>
            <w:b/>
            <w:bCs/>
            <w:noProof/>
            <w:sz w:val="22"/>
          </w:rPr>
          <w:t>5. References</w:t>
        </w:r>
        <w:r w:rsidRPr="00BD3C5F">
          <w:rPr>
            <w:rFonts w:asciiTheme="minorBidi" w:hAnsiTheme="minorBidi" w:cstheme="minorBidi"/>
            <w:b/>
            <w:bCs/>
            <w:noProof/>
            <w:webHidden/>
            <w:sz w:val="22"/>
          </w:rPr>
          <w:tab/>
        </w:r>
        <w:r w:rsidRPr="00BD3C5F">
          <w:rPr>
            <w:rFonts w:asciiTheme="minorBidi" w:hAnsiTheme="minorBidi" w:cstheme="minorBidi"/>
            <w:b/>
            <w:bCs/>
            <w:noProof/>
            <w:webHidden/>
            <w:sz w:val="22"/>
          </w:rPr>
          <w:fldChar w:fldCharType="begin"/>
        </w:r>
        <w:r w:rsidRPr="00BD3C5F">
          <w:rPr>
            <w:rFonts w:asciiTheme="minorBidi" w:hAnsiTheme="minorBidi" w:cstheme="minorBidi"/>
            <w:b/>
            <w:bCs/>
            <w:noProof/>
            <w:webHidden/>
            <w:sz w:val="22"/>
          </w:rPr>
          <w:instrText xml:space="preserve"> PAGEREF _Toc233893336 \h </w:instrText>
        </w:r>
        <w:r w:rsidRPr="00BD3C5F">
          <w:rPr>
            <w:rFonts w:asciiTheme="minorBidi" w:hAnsiTheme="minorBidi" w:cstheme="minorBidi"/>
            <w:b/>
            <w:bCs/>
            <w:noProof/>
            <w:webHidden/>
            <w:sz w:val="22"/>
          </w:rPr>
        </w:r>
        <w:r w:rsidRPr="00BD3C5F">
          <w:rPr>
            <w:rFonts w:asciiTheme="minorBidi" w:hAnsiTheme="minorBidi" w:cstheme="minorBidi"/>
            <w:b/>
            <w:bCs/>
            <w:noProof/>
            <w:webHidden/>
            <w:sz w:val="22"/>
          </w:rPr>
          <w:fldChar w:fldCharType="separate"/>
        </w:r>
        <w:r w:rsidRPr="00BD3C5F">
          <w:rPr>
            <w:rFonts w:asciiTheme="minorBidi" w:hAnsiTheme="minorBidi" w:cstheme="minorBidi"/>
            <w:b/>
            <w:bCs/>
            <w:noProof/>
            <w:webHidden/>
            <w:sz w:val="22"/>
          </w:rPr>
          <w:t>11</w:t>
        </w:r>
        <w:r w:rsidRPr="00BD3C5F">
          <w:rPr>
            <w:rFonts w:asciiTheme="minorBidi" w:hAnsiTheme="minorBidi" w:cstheme="minorBidi"/>
            <w:b/>
            <w:bCs/>
            <w:noProof/>
            <w:webHidden/>
            <w:sz w:val="22"/>
          </w:rPr>
          <w:fldChar w:fldCharType="end"/>
        </w:r>
      </w:hyperlink>
    </w:p>
    <w:p w14:paraId="0A2E5A4E" w14:textId="77777777" w:rsidR="00EF0F73" w:rsidRPr="00F94D66" w:rsidRDefault="00B46A69" w:rsidP="00F94D66">
      <w:pPr>
        <w:rPr>
          <w:rFonts w:asciiTheme="minorBidi" w:hAnsiTheme="minorBidi" w:cstheme="minorBidi"/>
          <w:sz w:val="22"/>
        </w:rPr>
      </w:pPr>
      <w:r w:rsidRPr="00BD3C5F">
        <w:rPr>
          <w:rFonts w:asciiTheme="minorBidi" w:hAnsiTheme="minorBidi" w:cstheme="minorBidi"/>
          <w:b/>
          <w:bCs/>
          <w:noProof/>
          <w:sz w:val="22"/>
        </w:rPr>
        <w:fldChar w:fldCharType="end"/>
      </w:r>
    </w:p>
    <w:p w14:paraId="2F4B21F4"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br w:type="page"/>
      </w:r>
    </w:p>
    <w:p w14:paraId="70624948" w14:textId="77777777" w:rsidR="00EF0F73" w:rsidRPr="00F94D66" w:rsidRDefault="00B46A69" w:rsidP="00F94D66">
      <w:pPr>
        <w:pStyle w:val="Heading1"/>
        <w:rPr>
          <w:rFonts w:asciiTheme="minorBidi" w:hAnsiTheme="minorBidi" w:cstheme="minorBidi"/>
          <w:sz w:val="22"/>
          <w:szCs w:val="22"/>
        </w:rPr>
      </w:pPr>
      <w:bookmarkStart w:id="0" w:name="_Toc233893324"/>
      <w:r w:rsidRPr="00F94D66">
        <w:rPr>
          <w:rFonts w:asciiTheme="minorBidi" w:hAnsiTheme="minorBidi" w:cstheme="minorBidi"/>
          <w:sz w:val="22"/>
          <w:szCs w:val="22"/>
        </w:rPr>
        <w:lastRenderedPageBreak/>
        <w:t>1. Introduction</w:t>
      </w:r>
      <w:bookmarkEnd w:id="0"/>
    </w:p>
    <w:p w14:paraId="05A23F7A"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 xml:space="preserve">In 2015, the United Nations 2030 Agenda set out 17 Sustainable Development Goals (SDGs) as a unified set of goals to eradicate poverty, protect the planet and improve human wellbeing (United Nations, 2015). This report focuses on SDG 3, Good Health and Wellbeing, and SDG 10, Reduced Inequalities. The two goals are inextricably linked: the distribution of income, housing, education, work and power shape who becomes ill, who </w:t>
      </w:r>
      <w:proofErr w:type="gramStart"/>
      <w:r w:rsidRPr="00F94D66">
        <w:rPr>
          <w:rFonts w:asciiTheme="minorBidi" w:hAnsiTheme="minorBidi" w:cstheme="minorBidi"/>
          <w:sz w:val="22"/>
        </w:rPr>
        <w:t>is able to</w:t>
      </w:r>
      <w:proofErr w:type="gramEnd"/>
      <w:r w:rsidRPr="00F94D66">
        <w:rPr>
          <w:rFonts w:asciiTheme="minorBidi" w:hAnsiTheme="minorBidi" w:cstheme="minorBidi"/>
          <w:sz w:val="22"/>
        </w:rPr>
        <w:t xml:space="preserve"> get care early, and who benefits from prevention when it comes to health services (World Health Organization, 2025b; The Health Foundation, 2024).</w:t>
      </w:r>
    </w:p>
    <w:p w14:paraId="3C69E996"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The purpose of the report is to critically analyse and evaluate how global, national and local initiatives contribute to SDG 3 and SDG 10, demonstrating evidence from international organisations, UK policy and Walsall, including both outcomes and implementation. This report first examines SDG 3 in the context of health initiatives and the Health Belief Model. It then analyses SDG 10 through the Whitehead and Dahlgren social determinants model, before giving evidence-based recommendations. These frameworks are used because they reflect the module’s focus on behaviour-change theory, social determinants of health and evaluation of health and wellbeing interventions.</w:t>
      </w:r>
    </w:p>
    <w:p w14:paraId="4632F729" w14:textId="77777777" w:rsidR="00EF0F73" w:rsidRPr="00F94D66" w:rsidRDefault="00B46A69" w:rsidP="00F94D66">
      <w:pPr>
        <w:jc w:val="center"/>
        <w:rPr>
          <w:rFonts w:asciiTheme="minorBidi" w:hAnsiTheme="minorBidi" w:cstheme="minorBidi"/>
          <w:sz w:val="22"/>
        </w:rPr>
      </w:pPr>
      <w:r w:rsidRPr="00F94D66">
        <w:rPr>
          <w:rFonts w:asciiTheme="minorBidi" w:hAnsiTheme="minorBidi" w:cstheme="minorBidi"/>
          <w:noProof/>
          <w:sz w:val="22"/>
        </w:rPr>
        <w:drawing>
          <wp:inline distT="0" distB="0" distL="0" distR="0" wp14:anchorId="140870F2" wp14:editId="22E1AE6F">
            <wp:extent cx="5219700" cy="2413000"/>
            <wp:effectExtent l="19050" t="19050" r="19050" b="25400"/>
            <wp:docPr id="1026"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8" cstate="print"/>
                    <a:srcRect/>
                    <a:stretch/>
                  </pic:blipFill>
                  <pic:spPr>
                    <a:xfrm>
                      <a:off x="0" y="0"/>
                      <a:ext cx="5219700" cy="2413000"/>
                    </a:xfrm>
                    <a:prstGeom prst="rect">
                      <a:avLst/>
                    </a:prstGeom>
                    <a:ln w="9525" cap="flat" cmpd="sng">
                      <a:solidFill>
                        <a:srgbClr val="000000"/>
                      </a:solidFill>
                      <a:prstDash val="solid"/>
                      <a:round/>
                      <a:headEnd/>
                      <a:tailEnd/>
                    </a:ln>
                  </pic:spPr>
                </pic:pic>
              </a:graphicData>
            </a:graphic>
          </wp:inline>
        </w:drawing>
      </w:r>
    </w:p>
    <w:p w14:paraId="2C40A74D" w14:textId="77777777" w:rsidR="00EF0F73" w:rsidRPr="00F94D66" w:rsidRDefault="00B46A69" w:rsidP="00F94D66">
      <w:pPr>
        <w:jc w:val="center"/>
        <w:rPr>
          <w:rFonts w:asciiTheme="minorBidi" w:hAnsiTheme="minorBidi" w:cstheme="minorBidi"/>
          <w:sz w:val="22"/>
        </w:rPr>
      </w:pPr>
      <w:r w:rsidRPr="00F94D66">
        <w:rPr>
          <w:rFonts w:asciiTheme="minorBidi" w:hAnsiTheme="minorBidi" w:cstheme="minorBidi"/>
          <w:b/>
          <w:sz w:val="22"/>
        </w:rPr>
        <w:t>Figure 1: Link between SDG 3 and SDG 10</w:t>
      </w:r>
    </w:p>
    <w:p w14:paraId="475F12C8" w14:textId="77777777" w:rsidR="00EF0F73" w:rsidRPr="00F94D66" w:rsidRDefault="00B46A69" w:rsidP="00F94D66">
      <w:pPr>
        <w:jc w:val="center"/>
        <w:rPr>
          <w:rFonts w:asciiTheme="minorBidi" w:hAnsiTheme="minorBidi" w:cstheme="minorBidi"/>
          <w:sz w:val="22"/>
        </w:rPr>
      </w:pPr>
      <w:r w:rsidRPr="00F94D66">
        <w:rPr>
          <w:rFonts w:asciiTheme="minorBidi" w:hAnsiTheme="minorBidi" w:cstheme="minorBidi"/>
          <w:i/>
          <w:sz w:val="22"/>
        </w:rPr>
        <w:t xml:space="preserve">Source: Adapted from </w:t>
      </w:r>
      <w:r w:rsidR="006C3A4E" w:rsidRPr="00F94D66">
        <w:rPr>
          <w:rFonts w:asciiTheme="minorBidi" w:hAnsiTheme="minorBidi" w:cstheme="minorBidi"/>
          <w:i/>
          <w:sz w:val="22"/>
        </w:rPr>
        <w:t>UN DESA</w:t>
      </w:r>
      <w:r w:rsidRPr="00F94D66">
        <w:rPr>
          <w:rFonts w:asciiTheme="minorBidi" w:hAnsiTheme="minorBidi" w:cstheme="minorBidi"/>
          <w:i/>
          <w:sz w:val="22"/>
        </w:rPr>
        <w:t xml:space="preserve"> (</w:t>
      </w:r>
      <w:proofErr w:type="spellStart"/>
      <w:r w:rsidRPr="00F94D66">
        <w:rPr>
          <w:rFonts w:asciiTheme="minorBidi" w:hAnsiTheme="minorBidi" w:cstheme="minorBidi"/>
          <w:i/>
          <w:sz w:val="22"/>
        </w:rPr>
        <w:t>n.d.a</w:t>
      </w:r>
      <w:proofErr w:type="spellEnd"/>
      <w:r w:rsidRPr="00F94D66">
        <w:rPr>
          <w:rFonts w:asciiTheme="minorBidi" w:hAnsiTheme="minorBidi" w:cstheme="minorBidi"/>
          <w:i/>
          <w:sz w:val="22"/>
        </w:rPr>
        <w:t xml:space="preserve">; </w:t>
      </w:r>
      <w:proofErr w:type="spellStart"/>
      <w:r w:rsidRPr="00F94D66">
        <w:rPr>
          <w:rFonts w:asciiTheme="minorBidi" w:hAnsiTheme="minorBidi" w:cstheme="minorBidi"/>
          <w:i/>
          <w:sz w:val="22"/>
        </w:rPr>
        <w:t>n.d.b</w:t>
      </w:r>
      <w:proofErr w:type="spellEnd"/>
      <w:r w:rsidRPr="00F94D66">
        <w:rPr>
          <w:rFonts w:asciiTheme="minorBidi" w:hAnsiTheme="minorBidi" w:cstheme="minorBidi"/>
          <w:i/>
          <w:sz w:val="22"/>
        </w:rPr>
        <w:t>).</w:t>
      </w:r>
    </w:p>
    <w:p w14:paraId="25606C62" w14:textId="77777777" w:rsidR="00EF0F73" w:rsidRPr="00F94D66" w:rsidRDefault="00B46A69" w:rsidP="00F94D66">
      <w:pPr>
        <w:pStyle w:val="Heading1"/>
        <w:rPr>
          <w:rFonts w:asciiTheme="minorBidi" w:hAnsiTheme="minorBidi" w:cstheme="minorBidi"/>
          <w:sz w:val="22"/>
          <w:szCs w:val="22"/>
        </w:rPr>
      </w:pPr>
      <w:bookmarkStart w:id="1" w:name="_Toc233893325"/>
      <w:r w:rsidRPr="00F94D66">
        <w:rPr>
          <w:rFonts w:asciiTheme="minorBidi" w:hAnsiTheme="minorBidi" w:cstheme="minorBidi"/>
          <w:sz w:val="22"/>
          <w:szCs w:val="22"/>
        </w:rPr>
        <w:lastRenderedPageBreak/>
        <w:t>2. Good Health and Wellbeing: SDG 3</w:t>
      </w:r>
      <w:bookmarkEnd w:id="1"/>
    </w:p>
    <w:p w14:paraId="7F2AAA63" w14:textId="77777777" w:rsidR="00EF0F73" w:rsidRPr="00F94D66" w:rsidRDefault="00B46A69" w:rsidP="00F94D66">
      <w:pPr>
        <w:pStyle w:val="Heading2"/>
        <w:rPr>
          <w:rFonts w:asciiTheme="minorBidi" w:hAnsiTheme="minorBidi" w:cstheme="minorBidi"/>
          <w:sz w:val="22"/>
          <w:szCs w:val="22"/>
        </w:rPr>
      </w:pPr>
      <w:bookmarkStart w:id="2" w:name="_Toc233893326"/>
      <w:r w:rsidRPr="00F94D66">
        <w:rPr>
          <w:rFonts w:asciiTheme="minorBidi" w:hAnsiTheme="minorBidi" w:cstheme="minorBidi"/>
          <w:sz w:val="22"/>
          <w:szCs w:val="22"/>
        </w:rPr>
        <w:t>2.1 Overview and targets</w:t>
      </w:r>
      <w:bookmarkEnd w:id="2"/>
    </w:p>
    <w:p w14:paraId="22D7A069"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 xml:space="preserve">The aim of SDG 3 is to ensure good health and promote wellbeing </w:t>
      </w:r>
      <w:proofErr w:type="gramStart"/>
      <w:r w:rsidRPr="00F94D66">
        <w:rPr>
          <w:rFonts w:asciiTheme="minorBidi" w:hAnsiTheme="minorBidi" w:cstheme="minorBidi"/>
          <w:sz w:val="22"/>
        </w:rPr>
        <w:t>for all at</w:t>
      </w:r>
      <w:proofErr w:type="gramEnd"/>
      <w:r w:rsidRPr="00F94D66">
        <w:rPr>
          <w:rFonts w:asciiTheme="minorBidi" w:hAnsiTheme="minorBidi" w:cstheme="minorBidi"/>
          <w:sz w:val="22"/>
        </w:rPr>
        <w:t xml:space="preserve"> all ages. Among its objectives are to reduce maternal and child mortality, end major epidemics of communicable diseases, reduce non-communicable diseases and mental ill-health, prevent substance misuse and road deaths, achieve universal health coverage (UHC), and improve access to medicines, vaccines and health workers (UN DESA, n.d.a). These targets are broad, and that is a strength as health is multidimensional, but also a weakness because the politically harder determinants, such as poverty and housing, can be overlooked. Thus, SDG 3 asks not only whether these programmes exist, but whether they reach those who are most at risk and whether gaps between groups are actually reduced.</w:t>
      </w:r>
    </w:p>
    <w:p w14:paraId="4531AD24" w14:textId="77777777" w:rsidR="00EF0F73" w:rsidRPr="00F94D66" w:rsidRDefault="00B46A69" w:rsidP="00F94D66">
      <w:pPr>
        <w:pStyle w:val="Heading2"/>
        <w:rPr>
          <w:rFonts w:asciiTheme="minorBidi" w:hAnsiTheme="minorBidi" w:cstheme="minorBidi"/>
          <w:sz w:val="22"/>
          <w:szCs w:val="22"/>
        </w:rPr>
      </w:pPr>
      <w:bookmarkStart w:id="3" w:name="_Toc233893327"/>
      <w:r w:rsidRPr="00F94D66">
        <w:rPr>
          <w:rFonts w:asciiTheme="minorBidi" w:hAnsiTheme="minorBidi" w:cstheme="minorBidi"/>
          <w:sz w:val="22"/>
          <w:szCs w:val="22"/>
        </w:rPr>
        <w:t>2.2 Critical evaluation of global initiatives</w:t>
      </w:r>
      <w:bookmarkEnd w:id="3"/>
    </w:p>
    <w:p w14:paraId="1DCC257B"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 xml:space="preserve">The achievements and challenges of SDG 3 at the global level are illustrated by global initiatives. Every Woman Every Child has </w:t>
      </w:r>
      <w:r w:rsidR="006C3A4E" w:rsidRPr="00F94D66">
        <w:rPr>
          <w:rFonts w:asciiTheme="minorBidi" w:hAnsiTheme="minorBidi" w:cstheme="minorBidi"/>
          <w:sz w:val="22"/>
        </w:rPr>
        <w:t>encouraged</w:t>
      </w:r>
      <w:r w:rsidRPr="00F94D66">
        <w:rPr>
          <w:rFonts w:asciiTheme="minorBidi" w:hAnsiTheme="minorBidi" w:cstheme="minorBidi"/>
          <w:sz w:val="22"/>
        </w:rPr>
        <w:t xml:space="preserve"> governments, civil society and private actors to </w:t>
      </w:r>
      <w:proofErr w:type="gramStart"/>
      <w:r w:rsidRPr="00F94D66">
        <w:rPr>
          <w:rFonts w:asciiTheme="minorBidi" w:hAnsiTheme="minorBidi" w:cstheme="minorBidi"/>
          <w:sz w:val="22"/>
        </w:rPr>
        <w:t>take action</w:t>
      </w:r>
      <w:proofErr w:type="gramEnd"/>
      <w:r w:rsidRPr="00F94D66">
        <w:rPr>
          <w:rFonts w:asciiTheme="minorBidi" w:hAnsiTheme="minorBidi" w:cstheme="minorBidi"/>
          <w:sz w:val="22"/>
        </w:rPr>
        <w:t xml:space="preserve"> on the health of women, children and adolescents (Every Woman Every Child, n.d.). Its power lies in gaining political visibility: maternal and child health became a global platform and not just a narrow clinical question. But these programmes can be costly and lack oversight if they do not have enough resources, staffing and conflict protection.</w:t>
      </w:r>
    </w:p>
    <w:p w14:paraId="3BC6ACA3"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For example, the Global Polio Eradication Initiative (GPEI) has shown great technical achievement; polio cases have declined by more than 99% since 1988, and vaccines have prevented an estimated 20 million cases of paralysis (CDC, 2026; Global Polio Eradication Initiative, n.d.). However, eradication has yet to be completed due to insecurity, misinformation, less effective routine immunisation and vaccine-derived outbreaks. This indicates that the success of disease-specific programmes is stronger when they expand primary care and community trust, not when they are implemented as stand-alone campaigns.</w:t>
      </w:r>
    </w:p>
    <w:p w14:paraId="4FD9B198"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The wider SDG 3 issue is UHC. WHO estimates that in 2023, approximately 4.6 billion people did not receive essential health services, and in 2022, 2.1 billion people faced financial hardship when paying for out-of-pocket health care expenses (</w:t>
      </w:r>
      <w:r w:rsidR="00506833" w:rsidRPr="00F94D66">
        <w:rPr>
          <w:rFonts w:asciiTheme="minorBidi" w:hAnsiTheme="minorBidi" w:cstheme="minorBidi"/>
          <w:sz w:val="22"/>
        </w:rPr>
        <w:t>World Health Organization</w:t>
      </w:r>
      <w:r w:rsidRPr="00F94D66">
        <w:rPr>
          <w:rFonts w:asciiTheme="minorBidi" w:hAnsiTheme="minorBidi" w:cstheme="minorBidi"/>
          <w:sz w:val="22"/>
        </w:rPr>
        <w:t>, 2025a). However, improvements in the world must be evaluated not just on disease outcomes, but also on fair access and financial protection. The danger is that global health governance which emphasises technical victories can ignore the political economy of health. Debt, conflict, health worker migration and reliance on donors can all undermine national health systems.</w:t>
      </w:r>
    </w:p>
    <w:p w14:paraId="6D7EFFE3" w14:textId="77777777" w:rsidR="00EF0F73" w:rsidRPr="00F94D66" w:rsidRDefault="00B46A69" w:rsidP="00F94D66">
      <w:pPr>
        <w:pStyle w:val="Heading2"/>
        <w:rPr>
          <w:rFonts w:asciiTheme="minorBidi" w:hAnsiTheme="minorBidi" w:cstheme="minorBidi"/>
          <w:sz w:val="22"/>
          <w:szCs w:val="22"/>
        </w:rPr>
      </w:pPr>
      <w:bookmarkStart w:id="4" w:name="_Toc233893328"/>
      <w:r w:rsidRPr="00F94D66">
        <w:rPr>
          <w:rFonts w:asciiTheme="minorBidi" w:hAnsiTheme="minorBidi" w:cstheme="minorBidi"/>
          <w:sz w:val="22"/>
          <w:szCs w:val="22"/>
        </w:rPr>
        <w:lastRenderedPageBreak/>
        <w:t>2.3 UK and local initiatives</w:t>
      </w:r>
      <w:bookmarkEnd w:id="4"/>
    </w:p>
    <w:p w14:paraId="3C2BA858"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 xml:space="preserve">The NHS in England provides SDG 3 with a solid base, as care is available at the point of need and is free to most people. </w:t>
      </w:r>
      <w:r w:rsidR="006C3A4E" w:rsidRPr="00F94D66">
        <w:rPr>
          <w:rFonts w:asciiTheme="minorBidi" w:hAnsiTheme="minorBidi" w:cstheme="minorBidi"/>
          <w:sz w:val="22"/>
        </w:rPr>
        <w:t xml:space="preserve">The 10 Year Health Plan suggests three main shifts; from hospital to community, from analogue to digital, and from sickness to prevention (Department of Health and Social Care, 2025). </w:t>
      </w:r>
      <w:r w:rsidRPr="00F94D66">
        <w:rPr>
          <w:rFonts w:asciiTheme="minorBidi" w:hAnsiTheme="minorBidi" w:cstheme="minorBidi"/>
          <w:sz w:val="22"/>
        </w:rPr>
        <w:t>These priorities are suitable as late intervention is costly and can worsen inequalities. They also satisfy the SDG concept of prevention across the life course instead of just treating acute illness.</w:t>
      </w:r>
    </w:p>
    <w:p w14:paraId="71E5FBA0"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The plan faces the same problem with implementation as previous reforms. Prevention must come with long-term investment in public health, social care, staffing and action outside the NHS. Switching to digital may benefit some patients but leave out people with low digital skills, disabled people, those who speak English as an additional language, and people who have insecure housing.</w:t>
      </w:r>
    </w:p>
    <w:p w14:paraId="1EF32A27"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The Prevention Vision aimed to improve healthy life expectancy by five years by 2035 and close the gap between rich and poor communities (Department of Health and Social Care, 2018). This vision acknowledges inequality, but it is hard to see how the country can make real progress if it mainly depends on individual behaviour change instead of action on income, food environments and jobs.</w:t>
      </w:r>
    </w:p>
    <w:p w14:paraId="71A4EBE9"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Prevention, mental wellbeing and children and young people are priorities identified within the Joint Local Health and Wellbeing Strategy (Walsall Health and Wellbeing Board, 2022). This is locally relevant, as Walsall is still one of the most deprived areas in England. However, strategies should have measurable outcomes and protected resources to stop them being only aspirational. National policy in relation to council funding, welfare and housing limits the scope of local prevention, and so responsibility cannot be delegated entirely to local partnerships.</w:t>
      </w:r>
    </w:p>
    <w:p w14:paraId="5EFB505D" w14:textId="77777777" w:rsidR="00EF0F73" w:rsidRPr="00F94D66" w:rsidRDefault="00B46A69" w:rsidP="00F94D66">
      <w:pPr>
        <w:pStyle w:val="Heading2"/>
        <w:rPr>
          <w:rFonts w:asciiTheme="minorBidi" w:hAnsiTheme="minorBidi" w:cstheme="minorBidi"/>
          <w:sz w:val="22"/>
          <w:szCs w:val="22"/>
        </w:rPr>
      </w:pPr>
      <w:bookmarkStart w:id="5" w:name="_Toc233893329"/>
      <w:r w:rsidRPr="00F94D66">
        <w:rPr>
          <w:rFonts w:asciiTheme="minorBidi" w:hAnsiTheme="minorBidi" w:cstheme="minorBidi"/>
          <w:sz w:val="22"/>
          <w:szCs w:val="22"/>
        </w:rPr>
        <w:t>2.4 Theoretical framework, challenges and recommendations</w:t>
      </w:r>
      <w:bookmarkEnd w:id="5"/>
    </w:p>
    <w:p w14:paraId="6A46F066"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The Health Belief Model can be used to understand why individuals might or might not participate in screening, vaccination, healthy eating or smoking cessation. It focuses on perceived susceptibility, severity, benefits, barriers, cues to action and self-efficacy (Rosenstock, 1974). For SDG 3, it emphasises the importance of communication, trust and confidence. For instance, when people are aware of risk and think that services are available, they are more likely to take up the vaccine.</w:t>
      </w:r>
    </w:p>
    <w:p w14:paraId="3E81797B" w14:textId="77777777" w:rsidR="00EF0F73" w:rsidRPr="00F94D66" w:rsidRDefault="00B46A69" w:rsidP="00F94D66">
      <w:pPr>
        <w:jc w:val="center"/>
        <w:rPr>
          <w:rFonts w:asciiTheme="minorBidi" w:hAnsiTheme="minorBidi" w:cstheme="minorBidi"/>
          <w:sz w:val="22"/>
        </w:rPr>
      </w:pPr>
      <w:r w:rsidRPr="00F94D66">
        <w:rPr>
          <w:rFonts w:asciiTheme="minorBidi" w:hAnsiTheme="minorBidi" w:cstheme="minorBidi"/>
          <w:noProof/>
          <w:sz w:val="22"/>
        </w:rPr>
        <w:lastRenderedPageBreak/>
        <w:drawing>
          <wp:inline distT="0" distB="0" distL="0" distR="0" wp14:anchorId="46EDACD8" wp14:editId="270CB01D">
            <wp:extent cx="4089400" cy="3773260"/>
            <wp:effectExtent l="19050" t="19050" r="25400" b="17780"/>
            <wp:docPr id="1027"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6"/>
                    <pic:cNvPicPr/>
                  </pic:nvPicPr>
                  <pic:blipFill>
                    <a:blip r:embed="rId9" cstate="print"/>
                    <a:srcRect/>
                    <a:stretch/>
                  </pic:blipFill>
                  <pic:spPr>
                    <a:xfrm>
                      <a:off x="0" y="0"/>
                      <a:ext cx="4089400" cy="3773260"/>
                    </a:xfrm>
                    <a:prstGeom prst="rect">
                      <a:avLst/>
                    </a:prstGeom>
                    <a:ln w="9525" cap="flat" cmpd="sng">
                      <a:solidFill>
                        <a:srgbClr val="000000"/>
                      </a:solidFill>
                      <a:prstDash val="solid"/>
                      <a:round/>
                      <a:headEnd/>
                      <a:tailEnd/>
                    </a:ln>
                  </pic:spPr>
                </pic:pic>
              </a:graphicData>
            </a:graphic>
          </wp:inline>
        </w:drawing>
      </w:r>
    </w:p>
    <w:p w14:paraId="081E4A44" w14:textId="77777777" w:rsidR="00EF0F73" w:rsidRPr="00F94D66" w:rsidRDefault="00B46A69" w:rsidP="00F94D66">
      <w:pPr>
        <w:jc w:val="center"/>
        <w:rPr>
          <w:rFonts w:asciiTheme="minorBidi" w:hAnsiTheme="minorBidi" w:cstheme="minorBidi"/>
          <w:sz w:val="22"/>
        </w:rPr>
      </w:pPr>
      <w:r w:rsidRPr="00F94D66">
        <w:rPr>
          <w:rFonts w:asciiTheme="minorBidi" w:hAnsiTheme="minorBidi" w:cstheme="minorBidi"/>
          <w:b/>
          <w:sz w:val="22"/>
        </w:rPr>
        <w:t>Figure 2: Health Belief Model and preventive health behaviour</w:t>
      </w:r>
    </w:p>
    <w:p w14:paraId="0D13B95F" w14:textId="77777777" w:rsidR="00EF0F73" w:rsidRPr="00F94D66" w:rsidRDefault="00B46A69" w:rsidP="00F94D66">
      <w:pPr>
        <w:jc w:val="center"/>
        <w:rPr>
          <w:rFonts w:asciiTheme="minorBidi" w:hAnsiTheme="minorBidi" w:cstheme="minorBidi"/>
          <w:sz w:val="22"/>
        </w:rPr>
      </w:pPr>
      <w:r w:rsidRPr="00F94D66">
        <w:rPr>
          <w:rFonts w:asciiTheme="minorBidi" w:hAnsiTheme="minorBidi" w:cstheme="minorBidi"/>
          <w:i/>
          <w:sz w:val="22"/>
        </w:rPr>
        <w:t>Source: Adapted from Rosenstock (1974).</w:t>
      </w:r>
    </w:p>
    <w:p w14:paraId="48BB1A7F" w14:textId="3A96D620"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 xml:space="preserve">The model, however, has shortcomings as it can over-individualise health. A person can think that exercise is good but still have no safe green space, free time, money or means of transport. This is important for critical evaluation as public health messages may incorrectly target the individual as </w:t>
      </w:r>
      <w:r w:rsidR="00A340AB" w:rsidRPr="00F94D66">
        <w:rPr>
          <w:rFonts w:asciiTheme="minorBidi" w:hAnsiTheme="minorBidi" w:cstheme="minorBidi"/>
          <w:sz w:val="22"/>
        </w:rPr>
        <w:t>an</w:t>
      </w:r>
      <w:r w:rsidRPr="00F94D66">
        <w:rPr>
          <w:rFonts w:asciiTheme="minorBidi" w:hAnsiTheme="minorBidi" w:cstheme="minorBidi"/>
          <w:sz w:val="22"/>
        </w:rPr>
        <w:t xml:space="preserve"> obstacle when the actual obstacle is an unequal environment (The Health Foundation, 2024).</w:t>
      </w:r>
    </w:p>
    <w:p w14:paraId="4CF461B0"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The primary SDG 3 challenges are poverty, inadequate prevention efforts, shortage of staff, pandemic backlogs and global insecurity. Recommendations are therefore to embed disease-specific programmes into primary care, fund prevention beyond electoral cycles, engage communities in the process of service design, and evaluate all digital health reforms for their inequality impact. Average performance should not be used as the only measure of evaluation, but should include distributional measures, such as uptake by deprivation quintile and ethnicity.</w:t>
      </w:r>
    </w:p>
    <w:p w14:paraId="565477D3" w14:textId="77777777" w:rsidR="00EF0F73" w:rsidRPr="00F94D66" w:rsidRDefault="00B46A69" w:rsidP="00F94D66">
      <w:pPr>
        <w:pStyle w:val="Heading1"/>
        <w:rPr>
          <w:rFonts w:asciiTheme="minorBidi" w:hAnsiTheme="minorBidi" w:cstheme="minorBidi"/>
          <w:sz w:val="22"/>
          <w:szCs w:val="22"/>
        </w:rPr>
      </w:pPr>
      <w:bookmarkStart w:id="6" w:name="_Toc233893330"/>
      <w:r w:rsidRPr="00F94D66">
        <w:rPr>
          <w:rFonts w:asciiTheme="minorBidi" w:hAnsiTheme="minorBidi" w:cstheme="minorBidi"/>
          <w:sz w:val="22"/>
          <w:szCs w:val="22"/>
        </w:rPr>
        <w:lastRenderedPageBreak/>
        <w:t>3. Reduced Inequalities: SDG 10</w:t>
      </w:r>
      <w:bookmarkEnd w:id="6"/>
    </w:p>
    <w:p w14:paraId="0185C029" w14:textId="77777777" w:rsidR="00EF0F73" w:rsidRPr="00F94D66" w:rsidRDefault="00B46A69" w:rsidP="00F94D66">
      <w:pPr>
        <w:pStyle w:val="Heading2"/>
        <w:rPr>
          <w:rFonts w:asciiTheme="minorBidi" w:hAnsiTheme="minorBidi" w:cstheme="minorBidi"/>
          <w:sz w:val="22"/>
          <w:szCs w:val="22"/>
        </w:rPr>
      </w:pPr>
      <w:bookmarkStart w:id="7" w:name="_Toc233893331"/>
      <w:r w:rsidRPr="00F94D66">
        <w:rPr>
          <w:rFonts w:asciiTheme="minorBidi" w:hAnsiTheme="minorBidi" w:cstheme="minorBidi"/>
          <w:sz w:val="22"/>
          <w:szCs w:val="22"/>
        </w:rPr>
        <w:t>3.1 Link between SDG 10 and SDG 3</w:t>
      </w:r>
      <w:bookmarkEnd w:id="7"/>
    </w:p>
    <w:p w14:paraId="03298498"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 xml:space="preserve">SDG 10 is set to decrease inequality within and between states, as well as inequality based on income, age, gender, disability, ethnicity, migration status or other exclusion factors (UN DESA, n.d.b). It directly influences SDG 3, </w:t>
      </w:r>
      <w:proofErr w:type="gramStart"/>
      <w:r w:rsidRPr="00F94D66">
        <w:rPr>
          <w:rFonts w:asciiTheme="minorBidi" w:hAnsiTheme="minorBidi" w:cstheme="minorBidi"/>
          <w:sz w:val="22"/>
        </w:rPr>
        <w:t>due to the fact that</w:t>
      </w:r>
      <w:proofErr w:type="gramEnd"/>
      <w:r w:rsidRPr="00F94D66">
        <w:rPr>
          <w:rFonts w:asciiTheme="minorBidi" w:hAnsiTheme="minorBidi" w:cstheme="minorBidi"/>
          <w:sz w:val="22"/>
        </w:rPr>
        <w:t xml:space="preserve"> unequal societies create unequal exposure to illness and access to care. Low income may contribute to overcrowding, unhealthy eating, decreased access to support services and stress. Discrimination may lead to decreased trust in services, and poor work security may limit time to attend appointments (The King’s Fund, 2026).</w:t>
      </w:r>
    </w:p>
    <w:p w14:paraId="6AD06853" w14:textId="77777777" w:rsidR="00EF0F73" w:rsidRPr="00F94D66" w:rsidRDefault="00B46A69" w:rsidP="00F94D66">
      <w:pPr>
        <w:pStyle w:val="Heading2"/>
        <w:rPr>
          <w:rFonts w:asciiTheme="minorBidi" w:hAnsiTheme="minorBidi" w:cstheme="minorBidi"/>
          <w:sz w:val="22"/>
          <w:szCs w:val="22"/>
        </w:rPr>
      </w:pPr>
      <w:bookmarkStart w:id="8" w:name="_Toc233893332"/>
      <w:r w:rsidRPr="00F94D66">
        <w:rPr>
          <w:rFonts w:asciiTheme="minorBidi" w:hAnsiTheme="minorBidi" w:cstheme="minorBidi"/>
          <w:sz w:val="22"/>
          <w:szCs w:val="22"/>
        </w:rPr>
        <w:t>3.2 Evaluation of global and national policies</w:t>
      </w:r>
      <w:bookmarkEnd w:id="8"/>
    </w:p>
    <w:p w14:paraId="583F2AD4"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Worldwide, SDG 10 encourages social integration, more equitable income development, migration safety and greater voice for developing nations. But its drawback is that much of it relies on national political decisions on taxation, wages, welfare and migration, which the UN cannot compel.</w:t>
      </w:r>
    </w:p>
    <w:p w14:paraId="0A5ADD1D"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Gender inequality is relevant to UN Women’s work on gender and pay inequality because gendered pay gaps, unpaid care and violence against women have an impact on health, economic security and access to services (UN Women, n.d.). But global gender and inequality commitments frequently fall short if there is no equal treatment in law, financing or culture. This demonstrates an SDG governance gap, where ambitious language can mask weak sanctions for countries that do not protect excluded groups.</w:t>
      </w:r>
    </w:p>
    <w:p w14:paraId="5AE149B2"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Core20PLUS5 is a less abstract inequality policy in England. It aims to help the most deprived 20% of the population, locally identified inclusion groups, and five clinical areas that require greater speed of improvement (NHS England, 2025). The approach is helpful because it explicitly identifies priority groups instead of taking it for granted that services are automatically provided to all equally. However, Core20PLUS5 is primarily about inequalities in health care, rather than the social gradient itself.</w:t>
      </w:r>
    </w:p>
    <w:p w14:paraId="0FD5194B" w14:textId="77777777" w:rsidR="00EF0F73" w:rsidRPr="00F94D66" w:rsidRDefault="00B46A69" w:rsidP="00F94D66">
      <w:pPr>
        <w:jc w:val="center"/>
        <w:rPr>
          <w:rFonts w:asciiTheme="minorBidi" w:hAnsiTheme="minorBidi" w:cstheme="minorBidi"/>
          <w:sz w:val="22"/>
        </w:rPr>
      </w:pPr>
      <w:r w:rsidRPr="00F94D66">
        <w:rPr>
          <w:rFonts w:asciiTheme="minorBidi" w:hAnsiTheme="minorBidi" w:cstheme="minorBidi"/>
          <w:noProof/>
          <w:sz w:val="22"/>
        </w:rPr>
        <w:lastRenderedPageBreak/>
        <w:drawing>
          <wp:inline distT="0" distB="0" distL="0" distR="0" wp14:anchorId="2CCD139D" wp14:editId="52764806">
            <wp:extent cx="5943600" cy="3334384"/>
            <wp:effectExtent l="19050" t="19050" r="19050" b="18415"/>
            <wp:docPr id="1028"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7"/>
                    <pic:cNvPicPr/>
                  </pic:nvPicPr>
                  <pic:blipFill>
                    <a:blip r:embed="rId10" cstate="print"/>
                    <a:srcRect/>
                    <a:stretch/>
                  </pic:blipFill>
                  <pic:spPr>
                    <a:xfrm>
                      <a:off x="0" y="0"/>
                      <a:ext cx="5943600" cy="3334384"/>
                    </a:xfrm>
                    <a:prstGeom prst="rect">
                      <a:avLst/>
                    </a:prstGeom>
                    <a:ln w="9525" cap="flat" cmpd="sng">
                      <a:solidFill>
                        <a:srgbClr val="000000"/>
                      </a:solidFill>
                      <a:prstDash val="solid"/>
                      <a:round/>
                      <a:headEnd/>
                      <a:tailEnd/>
                    </a:ln>
                  </pic:spPr>
                </pic:pic>
              </a:graphicData>
            </a:graphic>
          </wp:inline>
        </w:drawing>
      </w:r>
    </w:p>
    <w:p w14:paraId="7D380DBC" w14:textId="77777777" w:rsidR="00EF0F73" w:rsidRPr="00F94D66" w:rsidRDefault="00B46A69" w:rsidP="00F94D66">
      <w:pPr>
        <w:jc w:val="center"/>
        <w:rPr>
          <w:rFonts w:asciiTheme="minorBidi" w:hAnsiTheme="minorBidi" w:cstheme="minorBidi"/>
          <w:sz w:val="22"/>
        </w:rPr>
      </w:pPr>
      <w:r w:rsidRPr="00F94D66">
        <w:rPr>
          <w:rFonts w:asciiTheme="minorBidi" w:hAnsiTheme="minorBidi" w:cstheme="minorBidi"/>
          <w:b/>
          <w:sz w:val="22"/>
        </w:rPr>
        <w:t>Figure 3: NHS Core20PLUS5 approach to reducing healthcare inequalities</w:t>
      </w:r>
    </w:p>
    <w:p w14:paraId="6A73EE0A" w14:textId="77777777" w:rsidR="00EF0F73" w:rsidRPr="00F94D66" w:rsidRDefault="00B46A69" w:rsidP="00F94D66">
      <w:pPr>
        <w:jc w:val="center"/>
        <w:rPr>
          <w:rFonts w:asciiTheme="minorBidi" w:hAnsiTheme="minorBidi" w:cstheme="minorBidi"/>
          <w:sz w:val="22"/>
        </w:rPr>
      </w:pPr>
      <w:r w:rsidRPr="00F94D66">
        <w:rPr>
          <w:rFonts w:asciiTheme="minorBidi" w:hAnsiTheme="minorBidi" w:cstheme="minorBidi"/>
          <w:i/>
          <w:sz w:val="22"/>
        </w:rPr>
        <w:t>Source: Adapted from NHS England (2025).</w:t>
      </w:r>
    </w:p>
    <w:p w14:paraId="7C7FE280"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The Marmot Review 10 Years On revealed that improvements in life expectancy had halted, inequalities had grown and life expectancy for the poorest 10% of women had declined (Institute of Health Equity, 2020). This demonstrates that action in health is needed, but it is not sufficient unless there are better policies on child poverty, housing, education and work. A further criticism is that inequality policy is generally directed at the most deprived groups. This is important, yet it can miss the broader social gradient, where every additional step down in income and status is linked with poorer health.</w:t>
      </w:r>
    </w:p>
    <w:p w14:paraId="512145C8" w14:textId="77777777" w:rsidR="00EF0F73" w:rsidRPr="00F94D66" w:rsidRDefault="00B46A69" w:rsidP="00F94D66">
      <w:pPr>
        <w:pStyle w:val="Heading2"/>
        <w:rPr>
          <w:rFonts w:asciiTheme="minorBidi" w:hAnsiTheme="minorBidi" w:cstheme="minorBidi"/>
          <w:sz w:val="22"/>
          <w:szCs w:val="22"/>
        </w:rPr>
      </w:pPr>
      <w:bookmarkStart w:id="9" w:name="_Toc233893333"/>
      <w:r w:rsidRPr="00F94D66">
        <w:rPr>
          <w:rFonts w:asciiTheme="minorBidi" w:hAnsiTheme="minorBidi" w:cstheme="minorBidi"/>
          <w:sz w:val="22"/>
          <w:szCs w:val="22"/>
        </w:rPr>
        <w:t>3.3 Local application and theoretical model</w:t>
      </w:r>
      <w:bookmarkEnd w:id="9"/>
    </w:p>
    <w:p w14:paraId="047ED81C"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Walsall highlights why SDG 10 matters for SDG 3. Walsall is 28th out of 296 lower-tier local authorities in England and is nationally in the most deprived 10% (Walsall Intelligence, 2025). A local public health report further shows the link between low healthy life expectancy and tobacco, food, alcohol, physical inactivity and wider issues relating to education, income, employment and housing (Walsall Council, 2025).</w:t>
      </w:r>
    </w:p>
    <w:p w14:paraId="11356478"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 xml:space="preserve">The Walsall Food Plan is positive as it acts not just on what people should eat, but also on food environments, food choices and community growing (Walsall Council, 2025). But low wages, </w:t>
      </w:r>
      <w:r w:rsidRPr="00F94D66">
        <w:rPr>
          <w:rFonts w:asciiTheme="minorBidi" w:hAnsiTheme="minorBidi" w:cstheme="minorBidi"/>
          <w:sz w:val="22"/>
        </w:rPr>
        <w:lastRenderedPageBreak/>
        <w:t>insecure housing and national welfare policy cannot be fully compensated for by local food and wellbeing plans.</w:t>
      </w:r>
    </w:p>
    <w:p w14:paraId="485C0F35"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Whitehead and Dahlgren’s “rainbow model” is helpful here because it places individual lifestyle within social networks and living and working conditions, and then within broader socio-economic, cultural and environmental conditions (Dahlgren and Whitehead, 1991). It is different from the Health Belief Model because it moves the focus from behaviour to structure. It is also more successful in explaining the patterning of inequality in health outcomes by place and class.</w:t>
      </w:r>
    </w:p>
    <w:p w14:paraId="0EC04643" w14:textId="77777777" w:rsidR="00EF0F73" w:rsidRPr="00F94D66" w:rsidRDefault="00B46A69" w:rsidP="00F94D66">
      <w:pPr>
        <w:jc w:val="center"/>
        <w:rPr>
          <w:rFonts w:asciiTheme="minorBidi" w:hAnsiTheme="minorBidi" w:cstheme="minorBidi"/>
          <w:sz w:val="22"/>
        </w:rPr>
      </w:pPr>
      <w:r w:rsidRPr="00F94D66">
        <w:rPr>
          <w:rFonts w:asciiTheme="minorBidi" w:hAnsiTheme="minorBidi" w:cstheme="minorBidi"/>
          <w:noProof/>
          <w:sz w:val="22"/>
        </w:rPr>
        <w:drawing>
          <wp:inline distT="0" distB="0" distL="0" distR="0" wp14:anchorId="1EB5EDCA" wp14:editId="44702F88">
            <wp:extent cx="4953663" cy="3009265"/>
            <wp:effectExtent l="19050" t="19050" r="18415" b="19685"/>
            <wp:docPr id="1029"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8"/>
                    <pic:cNvPicPr/>
                  </pic:nvPicPr>
                  <pic:blipFill>
                    <a:blip r:embed="rId11" cstate="print"/>
                    <a:srcRect t="5962"/>
                    <a:stretch/>
                  </pic:blipFill>
                  <pic:spPr>
                    <a:xfrm>
                      <a:off x="0" y="0"/>
                      <a:ext cx="4953663" cy="3009265"/>
                    </a:xfrm>
                    <a:prstGeom prst="rect">
                      <a:avLst/>
                    </a:prstGeom>
                    <a:ln w="9525" cap="flat" cmpd="sng">
                      <a:solidFill>
                        <a:srgbClr val="000000"/>
                      </a:solidFill>
                      <a:prstDash val="solid"/>
                      <a:round/>
                      <a:headEnd/>
                      <a:tailEnd/>
                    </a:ln>
                  </pic:spPr>
                </pic:pic>
              </a:graphicData>
            </a:graphic>
          </wp:inline>
        </w:drawing>
      </w:r>
    </w:p>
    <w:p w14:paraId="0154424C" w14:textId="77777777" w:rsidR="00EF0F73" w:rsidRPr="00F94D66" w:rsidRDefault="00B46A69" w:rsidP="00F94D66">
      <w:pPr>
        <w:jc w:val="center"/>
        <w:rPr>
          <w:rFonts w:asciiTheme="minorBidi" w:hAnsiTheme="minorBidi" w:cstheme="minorBidi"/>
          <w:sz w:val="22"/>
        </w:rPr>
      </w:pPr>
      <w:r w:rsidRPr="00F94D66">
        <w:rPr>
          <w:rFonts w:asciiTheme="minorBidi" w:hAnsiTheme="minorBidi" w:cstheme="minorBidi"/>
          <w:b/>
          <w:sz w:val="22"/>
        </w:rPr>
        <w:t>Figure 4: Whitehead and Dahlgren social determinants model</w:t>
      </w:r>
    </w:p>
    <w:p w14:paraId="18801BCD" w14:textId="77777777" w:rsidR="00EF0F73" w:rsidRPr="00F94D66" w:rsidRDefault="00B46A69" w:rsidP="00F94D66">
      <w:pPr>
        <w:jc w:val="center"/>
        <w:rPr>
          <w:rFonts w:asciiTheme="minorBidi" w:hAnsiTheme="minorBidi" w:cstheme="minorBidi"/>
          <w:sz w:val="22"/>
        </w:rPr>
      </w:pPr>
      <w:r w:rsidRPr="00F94D66">
        <w:rPr>
          <w:rFonts w:asciiTheme="minorBidi" w:hAnsiTheme="minorBidi" w:cstheme="minorBidi"/>
          <w:i/>
          <w:sz w:val="22"/>
        </w:rPr>
        <w:t>Source: Adapted from Dahlgren and Whitehead (1991).</w:t>
      </w:r>
    </w:p>
    <w:p w14:paraId="05B7582D"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Its drawback is that it can identify upstream causes, but it does not always identify who is responsible for changing them. Hence, local partnerships need to transform the model into actions, functional agencies and measurable outcomes. For instance, a food plan should be integrated into planning policy, school meals, benefits advice and transport, not considered as an independent lifestyle intervention.</w:t>
      </w:r>
    </w:p>
    <w:p w14:paraId="65BE6703" w14:textId="77777777" w:rsidR="00EF0F73" w:rsidRPr="00F94D66" w:rsidRDefault="00B46A69" w:rsidP="00F94D66">
      <w:pPr>
        <w:pStyle w:val="Heading2"/>
        <w:rPr>
          <w:rFonts w:asciiTheme="minorBidi" w:hAnsiTheme="minorBidi" w:cstheme="minorBidi"/>
          <w:sz w:val="22"/>
          <w:szCs w:val="22"/>
        </w:rPr>
      </w:pPr>
      <w:bookmarkStart w:id="10" w:name="_Toc233893334"/>
      <w:r w:rsidRPr="00F94D66">
        <w:rPr>
          <w:rFonts w:asciiTheme="minorBidi" w:hAnsiTheme="minorBidi" w:cstheme="minorBidi"/>
          <w:sz w:val="22"/>
          <w:szCs w:val="22"/>
        </w:rPr>
        <w:t>3.4 Challenges and recommendations</w:t>
      </w:r>
      <w:bookmarkEnd w:id="10"/>
    </w:p>
    <w:p w14:paraId="5482CA2C"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Child poverty, insecure housing, poor transport, low-paid work, racism, disability exclusion and digital inequity are the main challenges of SDG 10, and they are structural. These injustices create health risks before people access the NHS and may result in NHS services dealing with the effects of decisions taken in other policy areas.</w:t>
      </w:r>
    </w:p>
    <w:p w14:paraId="3892E7AE"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lastRenderedPageBreak/>
        <w:t>Recommendations include using health equity impact assessments for all local policies (Office for Health Improvement and Disparities, 2024), focusing on early years, housing quality and income maximisation, co-producing services with marginalised groups, developing local inequality dashboards, and making links between NHS prevention and council work on food, housing, employment and education. Funds must be allocated based on need; therefore, deprived areas must be given extra capacity rather than being expected to achieve the same outcomes with less capacity in the community. Most importantly, tackling inequalities cannot be an extra added on to SDG 3, but should be seen as the pathway to making SDG 3 possible.</w:t>
      </w:r>
    </w:p>
    <w:p w14:paraId="76CED50D" w14:textId="77777777" w:rsidR="00EF0F73" w:rsidRPr="00F94D66" w:rsidRDefault="00B46A69" w:rsidP="00F94D66">
      <w:pPr>
        <w:pStyle w:val="Heading1"/>
        <w:rPr>
          <w:rFonts w:asciiTheme="minorBidi" w:hAnsiTheme="minorBidi" w:cstheme="minorBidi"/>
          <w:sz w:val="22"/>
          <w:szCs w:val="22"/>
        </w:rPr>
      </w:pPr>
      <w:bookmarkStart w:id="11" w:name="_Toc233893335"/>
      <w:r w:rsidRPr="00F94D66">
        <w:rPr>
          <w:rFonts w:asciiTheme="minorBidi" w:hAnsiTheme="minorBidi" w:cstheme="minorBidi"/>
          <w:sz w:val="22"/>
          <w:szCs w:val="22"/>
        </w:rPr>
        <w:t>4. Conclusion</w:t>
      </w:r>
      <w:bookmarkEnd w:id="11"/>
    </w:p>
    <w:p w14:paraId="77D04191"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SDG 3 is dependent on SDG 10. Vaccination, improved survival and better access to health have been achieved globally and in the UK, but priority needs to be put on addressing the impact of poverty, discrimination and weak local infrastructure on health outcomes. The research into Walsall demonstrates how the national health agenda is experienced differently by different people due to place-based deprivation.</w:t>
      </w:r>
    </w:p>
    <w:p w14:paraId="0B703C9C" w14:textId="77777777" w:rsidR="00EF0F73" w:rsidRPr="00F94D66" w:rsidRDefault="00B46A69" w:rsidP="00F94D66">
      <w:pPr>
        <w:rPr>
          <w:rFonts w:asciiTheme="minorBidi" w:hAnsiTheme="minorBidi" w:cstheme="minorBidi"/>
          <w:sz w:val="22"/>
        </w:rPr>
      </w:pPr>
      <w:r w:rsidRPr="00F94D66">
        <w:rPr>
          <w:rFonts w:asciiTheme="minorBidi" w:hAnsiTheme="minorBidi" w:cstheme="minorBidi"/>
          <w:sz w:val="22"/>
        </w:rPr>
        <w:t>To achieve a critical SDG approach, there is a need for a combination of universal health coverage and targeted work on the social determinants. The strongest recommendation is to shift from short-term, disease-based and behaviour-focused programmes to integrated, equity-driven systems, which seek to reduce gaps rather than only raise averages. This would make the two SDGs in the report mutually reinforcing and not parallel commitments.</w:t>
      </w:r>
    </w:p>
    <w:p w14:paraId="6BD1D38F" w14:textId="77777777" w:rsidR="00EF0F73" w:rsidRPr="00F94D66" w:rsidRDefault="00EF0F73" w:rsidP="00F94D66">
      <w:pPr>
        <w:rPr>
          <w:rFonts w:asciiTheme="minorBidi" w:hAnsiTheme="minorBidi" w:cstheme="minorBidi"/>
          <w:sz w:val="22"/>
        </w:rPr>
      </w:pPr>
    </w:p>
    <w:p w14:paraId="6BADF933" w14:textId="77777777" w:rsidR="00506833" w:rsidRPr="00F94D66" w:rsidRDefault="00506833" w:rsidP="00F94D66">
      <w:pPr>
        <w:rPr>
          <w:rFonts w:asciiTheme="minorBidi" w:hAnsiTheme="minorBidi" w:cstheme="minorBidi"/>
          <w:sz w:val="22"/>
        </w:rPr>
      </w:pPr>
    </w:p>
    <w:p w14:paraId="0C3E1B3B" w14:textId="77777777" w:rsidR="00506833" w:rsidRPr="00F94D66" w:rsidRDefault="00506833" w:rsidP="00F94D66">
      <w:pPr>
        <w:rPr>
          <w:rFonts w:asciiTheme="minorBidi" w:hAnsiTheme="minorBidi" w:cstheme="minorBidi"/>
          <w:sz w:val="22"/>
        </w:rPr>
      </w:pPr>
    </w:p>
    <w:p w14:paraId="45A76A18" w14:textId="77777777" w:rsidR="00506833" w:rsidRPr="00F94D66" w:rsidRDefault="00506833" w:rsidP="00F94D66">
      <w:pPr>
        <w:rPr>
          <w:rFonts w:asciiTheme="minorBidi" w:hAnsiTheme="minorBidi" w:cstheme="minorBidi"/>
          <w:sz w:val="22"/>
        </w:rPr>
      </w:pPr>
    </w:p>
    <w:p w14:paraId="429DF562" w14:textId="77777777" w:rsidR="00506833" w:rsidRPr="00F94D66" w:rsidRDefault="00506833" w:rsidP="00F94D66">
      <w:pPr>
        <w:rPr>
          <w:rFonts w:asciiTheme="minorBidi" w:hAnsiTheme="minorBidi" w:cstheme="minorBidi"/>
          <w:sz w:val="22"/>
        </w:rPr>
      </w:pPr>
    </w:p>
    <w:p w14:paraId="40DB8233" w14:textId="77777777" w:rsidR="00506833" w:rsidRPr="00F94D66" w:rsidRDefault="00506833" w:rsidP="00F94D66">
      <w:pPr>
        <w:rPr>
          <w:rFonts w:asciiTheme="minorBidi" w:hAnsiTheme="minorBidi" w:cstheme="minorBidi"/>
          <w:sz w:val="22"/>
        </w:rPr>
      </w:pPr>
    </w:p>
    <w:p w14:paraId="401EB0F3" w14:textId="77777777" w:rsidR="00506833" w:rsidRPr="00F94D66" w:rsidRDefault="00506833" w:rsidP="00F94D66">
      <w:pPr>
        <w:rPr>
          <w:rFonts w:asciiTheme="minorBidi" w:hAnsiTheme="minorBidi" w:cstheme="minorBidi"/>
          <w:sz w:val="22"/>
        </w:rPr>
      </w:pPr>
    </w:p>
    <w:p w14:paraId="74772C9F" w14:textId="77777777" w:rsidR="00506833" w:rsidRPr="00F94D66" w:rsidRDefault="00506833" w:rsidP="00F94D66">
      <w:pPr>
        <w:rPr>
          <w:rFonts w:asciiTheme="minorBidi" w:hAnsiTheme="minorBidi" w:cstheme="minorBidi"/>
          <w:sz w:val="22"/>
        </w:rPr>
      </w:pPr>
    </w:p>
    <w:p w14:paraId="1AF7C181" w14:textId="77777777" w:rsidR="00506833" w:rsidRPr="00F94D66" w:rsidRDefault="00506833" w:rsidP="00F94D66">
      <w:pPr>
        <w:rPr>
          <w:rFonts w:asciiTheme="minorBidi" w:hAnsiTheme="minorBidi" w:cstheme="minorBidi"/>
          <w:sz w:val="22"/>
        </w:rPr>
      </w:pPr>
    </w:p>
    <w:p w14:paraId="7D017ADE" w14:textId="77777777" w:rsidR="00506833" w:rsidRPr="00F94D66" w:rsidRDefault="00506833" w:rsidP="00F94D66">
      <w:pPr>
        <w:rPr>
          <w:rFonts w:asciiTheme="minorBidi" w:hAnsiTheme="minorBidi" w:cstheme="minorBidi"/>
          <w:sz w:val="22"/>
        </w:rPr>
      </w:pPr>
    </w:p>
    <w:p w14:paraId="3CD3A397" w14:textId="77777777" w:rsidR="00EF0F73" w:rsidRPr="00F94D66" w:rsidRDefault="00B46A69" w:rsidP="00F94D66">
      <w:pPr>
        <w:pStyle w:val="Heading1"/>
        <w:rPr>
          <w:rFonts w:asciiTheme="minorBidi" w:hAnsiTheme="minorBidi" w:cstheme="minorBidi"/>
          <w:sz w:val="22"/>
          <w:szCs w:val="22"/>
        </w:rPr>
      </w:pPr>
      <w:bookmarkStart w:id="12" w:name="_Toc233893336"/>
      <w:r w:rsidRPr="00F94D66">
        <w:rPr>
          <w:rFonts w:asciiTheme="minorBidi" w:hAnsiTheme="minorBidi" w:cstheme="minorBidi"/>
          <w:sz w:val="22"/>
          <w:szCs w:val="22"/>
        </w:rPr>
        <w:lastRenderedPageBreak/>
        <w:t>5. References</w:t>
      </w:r>
      <w:bookmarkEnd w:id="12"/>
    </w:p>
    <w:p w14:paraId="1E37A4F6" w14:textId="77777777" w:rsidR="00506833" w:rsidRPr="00F94D66" w:rsidRDefault="00506833" w:rsidP="00F94D66">
      <w:pPr>
        <w:pStyle w:val="pdq2pgselectionanchorcontainer"/>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CDC (2026) </w:t>
      </w:r>
      <w:r w:rsidRPr="00F94D66">
        <w:rPr>
          <w:rStyle w:val="Emphasis"/>
          <w:rFonts w:asciiTheme="minorBidi" w:hAnsiTheme="minorBidi" w:cstheme="minorBidi"/>
          <w:sz w:val="22"/>
          <w:szCs w:val="22"/>
        </w:rPr>
        <w:t>About Global Polio Eradication</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https://www.cdc.gov/global-polio-vaccination/about/index.html</w:t>
      </w:r>
      <w:r w:rsidRPr="00F94D66">
        <w:rPr>
          <w:rFonts w:asciiTheme="minorBidi" w:hAnsiTheme="minorBidi" w:cstheme="minorBidi"/>
          <w:sz w:val="22"/>
          <w:szCs w:val="22"/>
        </w:rPr>
        <w:t xml:space="preserve"> (Accessed: 2 July 2026).</w:t>
      </w:r>
    </w:p>
    <w:p w14:paraId="57C02152"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Dahlgren, G. and Whitehead, M. (1991) </w:t>
      </w:r>
      <w:r w:rsidRPr="00F94D66">
        <w:rPr>
          <w:rStyle w:val="Emphasis"/>
          <w:rFonts w:asciiTheme="minorBidi" w:hAnsiTheme="minorBidi" w:cstheme="minorBidi"/>
          <w:sz w:val="22"/>
          <w:szCs w:val="22"/>
        </w:rPr>
        <w:t>Policies and strategies to promote social equity in health</w:t>
      </w:r>
      <w:r w:rsidRPr="00F94D66">
        <w:rPr>
          <w:rFonts w:asciiTheme="minorBidi" w:hAnsiTheme="minorBidi" w:cstheme="minorBidi"/>
          <w:sz w:val="22"/>
          <w:szCs w:val="22"/>
        </w:rPr>
        <w:t>. Stockholm: Institute for Futures Studies.</w:t>
      </w:r>
    </w:p>
    <w:p w14:paraId="00CB2A39"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Department of Health and Social Care (2018) </w:t>
      </w:r>
      <w:r w:rsidRPr="00F94D66">
        <w:rPr>
          <w:rStyle w:val="Emphasis"/>
          <w:rFonts w:asciiTheme="minorBidi" w:hAnsiTheme="minorBidi" w:cstheme="minorBidi"/>
          <w:sz w:val="22"/>
          <w:szCs w:val="22"/>
        </w:rPr>
        <w:t>Prevention is better than cure: our vision to help you live well for longer</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https://www.gov.uk/government/publications/prevention-is-better-than-cure-our-vision-to-help-you-live-well-for-longer</w:t>
      </w:r>
      <w:r w:rsidRPr="00F94D66">
        <w:rPr>
          <w:rFonts w:asciiTheme="minorBidi" w:hAnsiTheme="minorBidi" w:cstheme="minorBidi"/>
          <w:sz w:val="22"/>
          <w:szCs w:val="22"/>
        </w:rPr>
        <w:t xml:space="preserve"> (Accessed: 2 July 2026).</w:t>
      </w:r>
    </w:p>
    <w:p w14:paraId="0D1F819C"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Department of Health and Social Care (2025) </w:t>
      </w:r>
      <w:r w:rsidRPr="00F94D66">
        <w:rPr>
          <w:rStyle w:val="Emphasis"/>
          <w:rFonts w:asciiTheme="minorBidi" w:hAnsiTheme="minorBidi" w:cstheme="minorBidi"/>
          <w:sz w:val="22"/>
          <w:szCs w:val="22"/>
        </w:rPr>
        <w:t>10 Year Health Plan for England: fit for the future</w:t>
      </w:r>
      <w:r w:rsidRPr="00F94D66">
        <w:rPr>
          <w:rFonts w:asciiTheme="minorBidi" w:hAnsiTheme="minorBidi" w:cstheme="minorBidi"/>
          <w:sz w:val="22"/>
          <w:szCs w:val="22"/>
        </w:rPr>
        <w:t xml:space="preserve">. Available at: </w:t>
      </w:r>
      <w:proofErr w:type="gramStart"/>
      <w:r w:rsidRPr="00F94D66">
        <w:rPr>
          <w:rFonts w:asciiTheme="minorBidi" w:eastAsia="Arial" w:hAnsiTheme="minorBidi" w:cstheme="minorBidi"/>
          <w:sz w:val="22"/>
          <w:szCs w:val="22"/>
        </w:rPr>
        <w:t>https://www.gov.uk/government/publications/10-year-health-plan-for-england-fit-for-the-future</w:t>
      </w:r>
      <w:proofErr w:type="gramEnd"/>
      <w:r w:rsidRPr="00F94D66">
        <w:rPr>
          <w:rFonts w:asciiTheme="minorBidi" w:hAnsiTheme="minorBidi" w:cstheme="minorBidi"/>
          <w:sz w:val="22"/>
          <w:szCs w:val="22"/>
        </w:rPr>
        <w:t xml:space="preserve"> (Accessed: 2 July 2026).</w:t>
      </w:r>
    </w:p>
    <w:p w14:paraId="0CBBFA4B"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Every Woman Every Child (n.d.) </w:t>
      </w:r>
      <w:r w:rsidRPr="00F94D66">
        <w:rPr>
          <w:rStyle w:val="Emphasis"/>
          <w:rFonts w:asciiTheme="minorBidi" w:hAnsiTheme="minorBidi" w:cstheme="minorBidi"/>
          <w:sz w:val="22"/>
          <w:szCs w:val="22"/>
        </w:rPr>
        <w:t>About Every Woman Every Child</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https://www.everywomaneverychild.org/</w:t>
      </w:r>
      <w:r w:rsidRPr="00F94D66">
        <w:rPr>
          <w:rFonts w:asciiTheme="minorBidi" w:hAnsiTheme="minorBidi" w:cstheme="minorBidi"/>
          <w:sz w:val="22"/>
          <w:szCs w:val="22"/>
        </w:rPr>
        <w:t xml:space="preserve"> (Accessed: 2 July 2026).</w:t>
      </w:r>
    </w:p>
    <w:p w14:paraId="227DCC34"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Global Polio Eradication Initiative (n.d.) </w:t>
      </w:r>
      <w:r w:rsidRPr="00F94D66">
        <w:rPr>
          <w:rStyle w:val="Emphasis"/>
          <w:rFonts w:asciiTheme="minorBidi" w:hAnsiTheme="minorBidi" w:cstheme="minorBidi"/>
          <w:sz w:val="22"/>
          <w:szCs w:val="22"/>
        </w:rPr>
        <w:t>History of Polio</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https://polioeradication.org/about-polio/history-of-polio/</w:t>
      </w:r>
      <w:r w:rsidRPr="00F94D66">
        <w:rPr>
          <w:rFonts w:asciiTheme="minorBidi" w:hAnsiTheme="minorBidi" w:cstheme="minorBidi"/>
          <w:sz w:val="22"/>
          <w:szCs w:val="22"/>
        </w:rPr>
        <w:t xml:space="preserve"> (Accessed: 2 July 2026).</w:t>
      </w:r>
    </w:p>
    <w:p w14:paraId="4F0FA485"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Institute of Health Equity (2020) </w:t>
      </w:r>
      <w:r w:rsidRPr="00F94D66">
        <w:rPr>
          <w:rStyle w:val="Emphasis"/>
          <w:rFonts w:asciiTheme="minorBidi" w:hAnsiTheme="minorBidi" w:cstheme="minorBidi"/>
          <w:sz w:val="22"/>
          <w:szCs w:val="22"/>
        </w:rPr>
        <w:t>Health Equity in England: The Marmot Review 10 Years On</w:t>
      </w:r>
      <w:r w:rsidRPr="00F94D66">
        <w:rPr>
          <w:rFonts w:asciiTheme="minorBidi" w:hAnsiTheme="minorBidi" w:cstheme="minorBidi"/>
          <w:sz w:val="22"/>
          <w:szCs w:val="22"/>
        </w:rPr>
        <w:t>. London: Institute of Health Equity.</w:t>
      </w:r>
    </w:p>
    <w:p w14:paraId="2627584C"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NHS England (2025) </w:t>
      </w:r>
      <w:r w:rsidRPr="00F94D66">
        <w:rPr>
          <w:rStyle w:val="Emphasis"/>
          <w:rFonts w:asciiTheme="minorBidi" w:hAnsiTheme="minorBidi" w:cstheme="minorBidi"/>
          <w:sz w:val="22"/>
          <w:szCs w:val="22"/>
        </w:rPr>
        <w:t>Core20PLUS5 (adults): an approach to reducing healthcare inequalities</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https://www.england.nhs.uk/about/equality/equality-hub/national-healthcare-inequalities-improvement-programme/core20plus5/</w:t>
      </w:r>
      <w:r w:rsidRPr="00F94D66">
        <w:rPr>
          <w:rFonts w:asciiTheme="minorBidi" w:hAnsiTheme="minorBidi" w:cstheme="minorBidi"/>
          <w:sz w:val="22"/>
          <w:szCs w:val="22"/>
        </w:rPr>
        <w:t xml:space="preserve"> (Accessed: 2 July 2026).</w:t>
      </w:r>
    </w:p>
    <w:p w14:paraId="4E7332D3"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Office for Health Improvement and Disparities (2024) </w:t>
      </w:r>
      <w:r w:rsidRPr="00F94D66">
        <w:rPr>
          <w:rStyle w:val="Emphasis"/>
          <w:rFonts w:asciiTheme="minorBidi" w:hAnsiTheme="minorBidi" w:cstheme="minorBidi"/>
          <w:sz w:val="22"/>
          <w:szCs w:val="22"/>
        </w:rPr>
        <w:t>Health Equity Assessment Tool (HEAT)</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https://www.gov.uk/government/publications/health-equity-assessment-tool-heat</w:t>
      </w:r>
      <w:r w:rsidRPr="00F94D66">
        <w:rPr>
          <w:rFonts w:asciiTheme="minorBidi" w:hAnsiTheme="minorBidi" w:cstheme="minorBidi"/>
          <w:sz w:val="22"/>
          <w:szCs w:val="22"/>
        </w:rPr>
        <w:t xml:space="preserve"> (Accessed: 2 July 2026).</w:t>
      </w:r>
    </w:p>
    <w:p w14:paraId="3471B2FA"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Rosenstock, I.M. (1974) ‘Historical origins of the Health Belief Model’, </w:t>
      </w:r>
      <w:r w:rsidRPr="00F94D66">
        <w:rPr>
          <w:rStyle w:val="Emphasis"/>
          <w:rFonts w:asciiTheme="minorBidi" w:hAnsiTheme="minorBidi" w:cstheme="minorBidi"/>
          <w:sz w:val="22"/>
          <w:szCs w:val="22"/>
        </w:rPr>
        <w:t>Health Education Monographs</w:t>
      </w:r>
      <w:r w:rsidRPr="00F94D66">
        <w:rPr>
          <w:rFonts w:asciiTheme="minorBidi" w:hAnsiTheme="minorBidi" w:cstheme="minorBidi"/>
          <w:sz w:val="22"/>
          <w:szCs w:val="22"/>
        </w:rPr>
        <w:t>, 2(4), pp. 328–335.</w:t>
      </w:r>
    </w:p>
    <w:p w14:paraId="08EBF0FF"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lastRenderedPageBreak/>
        <w:t xml:space="preserve">The Health Foundation (2024) </w:t>
      </w:r>
      <w:r w:rsidRPr="00F94D66">
        <w:rPr>
          <w:rStyle w:val="Emphasis"/>
          <w:rFonts w:asciiTheme="minorBidi" w:hAnsiTheme="minorBidi" w:cstheme="minorBidi"/>
          <w:sz w:val="22"/>
          <w:szCs w:val="22"/>
        </w:rPr>
        <w:t>What builds good health?</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https://www.health.org.uk/features-and-opinion/features/what-builds-good-health</w:t>
      </w:r>
      <w:r w:rsidRPr="00F94D66">
        <w:rPr>
          <w:rFonts w:asciiTheme="minorBidi" w:hAnsiTheme="minorBidi" w:cstheme="minorBidi"/>
          <w:sz w:val="22"/>
          <w:szCs w:val="22"/>
        </w:rPr>
        <w:t xml:space="preserve"> (Accessed: 2 July 2026).</w:t>
      </w:r>
    </w:p>
    <w:p w14:paraId="5E8927BF"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The King’s Fund (2026) </w:t>
      </w:r>
      <w:r w:rsidRPr="00F94D66">
        <w:rPr>
          <w:rStyle w:val="Emphasis"/>
          <w:rFonts w:asciiTheme="minorBidi" w:hAnsiTheme="minorBidi" w:cstheme="minorBidi"/>
          <w:sz w:val="22"/>
          <w:szCs w:val="22"/>
        </w:rPr>
        <w:t>Health inequalities in a nutshell</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https://www.kingsfund.org.uk/insight-and-analysis/data-and-charts/health-inequalities-nutshell</w:t>
      </w:r>
      <w:r w:rsidRPr="00F94D66">
        <w:rPr>
          <w:rFonts w:asciiTheme="minorBidi" w:hAnsiTheme="minorBidi" w:cstheme="minorBidi"/>
          <w:sz w:val="22"/>
          <w:szCs w:val="22"/>
        </w:rPr>
        <w:t xml:space="preserve"> (Accessed: 2 July 2026).</w:t>
      </w:r>
    </w:p>
    <w:p w14:paraId="4EC6C4AB" w14:textId="77777777" w:rsidR="00506833" w:rsidRPr="00F94D66" w:rsidRDefault="00506833" w:rsidP="00F94D66">
      <w:pPr>
        <w:pStyle w:val="NormalWeb"/>
        <w:spacing w:line="360" w:lineRule="auto"/>
        <w:rPr>
          <w:rFonts w:asciiTheme="minorBidi" w:hAnsiTheme="minorBidi" w:cstheme="minorBidi"/>
          <w:sz w:val="22"/>
          <w:szCs w:val="22"/>
        </w:rPr>
      </w:pPr>
      <w:bookmarkStart w:id="13" w:name="_Hlk233934298"/>
      <w:r w:rsidRPr="00F94D66">
        <w:rPr>
          <w:rFonts w:asciiTheme="minorBidi" w:hAnsiTheme="minorBidi" w:cstheme="minorBidi"/>
          <w:sz w:val="22"/>
          <w:szCs w:val="22"/>
        </w:rPr>
        <w:t xml:space="preserve">UN DESA </w:t>
      </w:r>
      <w:bookmarkEnd w:id="13"/>
      <w:r w:rsidRPr="00F94D66">
        <w:rPr>
          <w:rFonts w:asciiTheme="minorBidi" w:hAnsiTheme="minorBidi" w:cstheme="minorBidi"/>
          <w:sz w:val="22"/>
          <w:szCs w:val="22"/>
        </w:rPr>
        <w:t>(</w:t>
      </w:r>
      <w:proofErr w:type="spellStart"/>
      <w:r w:rsidRPr="00F94D66">
        <w:rPr>
          <w:rFonts w:asciiTheme="minorBidi" w:hAnsiTheme="minorBidi" w:cstheme="minorBidi"/>
          <w:sz w:val="22"/>
          <w:szCs w:val="22"/>
        </w:rPr>
        <w:t>n.d.a</w:t>
      </w:r>
      <w:proofErr w:type="spellEnd"/>
      <w:r w:rsidRPr="00F94D66">
        <w:rPr>
          <w:rFonts w:asciiTheme="minorBidi" w:hAnsiTheme="minorBidi" w:cstheme="minorBidi"/>
          <w:sz w:val="22"/>
          <w:szCs w:val="22"/>
        </w:rPr>
        <w:t xml:space="preserve">) </w:t>
      </w:r>
      <w:r w:rsidRPr="00F94D66">
        <w:rPr>
          <w:rStyle w:val="Emphasis"/>
          <w:rFonts w:asciiTheme="minorBidi" w:hAnsiTheme="minorBidi" w:cstheme="minorBidi"/>
          <w:sz w:val="22"/>
          <w:szCs w:val="22"/>
        </w:rPr>
        <w:t xml:space="preserve">Goal 3: Ensure healthy lives and promote well-being </w:t>
      </w:r>
      <w:proofErr w:type="gramStart"/>
      <w:r w:rsidRPr="00F94D66">
        <w:rPr>
          <w:rStyle w:val="Emphasis"/>
          <w:rFonts w:asciiTheme="minorBidi" w:hAnsiTheme="minorBidi" w:cstheme="minorBidi"/>
          <w:sz w:val="22"/>
          <w:szCs w:val="22"/>
        </w:rPr>
        <w:t>for all at</w:t>
      </w:r>
      <w:proofErr w:type="gramEnd"/>
      <w:r w:rsidRPr="00F94D66">
        <w:rPr>
          <w:rStyle w:val="Emphasis"/>
          <w:rFonts w:asciiTheme="minorBidi" w:hAnsiTheme="minorBidi" w:cstheme="minorBidi"/>
          <w:sz w:val="22"/>
          <w:szCs w:val="22"/>
        </w:rPr>
        <w:t xml:space="preserve"> all ages</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https://sdgs.un.org/goals/goal3</w:t>
      </w:r>
      <w:r w:rsidRPr="00F94D66">
        <w:rPr>
          <w:rFonts w:asciiTheme="minorBidi" w:hAnsiTheme="minorBidi" w:cstheme="minorBidi"/>
          <w:sz w:val="22"/>
          <w:szCs w:val="22"/>
        </w:rPr>
        <w:t xml:space="preserve"> (Accessed: 2 July 2026).</w:t>
      </w:r>
    </w:p>
    <w:p w14:paraId="3A73BEBF"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UN DESA (</w:t>
      </w:r>
      <w:proofErr w:type="spellStart"/>
      <w:r w:rsidRPr="00F94D66">
        <w:rPr>
          <w:rFonts w:asciiTheme="minorBidi" w:hAnsiTheme="minorBidi" w:cstheme="minorBidi"/>
          <w:sz w:val="22"/>
          <w:szCs w:val="22"/>
        </w:rPr>
        <w:t>n.d.b</w:t>
      </w:r>
      <w:proofErr w:type="spellEnd"/>
      <w:r w:rsidRPr="00F94D66">
        <w:rPr>
          <w:rFonts w:asciiTheme="minorBidi" w:hAnsiTheme="minorBidi" w:cstheme="minorBidi"/>
          <w:sz w:val="22"/>
          <w:szCs w:val="22"/>
        </w:rPr>
        <w:t xml:space="preserve">) </w:t>
      </w:r>
      <w:r w:rsidRPr="00F94D66">
        <w:rPr>
          <w:rStyle w:val="Emphasis"/>
          <w:rFonts w:asciiTheme="minorBidi" w:hAnsiTheme="minorBidi" w:cstheme="minorBidi"/>
          <w:sz w:val="22"/>
          <w:szCs w:val="22"/>
        </w:rPr>
        <w:t>Goal 10: Reduce inequality within and among countries</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https://sdgs.un.org/goals/goal10</w:t>
      </w:r>
      <w:r w:rsidRPr="00F94D66">
        <w:rPr>
          <w:rFonts w:asciiTheme="minorBidi" w:hAnsiTheme="minorBidi" w:cstheme="minorBidi"/>
          <w:sz w:val="22"/>
          <w:szCs w:val="22"/>
        </w:rPr>
        <w:t xml:space="preserve"> (Accessed: 2 July 2026).</w:t>
      </w:r>
    </w:p>
    <w:p w14:paraId="05696B13"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UN Women (n.d.) </w:t>
      </w:r>
      <w:r w:rsidRPr="00F94D66">
        <w:rPr>
          <w:rStyle w:val="Emphasis"/>
          <w:rFonts w:asciiTheme="minorBidi" w:hAnsiTheme="minorBidi" w:cstheme="minorBidi"/>
          <w:sz w:val="22"/>
          <w:szCs w:val="22"/>
        </w:rPr>
        <w:t>Gender equality and women’s empowerment</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https://www.unwomen.org/en</w:t>
      </w:r>
      <w:r w:rsidRPr="00F94D66">
        <w:rPr>
          <w:rFonts w:asciiTheme="minorBidi" w:hAnsiTheme="minorBidi" w:cstheme="minorBidi"/>
          <w:sz w:val="22"/>
          <w:szCs w:val="22"/>
        </w:rPr>
        <w:t xml:space="preserve"> (Accessed: 2 July 2026).</w:t>
      </w:r>
    </w:p>
    <w:p w14:paraId="383D6888"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United Nations (2015) </w:t>
      </w:r>
      <w:r w:rsidRPr="00F94D66">
        <w:rPr>
          <w:rStyle w:val="Emphasis"/>
          <w:rFonts w:asciiTheme="minorBidi" w:hAnsiTheme="minorBidi" w:cstheme="minorBidi"/>
          <w:sz w:val="22"/>
          <w:szCs w:val="22"/>
        </w:rPr>
        <w:t>Transforming our world: the 2030 Agenda for Sustainable Development</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https://sdgs.un.org/2030agenda</w:t>
      </w:r>
      <w:r w:rsidRPr="00F94D66">
        <w:rPr>
          <w:rFonts w:asciiTheme="minorBidi" w:hAnsiTheme="minorBidi" w:cstheme="minorBidi"/>
          <w:sz w:val="22"/>
          <w:szCs w:val="22"/>
        </w:rPr>
        <w:t xml:space="preserve"> (Accessed: 2 July 2026).</w:t>
      </w:r>
    </w:p>
    <w:p w14:paraId="26DFFED4"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Walsall Council (2025) </w:t>
      </w:r>
      <w:r w:rsidRPr="00F94D66">
        <w:rPr>
          <w:rStyle w:val="Emphasis"/>
          <w:rFonts w:asciiTheme="minorBidi" w:hAnsiTheme="minorBidi" w:cstheme="minorBidi"/>
          <w:sz w:val="22"/>
          <w:szCs w:val="22"/>
        </w:rPr>
        <w:t>Public health and wellbeing information and local strategies</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https://go.walsall.gov.uk/</w:t>
      </w:r>
      <w:r w:rsidRPr="00F94D66">
        <w:rPr>
          <w:rFonts w:asciiTheme="minorBidi" w:hAnsiTheme="minorBidi" w:cstheme="minorBidi"/>
          <w:sz w:val="22"/>
          <w:szCs w:val="22"/>
        </w:rPr>
        <w:t xml:space="preserve"> (Accessed: 2 July 2026).</w:t>
      </w:r>
    </w:p>
    <w:p w14:paraId="7A3FC130"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Walsall Health and Wellbeing Board (2022) </w:t>
      </w:r>
      <w:r w:rsidRPr="00F94D66">
        <w:rPr>
          <w:rStyle w:val="Emphasis"/>
          <w:rFonts w:asciiTheme="minorBidi" w:hAnsiTheme="minorBidi" w:cstheme="minorBidi"/>
          <w:sz w:val="22"/>
          <w:szCs w:val="22"/>
        </w:rPr>
        <w:t>Joint Local Health and Wellbeing Strategy</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https://cmispublic.walsall.gov.uk/</w:t>
      </w:r>
      <w:r w:rsidRPr="00F94D66">
        <w:rPr>
          <w:rFonts w:asciiTheme="minorBidi" w:hAnsiTheme="minorBidi" w:cstheme="minorBidi"/>
          <w:sz w:val="22"/>
          <w:szCs w:val="22"/>
        </w:rPr>
        <w:t xml:space="preserve"> (Accessed: 2 July 2026).</w:t>
      </w:r>
    </w:p>
    <w:p w14:paraId="7AE334C9"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Walsall Intelligence (2025) </w:t>
      </w:r>
      <w:r w:rsidRPr="00F94D66">
        <w:rPr>
          <w:rStyle w:val="Emphasis"/>
          <w:rFonts w:asciiTheme="minorBidi" w:hAnsiTheme="minorBidi" w:cstheme="minorBidi"/>
          <w:sz w:val="22"/>
          <w:szCs w:val="22"/>
        </w:rPr>
        <w:t>Deprivation</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https://www.walsallintelligence.org.uk/home/demographics/deprivation/</w:t>
      </w:r>
      <w:r w:rsidRPr="00F94D66">
        <w:rPr>
          <w:rFonts w:asciiTheme="minorBidi" w:hAnsiTheme="minorBidi" w:cstheme="minorBidi"/>
          <w:sz w:val="22"/>
          <w:szCs w:val="22"/>
        </w:rPr>
        <w:t xml:space="preserve"> (Accessed: 2 July 2026).</w:t>
      </w:r>
    </w:p>
    <w:p w14:paraId="796D0804" w14:textId="77777777" w:rsidR="00506833" w:rsidRPr="00F94D66" w:rsidRDefault="00506833" w:rsidP="00F94D66">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World Health Organization (2025a) </w:t>
      </w:r>
      <w:r w:rsidRPr="00F94D66">
        <w:rPr>
          <w:rStyle w:val="Emphasis"/>
          <w:rFonts w:asciiTheme="minorBidi" w:hAnsiTheme="minorBidi" w:cstheme="minorBidi"/>
          <w:sz w:val="22"/>
          <w:szCs w:val="22"/>
        </w:rPr>
        <w:t>Universal health coverage (UHC)</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https://www.who.int/news-room/fact-sheets/detail/universal-health-coverage-(uhc)</w:t>
      </w:r>
      <w:r w:rsidRPr="00F94D66">
        <w:rPr>
          <w:rFonts w:asciiTheme="minorBidi" w:hAnsiTheme="minorBidi" w:cstheme="minorBidi"/>
          <w:sz w:val="22"/>
          <w:szCs w:val="22"/>
        </w:rPr>
        <w:t xml:space="preserve"> (Accessed: 2 July 2026).</w:t>
      </w:r>
    </w:p>
    <w:p w14:paraId="3DF18294" w14:textId="44D0BE78" w:rsidR="00506833" w:rsidRPr="00F94D66" w:rsidRDefault="00506833" w:rsidP="00DA79FA">
      <w:pPr>
        <w:pStyle w:val="NormalWeb"/>
        <w:spacing w:line="360" w:lineRule="auto"/>
        <w:rPr>
          <w:rFonts w:asciiTheme="minorBidi" w:hAnsiTheme="minorBidi" w:cstheme="minorBidi"/>
          <w:sz w:val="22"/>
          <w:szCs w:val="22"/>
        </w:rPr>
      </w:pPr>
      <w:r w:rsidRPr="00F94D66">
        <w:rPr>
          <w:rFonts w:asciiTheme="minorBidi" w:hAnsiTheme="minorBidi" w:cstheme="minorBidi"/>
          <w:sz w:val="22"/>
          <w:szCs w:val="22"/>
        </w:rPr>
        <w:t xml:space="preserve">World Health Organization (2025b) </w:t>
      </w:r>
      <w:r w:rsidRPr="00F94D66">
        <w:rPr>
          <w:rStyle w:val="Emphasis"/>
          <w:rFonts w:asciiTheme="minorBidi" w:hAnsiTheme="minorBidi" w:cstheme="minorBidi"/>
          <w:sz w:val="22"/>
          <w:szCs w:val="22"/>
        </w:rPr>
        <w:t>Social determinants of health</w:t>
      </w:r>
      <w:r w:rsidRPr="00F94D66">
        <w:rPr>
          <w:rFonts w:asciiTheme="minorBidi" w:hAnsiTheme="minorBidi" w:cstheme="minorBidi"/>
          <w:sz w:val="22"/>
          <w:szCs w:val="22"/>
        </w:rPr>
        <w:t xml:space="preserve">. Available at: </w:t>
      </w:r>
      <w:r w:rsidRPr="00F94D66">
        <w:rPr>
          <w:rFonts w:asciiTheme="minorBidi" w:eastAsia="Arial" w:hAnsiTheme="minorBidi" w:cstheme="minorBidi"/>
          <w:sz w:val="22"/>
          <w:szCs w:val="22"/>
        </w:rPr>
        <w:t>https://www.who.int/news-room/fact-sheets/detail/social-determinants-of-health</w:t>
      </w:r>
      <w:r w:rsidRPr="00F94D66">
        <w:rPr>
          <w:rFonts w:asciiTheme="minorBidi" w:hAnsiTheme="minorBidi" w:cstheme="minorBidi"/>
          <w:sz w:val="22"/>
          <w:szCs w:val="22"/>
        </w:rPr>
        <w:t xml:space="preserve"> (Accessed: 2 July 2026).</w:t>
      </w:r>
    </w:p>
    <w:sectPr w:rsidR="00506833" w:rsidRPr="00F94D66" w:rsidSect="00F94D66">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BD314C" w14:textId="77777777" w:rsidR="00BD1007" w:rsidRDefault="00BD1007">
      <w:pPr>
        <w:spacing w:after="0" w:line="240" w:lineRule="auto"/>
      </w:pPr>
      <w:r>
        <w:separator/>
      </w:r>
    </w:p>
  </w:endnote>
  <w:endnote w:type="continuationSeparator" w:id="0">
    <w:p w14:paraId="1911342A" w14:textId="77777777" w:rsidR="00BD1007" w:rsidRDefault="00BD1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7EFD8" w14:textId="77777777" w:rsidR="00EF0F73" w:rsidRDefault="00B46A69">
    <w:pPr>
      <w:pStyle w:val="Footer"/>
      <w:spacing w:line="360" w:lineRule="auto"/>
      <w:jc w:val="center"/>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95916" w14:textId="77777777" w:rsidR="00BD1007" w:rsidRDefault="00BD1007">
      <w:pPr>
        <w:spacing w:after="0" w:line="240" w:lineRule="auto"/>
      </w:pPr>
      <w:r>
        <w:separator/>
      </w:r>
    </w:p>
  </w:footnote>
  <w:footnote w:type="continuationSeparator" w:id="0">
    <w:p w14:paraId="5ED58616" w14:textId="77777777" w:rsidR="00BD1007" w:rsidRDefault="00BD10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3E5CC8" w14:textId="77777777" w:rsidR="00EF0F73" w:rsidRDefault="00EF0F7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singleLevel"/>
    <w:tmpl w:val="E4089024"/>
    <w:lvl w:ilvl="0">
      <w:start w:val="1"/>
      <w:numFmt w:val="decimal"/>
      <w:lvlText w:val="%1."/>
      <w:lvlJc w:val="left"/>
      <w:pPr>
        <w:tabs>
          <w:tab w:val="left" w:pos="1440"/>
        </w:tabs>
        <w:ind w:left="1440" w:hanging="360"/>
      </w:pPr>
    </w:lvl>
  </w:abstractNum>
  <w:abstractNum w:abstractNumId="1" w15:restartNumberingAfterBreak="0">
    <w:nsid w:val="00000002"/>
    <w:multiLevelType w:val="singleLevel"/>
    <w:tmpl w:val="FB12693A"/>
    <w:lvl w:ilvl="0">
      <w:start w:val="1"/>
      <w:numFmt w:val="decimal"/>
      <w:pStyle w:val="ListNumber3"/>
      <w:lvlText w:val="%1."/>
      <w:lvlJc w:val="left"/>
      <w:pPr>
        <w:tabs>
          <w:tab w:val="left" w:pos="1080"/>
        </w:tabs>
        <w:ind w:left="1080" w:hanging="360"/>
      </w:pPr>
    </w:lvl>
  </w:abstractNum>
  <w:abstractNum w:abstractNumId="2" w15:restartNumberingAfterBreak="0">
    <w:nsid w:val="00000003"/>
    <w:multiLevelType w:val="singleLevel"/>
    <w:tmpl w:val="38441652"/>
    <w:lvl w:ilvl="0">
      <w:start w:val="1"/>
      <w:numFmt w:val="decimal"/>
      <w:pStyle w:val="ListNumber2"/>
      <w:lvlText w:val="%1."/>
      <w:lvlJc w:val="left"/>
      <w:pPr>
        <w:tabs>
          <w:tab w:val="left" w:pos="720"/>
        </w:tabs>
        <w:ind w:left="720" w:hanging="360"/>
      </w:pPr>
    </w:lvl>
  </w:abstractNum>
  <w:abstractNum w:abstractNumId="3" w15:restartNumberingAfterBreak="0">
    <w:nsid w:val="00000004"/>
    <w:multiLevelType w:val="singleLevel"/>
    <w:tmpl w:val="171AC3A4"/>
    <w:lvl w:ilvl="0">
      <w:start w:val="1"/>
      <w:numFmt w:val="bullet"/>
      <w:lvlText w:val=""/>
      <w:lvlJc w:val="left"/>
      <w:pPr>
        <w:tabs>
          <w:tab w:val="left" w:pos="1440"/>
        </w:tabs>
        <w:ind w:left="1440" w:hanging="360"/>
      </w:pPr>
      <w:rPr>
        <w:rFonts w:ascii="Symbol" w:hAnsi="Symbol" w:hint="default"/>
      </w:rPr>
    </w:lvl>
  </w:abstractNum>
  <w:abstractNum w:abstractNumId="4" w15:restartNumberingAfterBreak="0">
    <w:nsid w:val="00000005"/>
    <w:multiLevelType w:val="singleLevel"/>
    <w:tmpl w:val="F3EAFDEC"/>
    <w:lvl w:ilvl="0">
      <w:start w:val="1"/>
      <w:numFmt w:val="bullet"/>
      <w:pStyle w:val="ListBullet3"/>
      <w:lvlText w:val=""/>
      <w:lvlJc w:val="left"/>
      <w:pPr>
        <w:tabs>
          <w:tab w:val="left" w:pos="1080"/>
        </w:tabs>
        <w:ind w:left="1080" w:hanging="360"/>
      </w:pPr>
      <w:rPr>
        <w:rFonts w:ascii="Symbol" w:hAnsi="Symbol" w:hint="default"/>
      </w:rPr>
    </w:lvl>
  </w:abstractNum>
  <w:abstractNum w:abstractNumId="5" w15:restartNumberingAfterBreak="0">
    <w:nsid w:val="00000006"/>
    <w:multiLevelType w:val="singleLevel"/>
    <w:tmpl w:val="3D1EFFD4"/>
    <w:lvl w:ilvl="0">
      <w:start w:val="1"/>
      <w:numFmt w:val="bullet"/>
      <w:pStyle w:val="ListBullet2"/>
      <w:lvlText w:val=""/>
      <w:lvlJc w:val="left"/>
      <w:pPr>
        <w:tabs>
          <w:tab w:val="left" w:pos="720"/>
        </w:tabs>
        <w:ind w:left="720" w:hanging="360"/>
      </w:pPr>
      <w:rPr>
        <w:rFonts w:ascii="Symbol" w:hAnsi="Symbol" w:hint="default"/>
      </w:rPr>
    </w:lvl>
  </w:abstractNum>
  <w:abstractNum w:abstractNumId="6" w15:restartNumberingAfterBreak="0">
    <w:nsid w:val="00000007"/>
    <w:multiLevelType w:val="singleLevel"/>
    <w:tmpl w:val="D0A62B40"/>
    <w:lvl w:ilvl="0">
      <w:start w:val="1"/>
      <w:numFmt w:val="decimal"/>
      <w:pStyle w:val="ListNumber"/>
      <w:lvlText w:val="%1."/>
      <w:lvlJc w:val="left"/>
      <w:pPr>
        <w:tabs>
          <w:tab w:val="left" w:pos="360"/>
        </w:tabs>
        <w:ind w:left="360" w:hanging="360"/>
      </w:pPr>
    </w:lvl>
  </w:abstractNum>
  <w:abstractNum w:abstractNumId="7" w15:restartNumberingAfterBreak="0">
    <w:nsid w:val="00000008"/>
    <w:multiLevelType w:val="singleLevel"/>
    <w:tmpl w:val="29761A62"/>
    <w:lvl w:ilvl="0">
      <w:start w:val="1"/>
      <w:numFmt w:val="bullet"/>
      <w:pStyle w:val="ListBullet"/>
      <w:lvlText w:val=""/>
      <w:lvlJc w:val="left"/>
      <w:pPr>
        <w:tabs>
          <w:tab w:val="left" w:pos="360"/>
        </w:tabs>
        <w:ind w:left="360" w:hanging="360"/>
      </w:pPr>
      <w:rPr>
        <w:rFonts w:ascii="Symbol" w:hAnsi="Symbol" w:hint="default"/>
      </w:rPr>
    </w:lvl>
  </w:abstractNum>
  <w:abstractNum w:abstractNumId="8" w15:restartNumberingAfterBreak="0">
    <w:nsid w:val="02400D03"/>
    <w:multiLevelType w:val="singleLevel"/>
    <w:tmpl w:val="C310EC42"/>
    <w:lvl w:ilvl="0">
      <w:start w:val="1"/>
      <w:numFmt w:val="decimal"/>
      <w:lvlText w:val="%1."/>
      <w:lvlJc w:val="left"/>
      <w:pPr>
        <w:tabs>
          <w:tab w:val="left" w:pos="1800"/>
        </w:tabs>
        <w:ind w:left="1800" w:hanging="360"/>
      </w:pPr>
    </w:lvl>
  </w:abstractNum>
  <w:num w:numId="1" w16cid:durableId="2091583477">
    <w:abstractNumId w:val="7"/>
  </w:num>
  <w:num w:numId="2" w16cid:durableId="1412460703">
    <w:abstractNumId w:val="5"/>
  </w:num>
  <w:num w:numId="3" w16cid:durableId="399596818">
    <w:abstractNumId w:val="4"/>
  </w:num>
  <w:num w:numId="4" w16cid:durableId="575745698">
    <w:abstractNumId w:val="6"/>
  </w:num>
  <w:num w:numId="5" w16cid:durableId="636569235">
    <w:abstractNumId w:val="2"/>
  </w:num>
  <w:num w:numId="6" w16cid:durableId="675546098">
    <w:abstractNumId w:val="1"/>
  </w:num>
  <w:num w:numId="7" w16cid:durableId="1102410237">
    <w:abstractNumId w:val="3"/>
  </w:num>
  <w:num w:numId="8" w16cid:durableId="1161240237">
    <w:abstractNumId w:val="0"/>
  </w:num>
  <w:num w:numId="9" w16cid:durableId="20918064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F0F73"/>
    <w:rsid w:val="001C4CBD"/>
    <w:rsid w:val="00214D8A"/>
    <w:rsid w:val="00452789"/>
    <w:rsid w:val="00506833"/>
    <w:rsid w:val="00611FA7"/>
    <w:rsid w:val="006C3A4E"/>
    <w:rsid w:val="007079A1"/>
    <w:rsid w:val="008C6286"/>
    <w:rsid w:val="00A340AB"/>
    <w:rsid w:val="00B46A69"/>
    <w:rsid w:val="00BD1007"/>
    <w:rsid w:val="00BD3C5F"/>
    <w:rsid w:val="00DA79FA"/>
    <w:rsid w:val="00EF0F73"/>
    <w:rsid w:val="00F57D0E"/>
    <w:rsid w:val="00F94D6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7D1613"/>
  <w15:docId w15:val="{B536187A-59F4-4E22-8018-07E3B2F8D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MS Mincho" w:hAnsi="Cambria"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0" w:line="360" w:lineRule="auto"/>
    </w:pPr>
    <w:rPr>
      <w:rFonts w:ascii="Arial" w:eastAsia="Arial" w:hAnsi="Arial" w:cs="Arial"/>
      <w:sz w:val="24"/>
    </w:rPr>
  </w:style>
  <w:style w:type="paragraph" w:styleId="Heading1">
    <w:name w:val="heading 1"/>
    <w:basedOn w:val="Normal"/>
    <w:next w:val="Normal"/>
    <w:link w:val="Heading1Char"/>
    <w:uiPriority w:val="9"/>
    <w:qFormat/>
    <w:pPr>
      <w:keepNext/>
      <w:keepLines/>
      <w:spacing w:before="480" w:after="0"/>
      <w:outlineLvl w:val="0"/>
    </w:pPr>
    <w:rPr>
      <w:b/>
      <w:bCs/>
      <w:color w:val="000000"/>
      <w:sz w:val="32"/>
      <w:szCs w:val="28"/>
    </w:rPr>
  </w:style>
  <w:style w:type="paragraph" w:styleId="Heading2">
    <w:name w:val="heading 2"/>
    <w:basedOn w:val="Normal"/>
    <w:next w:val="Normal"/>
    <w:link w:val="Heading2Char"/>
    <w:uiPriority w:val="9"/>
    <w:unhideWhenUsed/>
    <w:qFormat/>
    <w:pPr>
      <w:keepNext/>
      <w:keepLines/>
      <w:spacing w:before="200" w:after="0"/>
      <w:outlineLvl w:val="1"/>
    </w:pPr>
    <w:rPr>
      <w:b/>
      <w:bCs/>
      <w:color w:val="000000"/>
      <w:sz w:val="28"/>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b/>
      <w:bCs/>
      <w:color w:val="000000"/>
    </w:rPr>
  </w:style>
  <w:style w:type="paragraph" w:styleId="Heading4">
    <w:name w:val="heading 4"/>
    <w:basedOn w:val="Normal"/>
    <w:next w:val="Normal"/>
    <w:link w:val="Heading4Char"/>
    <w:uiPriority w:val="9"/>
    <w:semiHidden/>
    <w:unhideWhenUsed/>
    <w:qFormat/>
    <w:pPr>
      <w:keepNext/>
      <w:keepLines/>
      <w:spacing w:before="200" w:after="0"/>
      <w:outlineLvl w:val="3"/>
    </w:pPr>
    <w:rPr>
      <w:b/>
      <w:bCs/>
      <w:i/>
      <w:iCs/>
      <w:color w:val="4F81BD"/>
    </w:rPr>
  </w:style>
  <w:style w:type="paragraph" w:styleId="Heading5">
    <w:name w:val="heading 5"/>
    <w:basedOn w:val="Normal"/>
    <w:next w:val="Normal"/>
    <w:link w:val="Heading5Char"/>
    <w:uiPriority w:val="9"/>
    <w:semiHidden/>
    <w:unhideWhenUsed/>
    <w:qFormat/>
    <w:pPr>
      <w:keepNext/>
      <w:keepLines/>
      <w:spacing w:before="200" w:after="0"/>
      <w:outlineLvl w:val="4"/>
    </w:pPr>
    <w:rPr>
      <w:color w:val="243F60"/>
    </w:rPr>
  </w:style>
  <w:style w:type="paragraph" w:styleId="Heading6">
    <w:name w:val="heading 6"/>
    <w:basedOn w:val="Normal"/>
    <w:next w:val="Normal"/>
    <w:link w:val="Heading6Char"/>
    <w:uiPriority w:val="9"/>
    <w:semiHidden/>
    <w:unhideWhenUsed/>
    <w:qFormat/>
    <w:pPr>
      <w:keepNext/>
      <w:keepLines/>
      <w:spacing w:before="200" w:after="0"/>
      <w:outlineLvl w:val="5"/>
    </w:pPr>
    <w:rPr>
      <w:i/>
      <w:iCs/>
      <w:color w:val="243F60"/>
    </w:rPr>
  </w:style>
  <w:style w:type="paragraph" w:styleId="Heading7">
    <w:name w:val="heading 7"/>
    <w:basedOn w:val="Normal"/>
    <w:next w:val="Normal"/>
    <w:link w:val="Heading7Char"/>
    <w:uiPriority w:val="9"/>
    <w:qFormat/>
    <w:pPr>
      <w:keepNext/>
      <w:keepLines/>
      <w:spacing w:before="200" w:after="0"/>
      <w:outlineLvl w:val="6"/>
    </w:pPr>
    <w:rPr>
      <w:i/>
      <w:iCs/>
      <w:color w:val="404040"/>
    </w:rPr>
  </w:style>
  <w:style w:type="paragraph" w:styleId="Heading8">
    <w:name w:val="heading 8"/>
    <w:basedOn w:val="Normal"/>
    <w:next w:val="Normal"/>
    <w:link w:val="Heading8Char"/>
    <w:uiPriority w:val="9"/>
    <w:qFormat/>
    <w:pPr>
      <w:keepNext/>
      <w:keepLines/>
      <w:spacing w:before="200" w:after="0"/>
      <w:outlineLvl w:val="7"/>
    </w:pPr>
    <w:rPr>
      <w:color w:val="4F81BD"/>
      <w:sz w:val="20"/>
      <w:szCs w:val="20"/>
    </w:rPr>
  </w:style>
  <w:style w:type="paragraph" w:styleId="Heading9">
    <w:name w:val="heading 9"/>
    <w:basedOn w:val="Normal"/>
    <w:next w:val="Normal"/>
    <w:link w:val="Heading9Char"/>
    <w:uiPriority w:val="9"/>
    <w:qFormat/>
    <w:pPr>
      <w:keepNext/>
      <w:keepLines/>
      <w:spacing w:before="200" w:after="0"/>
      <w:outlineLvl w:val="8"/>
    </w:pPr>
    <w:rPr>
      <w:i/>
      <w:iCs/>
      <w:color w:val="40404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Arial" w:eastAsia="Arial" w:hAnsi="Arial" w:cs="Arial"/>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Arial" w:eastAsia="Arial" w:hAnsi="Arial" w:cs="Arial"/>
    </w:rPr>
  </w:style>
  <w:style w:type="paragraph" w:styleId="NoSpacing">
    <w:name w:val="No Spacing"/>
    <w:uiPriority w:val="1"/>
    <w:qFormat/>
    <w:pPr>
      <w:spacing w:after="0" w:line="240" w:lineRule="auto"/>
    </w:pPr>
    <w:rPr>
      <w:rFonts w:ascii="Arial" w:eastAsia="Arial" w:hAnsi="Arial" w:cs="Arial"/>
    </w:rPr>
  </w:style>
  <w:style w:type="character" w:customStyle="1" w:styleId="Heading1Char">
    <w:name w:val="Heading 1 Char"/>
    <w:basedOn w:val="DefaultParagraphFont"/>
    <w:link w:val="Heading1"/>
    <w:uiPriority w:val="9"/>
    <w:rPr>
      <w:rFonts w:ascii="Arial" w:eastAsia="Arial" w:hAnsi="Arial" w:cs="Arial"/>
      <w:b/>
      <w:bCs/>
      <w:color w:val="365F91"/>
      <w:sz w:val="28"/>
      <w:szCs w:val="28"/>
    </w:rPr>
  </w:style>
  <w:style w:type="character" w:customStyle="1" w:styleId="Heading2Char">
    <w:name w:val="Heading 2 Char"/>
    <w:basedOn w:val="DefaultParagraphFont"/>
    <w:link w:val="Heading2"/>
    <w:uiPriority w:val="9"/>
    <w:rPr>
      <w:rFonts w:ascii="Arial" w:eastAsia="Arial" w:hAnsi="Arial" w:cs="Arial"/>
      <w:b/>
      <w:bCs/>
      <w:color w:val="4F81BD"/>
      <w:sz w:val="26"/>
      <w:szCs w:val="26"/>
    </w:rPr>
  </w:style>
  <w:style w:type="character" w:customStyle="1" w:styleId="Heading3Char">
    <w:name w:val="Heading 3 Char"/>
    <w:basedOn w:val="DefaultParagraphFont"/>
    <w:link w:val="Heading3"/>
    <w:uiPriority w:val="9"/>
    <w:rPr>
      <w:rFonts w:ascii="Arial" w:eastAsia="Arial" w:hAnsi="Arial" w:cs="Arial"/>
      <w:b/>
      <w:bCs/>
      <w:color w:val="4F81BD"/>
    </w:rPr>
  </w:style>
  <w:style w:type="paragraph" w:styleId="Title">
    <w:name w:val="Title"/>
    <w:basedOn w:val="Normal"/>
    <w:next w:val="Normal"/>
    <w:link w:val="TitleChar"/>
    <w:uiPriority w:val="10"/>
    <w:qFormat/>
    <w:pPr>
      <w:pBdr>
        <w:bottom w:val="single" w:sz="8" w:space="4" w:color="4F81BD"/>
      </w:pBdr>
      <w:spacing w:after="300" w:line="240" w:lineRule="auto"/>
      <w:contextualSpacing/>
    </w:pPr>
    <w:rPr>
      <w:color w:val="17365D"/>
      <w:spacing w:val="5"/>
      <w:kern w:val="28"/>
      <w:sz w:val="52"/>
      <w:szCs w:val="52"/>
    </w:rPr>
  </w:style>
  <w:style w:type="character" w:customStyle="1" w:styleId="TitleChar">
    <w:name w:val="Title Char"/>
    <w:basedOn w:val="DefaultParagraphFont"/>
    <w:link w:val="Title"/>
    <w:uiPriority w:val="10"/>
    <w:rPr>
      <w:rFonts w:ascii="Arial" w:eastAsia="Arial" w:hAnsi="Arial" w:cs="Arial"/>
      <w:color w:val="17365D"/>
      <w:spacing w:val="5"/>
      <w:kern w:val="28"/>
      <w:sz w:val="52"/>
      <w:szCs w:val="52"/>
    </w:rPr>
  </w:style>
  <w:style w:type="paragraph" w:styleId="Subtitle">
    <w:name w:val="Subtitle"/>
    <w:basedOn w:val="Normal"/>
    <w:next w:val="Normal"/>
    <w:link w:val="SubtitleChar"/>
    <w:uiPriority w:val="11"/>
    <w:qFormat/>
    <w:pPr>
      <w:numPr>
        <w:ilvl w:val="1"/>
      </w:numPr>
    </w:pPr>
    <w:rPr>
      <w:i/>
      <w:iCs/>
      <w:color w:val="4F81BD"/>
      <w:spacing w:val="15"/>
      <w:szCs w:val="24"/>
    </w:rPr>
  </w:style>
  <w:style w:type="character" w:customStyle="1" w:styleId="SubtitleChar">
    <w:name w:val="Subtitle Char"/>
    <w:basedOn w:val="DefaultParagraphFont"/>
    <w:link w:val="Subtitle"/>
    <w:uiPriority w:val="11"/>
    <w:rPr>
      <w:rFonts w:ascii="Arial" w:eastAsia="Arial" w:hAnsi="Arial" w:cs="Arial"/>
      <w:i/>
      <w:iCs/>
      <w:color w:val="4F81BD"/>
      <w:spacing w:val="15"/>
      <w:sz w:val="24"/>
      <w:szCs w:val="24"/>
    </w:rPr>
  </w:style>
  <w:style w:type="paragraph" w:styleId="ListParagraph">
    <w:name w:val="List Paragraph"/>
    <w:basedOn w:val="Normal"/>
    <w:uiPriority w:val="34"/>
    <w:qFormat/>
    <w:pPr>
      <w:ind w:left="720"/>
      <w:contextualSpacing/>
    </w:pPr>
  </w:style>
  <w:style w:type="paragraph" w:styleId="BodyText">
    <w:name w:val="Body Text"/>
    <w:basedOn w:val="Normal"/>
    <w:link w:val="BodyTextChar"/>
    <w:uiPriority w:val="99"/>
  </w:style>
  <w:style w:type="character" w:customStyle="1" w:styleId="BodyTextChar">
    <w:name w:val="Body Text Char"/>
    <w:basedOn w:val="DefaultParagraphFont"/>
    <w:link w:val="BodyText"/>
    <w:uiPriority w:val="99"/>
    <w:rPr>
      <w:rFonts w:ascii="Arial" w:eastAsia="Arial" w:hAnsi="Arial" w:cs="Arial"/>
    </w:rPr>
  </w:style>
  <w:style w:type="paragraph" w:styleId="BodyText2">
    <w:name w:val="Body Text 2"/>
    <w:basedOn w:val="Normal"/>
    <w:link w:val="BodyText2Char"/>
    <w:uiPriority w:val="99"/>
    <w:pPr>
      <w:spacing w:line="480" w:lineRule="auto"/>
    </w:pPr>
  </w:style>
  <w:style w:type="character" w:customStyle="1" w:styleId="BodyText2Char">
    <w:name w:val="Body Text 2 Char"/>
    <w:basedOn w:val="DefaultParagraphFont"/>
    <w:link w:val="BodyText2"/>
    <w:uiPriority w:val="99"/>
    <w:rPr>
      <w:rFonts w:ascii="Arial" w:eastAsia="Arial" w:hAnsi="Arial" w:cs="Arial"/>
    </w:rPr>
  </w:style>
  <w:style w:type="paragraph" w:styleId="BodyText3">
    <w:name w:val="Body Text 3"/>
    <w:basedOn w:val="Normal"/>
    <w:link w:val="BodyText3Char"/>
    <w:uiPriority w:val="99"/>
    <w:rPr>
      <w:sz w:val="16"/>
      <w:szCs w:val="16"/>
    </w:rPr>
  </w:style>
  <w:style w:type="character" w:customStyle="1" w:styleId="BodyText3Char">
    <w:name w:val="Body Text 3 Char"/>
    <w:basedOn w:val="DefaultParagraphFont"/>
    <w:link w:val="BodyText3"/>
    <w:uiPriority w:val="99"/>
    <w:rPr>
      <w:rFonts w:ascii="Arial" w:eastAsia="Arial" w:hAnsi="Arial" w:cs="Arial"/>
      <w:sz w:val="16"/>
      <w:szCs w:val="16"/>
    </w:rPr>
  </w:style>
  <w:style w:type="paragraph" w:styleId="List">
    <w:name w:val="List"/>
    <w:basedOn w:val="Normal"/>
    <w:uiPriority w:val="99"/>
    <w:pPr>
      <w:ind w:left="360" w:hanging="360"/>
      <w:contextualSpacing/>
    </w:pPr>
  </w:style>
  <w:style w:type="paragraph" w:styleId="List2">
    <w:name w:val="List 2"/>
    <w:basedOn w:val="Normal"/>
    <w:uiPriority w:val="99"/>
    <w:pPr>
      <w:ind w:left="720" w:hanging="360"/>
      <w:contextualSpacing/>
    </w:pPr>
  </w:style>
  <w:style w:type="paragraph" w:styleId="List3">
    <w:name w:val="List 3"/>
    <w:basedOn w:val="Normal"/>
    <w:uiPriority w:val="99"/>
    <w:pPr>
      <w:ind w:left="1080" w:hanging="360"/>
      <w:contextualSpacing/>
    </w:pPr>
  </w:style>
  <w:style w:type="paragraph" w:styleId="ListBullet">
    <w:name w:val="List Bullet"/>
    <w:basedOn w:val="Normal"/>
    <w:uiPriority w:val="99"/>
    <w:pPr>
      <w:numPr>
        <w:numId w:val="1"/>
      </w:numPr>
      <w:contextualSpacing/>
    </w:pPr>
  </w:style>
  <w:style w:type="paragraph" w:styleId="ListBullet2">
    <w:name w:val="List Bullet 2"/>
    <w:basedOn w:val="Normal"/>
    <w:uiPriority w:val="99"/>
    <w:pPr>
      <w:numPr>
        <w:numId w:val="2"/>
      </w:numPr>
      <w:contextualSpacing/>
    </w:pPr>
  </w:style>
  <w:style w:type="paragraph" w:styleId="ListBullet3">
    <w:name w:val="List Bullet 3"/>
    <w:basedOn w:val="Normal"/>
    <w:uiPriority w:val="99"/>
    <w:pPr>
      <w:numPr>
        <w:numId w:val="3"/>
      </w:numPr>
      <w:contextualSpacing/>
    </w:pPr>
  </w:style>
  <w:style w:type="paragraph" w:styleId="ListNumber">
    <w:name w:val="List Number"/>
    <w:basedOn w:val="Normal"/>
    <w:uiPriority w:val="99"/>
    <w:pPr>
      <w:numPr>
        <w:numId w:val="4"/>
      </w:numPr>
      <w:contextualSpacing/>
    </w:pPr>
  </w:style>
  <w:style w:type="paragraph" w:styleId="ListNumber2">
    <w:name w:val="List Number 2"/>
    <w:basedOn w:val="Normal"/>
    <w:uiPriority w:val="99"/>
    <w:pPr>
      <w:numPr>
        <w:numId w:val="5"/>
      </w:numPr>
      <w:contextualSpacing/>
    </w:pPr>
  </w:style>
  <w:style w:type="paragraph" w:styleId="ListNumber3">
    <w:name w:val="List Number 3"/>
    <w:basedOn w:val="Normal"/>
    <w:uiPriority w:val="99"/>
    <w:pPr>
      <w:numPr>
        <w:numId w:val="6"/>
      </w:numPr>
      <w:contextualSpacing/>
    </w:pPr>
  </w:style>
  <w:style w:type="paragraph" w:styleId="ListContinue">
    <w:name w:val="List Continue"/>
    <w:basedOn w:val="Normal"/>
    <w:uiPriority w:val="99"/>
    <w:pPr>
      <w:ind w:left="360"/>
      <w:contextualSpacing/>
    </w:pPr>
  </w:style>
  <w:style w:type="paragraph" w:styleId="ListContinue2">
    <w:name w:val="List Continue 2"/>
    <w:basedOn w:val="Normal"/>
    <w:uiPriority w:val="99"/>
    <w:pPr>
      <w:ind w:left="720"/>
      <w:contextualSpacing/>
    </w:pPr>
  </w:style>
  <w:style w:type="paragraph" w:styleId="ListContinue3">
    <w:name w:val="List Continue 3"/>
    <w:basedOn w:val="Normal"/>
    <w:uiPriority w:val="99"/>
    <w:pPr>
      <w:ind w:left="1080"/>
      <w:contextualSpacing/>
    </w:pPr>
  </w:style>
  <w:style w:type="paragraph" w:styleId="MacroText">
    <w:name w:val="macro"/>
    <w:link w:val="MacroTextChar"/>
    <w:uiPriority w:val="99"/>
    <w:pPr>
      <w:tabs>
        <w:tab w:val="left" w:pos="576"/>
        <w:tab w:val="left" w:pos="1152"/>
        <w:tab w:val="left" w:pos="1728"/>
        <w:tab w:val="left" w:pos="2304"/>
        <w:tab w:val="left" w:pos="2880"/>
        <w:tab w:val="left" w:pos="3456"/>
        <w:tab w:val="left" w:pos="4032"/>
      </w:tabs>
    </w:pPr>
    <w:rPr>
      <w:rFonts w:ascii="Arial" w:eastAsia="Arial" w:hAnsi="Arial" w:cs="Arial"/>
      <w:sz w:val="20"/>
      <w:szCs w:val="20"/>
    </w:rPr>
  </w:style>
  <w:style w:type="character" w:customStyle="1" w:styleId="MacroTextChar">
    <w:name w:val="Macro Text Char"/>
    <w:basedOn w:val="DefaultParagraphFont"/>
    <w:link w:val="MacroText"/>
    <w:uiPriority w:val="99"/>
    <w:rPr>
      <w:rFonts w:ascii="Arial" w:eastAsia="Arial" w:hAnsi="Arial" w:cs="Arial"/>
      <w:sz w:val="20"/>
      <w:szCs w:val="20"/>
    </w:rPr>
  </w:style>
  <w:style w:type="paragraph" w:styleId="Quote">
    <w:name w:val="Quote"/>
    <w:basedOn w:val="Normal"/>
    <w:next w:val="Normal"/>
    <w:link w:val="QuoteChar"/>
    <w:uiPriority w:val="29"/>
    <w:qFormat/>
    <w:rPr>
      <w:i/>
      <w:iCs/>
      <w:color w:val="000000"/>
    </w:rPr>
  </w:style>
  <w:style w:type="character" w:customStyle="1" w:styleId="QuoteChar">
    <w:name w:val="Quote Char"/>
    <w:basedOn w:val="DefaultParagraphFont"/>
    <w:link w:val="Quote"/>
    <w:uiPriority w:val="29"/>
    <w:rPr>
      <w:rFonts w:ascii="Arial" w:eastAsia="Arial" w:hAnsi="Arial" w:cs="Arial"/>
      <w:i/>
      <w:iCs/>
      <w:color w:val="000000"/>
    </w:rPr>
  </w:style>
  <w:style w:type="character" w:customStyle="1" w:styleId="Heading4Char">
    <w:name w:val="Heading 4 Char"/>
    <w:basedOn w:val="DefaultParagraphFont"/>
    <w:link w:val="Heading4"/>
    <w:uiPriority w:val="9"/>
    <w:rPr>
      <w:rFonts w:ascii="Arial" w:eastAsia="Arial" w:hAnsi="Arial" w:cs="Arial"/>
      <w:b/>
      <w:bCs/>
      <w:i/>
      <w:iCs/>
      <w:color w:val="4F81BD"/>
    </w:rPr>
  </w:style>
  <w:style w:type="character" w:customStyle="1" w:styleId="Heading5Char">
    <w:name w:val="Heading 5 Char"/>
    <w:basedOn w:val="DefaultParagraphFont"/>
    <w:link w:val="Heading5"/>
    <w:uiPriority w:val="9"/>
    <w:rPr>
      <w:rFonts w:ascii="Arial" w:eastAsia="Arial" w:hAnsi="Arial" w:cs="Arial"/>
      <w:color w:val="243F60"/>
    </w:rPr>
  </w:style>
  <w:style w:type="character" w:customStyle="1" w:styleId="Heading6Char">
    <w:name w:val="Heading 6 Char"/>
    <w:basedOn w:val="DefaultParagraphFont"/>
    <w:link w:val="Heading6"/>
    <w:uiPriority w:val="9"/>
    <w:rPr>
      <w:rFonts w:ascii="Arial" w:eastAsia="Arial" w:hAnsi="Arial" w:cs="Arial"/>
      <w:i/>
      <w:iCs/>
      <w:color w:val="243F60"/>
    </w:rPr>
  </w:style>
  <w:style w:type="character" w:customStyle="1" w:styleId="Heading7Char">
    <w:name w:val="Heading 7 Char"/>
    <w:basedOn w:val="DefaultParagraphFont"/>
    <w:link w:val="Heading7"/>
    <w:uiPriority w:val="9"/>
    <w:rPr>
      <w:rFonts w:ascii="Arial" w:eastAsia="Arial" w:hAnsi="Arial" w:cs="Arial"/>
      <w:i/>
      <w:iCs/>
      <w:color w:val="404040"/>
    </w:rPr>
  </w:style>
  <w:style w:type="character" w:customStyle="1" w:styleId="Heading8Char">
    <w:name w:val="Heading 8 Char"/>
    <w:basedOn w:val="DefaultParagraphFont"/>
    <w:link w:val="Heading8"/>
    <w:uiPriority w:val="9"/>
    <w:rPr>
      <w:rFonts w:ascii="Arial" w:eastAsia="Arial" w:hAnsi="Arial" w:cs="Arial"/>
      <w:color w:val="4F81BD"/>
      <w:sz w:val="20"/>
      <w:szCs w:val="20"/>
    </w:rPr>
  </w:style>
  <w:style w:type="character" w:customStyle="1" w:styleId="Heading9Char">
    <w:name w:val="Heading 9 Char"/>
    <w:basedOn w:val="DefaultParagraphFont"/>
    <w:link w:val="Heading9"/>
    <w:uiPriority w:val="9"/>
    <w:rPr>
      <w:rFonts w:ascii="Arial" w:eastAsia="Arial" w:hAnsi="Arial" w:cs="Arial"/>
      <w:i/>
      <w:iCs/>
      <w:color w:val="404040"/>
      <w:sz w:val="20"/>
      <w:szCs w:val="20"/>
    </w:rPr>
  </w:style>
  <w:style w:type="paragraph" w:styleId="Caption">
    <w:name w:val="caption"/>
    <w:basedOn w:val="Normal"/>
    <w:next w:val="Normal"/>
    <w:uiPriority w:val="35"/>
    <w:qFormat/>
    <w:pPr>
      <w:spacing w:line="240" w:lineRule="auto"/>
    </w:pPr>
    <w:rPr>
      <w:b/>
      <w:bCs/>
      <w:color w:val="4F81BD"/>
      <w:sz w:val="18"/>
      <w:szCs w:val="18"/>
    </w:rPr>
  </w:style>
  <w:style w:type="character" w:styleId="Strong">
    <w:name w:val="Strong"/>
    <w:basedOn w:val="DefaultParagraphFont"/>
    <w:uiPriority w:val="22"/>
    <w:qFormat/>
    <w:rPr>
      <w:rFonts w:ascii="Arial" w:eastAsia="Arial" w:hAnsi="Arial" w:cs="Arial"/>
      <w:b/>
      <w:bCs/>
    </w:rPr>
  </w:style>
  <w:style w:type="character" w:styleId="Emphasis">
    <w:name w:val="Emphasis"/>
    <w:basedOn w:val="DefaultParagraphFont"/>
    <w:uiPriority w:val="20"/>
    <w:qFormat/>
    <w:rPr>
      <w:rFonts w:ascii="Arial" w:eastAsia="Arial" w:hAnsi="Arial" w:cs="Arial"/>
      <w:i/>
      <w:iCs/>
    </w:rPr>
  </w:style>
  <w:style w:type="paragraph" w:styleId="IntenseQuote">
    <w:name w:val="Intense Quote"/>
    <w:basedOn w:val="Normal"/>
    <w:next w:val="Normal"/>
    <w:link w:val="IntenseQuoteChar"/>
    <w:uiPriority w:val="30"/>
    <w:qFormat/>
    <w:pPr>
      <w:pBdr>
        <w:bottom w:val="single" w:sz="4" w:space="4" w:color="4F81BD"/>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Pr>
      <w:rFonts w:ascii="Arial" w:eastAsia="Arial" w:hAnsi="Arial" w:cs="Arial"/>
      <w:b/>
      <w:bCs/>
      <w:i/>
      <w:iCs/>
      <w:color w:val="4F81BD"/>
    </w:rPr>
  </w:style>
  <w:style w:type="character" w:styleId="SubtleEmphasis">
    <w:name w:val="Subtle Emphasis"/>
    <w:basedOn w:val="DefaultParagraphFont"/>
    <w:uiPriority w:val="19"/>
    <w:qFormat/>
    <w:rPr>
      <w:rFonts w:ascii="Arial" w:eastAsia="Arial" w:hAnsi="Arial" w:cs="Arial"/>
      <w:i/>
      <w:iCs/>
      <w:color w:val="808080"/>
    </w:rPr>
  </w:style>
  <w:style w:type="character" w:styleId="IntenseEmphasis">
    <w:name w:val="Intense Emphasis"/>
    <w:basedOn w:val="DefaultParagraphFont"/>
    <w:uiPriority w:val="21"/>
    <w:qFormat/>
    <w:rPr>
      <w:rFonts w:ascii="Arial" w:eastAsia="Arial" w:hAnsi="Arial" w:cs="Arial"/>
      <w:b/>
      <w:bCs/>
      <w:i/>
      <w:iCs/>
      <w:color w:val="4F81BD"/>
    </w:rPr>
  </w:style>
  <w:style w:type="character" w:styleId="SubtleReference">
    <w:name w:val="Subtle Reference"/>
    <w:basedOn w:val="DefaultParagraphFont"/>
    <w:uiPriority w:val="31"/>
    <w:qFormat/>
    <w:rPr>
      <w:rFonts w:ascii="Arial" w:eastAsia="Arial" w:hAnsi="Arial" w:cs="Arial"/>
      <w:smallCaps/>
      <w:color w:val="C0504D"/>
      <w:u w:val="single"/>
    </w:rPr>
  </w:style>
  <w:style w:type="character" w:styleId="IntenseReference">
    <w:name w:val="Intense Reference"/>
    <w:basedOn w:val="DefaultParagraphFont"/>
    <w:uiPriority w:val="32"/>
    <w:qFormat/>
    <w:rPr>
      <w:rFonts w:ascii="Arial" w:eastAsia="Arial" w:hAnsi="Arial" w:cs="Arial"/>
      <w:b/>
      <w:bCs/>
      <w:smallCaps/>
      <w:color w:val="C0504D"/>
      <w:spacing w:val="5"/>
      <w:u w:val="single"/>
    </w:rPr>
  </w:style>
  <w:style w:type="character" w:styleId="BookTitle">
    <w:name w:val="Book Title"/>
    <w:basedOn w:val="DefaultParagraphFont"/>
    <w:uiPriority w:val="33"/>
    <w:qFormat/>
    <w:rPr>
      <w:rFonts w:ascii="Arial" w:eastAsia="Arial" w:hAnsi="Arial" w:cs="Arial"/>
      <w:b/>
      <w:bCs/>
      <w:smallCaps/>
      <w:spacing w:val="5"/>
    </w:rPr>
  </w:style>
  <w:style w:type="paragraph" w:styleId="TOCHeading">
    <w:name w:val="TOC Heading"/>
    <w:basedOn w:val="Heading1"/>
    <w:next w:val="Normal"/>
    <w:uiPriority w:val="39"/>
    <w:qFormat/>
    <w:pPr>
      <w:outlineLvl w:val="9"/>
    </w:pPr>
  </w:style>
  <w:style w:type="table" w:styleId="TableGrid">
    <w:name w:val="Table Grid"/>
    <w:basedOn w:val="TableNormal"/>
    <w:uiPriority w:val="59"/>
    <w:pPr>
      <w:spacing w:after="0" w:line="240" w:lineRule="auto"/>
    </w:pPr>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pPr>
      <w:spacing w:after="0" w:line="240" w:lineRule="auto"/>
    </w:pPr>
    <w:rPr>
      <w:rFonts w:ascii="Arial" w:eastAsia="Arial" w:hAnsi="Arial" w:cs="Arial"/>
      <w:color w:val="000000"/>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Accent1">
    <w:name w:val="Light Shading Accent 1"/>
    <w:basedOn w:val="TableNormal"/>
    <w:uiPriority w:val="60"/>
    <w:pPr>
      <w:spacing w:after="0" w:line="240" w:lineRule="auto"/>
    </w:pPr>
    <w:rPr>
      <w:rFonts w:ascii="Arial" w:eastAsia="Arial" w:hAnsi="Arial" w:cs="Arial"/>
      <w:color w:val="365F91"/>
    </w:rPr>
    <w:tblPr>
      <w:tblStyleRowBandSize w:val="1"/>
      <w:tblStyleColBandSize w:val="1"/>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cPr>
    </w:tblStylePr>
    <w:tblStylePr w:type="band1Horz">
      <w:tblPr/>
      <w:tcPr>
        <w:tcBorders>
          <w:left w:val="nil"/>
          <w:right w:val="nil"/>
          <w:insideH w:val="nil"/>
          <w:insideV w:val="nil"/>
        </w:tcBorders>
        <w:shd w:val="clear" w:color="auto" w:fill="D3DFEE"/>
      </w:tcPr>
    </w:tblStylePr>
  </w:style>
  <w:style w:type="table" w:styleId="LightShading-Accent2">
    <w:name w:val="Light Shading Accent 2"/>
    <w:basedOn w:val="TableNormal"/>
    <w:uiPriority w:val="60"/>
    <w:pPr>
      <w:spacing w:after="0" w:line="240" w:lineRule="auto"/>
    </w:pPr>
    <w:rPr>
      <w:rFonts w:ascii="Arial" w:eastAsia="Arial" w:hAnsi="Arial" w:cs="Arial"/>
      <w:color w:val="943634"/>
    </w:rPr>
    <w:tblPr>
      <w:tblStyleRowBandSize w:val="1"/>
      <w:tblStyleColBandSize w:val="1"/>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la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cPr>
    </w:tblStylePr>
    <w:tblStylePr w:type="band1Horz">
      <w:tblPr/>
      <w:tcPr>
        <w:tcBorders>
          <w:left w:val="nil"/>
          <w:right w:val="nil"/>
          <w:insideH w:val="nil"/>
          <w:insideV w:val="nil"/>
        </w:tcBorders>
        <w:shd w:val="clear" w:color="auto" w:fill="EFD3D2"/>
      </w:tcPr>
    </w:tblStylePr>
  </w:style>
  <w:style w:type="table" w:styleId="LightShading-Accent3">
    <w:name w:val="Light Shading Accent 3"/>
    <w:basedOn w:val="TableNormal"/>
    <w:uiPriority w:val="60"/>
    <w:pPr>
      <w:spacing w:after="0" w:line="240" w:lineRule="auto"/>
    </w:pPr>
    <w:rPr>
      <w:rFonts w:ascii="Arial" w:eastAsia="Arial" w:hAnsi="Arial" w:cs="Arial"/>
      <w:color w:val="76923C"/>
    </w:rPr>
    <w:tblPr>
      <w:tblStyleRowBandSize w:val="1"/>
      <w:tblStyleColBandSize w:val="1"/>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la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cPr>
    </w:tblStylePr>
    <w:tblStylePr w:type="band1Horz">
      <w:tblPr/>
      <w:tcPr>
        <w:tcBorders>
          <w:left w:val="nil"/>
          <w:right w:val="nil"/>
          <w:insideH w:val="nil"/>
          <w:insideV w:val="nil"/>
        </w:tcBorders>
        <w:shd w:val="clear" w:color="auto" w:fill="E6EED5"/>
      </w:tcPr>
    </w:tblStylePr>
  </w:style>
  <w:style w:type="table" w:styleId="LightShading-Accent4">
    <w:name w:val="Light Shading Accent 4"/>
    <w:basedOn w:val="TableNormal"/>
    <w:uiPriority w:val="60"/>
    <w:pPr>
      <w:spacing w:after="0" w:line="240" w:lineRule="auto"/>
    </w:pPr>
    <w:rPr>
      <w:rFonts w:ascii="Arial" w:eastAsia="Arial" w:hAnsi="Arial" w:cs="Arial"/>
      <w:color w:val="5F497A"/>
    </w:rPr>
    <w:tblPr>
      <w:tblStyleRowBandSize w:val="1"/>
      <w:tblStyleColBandSize w:val="1"/>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la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cPr>
    </w:tblStylePr>
    <w:tblStylePr w:type="band1Horz">
      <w:tblPr/>
      <w:tcPr>
        <w:tcBorders>
          <w:left w:val="nil"/>
          <w:right w:val="nil"/>
          <w:insideH w:val="nil"/>
          <w:insideV w:val="nil"/>
        </w:tcBorders>
        <w:shd w:val="clear" w:color="auto" w:fill="DFD8E8"/>
      </w:tcPr>
    </w:tblStylePr>
  </w:style>
  <w:style w:type="table" w:styleId="LightShading-Accent5">
    <w:name w:val="Light Shading Accent 5"/>
    <w:basedOn w:val="TableNormal"/>
    <w:uiPriority w:val="60"/>
    <w:pPr>
      <w:spacing w:after="0" w:line="240" w:lineRule="auto"/>
    </w:pPr>
    <w:rPr>
      <w:rFonts w:ascii="Arial" w:eastAsia="Arial" w:hAnsi="Arial" w:cs="Arial"/>
      <w:color w:val="31849B"/>
    </w:rPr>
    <w:tblPr>
      <w:tblStyleRowBandSize w:val="1"/>
      <w:tblStyleColBandSize w:val="1"/>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LightShading-Accent6">
    <w:name w:val="Light Shading Accent 6"/>
    <w:basedOn w:val="TableNormal"/>
    <w:uiPriority w:val="60"/>
    <w:pPr>
      <w:spacing w:after="0" w:line="240" w:lineRule="auto"/>
    </w:pPr>
    <w:rPr>
      <w:rFonts w:ascii="Arial" w:eastAsia="Arial" w:hAnsi="Arial" w:cs="Arial"/>
      <w:color w:val="E36C0A"/>
    </w:rPr>
    <w:tblPr>
      <w:tblStyleRowBandSize w:val="1"/>
      <w:tblStyleColBandSize w:val="1"/>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la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cPr>
    </w:tblStylePr>
    <w:tblStylePr w:type="band1Horz">
      <w:tblPr/>
      <w:tcPr>
        <w:tcBorders>
          <w:left w:val="nil"/>
          <w:right w:val="nil"/>
          <w:insideH w:val="nil"/>
          <w:insideV w:val="nil"/>
        </w:tcBorders>
        <w:shd w:val="clear" w:color="auto" w:fill="FDE4D0"/>
      </w:tcPr>
    </w:tblStylePr>
  </w:style>
  <w:style w:type="table" w:styleId="LightList">
    <w:name w:val="Light List"/>
    <w:basedOn w:val="TableNormal"/>
    <w:uiPriority w:val="61"/>
    <w:pPr>
      <w:spacing w:after="0" w:line="240" w:lineRule="auto"/>
    </w:pPr>
    <w:rPr>
      <w:rFonts w:ascii="Arial" w:eastAsia="Arial" w:hAnsi="Arial" w:cs="Arial"/>
    </w:r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pPr>
      <w:spacing w:after="0" w:line="240" w:lineRule="auto"/>
    </w:pPr>
    <w:rPr>
      <w:rFonts w:ascii="Arial" w:eastAsia="Arial" w:hAnsi="Arial" w:cs="Arial"/>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pPr>
      <w:spacing w:after="0" w:line="240" w:lineRule="auto"/>
    </w:pPr>
    <w:rPr>
      <w:rFonts w:ascii="Arial" w:eastAsia="Arial" w:hAnsi="Arial" w:cs="Arial"/>
    </w:r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pPr>
      <w:spacing w:after="0" w:line="240" w:lineRule="auto"/>
    </w:pPr>
    <w:rPr>
      <w:rFonts w:ascii="Arial" w:eastAsia="Arial" w:hAnsi="Arial" w:cs="Arial"/>
    </w:r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pPr>
      <w:spacing w:after="0" w:line="240" w:lineRule="auto"/>
    </w:pPr>
    <w:rPr>
      <w:rFonts w:ascii="Arial" w:eastAsia="Arial" w:hAnsi="Arial" w:cs="Arial"/>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pPr>
      <w:spacing w:after="0" w:line="240" w:lineRule="auto"/>
    </w:pPr>
    <w:rPr>
      <w:rFonts w:ascii="Arial" w:eastAsia="Arial" w:hAnsi="Arial" w:cs="Arial"/>
    </w:r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pPr>
      <w:spacing w:after="0" w:line="240" w:lineRule="auto"/>
    </w:pPr>
    <w:rPr>
      <w:rFonts w:ascii="Arial" w:eastAsia="Arial" w:hAnsi="Arial" w:cs="Arial"/>
    </w:rPr>
    <w:tblPr>
      <w:tblStyleRowBandSize w:val="1"/>
      <w:tblStyleColBandSize w:val="1"/>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pPr>
      <w:spacing w:after="0" w:line="240" w:lineRule="auto"/>
    </w:pPr>
    <w:rPr>
      <w:rFonts w:ascii="Arial" w:eastAsia="Arial" w:hAnsi="Arial" w:cs="Arial"/>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ascii="Calibri" w:eastAsia="MS Gothic" w:hAnsi="Calibri" w:cs="SimSun"/>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libri" w:eastAsia="MS Gothic" w:hAnsi="Calibri" w:cs="SimSun"/>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styleId="LightGrid-Accent1">
    <w:name w:val="Light Grid Accent 1"/>
    <w:basedOn w:val="TableNormal"/>
    <w:uiPriority w:val="62"/>
    <w:pPr>
      <w:spacing w:after="0" w:line="240" w:lineRule="auto"/>
    </w:pPr>
    <w:rPr>
      <w:rFonts w:ascii="Arial" w:eastAsia="Arial" w:hAnsi="Arial" w:cs="Arial"/>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Calibri" w:eastAsia="MS Gothic" w:hAnsi="Calibri" w:cs="SimSu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libri" w:eastAsia="MS Gothic" w:hAnsi="Calibri" w:cs="SimSu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table" w:styleId="LightGrid-Accent2">
    <w:name w:val="Light Grid Accent 2"/>
    <w:basedOn w:val="TableNormal"/>
    <w:uiPriority w:val="62"/>
    <w:pPr>
      <w:spacing w:after="0" w:line="240" w:lineRule="auto"/>
    </w:pPr>
    <w:rPr>
      <w:rFonts w:ascii="Arial" w:eastAsia="Arial" w:hAnsi="Arial" w:cs="Arial"/>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ascii="Calibri" w:eastAsia="MS Gothic" w:hAnsi="Calibri" w:cs="SimSun"/>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240" w:lineRule="auto"/>
      </w:pPr>
      <w:rPr>
        <w:rFonts w:ascii="Calibri" w:eastAsia="MS Gothic" w:hAnsi="Calibri" w:cs="SimSun"/>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C0504D"/>
        </w:tcBorders>
      </w:tcPr>
    </w:tblStylePr>
  </w:style>
  <w:style w:type="table" w:styleId="LightGrid-Accent3">
    <w:name w:val="Light Grid Accent 3"/>
    <w:basedOn w:val="TableNormal"/>
    <w:uiPriority w:val="62"/>
    <w:pPr>
      <w:spacing w:after="0" w:line="240" w:lineRule="auto"/>
    </w:pPr>
    <w:rPr>
      <w:rFonts w:ascii="Arial" w:eastAsia="Arial" w:hAnsi="Arial" w:cs="Arial"/>
    </w:r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ascii="Calibri" w:eastAsia="MS Gothic" w:hAnsi="Calibri" w:cs="SimSun"/>
        <w:b/>
        <w:bCs/>
      </w:rPr>
      <w:tblPr/>
      <w:tcPr>
        <w:tcBorders>
          <w:top w:val="single" w:sz="8" w:space="0" w:color="9BBB59"/>
          <w:left w:val="single" w:sz="8" w:space="0" w:color="9BBB59"/>
          <w:bottom w:val="single" w:sz="18" w:space="0" w:color="9BBB59"/>
          <w:right w:val="single" w:sz="8" w:space="0" w:color="9BBB59"/>
          <w:insideH w:val="nil"/>
          <w:insideV w:val="single" w:sz="8" w:space="0" w:color="9BBB59"/>
        </w:tcBorders>
      </w:tcPr>
    </w:tblStylePr>
    <w:tblStylePr w:type="lastRow">
      <w:pPr>
        <w:spacing w:before="0" w:after="0" w:line="240" w:lineRule="auto"/>
      </w:pPr>
      <w:rPr>
        <w:rFonts w:ascii="Calibri" w:eastAsia="MS Gothic" w:hAnsi="Calibri" w:cs="SimSun"/>
        <w:b/>
        <w:bCs/>
      </w:rPr>
      <w:tblPr/>
      <w:tcPr>
        <w:tcBorders>
          <w:top w:val="double" w:sz="6" w:space="0" w:color="9BBB59"/>
          <w:left w:val="single" w:sz="8" w:space="0" w:color="9BBB59"/>
          <w:bottom w:val="single" w:sz="8" w:space="0" w:color="9BBB59"/>
          <w:right w:val="single" w:sz="8" w:space="0" w:color="9BBB59"/>
          <w:insideH w:val="nil"/>
          <w:insideV w:val="single" w:sz="8" w:space="0" w:color="9BBB59"/>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9BBB59"/>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9BBB59"/>
        </w:tcBorders>
      </w:tcPr>
    </w:tblStylePr>
  </w:style>
  <w:style w:type="table" w:styleId="LightGrid-Accent4">
    <w:name w:val="Light Grid Accent 4"/>
    <w:basedOn w:val="TableNormal"/>
    <w:uiPriority w:val="62"/>
    <w:pPr>
      <w:spacing w:after="0" w:line="240" w:lineRule="auto"/>
    </w:pPr>
    <w:rPr>
      <w:rFonts w:ascii="Arial" w:eastAsia="Arial" w:hAnsi="Arial" w:cs="Arial"/>
    </w:rPr>
    <w:tblPr>
      <w:tblStyleRowBandSize w:val="1"/>
      <w:tblStyleColBandSize w:val="1"/>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ascii="Calibri" w:eastAsia="MS Gothic" w:hAnsi="Calibri" w:cs="SimSun"/>
        <w:b/>
        <w:bCs/>
      </w:rPr>
      <w:tblPr/>
      <w:tcPr>
        <w:tcBorders>
          <w:top w:val="single" w:sz="8" w:space="0" w:color="8064A2"/>
          <w:left w:val="single" w:sz="8" w:space="0" w:color="8064A2"/>
          <w:bottom w:val="single" w:sz="18" w:space="0" w:color="8064A2"/>
          <w:right w:val="single" w:sz="8" w:space="0" w:color="8064A2"/>
          <w:insideH w:val="nil"/>
          <w:insideV w:val="single" w:sz="8" w:space="0" w:color="8064A2"/>
        </w:tcBorders>
      </w:tcPr>
    </w:tblStylePr>
    <w:tblStylePr w:type="lastRow">
      <w:pPr>
        <w:spacing w:before="0" w:after="0" w:line="240" w:lineRule="auto"/>
      </w:pPr>
      <w:rPr>
        <w:rFonts w:ascii="Calibri" w:eastAsia="MS Gothic" w:hAnsi="Calibri" w:cs="SimSun"/>
        <w:b/>
        <w:bCs/>
      </w:rPr>
      <w:tblPr/>
      <w:tcPr>
        <w:tcBorders>
          <w:top w:val="double" w:sz="6" w:space="0" w:color="8064A2"/>
          <w:left w:val="single" w:sz="8" w:space="0" w:color="8064A2"/>
          <w:bottom w:val="single" w:sz="8" w:space="0" w:color="8064A2"/>
          <w:right w:val="single" w:sz="8" w:space="0" w:color="8064A2"/>
          <w:insideH w:val="nil"/>
          <w:insideV w:val="single" w:sz="8" w:space="0" w:color="8064A2"/>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8064A2"/>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8064A2"/>
        </w:tcBorders>
      </w:tcPr>
    </w:tblStylePr>
  </w:style>
  <w:style w:type="table" w:styleId="LightGrid-Accent5">
    <w:name w:val="Light Grid Accent 5"/>
    <w:basedOn w:val="TableNormal"/>
    <w:uiPriority w:val="62"/>
    <w:pPr>
      <w:spacing w:after="0" w:line="240" w:lineRule="auto"/>
    </w:pPr>
    <w:rPr>
      <w:rFonts w:ascii="Arial" w:eastAsia="Arial" w:hAnsi="Arial" w:cs="Arial"/>
    </w:r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ascii="Calibri" w:eastAsia="MS Gothic" w:hAnsi="Calibri" w:cs="SimSun"/>
        <w:b/>
        <w:bCs/>
      </w:rPr>
      <w:tblPr/>
      <w:tcPr>
        <w:tcBorders>
          <w:top w:val="single" w:sz="8" w:space="0" w:color="4BACC6"/>
          <w:left w:val="single" w:sz="8" w:space="0" w:color="4BACC6"/>
          <w:bottom w:val="single" w:sz="18" w:space="0" w:color="4BACC6"/>
          <w:right w:val="single" w:sz="8" w:space="0" w:color="4BACC6"/>
          <w:insideH w:val="nil"/>
          <w:insideV w:val="single" w:sz="8" w:space="0" w:color="4BACC6"/>
        </w:tcBorders>
      </w:tcPr>
    </w:tblStylePr>
    <w:tblStylePr w:type="lastRow">
      <w:pPr>
        <w:spacing w:before="0" w:after="0" w:line="240" w:lineRule="auto"/>
      </w:pPr>
      <w:rPr>
        <w:rFonts w:ascii="Calibri" w:eastAsia="MS Gothic" w:hAnsi="Calibri" w:cs="SimSun"/>
        <w:b/>
        <w:bCs/>
      </w:rPr>
      <w:tblPr/>
      <w:tcPr>
        <w:tcBorders>
          <w:top w:val="double" w:sz="6" w:space="0" w:color="4BACC6"/>
          <w:left w:val="single" w:sz="8" w:space="0" w:color="4BACC6"/>
          <w:bottom w:val="single" w:sz="8" w:space="0" w:color="4BACC6"/>
          <w:right w:val="single" w:sz="8" w:space="0" w:color="4BACC6"/>
          <w:insideH w:val="nil"/>
          <w:insideV w:val="single" w:sz="8" w:space="0" w:color="4BACC6"/>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4BACC6"/>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4BACC6"/>
        </w:tcBorders>
      </w:tcPr>
    </w:tblStylePr>
  </w:style>
  <w:style w:type="table" w:styleId="LightGrid-Accent6">
    <w:name w:val="Light Grid Accent 6"/>
    <w:basedOn w:val="TableNormal"/>
    <w:uiPriority w:val="62"/>
    <w:pPr>
      <w:spacing w:after="0" w:line="240" w:lineRule="auto"/>
    </w:pPr>
    <w:rPr>
      <w:rFonts w:ascii="Arial" w:eastAsia="Arial" w:hAnsi="Arial" w:cs="Arial"/>
    </w:r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ascii="Calibri" w:eastAsia="MS Gothic" w:hAnsi="Calibri" w:cs="SimSun"/>
        <w:b/>
        <w:bCs/>
      </w:rPr>
      <w:tblPr/>
      <w:tcPr>
        <w:tcBorders>
          <w:top w:val="single" w:sz="8" w:space="0" w:color="F79646"/>
          <w:left w:val="single" w:sz="8" w:space="0" w:color="F79646"/>
          <w:bottom w:val="single" w:sz="18" w:space="0" w:color="F79646"/>
          <w:right w:val="single" w:sz="8" w:space="0" w:color="F79646"/>
          <w:insideH w:val="nil"/>
          <w:insideV w:val="single" w:sz="8" w:space="0" w:color="F79646"/>
        </w:tcBorders>
      </w:tcPr>
    </w:tblStylePr>
    <w:tblStylePr w:type="lastRow">
      <w:pPr>
        <w:spacing w:before="0" w:after="0" w:line="240" w:lineRule="auto"/>
      </w:pPr>
      <w:rPr>
        <w:rFonts w:ascii="Calibri" w:eastAsia="MS Gothic" w:hAnsi="Calibri" w:cs="SimSun"/>
        <w:b/>
        <w:bCs/>
      </w:rPr>
      <w:tblPr/>
      <w:tcPr>
        <w:tcBorders>
          <w:top w:val="double" w:sz="6" w:space="0" w:color="F79646"/>
          <w:left w:val="single" w:sz="8" w:space="0" w:color="F79646"/>
          <w:bottom w:val="single" w:sz="8" w:space="0" w:color="F79646"/>
          <w:right w:val="single" w:sz="8" w:space="0" w:color="F79646"/>
          <w:insideH w:val="nil"/>
          <w:insideV w:val="single" w:sz="8" w:space="0" w:color="F79646"/>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F79646"/>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F79646"/>
        </w:tcBorders>
      </w:tcPr>
    </w:tblStylePr>
  </w:style>
  <w:style w:type="table" w:styleId="MediumShading1">
    <w:name w:val="Medium Shading 1"/>
    <w:basedOn w:val="TableNormal"/>
    <w:uiPriority w:val="63"/>
    <w:pPr>
      <w:spacing w:after="0" w:line="240" w:lineRule="auto"/>
    </w:pPr>
    <w:rPr>
      <w:rFonts w:ascii="Arial" w:eastAsia="Arial" w:hAnsi="Arial" w:cs="Arial"/>
    </w:rPr>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pPr>
      <w:spacing w:after="0" w:line="240" w:lineRule="auto"/>
    </w:pPr>
    <w:rPr>
      <w:rFonts w:ascii="Arial" w:eastAsia="Arial" w:hAnsi="Arial" w:cs="Arial"/>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pPr>
      <w:spacing w:after="0" w:line="240" w:lineRule="auto"/>
    </w:pPr>
    <w:rPr>
      <w:rFonts w:ascii="Arial" w:eastAsia="Arial" w:hAnsi="Arial" w:cs="Arial"/>
    </w:r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pPr>
      <w:spacing w:after="0" w:line="240" w:lineRule="auto"/>
    </w:pPr>
    <w:rPr>
      <w:rFonts w:ascii="Arial" w:eastAsia="Arial" w:hAnsi="Arial" w:cs="Arial"/>
    </w:r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pPr>
      <w:spacing w:after="0" w:line="240" w:lineRule="auto"/>
    </w:pPr>
    <w:rPr>
      <w:rFonts w:ascii="Arial" w:eastAsia="Arial" w:hAnsi="Arial" w:cs="Arial"/>
    </w:r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pPr>
      <w:spacing w:after="0" w:line="240" w:lineRule="auto"/>
    </w:pPr>
    <w:rPr>
      <w:rFonts w:ascii="Arial" w:eastAsia="Arial" w:hAnsi="Arial" w:cs="Arial"/>
    </w:r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pPr>
      <w:spacing w:after="0" w:line="240" w:lineRule="auto"/>
    </w:pPr>
    <w:rPr>
      <w:rFonts w:ascii="Arial" w:eastAsia="Arial" w:hAnsi="Arial" w:cs="Arial"/>
    </w:r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0000"/>
      </w:tcPr>
    </w:tblStylePr>
    <w:tblStylePr w:type="lastCol">
      <w:rPr>
        <w:b/>
        <w:bCs/>
        <w:color w:val="FFFFFF"/>
      </w:rPr>
      <w:tblPr/>
      <w:tcPr>
        <w:tcBorders>
          <w:left w:val="nil"/>
          <w:right w:val="nil"/>
          <w:insideH w:val="nil"/>
          <w:insideV w:val="nil"/>
        </w:tcBorders>
        <w:shd w:val="clear" w:color="auto" w:fill="000000"/>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C0504D"/>
      </w:tcPr>
    </w:tblStylePr>
    <w:tblStylePr w:type="lastCol">
      <w:rPr>
        <w:b/>
        <w:bCs/>
        <w:color w:val="FFFFFF"/>
      </w:rPr>
      <w:tblPr/>
      <w:tcPr>
        <w:tcBorders>
          <w:left w:val="nil"/>
          <w:right w:val="nil"/>
          <w:insideH w:val="nil"/>
          <w:insideV w:val="nil"/>
        </w:tcBorders>
        <w:shd w:val="clear" w:color="auto" w:fill="C0504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9BBB59"/>
      </w:tcPr>
    </w:tblStylePr>
    <w:tblStylePr w:type="lastCol">
      <w:rPr>
        <w:b/>
        <w:bCs/>
        <w:color w:val="FFFFFF"/>
      </w:rPr>
      <w:tblPr/>
      <w:tcPr>
        <w:tcBorders>
          <w:left w:val="nil"/>
          <w:right w:val="nil"/>
          <w:insideH w:val="nil"/>
          <w:insideV w:val="nil"/>
        </w:tcBorders>
        <w:shd w:val="clear" w:color="auto" w:fill="9BBB59"/>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pPr>
      <w:spacing w:after="0" w:line="240" w:lineRule="auto"/>
    </w:pPr>
    <w:rPr>
      <w:rFonts w:ascii="Arial" w:eastAsia="Arial" w:hAnsi="Arial" w:cs="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pPr>
      <w:spacing w:after="0" w:line="240" w:lineRule="auto"/>
    </w:pPr>
    <w:rPr>
      <w:rFonts w:ascii="Arial" w:eastAsia="Arial" w:hAnsi="Arial" w:cs="Arial"/>
      <w:color w:val="000000"/>
    </w:rPr>
    <w:tblPr>
      <w:tblStyleRowBandSize w:val="1"/>
      <w:tblStyleColBandSize w:val="1"/>
      <w:tblBorders>
        <w:top w:val="single" w:sz="8" w:space="0" w:color="000000"/>
        <w:bottom w:val="single" w:sz="8" w:space="0" w:color="000000"/>
      </w:tblBorders>
    </w:tblPr>
    <w:tblStylePr w:type="firstRow">
      <w:rPr>
        <w:rFonts w:ascii="Calibri" w:eastAsia="MS Gothic" w:hAnsi="Calibri" w:cs="SimSun"/>
      </w:rPr>
      <w:tblPr/>
      <w:tcPr>
        <w:tcBorders>
          <w:top w:val="nil"/>
          <w:bottom w:val="single" w:sz="8" w:space="0" w:color="000000"/>
        </w:tcBorders>
      </w:tcPr>
    </w:tblStylePr>
    <w:tblStylePr w:type="lastRow">
      <w:rPr>
        <w:b/>
        <w:bCs/>
        <w:color w:val="1F497D"/>
      </w:rPr>
      <w:tblPr/>
      <w:tcPr>
        <w:tcBorders>
          <w:top w:val="single" w:sz="8" w:space="0" w:color="000000"/>
          <w:bottom w:val="single" w:sz="8" w:space="0" w:color="000000"/>
        </w:tcBorders>
      </w:tcPr>
    </w:tblStylePr>
    <w:tblStylePr w:type="firstCol">
      <w:rPr>
        <w:b/>
        <w:bCs/>
      </w:rPr>
    </w:tblStylePr>
    <w:tblStylePr w:type="lastCol">
      <w:rPr>
        <w:b/>
        <w:bCs/>
      </w:rPr>
      <w:tblPr/>
      <w:tcPr>
        <w:tcBorders>
          <w:top w:val="single" w:sz="8" w:space="0" w:color="000000"/>
          <w:bottom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pPr>
      <w:spacing w:after="0" w:line="240" w:lineRule="auto"/>
    </w:pPr>
    <w:rPr>
      <w:rFonts w:ascii="Arial" w:eastAsia="Arial" w:hAnsi="Arial" w:cs="Arial"/>
      <w:color w:val="000000"/>
    </w:rPr>
    <w:tblPr>
      <w:tblStyleRowBandSize w:val="1"/>
      <w:tblStyleColBandSize w:val="1"/>
      <w:tblBorders>
        <w:top w:val="single" w:sz="8" w:space="0" w:color="4F81BD"/>
        <w:bottom w:val="single" w:sz="8" w:space="0" w:color="4F81BD"/>
      </w:tblBorders>
    </w:tblPr>
    <w:tblStylePr w:type="firstRow">
      <w:rPr>
        <w:rFonts w:ascii="Calibri" w:eastAsia="MS Gothic" w:hAnsi="Calibri" w:cs="SimSun"/>
      </w:rPr>
      <w:tblPr/>
      <w:tcPr>
        <w:tcBorders>
          <w:top w:val="nil"/>
          <w:bottom w:val="single" w:sz="8" w:space="0" w:color="4F81BD"/>
        </w:tcBorders>
      </w:tcPr>
    </w:tblStylePr>
    <w:tblStylePr w:type="lastRow">
      <w:rPr>
        <w:b/>
        <w:bCs/>
        <w:color w:val="1F497D"/>
      </w:rPr>
      <w:tblPr/>
      <w:tcPr>
        <w:tcBorders>
          <w:top w:val="single" w:sz="8" w:space="0" w:color="4F81BD"/>
          <w:bottom w:val="single" w:sz="8" w:space="0" w:color="4F81BD"/>
        </w:tcBorders>
      </w:tcPr>
    </w:tblStylePr>
    <w:tblStylePr w:type="firstCol">
      <w:rPr>
        <w:b/>
        <w:bCs/>
      </w:rPr>
    </w:tblStylePr>
    <w:tblStylePr w:type="lastCol">
      <w:rPr>
        <w:b/>
        <w:bCs/>
      </w:rPr>
      <w:tblPr/>
      <w:tcPr>
        <w:tcBorders>
          <w:top w:val="single" w:sz="8" w:space="0" w:color="4F81BD"/>
          <w:bottom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pPr>
      <w:spacing w:after="0" w:line="240" w:lineRule="auto"/>
    </w:pPr>
    <w:rPr>
      <w:rFonts w:ascii="Arial" w:eastAsia="Arial" w:hAnsi="Arial" w:cs="Arial"/>
      <w:color w:val="000000"/>
    </w:rPr>
    <w:tblPr>
      <w:tblStyleRowBandSize w:val="1"/>
      <w:tblStyleColBandSize w:val="1"/>
      <w:tblBorders>
        <w:top w:val="single" w:sz="8" w:space="0" w:color="C0504D"/>
        <w:bottom w:val="single" w:sz="8" w:space="0" w:color="C0504D"/>
      </w:tblBorders>
    </w:tblPr>
    <w:tblStylePr w:type="firstRow">
      <w:rPr>
        <w:rFonts w:ascii="Calibri" w:eastAsia="MS Gothic" w:hAnsi="Calibri" w:cs="SimSun"/>
      </w:rPr>
      <w:tblPr/>
      <w:tcPr>
        <w:tcBorders>
          <w:top w:val="nil"/>
          <w:bottom w:val="single" w:sz="8" w:space="0" w:color="C0504D"/>
        </w:tcBorders>
      </w:tcPr>
    </w:tblStylePr>
    <w:tblStylePr w:type="lastRow">
      <w:rPr>
        <w:b/>
        <w:bCs/>
        <w:color w:val="1F497D"/>
      </w:rPr>
      <w:tblPr/>
      <w:tcPr>
        <w:tcBorders>
          <w:top w:val="single" w:sz="8" w:space="0" w:color="C0504D"/>
          <w:bottom w:val="single" w:sz="8" w:space="0" w:color="C0504D"/>
        </w:tcBorders>
      </w:tcPr>
    </w:tblStylePr>
    <w:tblStylePr w:type="firstCol">
      <w:rPr>
        <w:b/>
        <w:bCs/>
      </w:rPr>
    </w:tblStylePr>
    <w:tblStylePr w:type="lastCol">
      <w:rPr>
        <w:b/>
        <w:bCs/>
      </w:rPr>
      <w:tblPr/>
      <w:tcPr>
        <w:tcBorders>
          <w:top w:val="single" w:sz="8" w:space="0" w:color="C0504D"/>
          <w:bottom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pPr>
      <w:spacing w:after="0" w:line="240" w:lineRule="auto"/>
    </w:pPr>
    <w:rPr>
      <w:rFonts w:ascii="Arial" w:eastAsia="Arial" w:hAnsi="Arial" w:cs="Arial"/>
      <w:color w:val="000000"/>
    </w:rPr>
    <w:tblPr>
      <w:tblStyleRowBandSize w:val="1"/>
      <w:tblStyleColBandSize w:val="1"/>
      <w:tblBorders>
        <w:top w:val="single" w:sz="8" w:space="0" w:color="9BBB59"/>
        <w:bottom w:val="single" w:sz="8" w:space="0" w:color="9BBB59"/>
      </w:tblBorders>
    </w:tblPr>
    <w:tblStylePr w:type="firstRow">
      <w:rPr>
        <w:rFonts w:ascii="Calibri" w:eastAsia="MS Gothic" w:hAnsi="Calibri" w:cs="SimSun"/>
      </w:rPr>
      <w:tblPr/>
      <w:tcPr>
        <w:tcBorders>
          <w:top w:val="nil"/>
          <w:bottom w:val="single" w:sz="8" w:space="0" w:color="9BBB59"/>
        </w:tcBorders>
      </w:tcPr>
    </w:tblStylePr>
    <w:tblStylePr w:type="lastRow">
      <w:rPr>
        <w:b/>
        <w:bCs/>
        <w:color w:val="1F497D"/>
      </w:rPr>
      <w:tblPr/>
      <w:tcPr>
        <w:tcBorders>
          <w:top w:val="single" w:sz="8" w:space="0" w:color="9BBB59"/>
          <w:bottom w:val="single" w:sz="8" w:space="0" w:color="9BBB59"/>
        </w:tcBorders>
      </w:tcPr>
    </w:tblStylePr>
    <w:tblStylePr w:type="firstCol">
      <w:rPr>
        <w:b/>
        <w:bCs/>
      </w:rPr>
    </w:tblStylePr>
    <w:tblStylePr w:type="lastCol">
      <w:rPr>
        <w:b/>
        <w:bCs/>
      </w:rPr>
      <w:tblPr/>
      <w:tcPr>
        <w:tcBorders>
          <w:top w:val="single" w:sz="8" w:space="0" w:color="9BBB59"/>
          <w:bottom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pPr>
      <w:spacing w:after="0" w:line="240" w:lineRule="auto"/>
    </w:pPr>
    <w:rPr>
      <w:rFonts w:ascii="Arial" w:eastAsia="Arial" w:hAnsi="Arial" w:cs="Arial"/>
      <w:color w:val="000000"/>
    </w:rPr>
    <w:tblPr>
      <w:tblStyleRowBandSize w:val="1"/>
      <w:tblStyleColBandSize w:val="1"/>
      <w:tblBorders>
        <w:top w:val="single" w:sz="8" w:space="0" w:color="8064A2"/>
        <w:bottom w:val="single" w:sz="8" w:space="0" w:color="8064A2"/>
      </w:tblBorders>
    </w:tblPr>
    <w:tblStylePr w:type="firstRow">
      <w:rPr>
        <w:rFonts w:ascii="Calibri" w:eastAsia="MS Gothic" w:hAnsi="Calibri" w:cs="SimSun"/>
      </w:rPr>
      <w:tblPr/>
      <w:tcPr>
        <w:tcBorders>
          <w:top w:val="nil"/>
          <w:bottom w:val="single" w:sz="8" w:space="0" w:color="8064A2"/>
        </w:tcBorders>
      </w:tcPr>
    </w:tblStylePr>
    <w:tblStylePr w:type="lastRow">
      <w:rPr>
        <w:b/>
        <w:bCs/>
        <w:color w:val="1F497D"/>
      </w:rPr>
      <w:tblPr/>
      <w:tcPr>
        <w:tcBorders>
          <w:top w:val="single" w:sz="8" w:space="0" w:color="8064A2"/>
          <w:bottom w:val="single" w:sz="8" w:space="0" w:color="8064A2"/>
        </w:tcBorders>
      </w:tcPr>
    </w:tblStylePr>
    <w:tblStylePr w:type="firstCol">
      <w:rPr>
        <w:b/>
        <w:bCs/>
      </w:rPr>
    </w:tblStylePr>
    <w:tblStylePr w:type="lastCol">
      <w:rPr>
        <w:b/>
        <w:bCs/>
      </w:rPr>
      <w:tblPr/>
      <w:tcPr>
        <w:tcBorders>
          <w:top w:val="single" w:sz="8" w:space="0" w:color="8064A2"/>
          <w:bottom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pPr>
      <w:spacing w:after="0" w:line="240" w:lineRule="auto"/>
    </w:pPr>
    <w:rPr>
      <w:rFonts w:ascii="Arial" w:eastAsia="Arial" w:hAnsi="Arial" w:cs="Arial"/>
      <w:color w:val="000000"/>
    </w:rPr>
    <w:tblPr>
      <w:tblStyleRowBandSize w:val="1"/>
      <w:tblStyleColBandSize w:val="1"/>
      <w:tblBorders>
        <w:top w:val="single" w:sz="8" w:space="0" w:color="4BACC6"/>
        <w:bottom w:val="single" w:sz="8" w:space="0" w:color="4BACC6"/>
      </w:tblBorders>
    </w:tblPr>
    <w:tblStylePr w:type="firstRow">
      <w:rPr>
        <w:rFonts w:ascii="Calibri" w:eastAsia="MS Gothic" w:hAnsi="Calibri" w:cs="SimSu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pPr>
      <w:spacing w:after="0" w:line="240" w:lineRule="auto"/>
    </w:pPr>
    <w:rPr>
      <w:rFonts w:ascii="Arial" w:eastAsia="Arial" w:hAnsi="Arial" w:cs="Arial"/>
      <w:color w:val="000000"/>
    </w:rPr>
    <w:tblPr>
      <w:tblStyleRowBandSize w:val="1"/>
      <w:tblStyleColBandSize w:val="1"/>
      <w:tblBorders>
        <w:top w:val="single" w:sz="8" w:space="0" w:color="F79646"/>
        <w:bottom w:val="single" w:sz="8" w:space="0" w:color="F79646"/>
      </w:tblBorders>
    </w:tblPr>
    <w:tblStylePr w:type="firstRow">
      <w:rPr>
        <w:rFonts w:ascii="Calibri" w:eastAsia="MS Gothic" w:hAnsi="Calibri" w:cs="SimSun"/>
      </w:rPr>
      <w:tblPr/>
      <w:tcPr>
        <w:tcBorders>
          <w:top w:val="nil"/>
          <w:bottom w:val="single" w:sz="8" w:space="0" w:color="F79646"/>
        </w:tcBorders>
      </w:tcPr>
    </w:tblStylePr>
    <w:tblStylePr w:type="lastRow">
      <w:rPr>
        <w:b/>
        <w:bCs/>
        <w:color w:val="1F497D"/>
      </w:rPr>
      <w:tblPr/>
      <w:tcPr>
        <w:tcBorders>
          <w:top w:val="single" w:sz="8" w:space="0" w:color="F79646"/>
          <w:bottom w:val="single" w:sz="8" w:space="0" w:color="F79646"/>
        </w:tcBorders>
      </w:tcPr>
    </w:tblStylePr>
    <w:tblStylePr w:type="firstCol">
      <w:rPr>
        <w:b/>
        <w:bCs/>
      </w:rPr>
    </w:tblStylePr>
    <w:tblStylePr w:type="lastCol">
      <w:rPr>
        <w:b/>
        <w:bCs/>
      </w:rPr>
      <w:tblPr/>
      <w:tcPr>
        <w:tcBorders>
          <w:top w:val="single" w:sz="8" w:space="0" w:color="F79646"/>
          <w:bottom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pPr>
      <w:spacing w:after="0" w:line="240" w:lineRule="auto"/>
    </w:pPr>
    <w:rPr>
      <w:rFonts w:ascii="Arial" w:eastAsia="Arial" w:hAnsi="Arial" w:cs="Arial"/>
      <w:color w:val="000000"/>
    </w:r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nil"/>
          <w:bottom w:val="single" w:sz="24" w:space="0" w:color="000000"/>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single" w:sz="8" w:space="0" w:color="000000"/>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C0C0C0"/>
      </w:tcPr>
    </w:tblStylePr>
    <w:tblStylePr w:type="band1Horz">
      <w:tblPr/>
      <w:tcPr>
        <w:tcBorders>
          <w:top w:val="nil"/>
          <w:bottom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pPr>
      <w:spacing w:after="0" w:line="240" w:lineRule="auto"/>
    </w:pPr>
    <w:rPr>
      <w:rFonts w:ascii="Arial" w:eastAsia="Arial" w:hAnsi="Arial" w:cs="Arial"/>
      <w:color w:val="000000"/>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nil"/>
          <w:bottom w:val="single" w:sz="24" w:space="0" w:color="4F81BD"/>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single" w:sz="8" w:space="0" w:color="4F81B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3DFEE"/>
      </w:tcPr>
    </w:tblStylePr>
    <w:tblStylePr w:type="band1Horz">
      <w:tblPr/>
      <w:tcPr>
        <w:tcBorders>
          <w:top w:val="nil"/>
          <w:bottom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pPr>
      <w:spacing w:after="0" w:line="240" w:lineRule="auto"/>
    </w:pPr>
    <w:rPr>
      <w:rFonts w:ascii="Arial" w:eastAsia="Arial" w:hAnsi="Arial" w:cs="Arial"/>
      <w:color w:val="000000"/>
    </w:r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nil"/>
          <w:bottom w:val="single" w:sz="24" w:space="0" w:color="C0504D"/>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single" w:sz="8" w:space="0" w:color="C0504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FD3D2"/>
      </w:tcPr>
    </w:tblStylePr>
    <w:tblStylePr w:type="band1Horz">
      <w:tblPr/>
      <w:tcPr>
        <w:tcBorders>
          <w:top w:val="nil"/>
          <w:bottom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pPr>
      <w:spacing w:after="0" w:line="240" w:lineRule="auto"/>
    </w:pPr>
    <w:rPr>
      <w:rFonts w:ascii="Arial" w:eastAsia="Arial" w:hAnsi="Arial" w:cs="Arial"/>
      <w:color w:val="000000"/>
    </w:r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nil"/>
          <w:bottom w:val="single" w:sz="24" w:space="0" w:color="9BBB59"/>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single" w:sz="8" w:space="0" w:color="9BBB59"/>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6EED5"/>
      </w:tcPr>
    </w:tblStylePr>
    <w:tblStylePr w:type="band1Horz">
      <w:tblPr/>
      <w:tcPr>
        <w:tcBorders>
          <w:top w:val="nil"/>
          <w:bottom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pPr>
      <w:spacing w:after="0" w:line="240" w:lineRule="auto"/>
    </w:pPr>
    <w:rPr>
      <w:rFonts w:ascii="Arial" w:eastAsia="Arial" w:hAnsi="Arial" w:cs="Arial"/>
      <w:color w:val="000000"/>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nil"/>
          <w:bottom w:val="single" w:sz="24" w:space="0" w:color="8064A2"/>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single" w:sz="8" w:space="0" w:color="8064A2"/>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FD8E8"/>
      </w:tcPr>
    </w:tblStylePr>
    <w:tblStylePr w:type="band1Horz">
      <w:tblPr/>
      <w:tcPr>
        <w:tcBorders>
          <w:top w:val="nil"/>
          <w:bottom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pPr>
      <w:spacing w:after="0" w:line="240" w:lineRule="auto"/>
    </w:pPr>
    <w:rPr>
      <w:rFonts w:ascii="Arial" w:eastAsia="Arial" w:hAnsi="Arial" w:cs="Arial"/>
      <w:color w:val="000000"/>
    </w:r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nil"/>
          <w:bottom w:val="single" w:sz="24" w:space="0" w:color="4BACC6"/>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single" w:sz="8" w:space="0" w:color="4BACC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2EAF1"/>
      </w:tcPr>
    </w:tblStylePr>
    <w:tblStylePr w:type="band1Horz">
      <w:tblPr/>
      <w:tcPr>
        <w:tcBorders>
          <w:top w:val="nil"/>
          <w:bottom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pPr>
      <w:spacing w:after="0" w:line="240" w:lineRule="auto"/>
    </w:pPr>
    <w:rPr>
      <w:rFonts w:ascii="Arial" w:eastAsia="Arial" w:hAnsi="Arial" w:cs="Arial"/>
      <w:color w:val="000000"/>
    </w:rPr>
    <w:tblPr>
      <w:tblStyleRowBandSize w:val="1"/>
      <w:tblStyleColBandSize w:val="1"/>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nil"/>
          <w:bottom w:val="single" w:sz="24" w:space="0" w:color="F79646"/>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single" w:sz="8" w:space="0" w:color="F7964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DE4D0"/>
      </w:tcPr>
    </w:tblStylePr>
    <w:tblStylePr w:type="band1Horz">
      <w:tblPr/>
      <w:tcPr>
        <w:tcBorders>
          <w:top w:val="nil"/>
          <w:bottom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pPr>
      <w:spacing w:after="0" w:line="240" w:lineRule="auto"/>
    </w:pPr>
    <w:rPr>
      <w:rFonts w:ascii="Arial" w:eastAsia="Arial" w:hAnsi="Arial" w:cs="Arial"/>
    </w:rPr>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shd w:val="clear" w:color="auto" w:fill="C0C0C0"/>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pPr>
      <w:spacing w:after="0" w:line="240" w:lineRule="auto"/>
    </w:pPr>
    <w:rPr>
      <w:rFonts w:ascii="Arial" w:eastAsia="Arial" w:hAnsi="Arial" w:cs="Arial"/>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shd w:val="clear" w:color="auto" w:fill="D3DFEE"/>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pPr>
      <w:spacing w:after="0" w:line="240" w:lineRule="auto"/>
    </w:pPr>
    <w:rPr>
      <w:rFonts w:ascii="Arial" w:eastAsia="Arial" w:hAnsi="Arial" w:cs="Arial"/>
    </w:r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shd w:val="clear" w:color="auto" w:fill="EFD3D2"/>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pPr>
      <w:spacing w:after="0" w:line="240" w:lineRule="auto"/>
    </w:pPr>
    <w:rPr>
      <w:rFonts w:ascii="Arial" w:eastAsia="Arial" w:hAnsi="Arial" w:cs="Arial"/>
    </w:r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shd w:val="clear" w:color="auto" w:fill="E6EED5"/>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pPr>
      <w:spacing w:after="0" w:line="240" w:lineRule="auto"/>
    </w:pPr>
    <w:rPr>
      <w:rFonts w:ascii="Arial" w:eastAsia="Arial" w:hAnsi="Arial" w:cs="Arial"/>
    </w:r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shd w:val="clear" w:color="auto" w:fill="DFD8E8"/>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pPr>
      <w:spacing w:after="0" w:line="240" w:lineRule="auto"/>
    </w:pPr>
    <w:rPr>
      <w:rFonts w:ascii="Arial" w:eastAsia="Arial" w:hAnsi="Arial" w:cs="Arial"/>
    </w:r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shd w:val="clear" w:color="auto" w:fill="D2EAF1"/>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pPr>
      <w:spacing w:after="0" w:line="240" w:lineRule="auto"/>
    </w:pPr>
    <w:rPr>
      <w:rFonts w:ascii="Arial" w:eastAsia="Arial" w:hAnsi="Arial" w:cs="Arial"/>
    </w:r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shd w:val="clear" w:color="auto" w:fill="FDE4D0"/>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pPr>
      <w:spacing w:after="0" w:line="240" w:lineRule="auto"/>
    </w:pPr>
    <w:rPr>
      <w:rFonts w:ascii="Arial" w:eastAsia="Arial" w:hAnsi="Arial" w:cs="Arial"/>
      <w:color w:val="000000"/>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C0C0C0"/>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000000"/>
          <w:insideV w:val="single" w:sz="6" w:space="0" w:color="000000"/>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pPr>
      <w:spacing w:after="0" w:line="240" w:lineRule="auto"/>
    </w:pPr>
    <w:rPr>
      <w:rFonts w:ascii="Arial" w:eastAsia="Arial" w:hAnsi="Arial" w:cs="Arial"/>
      <w:color w:val="000000"/>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shd w:val="clear" w:color="auto" w:fill="D3DFEE"/>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4F81BD"/>
          <w:insideV w:val="single" w:sz="6" w:space="0" w:color="4F81BD"/>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pPr>
      <w:spacing w:after="0" w:line="240" w:lineRule="auto"/>
    </w:pPr>
    <w:rPr>
      <w:rFonts w:ascii="Arial" w:eastAsia="Arial" w:hAnsi="Arial" w:cs="Arial"/>
      <w:color w:val="000000"/>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shd w:val="clear" w:color="auto" w:fill="EFD3D2"/>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C0504D"/>
          <w:insideV w:val="single" w:sz="6" w:space="0" w:color="C0504D"/>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pPr>
      <w:spacing w:after="0" w:line="240" w:lineRule="auto"/>
    </w:pPr>
    <w:rPr>
      <w:rFonts w:ascii="Arial" w:eastAsia="Arial" w:hAnsi="Arial" w:cs="Arial"/>
      <w:color w:val="000000"/>
    </w:r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shd w:val="clear" w:color="auto" w:fill="E6EED5"/>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9BBB59"/>
          <w:insideV w:val="single" w:sz="6" w:space="0" w:color="9BBB59"/>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pPr>
      <w:spacing w:after="0" w:line="240" w:lineRule="auto"/>
    </w:pPr>
    <w:rPr>
      <w:rFonts w:ascii="Arial" w:eastAsia="Arial" w:hAnsi="Arial" w:cs="Arial"/>
      <w:color w:val="000000"/>
    </w:rPr>
    <w:tblPr>
      <w:tblStyleRowBandSize w:val="1"/>
      <w:tblStyleColBandSize w:val="1"/>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shd w:val="clear" w:color="auto" w:fill="DFD8E8"/>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8064A2"/>
          <w:insideV w:val="single" w:sz="6" w:space="0" w:color="8064A2"/>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pPr>
      <w:spacing w:after="0" w:line="240" w:lineRule="auto"/>
    </w:pPr>
    <w:rPr>
      <w:rFonts w:ascii="Arial" w:eastAsia="Arial" w:hAnsi="Arial" w:cs="Arial"/>
      <w:color w:val="000000"/>
    </w:r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shd w:val="clear" w:color="auto" w:fill="D2EAF1"/>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4BACC6"/>
          <w:insideV w:val="single" w:sz="6" w:space="0" w:color="4BACC6"/>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pPr>
      <w:spacing w:after="0" w:line="240" w:lineRule="auto"/>
    </w:pPr>
    <w:rPr>
      <w:rFonts w:ascii="Arial" w:eastAsia="Arial" w:hAnsi="Arial" w:cs="Arial"/>
      <w:color w:val="000000"/>
    </w:r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shd w:val="clear" w:color="auto" w:fill="FDE4D0"/>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F79646"/>
          <w:insideV w:val="single" w:sz="6" w:space="0" w:color="F79646"/>
        </w:tcBorders>
        <w:shd w:val="clear" w:color="auto" w:fill="FBCAA2"/>
      </w:tcPr>
    </w:tblStylePr>
    <w:tblStylePr w:type="nwCell">
      <w:tblPr/>
      <w:tcPr>
        <w:shd w:val="clear" w:color="auto" w:fill="FFFFFF"/>
      </w:tcPr>
    </w:tblStylePr>
  </w:style>
  <w:style w:type="table" w:styleId="MediumGrid3">
    <w:name w:val="Medium Grid 3"/>
    <w:basedOn w:val="TableNormal"/>
    <w:uiPriority w:val="69"/>
    <w:pPr>
      <w:spacing w:after="0" w:line="240" w:lineRule="auto"/>
    </w:pPr>
    <w:rPr>
      <w:rFonts w:ascii="Arial" w:eastAsia="Arial" w:hAnsi="Arial" w:cs="Arial"/>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C0C0C0"/>
    </w:tblPr>
    <w:tcPr>
      <w:shd w:val="clear" w:color="auto" w:fill="C0C0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0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808080"/>
      </w:tcPr>
    </w:tblStylePr>
  </w:style>
  <w:style w:type="table" w:styleId="MediumGrid3-Accent1">
    <w:name w:val="Medium Grid 3 Accent 1"/>
    <w:basedOn w:val="TableNormal"/>
    <w:uiPriority w:val="69"/>
    <w:pPr>
      <w:spacing w:after="0" w:line="240" w:lineRule="auto"/>
    </w:pPr>
    <w:rPr>
      <w:rFonts w:ascii="Arial" w:eastAsia="Arial" w:hAnsi="Arial" w:cs="Arial"/>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3DFEE"/>
    </w:tblPr>
    <w:tcPr>
      <w:shd w:val="clear" w:color="auto" w:fill="D3DFEE"/>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F81B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7BFDE"/>
      </w:tcPr>
    </w:tblStylePr>
  </w:style>
  <w:style w:type="table" w:styleId="MediumGrid3-Accent2">
    <w:name w:val="Medium Grid 3 Accent 2"/>
    <w:basedOn w:val="TableNormal"/>
    <w:uiPriority w:val="69"/>
    <w:pPr>
      <w:spacing w:after="0" w:line="240" w:lineRule="auto"/>
    </w:pPr>
    <w:rPr>
      <w:rFonts w:ascii="Arial" w:eastAsia="Arial" w:hAnsi="Arial" w:cs="Arial"/>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FD3D2"/>
    </w:tblPr>
    <w:tcPr>
      <w:shd w:val="clear" w:color="auto" w:fill="EFD3D2"/>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C0504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DFA7A6"/>
      </w:tcPr>
    </w:tblStylePr>
  </w:style>
  <w:style w:type="table" w:styleId="MediumGrid3-Accent3">
    <w:name w:val="Medium Grid 3 Accent 3"/>
    <w:basedOn w:val="TableNormal"/>
    <w:uiPriority w:val="69"/>
    <w:pPr>
      <w:spacing w:after="0" w:line="240" w:lineRule="auto"/>
    </w:pPr>
    <w:rPr>
      <w:rFonts w:ascii="Arial" w:eastAsia="Arial" w:hAnsi="Arial" w:cs="Arial"/>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6EED5"/>
    </w:tblPr>
    <w:tcPr>
      <w:shd w:val="clear" w:color="auto" w:fill="E6EED5"/>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9BBB59"/>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CDDDAC"/>
      </w:tcPr>
    </w:tblStylePr>
  </w:style>
  <w:style w:type="table" w:styleId="MediumGrid3-Accent4">
    <w:name w:val="Medium Grid 3 Accent 4"/>
    <w:basedOn w:val="TableNormal"/>
    <w:uiPriority w:val="69"/>
    <w:pPr>
      <w:spacing w:after="0" w:line="240" w:lineRule="auto"/>
    </w:pPr>
    <w:rPr>
      <w:rFonts w:ascii="Arial" w:eastAsia="Arial" w:hAnsi="Arial" w:cs="Arial"/>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FD8E8"/>
    </w:tblPr>
    <w:tcPr>
      <w:shd w:val="clear" w:color="auto" w:fill="DFD8E8"/>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8064A2"/>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BFB1D0"/>
      </w:tcPr>
    </w:tblStylePr>
  </w:style>
  <w:style w:type="table" w:styleId="MediumGrid3-Accent5">
    <w:name w:val="Medium Grid 3 Accent 5"/>
    <w:basedOn w:val="TableNormal"/>
    <w:uiPriority w:val="69"/>
    <w:pPr>
      <w:spacing w:after="0" w:line="240" w:lineRule="auto"/>
    </w:pPr>
    <w:rPr>
      <w:rFonts w:ascii="Arial" w:eastAsia="Arial" w:hAnsi="Arial" w:cs="Arial"/>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2EAF1"/>
    </w:tblPr>
    <w:tcPr>
      <w:shd w:val="clear" w:color="auto" w:fill="D2EAF1"/>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BACC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5D5E2"/>
      </w:tcPr>
    </w:tblStylePr>
  </w:style>
  <w:style w:type="table" w:styleId="MediumGrid3-Accent6">
    <w:name w:val="Medium Grid 3 Accent 6"/>
    <w:basedOn w:val="TableNormal"/>
    <w:uiPriority w:val="69"/>
    <w:pPr>
      <w:spacing w:after="0" w:line="240" w:lineRule="auto"/>
    </w:pPr>
    <w:rPr>
      <w:rFonts w:ascii="Arial" w:eastAsia="Arial" w:hAnsi="Arial" w:cs="Arial"/>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FDE4D0"/>
    </w:tblPr>
    <w:tcPr>
      <w:shd w:val="clear" w:color="auto" w:fill="FDE4D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7964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BCAA2"/>
      </w:tcPr>
    </w:tblStylePr>
  </w:style>
  <w:style w:type="table" w:styleId="DarkList">
    <w:name w:val="Dark List"/>
    <w:basedOn w:val="TableNormal"/>
    <w:uiPriority w:val="70"/>
    <w:pPr>
      <w:spacing w:after="0" w:line="240" w:lineRule="auto"/>
    </w:pPr>
    <w:rPr>
      <w:rFonts w:ascii="Arial" w:eastAsia="Arial" w:hAnsi="Arial" w:cs="Arial"/>
      <w:color w:val="FFFFFF"/>
    </w:rPr>
    <w:tblPr>
      <w:tblStyleRowBandSize w:val="1"/>
      <w:tblStyleColBandSize w:val="1"/>
      <w:shd w:val="clear" w:color="auto" w:fill="000000"/>
    </w:tblPr>
    <w:tcPr>
      <w:shd w:val="clear" w:color="auto" w:fill="000000"/>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single" w:sz="18" w:space="0" w:color="FFFFFF"/>
          <w:bottom w:val="nil"/>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pPr>
      <w:spacing w:after="0" w:line="240" w:lineRule="auto"/>
    </w:pPr>
    <w:rPr>
      <w:rFonts w:ascii="Arial" w:eastAsia="Arial" w:hAnsi="Arial" w:cs="Arial"/>
      <w:color w:val="FFFFFF"/>
    </w:rPr>
    <w:tblPr>
      <w:tblStyleRowBandSize w:val="1"/>
      <w:tblStyleColBandSize w:val="1"/>
      <w:shd w:val="clear" w:color="auto" w:fill="4F81BD"/>
    </w:tblPr>
    <w:tcPr>
      <w:shd w:val="clear" w:color="auto" w:fill="4F81B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single" w:sz="18" w:space="0" w:color="FFFFFF"/>
          <w:bottom w:val="nil"/>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pPr>
      <w:spacing w:after="0" w:line="240" w:lineRule="auto"/>
    </w:pPr>
    <w:rPr>
      <w:rFonts w:ascii="Arial" w:eastAsia="Arial" w:hAnsi="Arial" w:cs="Arial"/>
      <w:color w:val="FFFFFF"/>
    </w:rPr>
    <w:tblPr>
      <w:tblStyleRowBandSize w:val="1"/>
      <w:tblStyleColBandSize w:val="1"/>
      <w:shd w:val="clear" w:color="auto" w:fill="C0504D"/>
    </w:tblPr>
    <w:tcPr>
      <w:shd w:val="clear" w:color="auto" w:fill="C0504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single" w:sz="18" w:space="0" w:color="FFFFFF"/>
          <w:bottom w:val="nil"/>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pPr>
      <w:spacing w:after="0" w:line="240" w:lineRule="auto"/>
    </w:pPr>
    <w:rPr>
      <w:rFonts w:ascii="Arial" w:eastAsia="Arial" w:hAnsi="Arial" w:cs="Arial"/>
      <w:color w:val="FFFFFF"/>
    </w:rPr>
    <w:tblPr>
      <w:tblStyleRowBandSize w:val="1"/>
      <w:tblStyleColBandSize w:val="1"/>
      <w:shd w:val="clear" w:color="auto" w:fill="9BBB59"/>
    </w:tblPr>
    <w:tcPr>
      <w:shd w:val="clear" w:color="auto" w:fill="9BBB59"/>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single" w:sz="18" w:space="0" w:color="FFFFFF"/>
          <w:bottom w:val="nil"/>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pPr>
      <w:spacing w:after="0" w:line="240" w:lineRule="auto"/>
    </w:pPr>
    <w:rPr>
      <w:rFonts w:ascii="Arial" w:eastAsia="Arial" w:hAnsi="Arial" w:cs="Arial"/>
      <w:color w:val="FFFFFF"/>
    </w:rPr>
    <w:tblPr>
      <w:tblStyleRowBandSize w:val="1"/>
      <w:tblStyleColBandSize w:val="1"/>
      <w:shd w:val="clear" w:color="auto" w:fill="8064A2"/>
    </w:tblPr>
    <w:tcPr>
      <w:shd w:val="clear" w:color="auto" w:fill="8064A2"/>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single" w:sz="18" w:space="0" w:color="FFFFFF"/>
          <w:bottom w:val="nil"/>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pPr>
      <w:spacing w:after="0" w:line="240" w:lineRule="auto"/>
    </w:pPr>
    <w:rPr>
      <w:rFonts w:ascii="Arial" w:eastAsia="Arial" w:hAnsi="Arial" w:cs="Arial"/>
      <w:color w:val="FFFFFF"/>
    </w:rPr>
    <w:tblPr>
      <w:tblStyleRowBandSize w:val="1"/>
      <w:tblStyleColBandSize w:val="1"/>
      <w:shd w:val="clear" w:color="auto" w:fill="4BACC6"/>
    </w:tblPr>
    <w:tcPr>
      <w:shd w:val="clear" w:color="auto" w:fill="4BACC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single" w:sz="18" w:space="0" w:color="FFFFFF"/>
          <w:bottom w:val="nil"/>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pPr>
      <w:spacing w:after="0" w:line="240" w:lineRule="auto"/>
    </w:pPr>
    <w:rPr>
      <w:rFonts w:ascii="Arial" w:eastAsia="Arial" w:hAnsi="Arial" w:cs="Arial"/>
      <w:color w:val="FFFFFF"/>
    </w:rPr>
    <w:tblPr>
      <w:tblStyleRowBandSize w:val="1"/>
      <w:tblStyleColBandSize w:val="1"/>
      <w:shd w:val="clear" w:color="auto" w:fill="F79646"/>
    </w:tblPr>
    <w:tcPr>
      <w:shd w:val="clear" w:color="auto" w:fill="F7964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single" w:sz="18" w:space="0" w:color="FFFFFF"/>
          <w:bottom w:val="nil"/>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pPr>
      <w:spacing w:after="0" w:line="240" w:lineRule="auto"/>
    </w:pPr>
    <w:rPr>
      <w:rFonts w:ascii="Arial" w:eastAsia="Arial" w:hAnsi="Arial" w:cs="Arial"/>
      <w:color w:val="000000"/>
    </w:rPr>
    <w:tblPr>
      <w:tblStyleRowBandSize w:val="1"/>
      <w:tblStyleColBandSize w:val="1"/>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shd w:val="clear" w:color="auto" w:fill="E6E6E6"/>
    </w:tblPr>
    <w:tcPr>
      <w:shd w:val="clear" w:color="auto" w:fill="E6E6E6"/>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00000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pPr>
      <w:spacing w:after="0" w:line="240" w:lineRule="auto"/>
    </w:pPr>
    <w:rPr>
      <w:rFonts w:ascii="Arial" w:eastAsia="Arial" w:hAnsi="Arial" w:cs="Arial"/>
      <w:color w:val="000000"/>
    </w:rPr>
    <w:tblPr>
      <w:tblStyleRowBandSize w:val="1"/>
      <w:tblStyleColBandSize w:val="1"/>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shd w:val="clear" w:color="auto" w:fill="EDF2F8"/>
    </w:tblPr>
    <w:tcPr>
      <w:shd w:val="clear" w:color="auto" w:fill="EDF2F8"/>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2C4C74"/>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pPr>
      <w:spacing w:after="0" w:line="240" w:lineRule="auto"/>
    </w:pPr>
    <w:rPr>
      <w:rFonts w:ascii="Arial" w:eastAsia="Arial" w:hAnsi="Arial" w:cs="Arial"/>
      <w:color w:val="000000"/>
    </w:rPr>
    <w:tblPr>
      <w:tblStyleRowBandSize w:val="1"/>
      <w:tblStyleColBandSize w:val="1"/>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shd w:val="clear" w:color="auto" w:fill="F8EDED"/>
    </w:tblPr>
    <w:tcPr>
      <w:shd w:val="clear" w:color="auto" w:fill="F8EDED"/>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772C2A"/>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pPr>
      <w:spacing w:after="0" w:line="240" w:lineRule="auto"/>
    </w:pPr>
    <w:rPr>
      <w:rFonts w:ascii="Arial" w:eastAsia="Arial" w:hAnsi="Arial" w:cs="Arial"/>
      <w:color w:val="000000"/>
    </w:rPr>
    <w:tblPr>
      <w:tblStyleRowBandSize w:val="1"/>
      <w:tblStyleColBandSize w:val="1"/>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shd w:val="clear" w:color="auto" w:fill="F5F8EE"/>
    </w:tblPr>
    <w:tcPr>
      <w:shd w:val="clear" w:color="auto" w:fill="F5F8EE"/>
    </w:tcPr>
    <w:tblStylePr w:type="firstRow">
      <w:rPr>
        <w:b/>
        <w:bCs/>
      </w:rPr>
      <w:tblPr/>
      <w:tcPr>
        <w:tcBorders>
          <w:top w:val="nil"/>
          <w:left w:val="nil"/>
          <w:bottom w:val="single" w:sz="24" w:space="0" w:color="8064A2"/>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5E753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pPr>
      <w:spacing w:after="0" w:line="240" w:lineRule="auto"/>
    </w:pPr>
    <w:rPr>
      <w:rFonts w:ascii="Arial" w:eastAsia="Arial" w:hAnsi="Arial" w:cs="Arial"/>
      <w:color w:val="000000"/>
    </w:rPr>
    <w:tblPr>
      <w:tblStyleRowBandSize w:val="1"/>
      <w:tblStyleColBandSize w:val="1"/>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shd w:val="clear" w:color="auto" w:fill="F2EFF6"/>
    </w:tblPr>
    <w:tcPr>
      <w:shd w:val="clear" w:color="auto" w:fill="F2EFF6"/>
    </w:tcPr>
    <w:tblStylePr w:type="firstRow">
      <w:rPr>
        <w:b/>
        <w:bCs/>
      </w:rPr>
      <w:tblPr/>
      <w:tcPr>
        <w:tcBorders>
          <w:top w:val="nil"/>
          <w:left w:val="nil"/>
          <w:bottom w:val="single" w:sz="24" w:space="0" w:color="9BBB59"/>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4C3B62"/>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pPr>
      <w:spacing w:after="0" w:line="240" w:lineRule="auto"/>
    </w:pPr>
    <w:rPr>
      <w:rFonts w:ascii="Arial" w:eastAsia="Arial" w:hAnsi="Arial" w:cs="Arial"/>
      <w:color w:val="000000"/>
    </w:rPr>
    <w:tblPr>
      <w:tblStyleRowBandSize w:val="1"/>
      <w:tblStyleColBandSize w:val="1"/>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shd w:val="clear" w:color="auto" w:fill="EDF6F9"/>
    </w:tblPr>
    <w:tcPr>
      <w:shd w:val="clear" w:color="auto" w:fill="EDF6F9"/>
    </w:tcPr>
    <w:tblStylePr w:type="firstRow">
      <w:rPr>
        <w:b/>
        <w:bCs/>
      </w:rPr>
      <w:tblPr/>
      <w:tcPr>
        <w:tcBorders>
          <w:top w:val="nil"/>
          <w:left w:val="nil"/>
          <w:bottom w:val="single" w:sz="24" w:space="0" w:color="F7964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276A7C"/>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pPr>
      <w:spacing w:after="0" w:line="240" w:lineRule="auto"/>
    </w:pPr>
    <w:rPr>
      <w:rFonts w:ascii="Arial" w:eastAsia="Arial" w:hAnsi="Arial" w:cs="Arial"/>
      <w:color w:val="000000"/>
    </w:rPr>
    <w:tblPr>
      <w:tblStyleRowBandSize w:val="1"/>
      <w:tblStyleColBandSize w:val="1"/>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shd w:val="clear" w:color="auto" w:fill="FEF4EC"/>
    </w:tblPr>
    <w:tcPr>
      <w:shd w:val="clear" w:color="auto" w:fill="FEF4EC"/>
    </w:tcPr>
    <w:tblStylePr w:type="firstRow">
      <w:rPr>
        <w:b/>
        <w:bCs/>
      </w:rPr>
      <w:tblPr/>
      <w:tcPr>
        <w:tcBorders>
          <w:top w:val="nil"/>
          <w:left w:val="nil"/>
          <w:bottom w:val="single" w:sz="24" w:space="0" w:color="4BACC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B65608"/>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pPr>
      <w:spacing w:after="0" w:line="240" w:lineRule="auto"/>
    </w:pPr>
    <w:rPr>
      <w:rFonts w:ascii="Arial" w:eastAsia="Arial" w:hAnsi="Arial" w:cs="Arial"/>
      <w:color w:val="000000"/>
    </w:rPr>
    <w:tblPr>
      <w:tblStyleRowBandSize w:val="1"/>
      <w:tblStyleColBandSize w:val="1"/>
      <w:shd w:val="clear" w:color="auto" w:fill="E6E6E6"/>
    </w:tblPr>
    <w:tcPr>
      <w:shd w:val="clear" w:color="auto" w:fill="E6E6E6"/>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pPr>
      <w:spacing w:after="0" w:line="240" w:lineRule="auto"/>
    </w:pPr>
    <w:rPr>
      <w:rFonts w:ascii="Arial" w:eastAsia="Arial" w:hAnsi="Arial" w:cs="Arial"/>
      <w:color w:val="000000"/>
    </w:rPr>
    <w:tblPr>
      <w:tblStyleRowBandSize w:val="1"/>
      <w:tblStyleColBandSize w:val="1"/>
      <w:shd w:val="clear" w:color="auto" w:fill="EDF2F8"/>
    </w:tblPr>
    <w:tcPr>
      <w:shd w:val="clear" w:color="auto" w:fill="EDF2F8"/>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pPr>
      <w:spacing w:after="0" w:line="240" w:lineRule="auto"/>
    </w:pPr>
    <w:rPr>
      <w:rFonts w:ascii="Arial" w:eastAsia="Arial" w:hAnsi="Arial" w:cs="Arial"/>
      <w:color w:val="000000"/>
    </w:rPr>
    <w:tblPr>
      <w:tblStyleRowBandSize w:val="1"/>
      <w:tblStyleColBandSize w:val="1"/>
      <w:shd w:val="clear" w:color="auto" w:fill="F8EDED"/>
    </w:tblPr>
    <w:tcPr>
      <w:shd w:val="clear" w:color="auto" w:fill="F8EDED"/>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pPr>
      <w:spacing w:after="0" w:line="240" w:lineRule="auto"/>
    </w:pPr>
    <w:rPr>
      <w:rFonts w:ascii="Arial" w:eastAsia="Arial" w:hAnsi="Arial" w:cs="Arial"/>
      <w:color w:val="000000"/>
    </w:rPr>
    <w:tblPr>
      <w:tblStyleRowBandSize w:val="1"/>
      <w:tblStyleColBandSize w:val="1"/>
      <w:shd w:val="clear" w:color="auto" w:fill="F5F8EE"/>
    </w:tblPr>
    <w:tcPr>
      <w:shd w:val="clear" w:color="auto" w:fill="F5F8EE"/>
    </w:tcPr>
    <w:tblStylePr w:type="firstRow">
      <w:rPr>
        <w:b/>
        <w:bCs/>
        <w:color w:val="FFFFFF"/>
      </w:rPr>
      <w:tblPr/>
      <w:tcPr>
        <w:tcBorders>
          <w:bottom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pPr>
      <w:spacing w:after="0" w:line="240" w:lineRule="auto"/>
    </w:pPr>
    <w:rPr>
      <w:rFonts w:ascii="Arial" w:eastAsia="Arial" w:hAnsi="Arial" w:cs="Arial"/>
      <w:color w:val="000000"/>
    </w:rPr>
    <w:tblPr>
      <w:tblStyleRowBandSize w:val="1"/>
      <w:tblStyleColBandSize w:val="1"/>
      <w:shd w:val="clear" w:color="auto" w:fill="F2EFF6"/>
    </w:tblPr>
    <w:tcPr>
      <w:shd w:val="clear" w:color="auto" w:fill="F2EFF6"/>
    </w:tcPr>
    <w:tblStylePr w:type="firstRow">
      <w:rPr>
        <w:b/>
        <w:bCs/>
        <w:color w:val="FFFFFF"/>
      </w:rPr>
      <w:tblPr/>
      <w:tcPr>
        <w:tcBorders>
          <w:bottom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pPr>
      <w:spacing w:after="0" w:line="240" w:lineRule="auto"/>
    </w:pPr>
    <w:rPr>
      <w:rFonts w:ascii="Arial" w:eastAsia="Arial" w:hAnsi="Arial" w:cs="Arial"/>
      <w:color w:val="000000"/>
    </w:rPr>
    <w:tblPr>
      <w:tblStyleRowBandSize w:val="1"/>
      <w:tblStyleColBandSize w:val="1"/>
      <w:shd w:val="clear" w:color="auto" w:fill="EDF6F9"/>
    </w:tblPr>
    <w:tcPr>
      <w:shd w:val="clear" w:color="auto" w:fill="EDF6F9"/>
    </w:tcPr>
    <w:tblStylePr w:type="firstRow">
      <w:rPr>
        <w:b/>
        <w:bCs/>
        <w:color w:val="FFFFFF"/>
      </w:rPr>
      <w:tblPr/>
      <w:tcPr>
        <w:tcBorders>
          <w:bottom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pPr>
      <w:spacing w:after="0" w:line="240" w:lineRule="auto"/>
    </w:pPr>
    <w:rPr>
      <w:rFonts w:ascii="Arial" w:eastAsia="Arial" w:hAnsi="Arial" w:cs="Arial"/>
      <w:color w:val="000000"/>
    </w:rPr>
    <w:tblPr>
      <w:tblStyleRowBandSize w:val="1"/>
      <w:tblStyleColBandSize w:val="1"/>
      <w:shd w:val="clear" w:color="auto" w:fill="FEF4EC"/>
    </w:tblPr>
    <w:tcPr>
      <w:shd w:val="clear" w:color="auto" w:fill="FEF4EC"/>
    </w:tcPr>
    <w:tblStylePr w:type="firstRow">
      <w:rPr>
        <w:b/>
        <w:bCs/>
        <w:color w:val="FFFFFF"/>
      </w:rPr>
      <w:tblPr/>
      <w:tcPr>
        <w:tcBorders>
          <w:bottom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pPr>
      <w:spacing w:after="0" w:line="240" w:lineRule="auto"/>
    </w:pPr>
    <w:rPr>
      <w:rFonts w:ascii="Arial" w:eastAsia="Arial" w:hAnsi="Arial" w:cs="Arial"/>
      <w:color w:val="000000"/>
    </w:rPr>
    <w:tblPr>
      <w:tblStyleRowBandSize w:val="1"/>
      <w:tblStyleColBandSize w:val="1"/>
      <w:tblBorders>
        <w:insideH w:val="single" w:sz="4" w:space="0" w:color="FFFFFF"/>
      </w:tblBorders>
      <w:shd w:val="clear" w:color="auto" w:fill="CCCCCC"/>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pPr>
      <w:spacing w:after="0" w:line="240" w:lineRule="auto"/>
    </w:pPr>
    <w:rPr>
      <w:rFonts w:ascii="Arial" w:eastAsia="Arial" w:hAnsi="Arial" w:cs="Arial"/>
      <w:color w:val="000000"/>
    </w:rPr>
    <w:tblPr>
      <w:tblStyleRowBandSize w:val="1"/>
      <w:tblStyleColBandSize w:val="1"/>
      <w:tblBorders>
        <w:insideH w:val="single" w:sz="4" w:space="0" w:color="FFFFFF"/>
      </w:tblBorders>
      <w:shd w:val="clear" w:color="auto" w:fill="DBE5F1"/>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pPr>
      <w:spacing w:after="0" w:line="240" w:lineRule="auto"/>
    </w:pPr>
    <w:rPr>
      <w:rFonts w:ascii="Arial" w:eastAsia="Arial" w:hAnsi="Arial" w:cs="Arial"/>
      <w:color w:val="000000"/>
    </w:rPr>
    <w:tblPr>
      <w:tblStyleRowBandSize w:val="1"/>
      <w:tblStyleColBandSize w:val="1"/>
      <w:tblBorders>
        <w:insideH w:val="single" w:sz="4" w:space="0" w:color="FFFFFF"/>
      </w:tblBorders>
      <w:shd w:val="clear" w:color="auto" w:fill="F2DBDB"/>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pPr>
      <w:spacing w:after="0" w:line="240" w:lineRule="auto"/>
    </w:pPr>
    <w:rPr>
      <w:rFonts w:ascii="Arial" w:eastAsia="Arial" w:hAnsi="Arial" w:cs="Arial"/>
      <w:color w:val="000000"/>
    </w:rPr>
    <w:tblPr>
      <w:tblStyleRowBandSize w:val="1"/>
      <w:tblStyleColBandSize w:val="1"/>
      <w:tblBorders>
        <w:insideH w:val="single" w:sz="4" w:space="0" w:color="FFFFFF"/>
      </w:tblBorders>
      <w:shd w:val="clear" w:color="auto" w:fill="EAF1DD"/>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pPr>
      <w:spacing w:after="0" w:line="240" w:lineRule="auto"/>
    </w:pPr>
    <w:rPr>
      <w:rFonts w:ascii="Arial" w:eastAsia="Arial" w:hAnsi="Arial" w:cs="Arial"/>
      <w:color w:val="000000"/>
    </w:rPr>
    <w:tblPr>
      <w:tblStyleRowBandSize w:val="1"/>
      <w:tblStyleColBandSize w:val="1"/>
      <w:tblBorders>
        <w:insideH w:val="single" w:sz="4" w:space="0" w:color="FFFFFF"/>
      </w:tblBorders>
      <w:shd w:val="clear" w:color="auto" w:fill="E5DFEC"/>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pPr>
      <w:spacing w:after="0" w:line="240" w:lineRule="auto"/>
    </w:pPr>
    <w:rPr>
      <w:rFonts w:ascii="Arial" w:eastAsia="Arial" w:hAnsi="Arial" w:cs="Arial"/>
      <w:color w:val="000000"/>
    </w:rPr>
    <w:tblPr>
      <w:tblStyleRowBandSize w:val="1"/>
      <w:tblStyleColBandSize w:val="1"/>
      <w:tblBorders>
        <w:insideH w:val="single" w:sz="4" w:space="0" w:color="FFFFFF"/>
      </w:tblBorders>
      <w:shd w:val="clear" w:color="auto" w:fill="DAEEF3"/>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pPr>
      <w:spacing w:after="0" w:line="240" w:lineRule="auto"/>
    </w:pPr>
    <w:rPr>
      <w:rFonts w:ascii="Arial" w:eastAsia="Arial" w:hAnsi="Arial" w:cs="Arial"/>
      <w:color w:val="000000"/>
    </w:rPr>
    <w:tblPr>
      <w:tblStyleRowBandSize w:val="1"/>
      <w:tblStyleColBandSize w:val="1"/>
      <w:tblBorders>
        <w:insideH w:val="single" w:sz="4" w:space="0" w:color="FFFFFF"/>
      </w:tblBorders>
      <w:shd w:val="clear" w:color="auto" w:fill="FDE9D9"/>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rFonts w:ascii="Arial" w:eastAsia="Arial" w:hAnsi="Arial" w:cs="Arial"/>
      <w:color w:val="0000FF"/>
      <w:u w:val="single"/>
    </w:rPr>
  </w:style>
  <w:style w:type="paragraph" w:customStyle="1" w:styleId="pdq2pgselectionanchorcontainer">
    <w:name w:val="pdq2pg_selectionanchorcontainer"/>
    <w:basedOn w:val="Normal"/>
    <w:rsid w:val="00506833"/>
    <w:pPr>
      <w:spacing w:before="100" w:beforeAutospacing="1" w:after="100" w:afterAutospacing="1" w:line="240" w:lineRule="auto"/>
    </w:pPr>
    <w:rPr>
      <w:rFonts w:ascii="Times New Roman" w:eastAsia="Times New Roman" w:hAnsi="Times New Roman" w:cs="Times New Roman"/>
      <w:szCs w:val="24"/>
    </w:rPr>
  </w:style>
  <w:style w:type="paragraph" w:styleId="NormalWeb">
    <w:name w:val="Normal (Web)"/>
    <w:basedOn w:val="Normal"/>
    <w:uiPriority w:val="99"/>
    <w:unhideWhenUsed/>
    <w:rsid w:val="00506833"/>
    <w:pPr>
      <w:spacing w:before="100" w:beforeAutospacing="1" w:after="100" w:afterAutospacing="1" w:line="240" w:lineRule="auto"/>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3880588">
      <w:bodyDiv w:val="1"/>
      <w:marLeft w:val="0"/>
      <w:marRight w:val="0"/>
      <w:marTop w:val="0"/>
      <w:marBottom w:val="0"/>
      <w:divBdr>
        <w:top w:val="none" w:sz="0" w:space="0" w:color="auto"/>
        <w:left w:val="none" w:sz="0" w:space="0" w:color="auto"/>
        <w:bottom w:val="none" w:sz="0" w:space="0" w:color="auto"/>
        <w:right w:val="none" w:sz="0" w:space="0" w:color="auto"/>
      </w:divBdr>
      <w:divsChild>
        <w:div w:id="810514802">
          <w:marLeft w:val="0"/>
          <w:marRight w:val="0"/>
          <w:marTop w:val="0"/>
          <w:marBottom w:val="0"/>
          <w:divBdr>
            <w:top w:val="none" w:sz="0" w:space="0" w:color="auto"/>
            <w:left w:val="none" w:sz="0" w:space="0" w:color="auto"/>
            <w:bottom w:val="none" w:sz="0" w:space="0" w:color="auto"/>
            <w:right w:val="none" w:sz="0" w:space="0" w:color="auto"/>
          </w:divBdr>
          <w:divsChild>
            <w:div w:id="1260060977">
              <w:marLeft w:val="0"/>
              <w:marRight w:val="0"/>
              <w:marTop w:val="0"/>
              <w:marBottom w:val="0"/>
              <w:divBdr>
                <w:top w:val="none" w:sz="0" w:space="0" w:color="auto"/>
                <w:left w:val="none" w:sz="0" w:space="0" w:color="auto"/>
                <w:bottom w:val="none" w:sz="0" w:space="0" w:color="auto"/>
                <w:right w:val="none" w:sz="0" w:space="0" w:color="auto"/>
              </w:divBdr>
              <w:divsChild>
                <w:div w:id="1854027541">
                  <w:marLeft w:val="0"/>
                  <w:marRight w:val="0"/>
                  <w:marTop w:val="0"/>
                  <w:marBottom w:val="0"/>
                  <w:divBdr>
                    <w:top w:val="none" w:sz="0" w:space="0" w:color="auto"/>
                    <w:left w:val="none" w:sz="0" w:space="0" w:color="auto"/>
                    <w:bottom w:val="none" w:sz="0" w:space="0" w:color="auto"/>
                    <w:right w:val="none" w:sz="0" w:space="0" w:color="auto"/>
                  </w:divBdr>
                  <w:divsChild>
                    <w:div w:id="71126995">
                      <w:marLeft w:val="0"/>
                      <w:marRight w:val="0"/>
                      <w:marTop w:val="0"/>
                      <w:marBottom w:val="0"/>
                      <w:divBdr>
                        <w:top w:val="none" w:sz="0" w:space="0" w:color="auto"/>
                        <w:left w:val="none" w:sz="0" w:space="0" w:color="auto"/>
                        <w:bottom w:val="none" w:sz="0" w:space="0" w:color="auto"/>
                        <w:right w:val="none" w:sz="0" w:space="0" w:color="auto"/>
                      </w:divBdr>
                      <w:divsChild>
                        <w:div w:id="246771002">
                          <w:marLeft w:val="0"/>
                          <w:marRight w:val="0"/>
                          <w:marTop w:val="0"/>
                          <w:marBottom w:val="0"/>
                          <w:divBdr>
                            <w:top w:val="none" w:sz="0" w:space="0" w:color="auto"/>
                            <w:left w:val="none" w:sz="0" w:space="0" w:color="auto"/>
                            <w:bottom w:val="none" w:sz="0" w:space="0" w:color="auto"/>
                            <w:right w:val="none" w:sz="0" w:space="0" w:color="auto"/>
                          </w:divBdr>
                          <w:divsChild>
                            <w:div w:id="1988168738">
                              <w:marLeft w:val="0"/>
                              <w:marRight w:val="0"/>
                              <w:marTop w:val="0"/>
                              <w:marBottom w:val="0"/>
                              <w:divBdr>
                                <w:top w:val="none" w:sz="0" w:space="0" w:color="auto"/>
                                <w:left w:val="none" w:sz="0" w:space="0" w:color="auto"/>
                                <w:bottom w:val="none" w:sz="0" w:space="0" w:color="auto"/>
                                <w:right w:val="none" w:sz="0" w:space="0" w:color="auto"/>
                              </w:divBdr>
                              <w:divsChild>
                                <w:div w:id="363408073">
                                  <w:marLeft w:val="0"/>
                                  <w:marRight w:val="0"/>
                                  <w:marTop w:val="0"/>
                                  <w:marBottom w:val="0"/>
                                  <w:divBdr>
                                    <w:top w:val="none" w:sz="0" w:space="0" w:color="auto"/>
                                    <w:left w:val="none" w:sz="0" w:space="0" w:color="auto"/>
                                    <w:bottom w:val="none" w:sz="0" w:space="0" w:color="auto"/>
                                    <w:right w:val="none" w:sz="0" w:space="0" w:color="auto"/>
                                  </w:divBdr>
                                  <w:divsChild>
                                    <w:div w:id="19231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6146886">
      <w:bodyDiv w:val="1"/>
      <w:marLeft w:val="0"/>
      <w:marRight w:val="0"/>
      <w:marTop w:val="0"/>
      <w:marBottom w:val="0"/>
      <w:divBdr>
        <w:top w:val="none" w:sz="0" w:space="0" w:color="auto"/>
        <w:left w:val="none" w:sz="0" w:space="0" w:color="auto"/>
        <w:bottom w:val="none" w:sz="0" w:space="0" w:color="auto"/>
        <w:right w:val="none" w:sz="0" w:space="0" w:color="auto"/>
      </w:divBdr>
    </w:div>
    <w:div w:id="1937978703">
      <w:bodyDiv w:val="1"/>
      <w:marLeft w:val="0"/>
      <w:marRight w:val="0"/>
      <w:marTop w:val="0"/>
      <w:marBottom w:val="0"/>
      <w:divBdr>
        <w:top w:val="none" w:sz="0" w:space="0" w:color="auto"/>
        <w:left w:val="none" w:sz="0" w:space="0" w:color="auto"/>
        <w:bottom w:val="none" w:sz="0" w:space="0" w:color="auto"/>
        <w:right w:val="none" w:sz="0" w:space="0" w:color="auto"/>
      </w:divBdr>
    </w:div>
    <w:div w:id="21076544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13C549-1D87-4C00-9C56-09ECEF7B0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2596</Words>
  <Characters>16357</Characters>
  <Application>Microsoft Office Word</Application>
  <DocSecurity>0</DocSecurity>
  <Lines>136</Lines>
  <Paragraphs>37</Paragraphs>
  <ScaleCrop>false</ScaleCrop>
  <HeadingPairs>
    <vt:vector size="2" baseType="variant">
      <vt:variant>
        <vt:lpstr>Title</vt:lpstr>
      </vt:variant>
      <vt:variant>
        <vt:i4>1</vt:i4>
      </vt:variant>
    </vt:vector>
  </HeadingPairs>
  <TitlesOfParts>
    <vt:vector size="1" baseType="lpstr">
      <vt:lpstr>Critical Evaluation of SDG 3 and SDG 10</vt:lpstr>
    </vt:vector>
  </TitlesOfParts>
  <Company/>
  <LinksUpToDate>false</LinksUpToDate>
  <CharactersWithSpaces>18916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SDG 3 and SDG 10</dc:title>
  <dc:subject>BMHP6030 report</dc:subject>
  <dc:creator>Nasreen Akhtar</dc:creator>
  <cp:revision>12</cp:revision>
  <dcterms:created xsi:type="dcterms:W3CDTF">2026-07-02T19:20:00Z</dcterms:created>
  <dcterms:modified xsi:type="dcterms:W3CDTF">2026-07-03T13:33:00Z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3575bb53fcb344c9a12b2ed778aa608e</vt:lpwstr>
  </property>
</Properties>
</file>