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474" w:rsidRDefault="00CC5474" w:rsidP="00CC5474">
      <w:pPr>
        <w:spacing w:line="360" w:lineRule="auto"/>
        <w:jc w:val="both"/>
        <w:rPr>
          <w:color w:val="202124"/>
          <w:sz w:val="24"/>
          <w:szCs w:val="24"/>
          <w:highlight w:val="white"/>
        </w:rPr>
      </w:pPr>
      <w:bookmarkStart w:id="0" w:name="_GoBack"/>
      <w:bookmarkEnd w:id="0"/>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Pr="00646E46" w:rsidRDefault="00646E46" w:rsidP="00646E46">
      <w:pPr>
        <w:spacing w:line="360" w:lineRule="auto"/>
        <w:jc w:val="center"/>
        <w:rPr>
          <w:b/>
          <w:color w:val="202124"/>
          <w:sz w:val="44"/>
          <w:szCs w:val="44"/>
          <w:highlight w:val="white"/>
        </w:rPr>
      </w:pPr>
      <w:r w:rsidRPr="00646E46">
        <w:rPr>
          <w:b/>
          <w:color w:val="202124"/>
          <w:sz w:val="44"/>
          <w:szCs w:val="44"/>
          <w:highlight w:val="white"/>
        </w:rPr>
        <w:t xml:space="preserve">Sustainable </w:t>
      </w:r>
      <w:proofErr w:type="spellStart"/>
      <w:r w:rsidRPr="00646E46">
        <w:rPr>
          <w:b/>
          <w:color w:val="202124"/>
          <w:sz w:val="44"/>
          <w:szCs w:val="44"/>
          <w:highlight w:val="white"/>
        </w:rPr>
        <w:t>Hospitality&amp;Tourism</w:t>
      </w:r>
      <w:proofErr w:type="spellEnd"/>
      <w:r w:rsidRPr="00646E46">
        <w:rPr>
          <w:b/>
          <w:color w:val="202124"/>
          <w:sz w:val="44"/>
          <w:szCs w:val="44"/>
          <w:highlight w:val="white"/>
        </w:rPr>
        <w:t xml:space="preserve"> Management</w:t>
      </w:r>
    </w:p>
    <w:p w:rsidR="00646E46" w:rsidRDefault="00646E46" w:rsidP="00646E46">
      <w:pPr>
        <w:spacing w:line="360" w:lineRule="auto"/>
        <w:jc w:val="center"/>
        <w:rPr>
          <w:b/>
          <w:color w:val="202124"/>
          <w:sz w:val="44"/>
          <w:szCs w:val="44"/>
          <w:highlight w:val="white"/>
        </w:rPr>
      </w:pPr>
      <w:r w:rsidRPr="00646E46">
        <w:rPr>
          <w:b/>
          <w:color w:val="202124"/>
          <w:sz w:val="44"/>
          <w:szCs w:val="44"/>
          <w:highlight w:val="white"/>
        </w:rPr>
        <w:t>BMIH5006</w:t>
      </w:r>
    </w:p>
    <w:p w:rsidR="00646E46" w:rsidRPr="00646E46" w:rsidRDefault="00646E46" w:rsidP="00646E46">
      <w:pPr>
        <w:spacing w:line="360" w:lineRule="auto"/>
        <w:jc w:val="center"/>
        <w:rPr>
          <w:b/>
          <w:color w:val="202124"/>
          <w:sz w:val="44"/>
          <w:szCs w:val="44"/>
          <w:highlight w:val="white"/>
        </w:rPr>
      </w:pPr>
    </w:p>
    <w:p w:rsidR="00646E46" w:rsidRDefault="00646E46" w:rsidP="00646E46">
      <w:pPr>
        <w:spacing w:line="360" w:lineRule="auto"/>
        <w:jc w:val="center"/>
        <w:rPr>
          <w:b/>
          <w:color w:val="202124"/>
          <w:sz w:val="44"/>
          <w:szCs w:val="44"/>
          <w:highlight w:val="white"/>
        </w:rPr>
      </w:pPr>
      <w:r w:rsidRPr="00646E46">
        <w:rPr>
          <w:b/>
          <w:color w:val="202124"/>
          <w:sz w:val="44"/>
          <w:szCs w:val="44"/>
          <w:highlight w:val="white"/>
        </w:rPr>
        <w:t xml:space="preserve">Student: </w:t>
      </w:r>
      <w:proofErr w:type="spellStart"/>
      <w:r w:rsidRPr="00646E46">
        <w:rPr>
          <w:b/>
          <w:color w:val="202124"/>
          <w:sz w:val="44"/>
          <w:szCs w:val="44"/>
          <w:highlight w:val="white"/>
        </w:rPr>
        <w:t>Silviu</w:t>
      </w:r>
      <w:proofErr w:type="spellEnd"/>
      <w:r w:rsidRPr="00646E46">
        <w:rPr>
          <w:b/>
          <w:color w:val="202124"/>
          <w:sz w:val="44"/>
          <w:szCs w:val="44"/>
          <w:highlight w:val="white"/>
        </w:rPr>
        <w:t xml:space="preserve"> </w:t>
      </w:r>
      <w:proofErr w:type="spellStart"/>
      <w:r w:rsidRPr="00646E46">
        <w:rPr>
          <w:b/>
          <w:color w:val="202124"/>
          <w:sz w:val="44"/>
          <w:szCs w:val="44"/>
          <w:highlight w:val="white"/>
        </w:rPr>
        <w:t>Ghera</w:t>
      </w:r>
      <w:proofErr w:type="spellEnd"/>
    </w:p>
    <w:p w:rsidR="00646E46" w:rsidRPr="00646E46" w:rsidRDefault="00646E46" w:rsidP="00646E46">
      <w:pPr>
        <w:spacing w:line="360" w:lineRule="auto"/>
        <w:jc w:val="center"/>
        <w:rPr>
          <w:b/>
          <w:color w:val="202124"/>
          <w:sz w:val="44"/>
          <w:szCs w:val="44"/>
          <w:highlight w:val="white"/>
        </w:rPr>
      </w:pPr>
    </w:p>
    <w:p w:rsidR="00646E46" w:rsidRPr="00646E46" w:rsidRDefault="00646E46" w:rsidP="00646E46">
      <w:pPr>
        <w:spacing w:line="360" w:lineRule="auto"/>
        <w:jc w:val="center"/>
        <w:rPr>
          <w:b/>
          <w:color w:val="202124"/>
          <w:sz w:val="44"/>
          <w:szCs w:val="44"/>
          <w:highlight w:val="white"/>
        </w:rPr>
      </w:pPr>
      <w:r w:rsidRPr="00646E46">
        <w:rPr>
          <w:b/>
          <w:color w:val="202124"/>
          <w:sz w:val="44"/>
          <w:szCs w:val="44"/>
          <w:highlight w:val="white"/>
        </w:rPr>
        <w:t>Student id: 2130678</w:t>
      </w:r>
    </w:p>
    <w:p w:rsidR="00646E46" w:rsidRPr="00646E46" w:rsidRDefault="00646E46" w:rsidP="00646E46">
      <w:pPr>
        <w:spacing w:line="360" w:lineRule="auto"/>
        <w:jc w:val="center"/>
        <w:rPr>
          <w:b/>
          <w:color w:val="202124"/>
          <w:sz w:val="44"/>
          <w:szCs w:val="44"/>
          <w:highlight w:val="white"/>
        </w:rPr>
      </w:pPr>
    </w:p>
    <w:p w:rsidR="00646E46" w:rsidRDefault="00646E46" w:rsidP="00CC5474">
      <w:pPr>
        <w:spacing w:line="360" w:lineRule="auto"/>
        <w:jc w:val="both"/>
        <w:rPr>
          <w:color w:val="202124"/>
          <w:sz w:val="24"/>
          <w:szCs w:val="24"/>
          <w:highlight w:val="white"/>
        </w:rPr>
      </w:pPr>
    </w:p>
    <w:p w:rsidR="00646E46" w:rsidRDefault="00646E46"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CC5474" w:rsidRDefault="00CC5474" w:rsidP="00CC5474">
      <w:pPr>
        <w:spacing w:line="360" w:lineRule="auto"/>
        <w:jc w:val="both"/>
        <w:rPr>
          <w:color w:val="202124"/>
          <w:sz w:val="24"/>
          <w:szCs w:val="24"/>
          <w:highlight w:val="white"/>
        </w:rPr>
      </w:pPr>
    </w:p>
    <w:p w:rsidR="00646E46" w:rsidRDefault="00646E46" w:rsidP="00CC5474">
      <w:pPr>
        <w:spacing w:line="360" w:lineRule="auto"/>
        <w:jc w:val="both"/>
        <w:rPr>
          <w:color w:val="202124"/>
          <w:sz w:val="24"/>
          <w:szCs w:val="24"/>
          <w:highlight w:val="white"/>
        </w:rPr>
      </w:pPr>
    </w:p>
    <w:p w:rsidR="00646E46" w:rsidRDefault="00646E46" w:rsidP="00CC5474">
      <w:pPr>
        <w:spacing w:line="360" w:lineRule="auto"/>
        <w:jc w:val="both"/>
        <w:rPr>
          <w:color w:val="202124"/>
          <w:sz w:val="24"/>
          <w:szCs w:val="24"/>
          <w:highlight w:val="white"/>
        </w:rPr>
      </w:pPr>
    </w:p>
    <w:p w:rsidR="00CC5474" w:rsidRDefault="00646E46" w:rsidP="00646E46">
      <w:pPr>
        <w:spacing w:line="360" w:lineRule="auto"/>
        <w:jc w:val="center"/>
        <w:rPr>
          <w:color w:val="202124"/>
          <w:sz w:val="24"/>
          <w:szCs w:val="24"/>
          <w:highlight w:val="white"/>
        </w:rPr>
      </w:pPr>
      <w:r>
        <w:rPr>
          <w:color w:val="202124"/>
          <w:sz w:val="24"/>
          <w:szCs w:val="24"/>
          <w:highlight w:val="white"/>
        </w:rPr>
        <w:lastRenderedPageBreak/>
        <w:t>Circular Economy</w:t>
      </w:r>
    </w:p>
    <w:p w:rsidR="00646E46" w:rsidRDefault="00646E46" w:rsidP="00CC5474">
      <w:pPr>
        <w:spacing w:line="360" w:lineRule="auto"/>
        <w:jc w:val="both"/>
        <w:rPr>
          <w:color w:val="202124"/>
          <w:sz w:val="24"/>
          <w:szCs w:val="24"/>
          <w:highlight w:val="white"/>
        </w:rPr>
      </w:pPr>
    </w:p>
    <w:p w:rsidR="00CC5474" w:rsidRDefault="00CC5474" w:rsidP="00CC5474">
      <w:pPr>
        <w:spacing w:line="360" w:lineRule="auto"/>
        <w:jc w:val="both"/>
        <w:rPr>
          <w:sz w:val="24"/>
          <w:szCs w:val="24"/>
          <w:highlight w:val="white"/>
        </w:rPr>
      </w:pPr>
      <w:r>
        <w:rPr>
          <w:color w:val="202124"/>
          <w:sz w:val="24"/>
          <w:szCs w:val="24"/>
          <w:highlight w:val="white"/>
        </w:rPr>
        <w:t>The circular economy is a model for production and consumption, (European Parliament, 2023) where the maximum utilisation of the resources is generated and the minimum amount of waste for disposal through processes like maintenance, reuse, refurbishment, remanufacture, recycling, and composting. The concept is gaining popularity as the world has realised the benefits it can derive such as saving biodiversity, waste reduction, increased product or raw material life, reduced pollution, cost-effectiveness, etc.  The concept of circular economy is opposite to the linear model</w:t>
      </w:r>
      <w:r>
        <w:rPr>
          <w:color w:val="586674"/>
          <w:sz w:val="24"/>
          <w:szCs w:val="24"/>
          <w:highlight w:val="white"/>
        </w:rPr>
        <w:t xml:space="preserve"> </w:t>
      </w:r>
      <w:r>
        <w:rPr>
          <w:sz w:val="24"/>
          <w:szCs w:val="24"/>
          <w:highlight w:val="white"/>
        </w:rPr>
        <w:t>which is based on a take-make-consume-throw away pattern</w:t>
      </w:r>
      <w:r>
        <w:rPr>
          <w:color w:val="586674"/>
          <w:sz w:val="24"/>
          <w:szCs w:val="24"/>
          <w:highlight w:val="white"/>
        </w:rPr>
        <w:t xml:space="preserve">, </w:t>
      </w:r>
      <w:r>
        <w:rPr>
          <w:color w:val="202124"/>
          <w:sz w:val="24"/>
          <w:szCs w:val="24"/>
          <w:highlight w:val="white"/>
        </w:rPr>
        <w:t xml:space="preserve">  where Sustainability is a concept gaining momentum in recent years and companies that have effectively integrate their sustainability goals to co-operative goals re enjoying a competitive a</w:t>
      </w:r>
      <w:r>
        <w:rPr>
          <w:sz w:val="24"/>
          <w:szCs w:val="24"/>
          <w:highlight w:val="white"/>
        </w:rPr>
        <w:t xml:space="preserve">dvantage over their competitor's 5800 hotels=, 110 countries 40+ hotel bands 822000 rooms, 330000 team members. (Accor, 2024) </w:t>
      </w:r>
    </w:p>
    <w:p w:rsidR="00CC5474" w:rsidRDefault="00CC5474" w:rsidP="00CC5474">
      <w:pPr>
        <w:spacing w:line="360" w:lineRule="auto"/>
        <w:jc w:val="both"/>
        <w:rPr>
          <w:sz w:val="24"/>
          <w:szCs w:val="24"/>
          <w:highlight w:val="white"/>
        </w:rPr>
      </w:pPr>
      <w:r>
        <w:rPr>
          <w:sz w:val="24"/>
          <w:szCs w:val="24"/>
          <w:highlight w:val="white"/>
        </w:rPr>
        <w:t xml:space="preserve">Global leading hospitality brand Accor has Over 30 years of leadership in sustainable development, Accor is expanding its sustainability efforts globally by incorporating sustainable practices into all their activities, The tourism industry is the largest consumer of water and energy and it has a direct impact on nature and the environment due to the multi-usage functions and long working hours mostly round the clock, therefore, adapting to socially responsible practices are need of the hour. (Mahmood. A, 2022) </w:t>
      </w:r>
    </w:p>
    <w:p w:rsidR="00CC5474" w:rsidRDefault="00CC5474" w:rsidP="00CC5474">
      <w:pPr>
        <w:spacing w:line="360" w:lineRule="auto"/>
        <w:jc w:val="both"/>
        <w:rPr>
          <w:sz w:val="24"/>
          <w:szCs w:val="24"/>
          <w:highlight w:val="white"/>
        </w:rPr>
      </w:pPr>
    </w:p>
    <w:p w:rsidR="00CC5474" w:rsidRDefault="00CC5474" w:rsidP="00CC5474">
      <w:pPr>
        <w:spacing w:line="360" w:lineRule="auto"/>
        <w:jc w:val="both"/>
        <w:rPr>
          <w:sz w:val="24"/>
          <w:szCs w:val="24"/>
          <w:highlight w:val="white"/>
        </w:rPr>
      </w:pPr>
      <w:r>
        <w:rPr>
          <w:sz w:val="24"/>
          <w:szCs w:val="24"/>
          <w:highlight w:val="white"/>
        </w:rPr>
        <w:t xml:space="preserve">The circular economy is a model for sustainability creation by integrating the 3 dimensions environmental, economic, and social in a balanced way and meets the needs of the present without compromising the needs of the future generations. (Mahmood. A, 2022) It is the system through which an organisation achieve their sustainability goals. Sustainability can be integrated into a circular economy. By creating social, economic and environmental goals that align with the company’s corporate objectives and practices. Promoting and implementing sustainable practices that have a positive impact on society, economic and environmental dimensions can help the company to achieve a competitive advantage. According to Agenda 21, the concept of sustainability is multidimensional.  Ecological, economic and social dimensions. Under the ecological factor, the focus area is an environmental area where the efforts will understand and reduce negative impacts on the environment and </w:t>
      </w:r>
      <w:r>
        <w:rPr>
          <w:sz w:val="24"/>
          <w:szCs w:val="24"/>
          <w:highlight w:val="white"/>
        </w:rPr>
        <w:lastRenderedPageBreak/>
        <w:t xml:space="preserve">ensure the ecosystem remains productive and affected. Social dimension under the social dimension sustainability efforts should focus on well-being, improving quality of life, creating opportunities, community development, human rights protection, employee development, cultural preservation and ethical practices and third dimension economic dimension focuses on financial stability, innovation and technology that enhance the effective utilisation of resources, employment generation through sustainable efforts. A balance between 3 is inevitable and must ensure a balanced sustainability (Diana L, 1988) </w:t>
      </w:r>
    </w:p>
    <w:p w:rsidR="00CC5474" w:rsidRDefault="00CC5474" w:rsidP="00CC5474">
      <w:pPr>
        <w:spacing w:line="360" w:lineRule="auto"/>
        <w:jc w:val="both"/>
        <w:rPr>
          <w:sz w:val="24"/>
          <w:szCs w:val="24"/>
          <w:highlight w:val="white"/>
        </w:rPr>
      </w:pPr>
    </w:p>
    <w:p w:rsidR="00CC5474" w:rsidRDefault="00CC5474" w:rsidP="00CC5474">
      <w:pPr>
        <w:spacing w:line="360" w:lineRule="auto"/>
        <w:jc w:val="both"/>
        <w:rPr>
          <w:sz w:val="24"/>
          <w:szCs w:val="24"/>
        </w:rPr>
      </w:pPr>
      <w:r>
        <w:rPr>
          <w:sz w:val="24"/>
          <w:szCs w:val="24"/>
          <w:highlight w:val="white"/>
        </w:rPr>
        <w:t xml:space="preserve"> Nowadays customers are becoming more aware and concerned over issues that affect the environment and sustainability initiatives are considerably affecting booking decisions (Jorge J. et al, 2019) Guests are willing to pay more for sustainable and environmentally friendly products and they are even ready to sacrifice certain </w:t>
      </w:r>
      <w:r>
        <w:rPr>
          <w:sz w:val="24"/>
          <w:szCs w:val="24"/>
        </w:rPr>
        <w:t xml:space="preserve">luxuries to stay sustainable. Sustainability marketing provides a positive brand image through trust building, enhanced customer loyalty as eco-friendly customers prefer sustainable brands, competitive advantage due to brand differentiation, cost-effectiveness due to reduced wastage and effective usage of resources, risk mitigation help to identify risk factors, employee engagement through employee supportive programmes such as the opportunity for learning and development, positive work atmosphere, innovation and technological advancement, stakeholder appeal as people might be interested to invest in a sustainable brand, and positive environmental and social impact as sustainability practices offers a balanced practice which identifies and eliminate the possible negative impacts to the environment and society  (Donald F, 1999) (Sharma R, 2021) </w:t>
      </w:r>
    </w:p>
    <w:p w:rsidR="00CC5474" w:rsidRDefault="00CC5474" w:rsidP="00CC5474">
      <w:pPr>
        <w:spacing w:line="360" w:lineRule="auto"/>
        <w:jc w:val="both"/>
        <w:rPr>
          <w:sz w:val="24"/>
          <w:szCs w:val="24"/>
        </w:rPr>
      </w:pPr>
    </w:p>
    <w:p w:rsidR="00CC5474" w:rsidRDefault="00CC5474" w:rsidP="00CC5474">
      <w:pPr>
        <w:spacing w:line="360" w:lineRule="auto"/>
        <w:jc w:val="both"/>
        <w:rPr>
          <w:sz w:val="24"/>
          <w:szCs w:val="24"/>
          <w:highlight w:val="white"/>
        </w:rPr>
      </w:pPr>
      <w:r>
        <w:rPr>
          <w:sz w:val="24"/>
          <w:szCs w:val="24"/>
        </w:rPr>
        <w:t>These factors are forcing the hotel industry including Accor to redesign their current practices to integrate sustainable business practices that have a positive social, economic and financial impact for reducing waste, conserving water and energy, using eco-friendly products, and promoting recycling and composting.</w:t>
      </w:r>
      <w:r>
        <w:rPr>
          <w:sz w:val="24"/>
          <w:szCs w:val="24"/>
          <w:highlight w:val="white"/>
        </w:rPr>
        <w:t xml:space="preserve">  (Jorge J. et al, 2019) Coming to Accor's Corporate Social Responsibility (CSR) policy, as a global leader in hospitality Accor is committed to a transitional journey that is a more sustainable business model in which they can operate more sustainably within the planetary boundaries promoting sustainability in agriculture, travel and exploration. Accor is categorising its plan under 3 categories i.e. </w:t>
      </w:r>
      <w:r>
        <w:rPr>
          <w:b/>
          <w:sz w:val="24"/>
          <w:szCs w:val="24"/>
          <w:highlight w:val="white"/>
        </w:rPr>
        <w:t>“Stay, eat and explore.</w:t>
      </w:r>
      <w:r>
        <w:rPr>
          <w:sz w:val="24"/>
          <w:szCs w:val="24"/>
          <w:highlight w:val="white"/>
        </w:rPr>
        <w:t xml:space="preserve"> “ Under stay, </w:t>
      </w:r>
      <w:r>
        <w:rPr>
          <w:sz w:val="24"/>
          <w:szCs w:val="24"/>
          <w:highlight w:val="white"/>
        </w:rPr>
        <w:lastRenderedPageBreak/>
        <w:t xml:space="preserve">Accor is emphasizing optimal utilisation of resources, eliminating single-use plastics and promoting circular economy which means. Accor is targeting Carbon neutrality by 2050 in alignment with the Paris Agreement and based on that significant efforts will be made to reduce greenhouse gas emissions. By investing in technology and innovation Accor is committed to reducing water consumption is promoting recycling,  and overall energy consumption (Accor Impact Report 2023-,  2023) To promote reuse  is taking best practices to reduce waste and promote reuse, recycle to reduce environmental footprints also taking precautions to eliminate single-use plastics (Accor Impact Report 2030-,  2023) </w:t>
      </w:r>
    </w:p>
    <w:p w:rsidR="00CC5474" w:rsidRDefault="00CC5474" w:rsidP="00CC5474">
      <w:pPr>
        <w:spacing w:line="360" w:lineRule="auto"/>
        <w:jc w:val="both"/>
        <w:rPr>
          <w:sz w:val="24"/>
          <w:szCs w:val="24"/>
          <w:highlight w:val="white"/>
        </w:rPr>
      </w:pPr>
    </w:p>
    <w:p w:rsidR="00CC5474" w:rsidRDefault="00CC5474" w:rsidP="00CC5474">
      <w:pPr>
        <w:spacing w:line="360" w:lineRule="auto"/>
        <w:jc w:val="both"/>
        <w:rPr>
          <w:sz w:val="24"/>
          <w:szCs w:val="24"/>
          <w:highlight w:val="white"/>
        </w:rPr>
      </w:pPr>
      <w:r>
        <w:rPr>
          <w:sz w:val="24"/>
          <w:szCs w:val="24"/>
          <w:highlight w:val="white"/>
        </w:rPr>
        <w:t xml:space="preserve">Under </w:t>
      </w:r>
      <w:r>
        <w:rPr>
          <w:b/>
          <w:sz w:val="24"/>
          <w:szCs w:val="24"/>
          <w:highlight w:val="white"/>
        </w:rPr>
        <w:t>explore s</w:t>
      </w:r>
      <w:r>
        <w:rPr>
          <w:sz w:val="24"/>
          <w:szCs w:val="24"/>
          <w:highlight w:val="white"/>
        </w:rPr>
        <w:t xml:space="preserve">egment: </w:t>
      </w:r>
      <w:r>
        <w:rPr>
          <w:color w:val="0D0D0D"/>
          <w:sz w:val="24"/>
          <w:szCs w:val="24"/>
          <w:highlight w:val="white"/>
        </w:rPr>
        <w:t>sustainable hotel parks to promote nature conservation integrated with local communities and developing urban spaces that respect the land and enhance guests' connection to nature. under the</w:t>
      </w:r>
      <w:r>
        <w:rPr>
          <w:b/>
          <w:color w:val="0D0D0D"/>
          <w:sz w:val="24"/>
          <w:szCs w:val="24"/>
          <w:highlight w:val="white"/>
        </w:rPr>
        <w:t xml:space="preserve"> Eat</w:t>
      </w:r>
      <w:r>
        <w:rPr>
          <w:color w:val="0D0D0D"/>
          <w:sz w:val="24"/>
          <w:szCs w:val="24"/>
          <w:highlight w:val="white"/>
        </w:rPr>
        <w:t xml:space="preserve"> segment, Accor is highly committed to providing organic and seasonal food and takes initiatives to reduce waste, Being a brand committed to responsible travel and tourism for the last 50 years and had its first environment department in the year 1994, since then Accor is the leader in global sustainability initiatives and now is on an ongoing transitional plan. Their transition to circular economy and sustainable practices is visible in every process they follow. </w:t>
      </w:r>
      <w:r>
        <w:rPr>
          <w:sz w:val="24"/>
          <w:szCs w:val="24"/>
          <w:highlight w:val="white"/>
        </w:rPr>
        <w:t>(Accor Impact Report 2030-, 2023) Accor is implementing a 3 step transitional plan where the first step involves creating awareness among employees. The School of Change launched in 2022 and strengthened in 2023 with incentives and provides 10 hours of science-based content support to create awareness among the team members to make the theme understand their role in the process as the second step to drive a new vision of performance, Accor integrated their environmental and social objective to their financial policy. Integrating CSR to corporate policies and objectives drives competitive advantage (</w:t>
      </w:r>
      <w:proofErr w:type="spellStart"/>
      <w:r>
        <w:rPr>
          <w:sz w:val="24"/>
          <w:szCs w:val="24"/>
          <w:highlight w:val="white"/>
        </w:rPr>
        <w:t>Rahdari</w:t>
      </w:r>
      <w:proofErr w:type="spellEnd"/>
      <w:r>
        <w:rPr>
          <w:sz w:val="24"/>
          <w:szCs w:val="24"/>
          <w:highlight w:val="white"/>
        </w:rPr>
        <w:t xml:space="preserve"> A et.al, 2015) and introduces short and long-term incentive policies as well. As the final step, Accor develops sustainable solutions for sustainable practices to reduce waste, carbon emissions, overconsumption of energy and water etc. Based on the figures 79% of hotels eliminated single plastic usage 60% of Accor hotels worldwide measuring carbon emission with device 2 international partnership is signed for eco-certification of Accor hotels. Under the eat segment 5% of the top 300 hotels with the highest F&amp;B revenue had defined their food waste strategy under the explore category 5.6 million rewards points have been donated for social causes and to ensure gender diversity, women </w:t>
      </w:r>
      <w:r>
        <w:rPr>
          <w:sz w:val="24"/>
          <w:szCs w:val="24"/>
          <w:highlight w:val="white"/>
        </w:rPr>
        <w:lastRenderedPageBreak/>
        <w:t xml:space="preserve">constitute 42% of the management committee. Accor’s </w:t>
      </w:r>
      <w:r>
        <w:rPr>
          <w:color w:val="0D0D0D"/>
          <w:sz w:val="24"/>
          <w:szCs w:val="24"/>
          <w:highlight w:val="white"/>
        </w:rPr>
        <w:t xml:space="preserve">Accor </w:t>
      </w:r>
      <w:proofErr w:type="spellStart"/>
      <w:r>
        <w:rPr>
          <w:color w:val="0D0D0D"/>
          <w:sz w:val="24"/>
          <w:szCs w:val="24"/>
          <w:highlight w:val="white"/>
        </w:rPr>
        <w:t>Heartist</w:t>
      </w:r>
      <w:proofErr w:type="spellEnd"/>
      <w:r>
        <w:rPr>
          <w:color w:val="0D0D0D"/>
          <w:sz w:val="24"/>
          <w:szCs w:val="24"/>
          <w:highlight w:val="white"/>
        </w:rPr>
        <w:t xml:space="preserve"> Solidarity Endowment Fund:</w:t>
      </w:r>
      <w:r>
        <w:rPr>
          <w:sz w:val="24"/>
          <w:szCs w:val="24"/>
          <w:highlight w:val="white"/>
        </w:rPr>
        <w:t xml:space="preserve"> is maintained to support various social causes especially to provide long-term support for people in distress, and communities in need. The major focus support areas are employment generation and entrepreneurship and assisting people who are affected by the humanitarian disasters. The support is being provided in collaboration with NGOs and local associations. These projects are financially supported by</w:t>
      </w:r>
      <w:r>
        <w:rPr>
          <w:color w:val="0D0D0D"/>
          <w:sz w:val="24"/>
          <w:szCs w:val="24"/>
          <w:highlight w:val="white"/>
        </w:rPr>
        <w:t xml:space="preserve"> </w:t>
      </w:r>
      <w:proofErr w:type="spellStart"/>
      <w:r>
        <w:rPr>
          <w:color w:val="0D0D0D"/>
          <w:sz w:val="24"/>
          <w:szCs w:val="24"/>
          <w:highlight w:val="white"/>
        </w:rPr>
        <w:t>Heartists</w:t>
      </w:r>
      <w:proofErr w:type="spellEnd"/>
      <w:proofErr w:type="gramStart"/>
      <w:r>
        <w:rPr>
          <w:color w:val="0D0D0D"/>
          <w:sz w:val="24"/>
          <w:szCs w:val="24"/>
          <w:highlight w:val="white"/>
        </w:rPr>
        <w:t>®  in</w:t>
      </w:r>
      <w:proofErr w:type="gramEnd"/>
      <w:r>
        <w:rPr>
          <w:color w:val="0D0D0D"/>
          <w:sz w:val="24"/>
          <w:szCs w:val="24"/>
          <w:highlight w:val="white"/>
        </w:rPr>
        <w:t xml:space="preserve"> the local project area. The Whole </w:t>
      </w:r>
      <w:proofErr w:type="spellStart"/>
      <w:r>
        <w:rPr>
          <w:color w:val="0D0D0D"/>
          <w:sz w:val="24"/>
          <w:szCs w:val="24"/>
          <w:highlight w:val="white"/>
        </w:rPr>
        <w:t>Heartists</w:t>
      </w:r>
      <w:proofErr w:type="spellEnd"/>
      <w:r>
        <w:rPr>
          <w:color w:val="0D0D0D"/>
          <w:sz w:val="24"/>
          <w:szCs w:val="24"/>
          <w:highlight w:val="white"/>
        </w:rPr>
        <w:t xml:space="preserve"> Fund was created during the pandemic and the main objective is to support economically backward team members and their partners this fund is extended to students who need support for internships, and women victims of domestic violence. Apart from that Accor has having human rights policy in place which was introduced and published in 2023 also brand is committed to child protection, children’s rights, and exploitation among children in the hospitality sector. Accor is making commendable effort to protect children against all kinds of violence and is the first organisation to partner with End Child Prostitution, Pornography and Trafficking of Children for Sexual Purposes their long term efforts since long, Accor had developed .We Act Together for Children (WATCH) program in 2014 through which people or hotels can inform WATCH regarding the abuse against children in hotels </w:t>
      </w:r>
    </w:p>
    <w:p w:rsidR="00CC5474" w:rsidRDefault="00CC5474" w:rsidP="00CC5474">
      <w:pPr>
        <w:spacing w:line="360" w:lineRule="auto"/>
        <w:jc w:val="both"/>
        <w:rPr>
          <w:sz w:val="24"/>
          <w:szCs w:val="24"/>
          <w:highlight w:val="white"/>
        </w:rPr>
      </w:pPr>
      <w:r>
        <w:rPr>
          <w:sz w:val="24"/>
          <w:szCs w:val="24"/>
          <w:highlight w:val="white"/>
        </w:rPr>
        <w:t xml:space="preserve"> Under the eat segment, Accor is committed to responsible sourcing and healthy eating, and policies are in place Accor is serving 200 million meals annually across their 10000 restaurants and bars and Accor is dedicated to ensuring sustainable food practices are being followed. Being the industry leader Accor understands its responsibility to be a sustainable model in the hospitality sector. As part of the reinvention of the culinary experience, local and seasonal sourcing is prioritised, ensuring endangered species have not been used in any menus, and are committed to purchasing only cage-free eggs. Accor has introduced sustainable supply chain management which is quite challenging. The list has 9 sustainable steps to follow island Accor could ensure that more than 55% of the hotels have implemented more than 5 out of 9 steps and the steps depend on local supply. Organic food, cruelty-free sourcing, ban on endangered species, limit fat and sugar, fair trade in tea and coffee transport, integration of veg and non-vegan, use sustainable palm oil</w:t>
      </w:r>
    </w:p>
    <w:p w:rsidR="00CC5474" w:rsidRDefault="00CC5474" w:rsidP="00CC5474">
      <w:pPr>
        <w:spacing w:line="360" w:lineRule="auto"/>
        <w:jc w:val="both"/>
        <w:rPr>
          <w:color w:val="0D0D0D"/>
          <w:sz w:val="24"/>
          <w:szCs w:val="24"/>
          <w:highlight w:val="white"/>
        </w:rPr>
      </w:pPr>
      <w:r>
        <w:rPr>
          <w:sz w:val="24"/>
          <w:szCs w:val="24"/>
          <w:highlight w:val="white"/>
        </w:rPr>
        <w:t xml:space="preserve"> As a committed ambassador of sustainability, Accor was the leading hotel chain during COP 28 in UAE, where the brand demonstrated its sustainability efforts at 138 hotels across the UAE, collaborated with a Swedish company to prepare low-carb </w:t>
      </w:r>
      <w:r>
        <w:rPr>
          <w:sz w:val="24"/>
          <w:szCs w:val="24"/>
          <w:highlight w:val="white"/>
        </w:rPr>
        <w:lastRenderedPageBreak/>
        <w:t xml:space="preserve">recipes for the customers and thus 54 low-carbon recipes have been created, </w:t>
      </w:r>
      <w:r>
        <w:rPr>
          <w:color w:val="0D0D0D"/>
          <w:sz w:val="24"/>
          <w:szCs w:val="24"/>
          <w:highlight w:val="white"/>
        </w:rPr>
        <w:t xml:space="preserve">60% of the Accor hotel globally resell or donate food items, hotels resell or donate food items, menus labelled showing carbon footprint, Apart from that, as part of waste management hotel started measuring the waste and reducing buffet waste, modified recipes, recycled and reused unserved products, and initiated food donations to food banks. In the last year, 56% of Accor hotels recycled food waste, Food Waste and it was unfortunate that out of total waste, 53% was food waste. The effort paid off as the sustainability efforts significantly created influence among customers all over the world. Accor could meet the customer’s sustainability requirements by which they could expand their customer base to hotels, restaurants and bars. The sustainability practices considerably reduced operational costs and enhanced operational efficiency. preserve biodiversity, reduce carbon footprints,  reduce, recycle, reduce waste, reduce/water/water/ plastic usage, and provide support to the community, locals and team members thus brand is moving towards the successful journey to achieve 200% circular economy  through their CSR initiatives  (Accor annual report, 2023) </w:t>
      </w:r>
    </w:p>
    <w:p w:rsidR="00CC5474" w:rsidRDefault="00CC5474" w:rsidP="00CC5474">
      <w:pPr>
        <w:spacing w:line="360" w:lineRule="auto"/>
        <w:jc w:val="both"/>
        <w:rPr>
          <w:color w:val="0D0D0D"/>
          <w:sz w:val="24"/>
          <w:szCs w:val="24"/>
          <w:highlight w:val="white"/>
        </w:rPr>
      </w:pPr>
    </w:p>
    <w:p w:rsidR="00CC5474" w:rsidRDefault="00CC5474" w:rsidP="00CC5474">
      <w:pPr>
        <w:spacing w:line="360" w:lineRule="auto"/>
        <w:jc w:val="both"/>
        <w:rPr>
          <w:color w:val="222222"/>
          <w:sz w:val="24"/>
          <w:szCs w:val="24"/>
          <w:highlight w:val="white"/>
        </w:rPr>
      </w:pPr>
      <w:r>
        <w:rPr>
          <w:color w:val="222222"/>
          <w:sz w:val="24"/>
          <w:szCs w:val="24"/>
          <w:highlight w:val="white"/>
        </w:rPr>
        <w:t xml:space="preserve">To summarise, Accor’s comprehensive strategy which upholds sustainability, people and exceptional service is competent enough to create a high competitive advantage and Accor’s sustainability marketing efforts are also visible online and through their official website and newsletters Accor Live  Limitless programme where they are intensively communicating with potential customers regarding their sustainability efforts which is giving them a recognition and positive brand image in the market  Accor that is the reason the brand enjoys top positions in all the segments it operates. The brands committed towards sustainability have a growing demand in the market where customers are ready to pay premium amounts for great service, Sustainability and innovation are the key to success factors in the changed market condition after the pandemic for which Accor's strategy and their commendable efforts stands out among their competitors and enjoys profitability and brand sustainability in every market they operate around the globe. </w:t>
      </w:r>
    </w:p>
    <w:p w:rsidR="00CC5474" w:rsidRDefault="00CC5474" w:rsidP="00CC5474">
      <w:pPr>
        <w:spacing w:line="360" w:lineRule="auto"/>
        <w:jc w:val="both"/>
        <w:rPr>
          <w:color w:val="222222"/>
          <w:sz w:val="24"/>
          <w:szCs w:val="24"/>
          <w:highlight w:val="white"/>
        </w:rPr>
      </w:pPr>
    </w:p>
    <w:p w:rsidR="00CC5474" w:rsidRDefault="00CC5474" w:rsidP="00CC5474">
      <w:pPr>
        <w:spacing w:line="360" w:lineRule="auto"/>
        <w:jc w:val="center"/>
        <w:rPr>
          <w:color w:val="222222"/>
          <w:sz w:val="24"/>
          <w:szCs w:val="24"/>
          <w:highlight w:val="white"/>
        </w:rPr>
      </w:pPr>
    </w:p>
    <w:p w:rsidR="00CC5474" w:rsidRDefault="00CC5474" w:rsidP="00CC5474">
      <w:pPr>
        <w:spacing w:line="360" w:lineRule="auto"/>
        <w:jc w:val="both"/>
        <w:rPr>
          <w:color w:val="222222"/>
          <w:sz w:val="24"/>
          <w:szCs w:val="24"/>
          <w:highlight w:val="white"/>
        </w:rPr>
      </w:pPr>
    </w:p>
    <w:p w:rsidR="00CC5474" w:rsidRDefault="00CC5474" w:rsidP="00CC5474">
      <w:pPr>
        <w:pStyle w:val="Heading1"/>
        <w:keepNext w:val="0"/>
        <w:keepLines w:val="0"/>
        <w:spacing w:before="0" w:after="360" w:line="360" w:lineRule="auto"/>
        <w:jc w:val="both"/>
        <w:rPr>
          <w:b/>
          <w:color w:val="222222"/>
          <w:sz w:val="36"/>
          <w:szCs w:val="36"/>
          <w:highlight w:val="white"/>
        </w:rPr>
      </w:pPr>
      <w:bookmarkStart w:id="1" w:name="_3d7gut39gwr" w:colFirst="0" w:colLast="0"/>
      <w:bookmarkEnd w:id="1"/>
      <w:r>
        <w:rPr>
          <w:b/>
          <w:color w:val="222222"/>
          <w:sz w:val="36"/>
          <w:szCs w:val="36"/>
          <w:highlight w:val="white"/>
        </w:rPr>
        <w:lastRenderedPageBreak/>
        <w:t>Reference list</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Accor (2019). </w:t>
      </w:r>
      <w:r>
        <w:rPr>
          <w:i/>
          <w:color w:val="222222"/>
          <w:sz w:val="24"/>
          <w:szCs w:val="24"/>
          <w:highlight w:val="white"/>
        </w:rPr>
        <w:t>Accor - Commitment</w:t>
      </w:r>
      <w:r>
        <w:rPr>
          <w:color w:val="222222"/>
          <w:sz w:val="24"/>
          <w:szCs w:val="24"/>
          <w:highlight w:val="white"/>
        </w:rPr>
        <w:t xml:space="preserve">. [online] Accor.com. Available at: </w:t>
      </w:r>
      <w:hyperlink r:id="rId5">
        <w:r>
          <w:rPr>
            <w:color w:val="1155CC"/>
            <w:sz w:val="24"/>
            <w:szCs w:val="24"/>
            <w:highlight w:val="white"/>
            <w:u w:val="single"/>
          </w:rPr>
          <w:t>https://group.accor.com/en/commitmen</w:t>
        </w:r>
      </w:hyperlink>
      <w:r>
        <w:rPr>
          <w:color w:val="222222"/>
          <w:sz w:val="24"/>
          <w:szCs w:val="24"/>
          <w:highlight w:val="white"/>
        </w:rPr>
        <w:t xml:space="preserve">  [Accessed 29 May 2024].</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Accor (2024). </w:t>
      </w:r>
      <w:r>
        <w:rPr>
          <w:i/>
          <w:color w:val="222222"/>
          <w:sz w:val="24"/>
          <w:szCs w:val="24"/>
          <w:highlight w:val="white"/>
        </w:rPr>
        <w:t>Our commitment to Human Rights</w:t>
      </w:r>
      <w:r>
        <w:rPr>
          <w:color w:val="222222"/>
          <w:sz w:val="24"/>
          <w:szCs w:val="24"/>
          <w:highlight w:val="white"/>
        </w:rPr>
        <w:t>. [</w:t>
      </w:r>
      <w:proofErr w:type="gramStart"/>
      <w:r>
        <w:rPr>
          <w:color w:val="222222"/>
          <w:sz w:val="24"/>
          <w:szCs w:val="24"/>
          <w:highlight w:val="white"/>
        </w:rPr>
        <w:t>online</w:t>
      </w:r>
      <w:proofErr w:type="gramEnd"/>
      <w:r>
        <w:rPr>
          <w:color w:val="222222"/>
          <w:sz w:val="24"/>
          <w:szCs w:val="24"/>
          <w:highlight w:val="white"/>
        </w:rPr>
        <w:t xml:space="preserve">] https://group.accor.com/. Available at: </w:t>
      </w:r>
      <w:hyperlink r:id="rId6">
        <w:r>
          <w:rPr>
            <w:color w:val="1155CC"/>
            <w:sz w:val="24"/>
            <w:szCs w:val="24"/>
            <w:highlight w:val="white"/>
            <w:u w:val="single"/>
          </w:rPr>
          <w:t>https://group.accor.com/en/commitment/areas-focus/people</w:t>
        </w:r>
      </w:hyperlink>
      <w:r>
        <w:rPr>
          <w:color w:val="222222"/>
          <w:sz w:val="24"/>
          <w:szCs w:val="24"/>
          <w:highlight w:val="white"/>
        </w:rPr>
        <w:t xml:space="preserve">  [Accessed 29 May 2024].</w:t>
      </w:r>
    </w:p>
    <w:p w:rsidR="00CC5474" w:rsidRDefault="00CC5474" w:rsidP="00CC5474">
      <w:pPr>
        <w:numPr>
          <w:ilvl w:val="0"/>
          <w:numId w:val="1"/>
        </w:numPr>
        <w:spacing w:line="360" w:lineRule="auto"/>
        <w:jc w:val="both"/>
        <w:rPr>
          <w:color w:val="222222"/>
          <w:sz w:val="24"/>
          <w:szCs w:val="24"/>
          <w:highlight w:val="white"/>
        </w:rPr>
      </w:pPr>
      <w:proofErr w:type="spellStart"/>
      <w:r>
        <w:rPr>
          <w:color w:val="222222"/>
          <w:sz w:val="24"/>
          <w:szCs w:val="24"/>
          <w:highlight w:val="white"/>
        </w:rPr>
        <w:t>Alreahi</w:t>
      </w:r>
      <w:proofErr w:type="spellEnd"/>
      <w:r>
        <w:rPr>
          <w:color w:val="222222"/>
          <w:sz w:val="24"/>
          <w:szCs w:val="24"/>
          <w:highlight w:val="white"/>
        </w:rPr>
        <w:t xml:space="preserve">, M., </w:t>
      </w:r>
      <w:proofErr w:type="spellStart"/>
      <w:r>
        <w:rPr>
          <w:color w:val="222222"/>
          <w:sz w:val="24"/>
          <w:szCs w:val="24"/>
          <w:highlight w:val="white"/>
        </w:rPr>
        <w:t>Bujdosó</w:t>
      </w:r>
      <w:proofErr w:type="spellEnd"/>
      <w:r>
        <w:rPr>
          <w:color w:val="222222"/>
          <w:sz w:val="24"/>
          <w:szCs w:val="24"/>
          <w:highlight w:val="white"/>
        </w:rPr>
        <w:t xml:space="preserve">, Z., </w:t>
      </w:r>
      <w:proofErr w:type="spellStart"/>
      <w:r>
        <w:rPr>
          <w:color w:val="222222"/>
          <w:sz w:val="24"/>
          <w:szCs w:val="24"/>
          <w:highlight w:val="white"/>
        </w:rPr>
        <w:t>Kabil</w:t>
      </w:r>
      <w:proofErr w:type="spellEnd"/>
      <w:r>
        <w:rPr>
          <w:color w:val="222222"/>
          <w:sz w:val="24"/>
          <w:szCs w:val="24"/>
          <w:highlight w:val="white"/>
        </w:rPr>
        <w:t xml:space="preserve">, M., </w:t>
      </w:r>
      <w:proofErr w:type="spellStart"/>
      <w:r>
        <w:rPr>
          <w:color w:val="222222"/>
          <w:sz w:val="24"/>
          <w:szCs w:val="24"/>
          <w:highlight w:val="white"/>
        </w:rPr>
        <w:t>Akaak</w:t>
      </w:r>
      <w:proofErr w:type="spellEnd"/>
      <w:r>
        <w:rPr>
          <w:color w:val="222222"/>
          <w:sz w:val="24"/>
          <w:szCs w:val="24"/>
          <w:highlight w:val="white"/>
        </w:rPr>
        <w:t xml:space="preserve">, A., </w:t>
      </w:r>
      <w:proofErr w:type="spellStart"/>
      <w:r>
        <w:rPr>
          <w:color w:val="222222"/>
          <w:sz w:val="24"/>
          <w:szCs w:val="24"/>
          <w:highlight w:val="white"/>
        </w:rPr>
        <w:t>Benkó</w:t>
      </w:r>
      <w:proofErr w:type="spellEnd"/>
      <w:r>
        <w:rPr>
          <w:color w:val="222222"/>
          <w:sz w:val="24"/>
          <w:szCs w:val="24"/>
          <w:highlight w:val="white"/>
        </w:rPr>
        <w:t xml:space="preserve">, K.F., </w:t>
      </w:r>
      <w:proofErr w:type="spellStart"/>
      <w:r>
        <w:rPr>
          <w:color w:val="222222"/>
          <w:sz w:val="24"/>
          <w:szCs w:val="24"/>
          <w:highlight w:val="white"/>
        </w:rPr>
        <w:t>Setioningtyas</w:t>
      </w:r>
      <w:proofErr w:type="spellEnd"/>
      <w:r>
        <w:rPr>
          <w:color w:val="222222"/>
          <w:sz w:val="24"/>
          <w:szCs w:val="24"/>
          <w:highlight w:val="white"/>
        </w:rPr>
        <w:t xml:space="preserve">, W.P. and </w:t>
      </w:r>
      <w:proofErr w:type="spellStart"/>
      <w:r>
        <w:rPr>
          <w:color w:val="222222"/>
          <w:sz w:val="24"/>
          <w:szCs w:val="24"/>
          <w:highlight w:val="white"/>
        </w:rPr>
        <w:t>Dávid</w:t>
      </w:r>
      <w:proofErr w:type="spellEnd"/>
      <w:r>
        <w:rPr>
          <w:color w:val="222222"/>
          <w:sz w:val="24"/>
          <w:szCs w:val="24"/>
          <w:highlight w:val="white"/>
        </w:rPr>
        <w:t xml:space="preserve">, L.D. (2022). Green Human Resources Management in the Hotel Industry: A Systematic Review. </w:t>
      </w:r>
      <w:r>
        <w:rPr>
          <w:i/>
          <w:color w:val="222222"/>
          <w:sz w:val="24"/>
          <w:szCs w:val="24"/>
          <w:highlight w:val="white"/>
        </w:rPr>
        <w:t>Sustainability</w:t>
      </w:r>
      <w:r>
        <w:rPr>
          <w:color w:val="222222"/>
          <w:sz w:val="24"/>
          <w:szCs w:val="24"/>
          <w:highlight w:val="white"/>
        </w:rPr>
        <w:t xml:space="preserve">, [online] 15(1), p.99. </w:t>
      </w:r>
      <w:proofErr w:type="spellStart"/>
      <w:proofErr w:type="gramStart"/>
      <w:r>
        <w:rPr>
          <w:color w:val="222222"/>
          <w:sz w:val="24"/>
          <w:szCs w:val="24"/>
          <w:highlight w:val="white"/>
        </w:rPr>
        <w:t>doi</w:t>
      </w:r>
      <w:proofErr w:type="gramEnd"/>
      <w:r>
        <w:rPr>
          <w:color w:val="222222"/>
          <w:sz w:val="24"/>
          <w:szCs w:val="24"/>
          <w:highlight w:val="white"/>
        </w:rPr>
        <w:t>:</w:t>
      </w:r>
      <w:hyperlink r:id="rId7">
        <w:r>
          <w:rPr>
            <w:color w:val="1155CC"/>
            <w:sz w:val="24"/>
            <w:szCs w:val="24"/>
            <w:highlight w:val="white"/>
            <w:u w:val="single"/>
          </w:rPr>
          <w:t>https</w:t>
        </w:r>
        <w:proofErr w:type="spellEnd"/>
        <w:r>
          <w:rPr>
            <w:color w:val="1155CC"/>
            <w:sz w:val="24"/>
            <w:szCs w:val="24"/>
            <w:highlight w:val="white"/>
            <w:u w:val="single"/>
          </w:rPr>
          <w:t>://doi.org/10.3390/su15010099</w:t>
        </w:r>
      </w:hyperlink>
      <w:r>
        <w:rPr>
          <w:color w:val="222222"/>
          <w:sz w:val="24"/>
          <w:szCs w:val="24"/>
          <w:highlight w:val="white"/>
        </w:rPr>
        <w:t xml:space="preserve">. </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Barros, M.V., Salvador, R., Francisco do Prado, G., Carlos de Francisco, A. and </w:t>
      </w:r>
      <w:proofErr w:type="spellStart"/>
      <w:r>
        <w:rPr>
          <w:color w:val="222222"/>
          <w:sz w:val="24"/>
          <w:szCs w:val="24"/>
          <w:highlight w:val="white"/>
        </w:rPr>
        <w:t>Piekarski</w:t>
      </w:r>
      <w:proofErr w:type="spellEnd"/>
      <w:r>
        <w:rPr>
          <w:color w:val="222222"/>
          <w:sz w:val="24"/>
          <w:szCs w:val="24"/>
          <w:highlight w:val="white"/>
        </w:rPr>
        <w:t xml:space="preserve">, C.M. (2020). Circular economy as a driver to sustainable businesses. </w:t>
      </w:r>
      <w:r>
        <w:rPr>
          <w:i/>
          <w:color w:val="222222"/>
          <w:sz w:val="24"/>
          <w:szCs w:val="24"/>
          <w:highlight w:val="white"/>
        </w:rPr>
        <w:t>Cleaner Environmental Systems</w:t>
      </w:r>
      <w:r>
        <w:rPr>
          <w:color w:val="222222"/>
          <w:sz w:val="24"/>
          <w:szCs w:val="24"/>
          <w:highlight w:val="white"/>
        </w:rPr>
        <w:t xml:space="preserve">, [online] 2(2), p.100006. </w:t>
      </w:r>
      <w:proofErr w:type="spellStart"/>
      <w:proofErr w:type="gramStart"/>
      <w:r>
        <w:rPr>
          <w:color w:val="222222"/>
          <w:sz w:val="24"/>
          <w:szCs w:val="24"/>
          <w:highlight w:val="white"/>
        </w:rPr>
        <w:t>doi</w:t>
      </w:r>
      <w:proofErr w:type="gramEnd"/>
      <w:r>
        <w:rPr>
          <w:color w:val="222222"/>
          <w:sz w:val="24"/>
          <w:szCs w:val="24"/>
          <w:highlight w:val="white"/>
        </w:rPr>
        <w:t>:</w:t>
      </w:r>
      <w:hyperlink r:id="rId8">
        <w:r>
          <w:rPr>
            <w:color w:val="1155CC"/>
            <w:sz w:val="24"/>
            <w:szCs w:val="24"/>
            <w:highlight w:val="white"/>
            <w:u w:val="single"/>
          </w:rPr>
          <w:t>https</w:t>
        </w:r>
        <w:proofErr w:type="spellEnd"/>
        <w:r>
          <w:rPr>
            <w:color w:val="1155CC"/>
            <w:sz w:val="24"/>
            <w:szCs w:val="24"/>
            <w:highlight w:val="white"/>
            <w:u w:val="single"/>
          </w:rPr>
          <w:t>://doi.org/10.1016/j.cesys.2020.100006</w:t>
        </w:r>
      </w:hyperlink>
      <w:r>
        <w:rPr>
          <w:color w:val="222222"/>
          <w:sz w:val="24"/>
          <w:szCs w:val="24"/>
          <w:highlight w:val="white"/>
        </w:rPr>
        <w:t xml:space="preserve">. </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European Parliament (2023). </w:t>
      </w:r>
      <w:r>
        <w:rPr>
          <w:i/>
          <w:color w:val="222222"/>
          <w:sz w:val="24"/>
          <w:szCs w:val="24"/>
          <w:highlight w:val="white"/>
        </w:rPr>
        <w:t>Circular economy: definition, importance and benefits | Topics | European Parliament</w:t>
      </w:r>
      <w:r>
        <w:rPr>
          <w:color w:val="222222"/>
          <w:sz w:val="24"/>
          <w:szCs w:val="24"/>
          <w:highlight w:val="white"/>
        </w:rPr>
        <w:t>. [</w:t>
      </w:r>
      <w:proofErr w:type="gramStart"/>
      <w:r>
        <w:rPr>
          <w:color w:val="222222"/>
          <w:sz w:val="24"/>
          <w:szCs w:val="24"/>
          <w:highlight w:val="white"/>
        </w:rPr>
        <w:t>online</w:t>
      </w:r>
      <w:proofErr w:type="gramEnd"/>
      <w:r>
        <w:rPr>
          <w:color w:val="222222"/>
          <w:sz w:val="24"/>
          <w:szCs w:val="24"/>
          <w:highlight w:val="white"/>
        </w:rPr>
        <w:t xml:space="preserve">] www.europarl.europa.eu. Available at: </w:t>
      </w:r>
      <w:hyperlink r:id="rId9">
        <w:r>
          <w:rPr>
            <w:color w:val="1155CC"/>
            <w:sz w:val="24"/>
            <w:szCs w:val="24"/>
            <w:highlight w:val="white"/>
            <w:u w:val="single"/>
          </w:rPr>
          <w:t>https://www.europarl.europa.eu/topics/en/article/20151201STO05603/circular-economy-definition-importance-and-benefits</w:t>
        </w:r>
      </w:hyperlink>
      <w:r>
        <w:rPr>
          <w:color w:val="222222"/>
          <w:sz w:val="24"/>
          <w:szCs w:val="24"/>
          <w:highlight w:val="white"/>
        </w:rPr>
        <w:t xml:space="preserve">  [Accessed 29 May 2024].</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Fuller, D.A. (1999). </w:t>
      </w:r>
      <w:r>
        <w:rPr>
          <w:i/>
          <w:color w:val="222222"/>
          <w:sz w:val="24"/>
          <w:szCs w:val="24"/>
          <w:highlight w:val="white"/>
        </w:rPr>
        <w:t xml:space="preserve">Sustainable </w:t>
      </w:r>
      <w:proofErr w:type="gramStart"/>
      <w:r>
        <w:rPr>
          <w:i/>
          <w:color w:val="222222"/>
          <w:sz w:val="24"/>
          <w:szCs w:val="24"/>
          <w:highlight w:val="white"/>
        </w:rPr>
        <w:t>marketing :</w:t>
      </w:r>
      <w:proofErr w:type="gramEnd"/>
      <w:r>
        <w:rPr>
          <w:i/>
          <w:color w:val="222222"/>
          <w:sz w:val="24"/>
          <w:szCs w:val="24"/>
          <w:highlight w:val="white"/>
        </w:rPr>
        <w:t xml:space="preserve"> managerial-ecological issues</w:t>
      </w:r>
      <w:r>
        <w:rPr>
          <w:color w:val="222222"/>
          <w:sz w:val="24"/>
          <w:szCs w:val="24"/>
          <w:highlight w:val="white"/>
        </w:rPr>
        <w:t>. Thousand Oaks, Calif.: Sage Publications.</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Hilton (2024). </w:t>
      </w:r>
      <w:r>
        <w:rPr>
          <w:i/>
          <w:color w:val="222222"/>
          <w:sz w:val="24"/>
          <w:szCs w:val="24"/>
          <w:highlight w:val="white"/>
        </w:rPr>
        <w:t>https://esg.hilton.com/</w:t>
      </w:r>
      <w:r>
        <w:rPr>
          <w:color w:val="222222"/>
          <w:sz w:val="24"/>
          <w:szCs w:val="24"/>
          <w:highlight w:val="white"/>
        </w:rPr>
        <w:t xml:space="preserve">. [online] Hilton. Available at: </w:t>
      </w:r>
      <w:hyperlink r:id="rId10">
        <w:r>
          <w:rPr>
            <w:color w:val="1155CC"/>
            <w:sz w:val="24"/>
            <w:szCs w:val="24"/>
            <w:highlight w:val="white"/>
            <w:u w:val="single"/>
          </w:rPr>
          <w:t>https://esg.hilton.com/</w:t>
        </w:r>
      </w:hyperlink>
      <w:r>
        <w:rPr>
          <w:color w:val="222222"/>
          <w:sz w:val="24"/>
          <w:szCs w:val="24"/>
          <w:highlight w:val="white"/>
        </w:rPr>
        <w:t xml:space="preserve">  [Accessed 27 May 2024].</w:t>
      </w:r>
    </w:p>
    <w:p w:rsidR="00CC5474" w:rsidRDefault="00CC5474" w:rsidP="00CC5474">
      <w:pPr>
        <w:numPr>
          <w:ilvl w:val="0"/>
          <w:numId w:val="1"/>
        </w:numPr>
        <w:spacing w:line="360" w:lineRule="auto"/>
        <w:jc w:val="both"/>
        <w:rPr>
          <w:color w:val="222222"/>
          <w:sz w:val="24"/>
          <w:szCs w:val="24"/>
          <w:highlight w:val="white"/>
        </w:rPr>
      </w:pPr>
      <w:proofErr w:type="spellStart"/>
      <w:r>
        <w:rPr>
          <w:color w:val="222222"/>
          <w:sz w:val="24"/>
          <w:szCs w:val="24"/>
          <w:highlight w:val="white"/>
        </w:rPr>
        <w:t>Julião</w:t>
      </w:r>
      <w:proofErr w:type="spellEnd"/>
      <w:r>
        <w:rPr>
          <w:color w:val="222222"/>
          <w:sz w:val="24"/>
          <w:szCs w:val="24"/>
          <w:highlight w:val="white"/>
        </w:rPr>
        <w:t xml:space="preserve">, J., Gaspar, M., </w:t>
      </w:r>
      <w:proofErr w:type="spellStart"/>
      <w:r>
        <w:rPr>
          <w:color w:val="222222"/>
          <w:sz w:val="24"/>
          <w:szCs w:val="24"/>
          <w:highlight w:val="white"/>
        </w:rPr>
        <w:t>Tjahjono</w:t>
      </w:r>
      <w:proofErr w:type="spellEnd"/>
      <w:r>
        <w:rPr>
          <w:color w:val="222222"/>
          <w:sz w:val="24"/>
          <w:szCs w:val="24"/>
          <w:highlight w:val="white"/>
        </w:rPr>
        <w:t xml:space="preserve">, B. and Rocha, S. (2019). </w:t>
      </w:r>
      <w:r>
        <w:rPr>
          <w:i/>
          <w:color w:val="222222"/>
          <w:sz w:val="24"/>
          <w:szCs w:val="24"/>
          <w:highlight w:val="white"/>
        </w:rPr>
        <w:t>Exploring Circular Economy in the Hospitality Industry</w:t>
      </w:r>
      <w:r>
        <w:rPr>
          <w:color w:val="222222"/>
          <w:sz w:val="24"/>
          <w:szCs w:val="24"/>
          <w:highlight w:val="white"/>
        </w:rPr>
        <w:t>. [</w:t>
      </w:r>
      <w:proofErr w:type="gramStart"/>
      <w:r>
        <w:rPr>
          <w:color w:val="222222"/>
          <w:sz w:val="24"/>
          <w:szCs w:val="24"/>
          <w:highlight w:val="white"/>
        </w:rPr>
        <w:t>online</w:t>
      </w:r>
      <w:proofErr w:type="gramEnd"/>
      <w:r>
        <w:rPr>
          <w:color w:val="222222"/>
          <w:sz w:val="24"/>
          <w:szCs w:val="24"/>
          <w:highlight w:val="white"/>
        </w:rPr>
        <w:t xml:space="preserve">] </w:t>
      </w:r>
      <w:r>
        <w:rPr>
          <w:i/>
          <w:color w:val="222222"/>
          <w:sz w:val="24"/>
          <w:szCs w:val="24"/>
          <w:highlight w:val="white"/>
        </w:rPr>
        <w:t>www.researchgate.net</w:t>
      </w:r>
      <w:r>
        <w:rPr>
          <w:color w:val="222222"/>
          <w:sz w:val="24"/>
          <w:szCs w:val="24"/>
          <w:highlight w:val="white"/>
        </w:rPr>
        <w:t xml:space="preserve">, pp.953–960. </w:t>
      </w:r>
      <w:proofErr w:type="spellStart"/>
      <w:proofErr w:type="gramStart"/>
      <w:r>
        <w:rPr>
          <w:color w:val="222222"/>
          <w:sz w:val="24"/>
          <w:szCs w:val="24"/>
          <w:highlight w:val="white"/>
        </w:rPr>
        <w:t>doi</w:t>
      </w:r>
      <w:proofErr w:type="gramEnd"/>
      <w:r>
        <w:rPr>
          <w:color w:val="222222"/>
          <w:sz w:val="24"/>
          <w:szCs w:val="24"/>
          <w:highlight w:val="white"/>
        </w:rPr>
        <w:t>:</w:t>
      </w:r>
      <w:hyperlink r:id="rId11">
        <w:r>
          <w:rPr>
            <w:color w:val="1155CC"/>
            <w:sz w:val="24"/>
            <w:szCs w:val="24"/>
            <w:highlight w:val="white"/>
            <w:u w:val="single"/>
          </w:rPr>
          <w:t>https</w:t>
        </w:r>
        <w:proofErr w:type="spellEnd"/>
        <w:r>
          <w:rPr>
            <w:color w:val="1155CC"/>
            <w:sz w:val="24"/>
            <w:szCs w:val="24"/>
            <w:highlight w:val="white"/>
            <w:u w:val="single"/>
          </w:rPr>
          <w:t>://doi.org/10.1007/9783319913346_131</w:t>
        </w:r>
      </w:hyperlink>
      <w:r>
        <w:rPr>
          <w:color w:val="222222"/>
          <w:sz w:val="24"/>
          <w:szCs w:val="24"/>
          <w:highlight w:val="white"/>
        </w:rPr>
        <w:t xml:space="preserve">. </w:t>
      </w:r>
    </w:p>
    <w:p w:rsidR="00CC5474" w:rsidRDefault="00CC5474" w:rsidP="00CC5474">
      <w:pPr>
        <w:numPr>
          <w:ilvl w:val="0"/>
          <w:numId w:val="1"/>
        </w:numPr>
        <w:spacing w:line="360" w:lineRule="auto"/>
        <w:jc w:val="both"/>
        <w:rPr>
          <w:color w:val="222222"/>
          <w:sz w:val="24"/>
          <w:szCs w:val="24"/>
          <w:highlight w:val="white"/>
        </w:rPr>
      </w:pPr>
      <w:proofErr w:type="spellStart"/>
      <w:r>
        <w:rPr>
          <w:color w:val="222222"/>
          <w:sz w:val="24"/>
          <w:szCs w:val="24"/>
          <w:highlight w:val="white"/>
        </w:rPr>
        <w:t>Liverman</w:t>
      </w:r>
      <w:proofErr w:type="spellEnd"/>
      <w:r>
        <w:rPr>
          <w:color w:val="222222"/>
          <w:sz w:val="24"/>
          <w:szCs w:val="24"/>
          <w:highlight w:val="white"/>
        </w:rPr>
        <w:t xml:space="preserve">, D., Hanson, M., Brown, B. and </w:t>
      </w:r>
      <w:proofErr w:type="spellStart"/>
      <w:r>
        <w:rPr>
          <w:color w:val="222222"/>
          <w:sz w:val="24"/>
          <w:szCs w:val="24"/>
          <w:highlight w:val="white"/>
        </w:rPr>
        <w:t>Merideth</w:t>
      </w:r>
      <w:proofErr w:type="spellEnd"/>
      <w:r>
        <w:rPr>
          <w:color w:val="222222"/>
          <w:sz w:val="24"/>
          <w:szCs w:val="24"/>
          <w:highlight w:val="white"/>
        </w:rPr>
        <w:t xml:space="preserve">, R. (1988). Global Sustainability: Toward Measurement. </w:t>
      </w:r>
      <w:r>
        <w:rPr>
          <w:i/>
          <w:color w:val="222222"/>
          <w:sz w:val="24"/>
          <w:szCs w:val="24"/>
          <w:highlight w:val="white"/>
        </w:rPr>
        <w:t xml:space="preserve">Environmental </w:t>
      </w:r>
      <w:proofErr w:type="gramStart"/>
      <w:r>
        <w:rPr>
          <w:i/>
          <w:color w:val="222222"/>
          <w:sz w:val="24"/>
          <w:szCs w:val="24"/>
          <w:highlight w:val="white"/>
        </w:rPr>
        <w:t xml:space="preserve">Management </w:t>
      </w:r>
      <w:r>
        <w:rPr>
          <w:color w:val="222222"/>
          <w:sz w:val="24"/>
          <w:szCs w:val="24"/>
          <w:highlight w:val="white"/>
        </w:rPr>
        <w:t>,</w:t>
      </w:r>
      <w:proofErr w:type="gramEnd"/>
      <w:r>
        <w:rPr>
          <w:color w:val="222222"/>
          <w:sz w:val="24"/>
          <w:szCs w:val="24"/>
          <w:highlight w:val="white"/>
        </w:rPr>
        <w:t xml:space="preserve"> [online] 12, pp.133–143. </w:t>
      </w:r>
      <w:proofErr w:type="spellStart"/>
      <w:proofErr w:type="gramStart"/>
      <w:r>
        <w:rPr>
          <w:color w:val="222222"/>
          <w:sz w:val="24"/>
          <w:szCs w:val="24"/>
          <w:highlight w:val="white"/>
        </w:rPr>
        <w:t>doi</w:t>
      </w:r>
      <w:proofErr w:type="gramEnd"/>
      <w:r>
        <w:rPr>
          <w:color w:val="222222"/>
          <w:sz w:val="24"/>
          <w:szCs w:val="24"/>
          <w:highlight w:val="white"/>
        </w:rPr>
        <w:t>:</w:t>
      </w:r>
      <w:hyperlink r:id="rId12">
        <w:r>
          <w:rPr>
            <w:color w:val="1155CC"/>
            <w:sz w:val="24"/>
            <w:szCs w:val="24"/>
            <w:highlight w:val="white"/>
            <w:u w:val="single"/>
          </w:rPr>
          <w:t>https</w:t>
        </w:r>
        <w:proofErr w:type="spellEnd"/>
        <w:r>
          <w:rPr>
            <w:color w:val="1155CC"/>
            <w:sz w:val="24"/>
            <w:szCs w:val="24"/>
            <w:highlight w:val="white"/>
            <w:u w:val="single"/>
          </w:rPr>
          <w:t>://doi.org/10.1007/BF01873382</w:t>
        </w:r>
      </w:hyperlink>
      <w:r>
        <w:rPr>
          <w:color w:val="222222"/>
          <w:sz w:val="24"/>
          <w:szCs w:val="24"/>
          <w:highlight w:val="white"/>
        </w:rPr>
        <w:t xml:space="preserve">. </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Marriot International (2019). </w:t>
      </w:r>
      <w:r>
        <w:rPr>
          <w:i/>
          <w:color w:val="222222"/>
          <w:sz w:val="24"/>
          <w:szCs w:val="24"/>
          <w:highlight w:val="white"/>
        </w:rPr>
        <w:t>Serve 36 goals 2025</w:t>
      </w:r>
      <w:r>
        <w:rPr>
          <w:color w:val="222222"/>
          <w:sz w:val="24"/>
          <w:szCs w:val="24"/>
          <w:highlight w:val="white"/>
        </w:rPr>
        <w:t xml:space="preserve">. [online] </w:t>
      </w:r>
      <w:r>
        <w:rPr>
          <w:i/>
          <w:color w:val="222222"/>
          <w:sz w:val="24"/>
          <w:szCs w:val="24"/>
          <w:highlight w:val="white"/>
        </w:rPr>
        <w:t xml:space="preserve">Marriot </w:t>
      </w:r>
      <w:proofErr w:type="gramStart"/>
      <w:r>
        <w:rPr>
          <w:i/>
          <w:color w:val="222222"/>
          <w:sz w:val="24"/>
          <w:szCs w:val="24"/>
          <w:highlight w:val="white"/>
        </w:rPr>
        <w:t xml:space="preserve">International </w:t>
      </w:r>
      <w:r>
        <w:rPr>
          <w:color w:val="222222"/>
          <w:sz w:val="24"/>
          <w:szCs w:val="24"/>
          <w:highlight w:val="white"/>
        </w:rPr>
        <w:t>.</w:t>
      </w:r>
      <w:proofErr w:type="gramEnd"/>
      <w:r>
        <w:rPr>
          <w:color w:val="222222"/>
          <w:sz w:val="24"/>
          <w:szCs w:val="24"/>
          <w:highlight w:val="white"/>
        </w:rPr>
        <w:t xml:space="preserve"> Marriot </w:t>
      </w:r>
      <w:proofErr w:type="gramStart"/>
      <w:r>
        <w:rPr>
          <w:color w:val="222222"/>
          <w:sz w:val="24"/>
          <w:szCs w:val="24"/>
          <w:highlight w:val="white"/>
        </w:rPr>
        <w:t>International .</w:t>
      </w:r>
      <w:proofErr w:type="gramEnd"/>
      <w:r>
        <w:rPr>
          <w:color w:val="222222"/>
          <w:sz w:val="24"/>
          <w:szCs w:val="24"/>
          <w:highlight w:val="white"/>
        </w:rPr>
        <w:t xml:space="preserve"> Available at: </w:t>
      </w:r>
      <w:hyperlink r:id="rId13">
        <w:r>
          <w:rPr>
            <w:color w:val="1155CC"/>
            <w:sz w:val="24"/>
            <w:szCs w:val="24"/>
            <w:highlight w:val="white"/>
            <w:u w:val="single"/>
          </w:rPr>
          <w:t>https://serve360.marriott.com/wp-</w:t>
        </w:r>
        <w:r>
          <w:rPr>
            <w:color w:val="1155CC"/>
            <w:sz w:val="24"/>
            <w:szCs w:val="24"/>
            <w:highlight w:val="white"/>
            <w:u w:val="single"/>
          </w:rPr>
          <w:lastRenderedPageBreak/>
          <w:t>content/uploads/2019/10/Serve-360-goals-page-tabloid_2-updated-20180916-English.pdf</w:t>
        </w:r>
      </w:hyperlink>
      <w:r>
        <w:rPr>
          <w:color w:val="222222"/>
          <w:sz w:val="24"/>
          <w:szCs w:val="24"/>
          <w:highlight w:val="white"/>
        </w:rPr>
        <w:t xml:space="preserve">. </w:t>
      </w:r>
    </w:p>
    <w:p w:rsidR="00CC5474" w:rsidRDefault="00CC5474" w:rsidP="00CC5474">
      <w:pPr>
        <w:numPr>
          <w:ilvl w:val="0"/>
          <w:numId w:val="1"/>
        </w:numPr>
        <w:spacing w:line="360" w:lineRule="auto"/>
        <w:jc w:val="both"/>
        <w:rPr>
          <w:color w:val="222222"/>
          <w:sz w:val="24"/>
          <w:szCs w:val="24"/>
          <w:highlight w:val="white"/>
        </w:rPr>
      </w:pPr>
      <w:proofErr w:type="spellStart"/>
      <w:r>
        <w:rPr>
          <w:color w:val="222222"/>
          <w:sz w:val="24"/>
          <w:szCs w:val="24"/>
          <w:highlight w:val="white"/>
        </w:rPr>
        <w:t>Rahdari</w:t>
      </w:r>
      <w:proofErr w:type="spellEnd"/>
      <w:r>
        <w:rPr>
          <w:color w:val="222222"/>
          <w:sz w:val="24"/>
          <w:szCs w:val="24"/>
          <w:highlight w:val="white"/>
        </w:rPr>
        <w:t xml:space="preserve">, A.H. and </w:t>
      </w:r>
      <w:proofErr w:type="spellStart"/>
      <w:r>
        <w:rPr>
          <w:color w:val="222222"/>
          <w:sz w:val="24"/>
          <w:szCs w:val="24"/>
          <w:highlight w:val="white"/>
        </w:rPr>
        <w:t>Anvary</w:t>
      </w:r>
      <w:proofErr w:type="spellEnd"/>
      <w:r>
        <w:rPr>
          <w:color w:val="222222"/>
          <w:sz w:val="24"/>
          <w:szCs w:val="24"/>
          <w:highlight w:val="white"/>
        </w:rPr>
        <w:t xml:space="preserve"> </w:t>
      </w:r>
      <w:proofErr w:type="spellStart"/>
      <w:r>
        <w:rPr>
          <w:color w:val="222222"/>
          <w:sz w:val="24"/>
          <w:szCs w:val="24"/>
          <w:highlight w:val="white"/>
        </w:rPr>
        <w:t>Rostamy</w:t>
      </w:r>
      <w:proofErr w:type="spellEnd"/>
      <w:r>
        <w:rPr>
          <w:color w:val="222222"/>
          <w:sz w:val="24"/>
          <w:szCs w:val="24"/>
          <w:highlight w:val="white"/>
        </w:rPr>
        <w:t xml:space="preserve">, A.A. (2015). Designing a general set of sustainability indicators at the corporate level. </w:t>
      </w:r>
      <w:r>
        <w:rPr>
          <w:i/>
          <w:color w:val="222222"/>
          <w:sz w:val="24"/>
          <w:szCs w:val="24"/>
          <w:highlight w:val="white"/>
        </w:rPr>
        <w:t>Journal of Cleaner Production</w:t>
      </w:r>
      <w:r>
        <w:rPr>
          <w:color w:val="222222"/>
          <w:sz w:val="24"/>
          <w:szCs w:val="24"/>
          <w:highlight w:val="white"/>
        </w:rPr>
        <w:t xml:space="preserve">, 108, pp.757–771. </w:t>
      </w:r>
      <w:proofErr w:type="spellStart"/>
      <w:proofErr w:type="gramStart"/>
      <w:r>
        <w:rPr>
          <w:color w:val="222222"/>
          <w:sz w:val="24"/>
          <w:szCs w:val="24"/>
          <w:highlight w:val="white"/>
        </w:rPr>
        <w:t>doi</w:t>
      </w:r>
      <w:proofErr w:type="gramEnd"/>
      <w:r>
        <w:rPr>
          <w:color w:val="222222"/>
          <w:sz w:val="24"/>
          <w:szCs w:val="24"/>
          <w:highlight w:val="white"/>
        </w:rPr>
        <w:t>:</w:t>
      </w:r>
      <w:hyperlink r:id="rId14">
        <w:r>
          <w:rPr>
            <w:color w:val="1155CC"/>
            <w:sz w:val="24"/>
            <w:szCs w:val="24"/>
            <w:highlight w:val="white"/>
            <w:u w:val="single"/>
          </w:rPr>
          <w:t>https</w:t>
        </w:r>
        <w:proofErr w:type="spellEnd"/>
        <w:r>
          <w:rPr>
            <w:color w:val="1155CC"/>
            <w:sz w:val="24"/>
            <w:szCs w:val="24"/>
            <w:highlight w:val="white"/>
            <w:u w:val="single"/>
          </w:rPr>
          <w:t>://doi.org/10.1016/j.jclepro.2015.05.108</w:t>
        </w:r>
      </w:hyperlink>
      <w:r>
        <w:rPr>
          <w:color w:val="222222"/>
          <w:sz w:val="24"/>
          <w:szCs w:val="24"/>
          <w:highlight w:val="white"/>
        </w:rPr>
        <w:t xml:space="preserve">. </w:t>
      </w:r>
    </w:p>
    <w:p w:rsidR="00CC5474" w:rsidRDefault="00CC5474" w:rsidP="00CC5474">
      <w:pPr>
        <w:numPr>
          <w:ilvl w:val="0"/>
          <w:numId w:val="1"/>
        </w:numPr>
        <w:spacing w:line="360" w:lineRule="auto"/>
        <w:jc w:val="both"/>
        <w:rPr>
          <w:color w:val="222222"/>
          <w:sz w:val="24"/>
          <w:szCs w:val="24"/>
          <w:highlight w:val="white"/>
        </w:rPr>
      </w:pPr>
      <w:r>
        <w:rPr>
          <w:color w:val="222222"/>
          <w:sz w:val="24"/>
          <w:szCs w:val="24"/>
          <w:highlight w:val="white"/>
        </w:rPr>
        <w:t xml:space="preserve">Rishi Raj Sharma (2021). </w:t>
      </w:r>
      <w:r>
        <w:rPr>
          <w:i/>
          <w:color w:val="222222"/>
          <w:sz w:val="24"/>
          <w:szCs w:val="24"/>
          <w:highlight w:val="white"/>
        </w:rPr>
        <w:t xml:space="preserve">SUSTAINABILITY </w:t>
      </w:r>
      <w:proofErr w:type="gramStart"/>
      <w:r>
        <w:rPr>
          <w:i/>
          <w:color w:val="222222"/>
          <w:sz w:val="24"/>
          <w:szCs w:val="24"/>
          <w:highlight w:val="white"/>
        </w:rPr>
        <w:t>MARKETING :</w:t>
      </w:r>
      <w:proofErr w:type="gramEnd"/>
      <w:r>
        <w:rPr>
          <w:i/>
          <w:color w:val="222222"/>
          <w:sz w:val="24"/>
          <w:szCs w:val="24"/>
          <w:highlight w:val="white"/>
        </w:rPr>
        <w:t xml:space="preserve"> new directions and practices.</w:t>
      </w:r>
      <w:r>
        <w:rPr>
          <w:color w:val="222222"/>
          <w:sz w:val="24"/>
          <w:szCs w:val="24"/>
          <w:highlight w:val="white"/>
        </w:rPr>
        <w:t xml:space="preserve"> S.L.: Emerald Group Publ.</w:t>
      </w:r>
    </w:p>
    <w:p w:rsidR="00B52F8E" w:rsidRDefault="00B52F8E"/>
    <w:sectPr w:rsidR="00B52F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06125"/>
    <w:multiLevelType w:val="multilevel"/>
    <w:tmpl w:val="3B26AF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74"/>
    <w:rsid w:val="00646E46"/>
    <w:rsid w:val="00B52F8E"/>
    <w:rsid w:val="00CC5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8AC66"/>
  <w15:chartTrackingRefBased/>
  <w15:docId w15:val="{1B07C2E3-7334-42B4-91A8-0E83C1268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C5474"/>
    <w:pPr>
      <w:spacing w:after="0" w:line="276" w:lineRule="auto"/>
    </w:pPr>
    <w:rPr>
      <w:rFonts w:ascii="Arial" w:eastAsia="Arial" w:hAnsi="Arial" w:cs="Arial"/>
      <w:lang w:eastAsia="en-GB"/>
    </w:rPr>
  </w:style>
  <w:style w:type="paragraph" w:styleId="Heading1">
    <w:name w:val="heading 1"/>
    <w:basedOn w:val="Normal"/>
    <w:next w:val="Normal"/>
    <w:link w:val="Heading1Char"/>
    <w:rsid w:val="00CC5474"/>
    <w:pPr>
      <w:keepNext/>
      <w:keepLines/>
      <w:spacing w:before="400" w:after="120"/>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5474"/>
    <w:rPr>
      <w:rFonts w:ascii="Arial" w:eastAsia="Arial" w:hAnsi="Arial" w:cs="Arial"/>
      <w:sz w:val="40"/>
      <w:szCs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esys.2020.100006" TargetMode="External"/><Relationship Id="rId13" Type="http://schemas.openxmlformats.org/officeDocument/2006/relationships/hyperlink" Target="https://serve360.marriott.com/wp-content/uploads/2019/10/Serve-360-goals-page-tabloid_2-updated-20180916-English.pdf" TargetMode="External"/><Relationship Id="rId3" Type="http://schemas.openxmlformats.org/officeDocument/2006/relationships/settings" Target="settings.xml"/><Relationship Id="rId7" Type="http://schemas.openxmlformats.org/officeDocument/2006/relationships/hyperlink" Target="https://doi.org/10.3390/su15010099" TargetMode="External"/><Relationship Id="rId12" Type="http://schemas.openxmlformats.org/officeDocument/2006/relationships/hyperlink" Target="https://doi.org/10.1007/BF0187338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roup.accor.com/en/commitment/areas-focus/people" TargetMode="External"/><Relationship Id="rId11" Type="http://schemas.openxmlformats.org/officeDocument/2006/relationships/hyperlink" Target="https://doi.org/10.1007/9783319913346_131" TargetMode="External"/><Relationship Id="rId5" Type="http://schemas.openxmlformats.org/officeDocument/2006/relationships/hyperlink" Target="https://group.accor.com/en/commitmen" TargetMode="External"/><Relationship Id="rId15" Type="http://schemas.openxmlformats.org/officeDocument/2006/relationships/fontTable" Target="fontTable.xml"/><Relationship Id="rId10" Type="http://schemas.openxmlformats.org/officeDocument/2006/relationships/hyperlink" Target="https://esg.hilton.com/" TargetMode="External"/><Relationship Id="rId4" Type="http://schemas.openxmlformats.org/officeDocument/2006/relationships/webSettings" Target="webSettings.xml"/><Relationship Id="rId9" Type="http://schemas.openxmlformats.org/officeDocument/2006/relationships/hyperlink" Target="https://www.europarl.europa.eu/topics/en/article/20151201STO05603/circular-economy-definition-importance-and-benefits" TargetMode="External"/><Relationship Id="rId14" Type="http://schemas.openxmlformats.org/officeDocument/2006/relationships/hyperlink" Target="https://doi.org/10.1016/j.jclepro.2015.05.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2384</Words>
  <Characters>13590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Dabuleni</dc:creator>
  <cp:keywords/>
  <dc:description/>
  <cp:lastModifiedBy>Dabuleni</cp:lastModifiedBy>
  <cp:revision>1</cp:revision>
  <dcterms:created xsi:type="dcterms:W3CDTF">2024-05-31T15:45:00Z</dcterms:created>
  <dcterms:modified xsi:type="dcterms:W3CDTF">2024-05-31T16:07:00Z</dcterms:modified>
</cp:coreProperties>
</file>