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1.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AD7EE77" w14:textId="5F81021E" w:rsidR="0084687A" w:rsidRDefault="002A0C5B">
      <w:r w:rsidRPr="00A406E5">
        <w:rPr>
          <w:rFonts w:ascii="Arial" w:hAnsi="Arial" w:cs="Arial"/>
          <w:noProof/>
        </w:rPr>
        <w:drawing>
          <wp:anchor distT="0" distB="0" distL="114300" distR="114300" simplePos="0" relativeHeight="251661312" behindDoc="0" locked="0" layoutInCell="1" allowOverlap="1" wp14:anchorId="733B191B" wp14:editId="53D4DA3D">
            <wp:simplePos x="0" y="0"/>
            <wp:positionH relativeFrom="column">
              <wp:posOffset>-644577</wp:posOffset>
            </wp:positionH>
            <wp:positionV relativeFrom="paragraph">
              <wp:posOffset>-674859</wp:posOffset>
            </wp:positionV>
            <wp:extent cx="1809750" cy="723900"/>
            <wp:effectExtent l="0" t="0" r="635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13F558C" w14:textId="77777777" w:rsidR="009A34F6" w:rsidRDefault="009A34F6"/>
    <w:p w14:paraId="690CCA30" w14:textId="77777777" w:rsidR="002A0C5B" w:rsidRPr="00D37986" w:rsidRDefault="002A0C5B" w:rsidP="002A0C5B">
      <w:pPr>
        <w:pStyle w:val="Heading4"/>
        <w:jc w:val="center"/>
        <w:rPr>
          <w:rFonts w:ascii="Arial" w:hAnsi="Arial" w:cs="Arial"/>
          <w:b/>
          <w:i w:val="0"/>
          <w:iCs w:val="0"/>
          <w:color w:val="000000" w:themeColor="text1"/>
          <w:sz w:val="32"/>
          <w:szCs w:val="32"/>
        </w:rPr>
      </w:pPr>
      <w:r w:rsidRPr="00D37986">
        <w:rPr>
          <w:rFonts w:ascii="Arial" w:hAnsi="Arial" w:cs="Arial"/>
          <w:b/>
          <w:i w:val="0"/>
          <w:iCs w:val="0"/>
          <w:color w:val="000000" w:themeColor="text1"/>
          <w:sz w:val="32"/>
          <w:szCs w:val="32"/>
        </w:rPr>
        <w:t>LEVEL 7 ASSESSMENT SPECIFICATION</w:t>
      </w:r>
    </w:p>
    <w:p w14:paraId="2AB584F5" w14:textId="77777777" w:rsidR="002A0C5B" w:rsidRDefault="002A0C5B" w:rsidP="002A0C5B"/>
    <w:p w14:paraId="10BA659A" w14:textId="77777777" w:rsidR="002A0C5B" w:rsidRPr="00A406E5" w:rsidRDefault="002A0C5B" w:rsidP="002A0C5B">
      <w:pPr>
        <w:jc w:val="center"/>
        <w:rPr>
          <w:rFonts w:ascii="Arial" w:hAnsi="Arial" w:cs="Arial"/>
          <w:b/>
          <w:i/>
          <w:sz w:val="32"/>
        </w:rPr>
      </w:pPr>
    </w:p>
    <w:tbl>
      <w:tblPr>
        <w:tblW w:w="9941" w:type="dxa"/>
        <w:tblInd w:w="-4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7"/>
        <w:gridCol w:w="3299"/>
        <w:gridCol w:w="2272"/>
        <w:gridCol w:w="2273"/>
      </w:tblGrid>
      <w:tr w:rsidR="002A0C5B" w:rsidRPr="00A406E5" w14:paraId="07D494FE" w14:textId="77777777" w:rsidTr="002A0C5B">
        <w:trPr>
          <w:trHeight w:val="891"/>
        </w:trPr>
        <w:tc>
          <w:tcPr>
            <w:tcW w:w="2097" w:type="dxa"/>
            <w:shd w:val="pct15" w:color="auto" w:fill="auto"/>
          </w:tcPr>
          <w:p w14:paraId="59D87A11" w14:textId="77777777" w:rsidR="002A0C5B" w:rsidRPr="00D37986" w:rsidRDefault="002A0C5B" w:rsidP="009E33B6">
            <w:pPr>
              <w:spacing w:before="120" w:after="120"/>
              <w:jc w:val="both"/>
              <w:rPr>
                <w:rFonts w:ascii="Arial" w:hAnsi="Arial" w:cs="Arial"/>
                <w:b/>
              </w:rPr>
            </w:pPr>
            <w:r w:rsidRPr="00D37986">
              <w:rPr>
                <w:rFonts w:ascii="Arial" w:hAnsi="Arial" w:cs="Arial"/>
                <w:b/>
              </w:rPr>
              <w:t>Student name:</w:t>
            </w:r>
          </w:p>
        </w:tc>
        <w:tc>
          <w:tcPr>
            <w:tcW w:w="3299" w:type="dxa"/>
          </w:tcPr>
          <w:p w14:paraId="60CFD60F" w14:textId="77777777" w:rsidR="002A0C5B" w:rsidRPr="00D37986" w:rsidRDefault="002A0C5B" w:rsidP="009E33B6">
            <w:pPr>
              <w:spacing w:before="120" w:after="120"/>
              <w:jc w:val="both"/>
              <w:rPr>
                <w:rFonts w:ascii="Arial" w:hAnsi="Arial" w:cs="Arial"/>
                <w:b/>
              </w:rPr>
            </w:pPr>
            <w:r w:rsidRPr="00D37986">
              <w:rPr>
                <w:rFonts w:ascii="Arial" w:hAnsi="Arial" w:cs="Arial"/>
                <w:b/>
              </w:rPr>
              <w:t>Sarah Haggett</w:t>
            </w:r>
          </w:p>
        </w:tc>
        <w:tc>
          <w:tcPr>
            <w:tcW w:w="2272" w:type="dxa"/>
            <w:shd w:val="clear" w:color="auto" w:fill="D9D9D9"/>
          </w:tcPr>
          <w:p w14:paraId="2053EF44" w14:textId="77777777" w:rsidR="002A0C5B" w:rsidRPr="00D37986" w:rsidRDefault="002A0C5B" w:rsidP="009E33B6">
            <w:pPr>
              <w:spacing w:before="120" w:after="120"/>
              <w:jc w:val="both"/>
              <w:rPr>
                <w:rFonts w:ascii="Arial" w:hAnsi="Arial" w:cs="Arial"/>
                <w:b/>
              </w:rPr>
            </w:pPr>
            <w:r w:rsidRPr="00D37986">
              <w:rPr>
                <w:rFonts w:ascii="Arial" w:hAnsi="Arial" w:cs="Arial"/>
                <w:b/>
              </w:rPr>
              <w:t>Student ID number:</w:t>
            </w:r>
          </w:p>
        </w:tc>
        <w:tc>
          <w:tcPr>
            <w:tcW w:w="2273" w:type="dxa"/>
          </w:tcPr>
          <w:p w14:paraId="4F0EDA2B" w14:textId="77777777" w:rsidR="002A0C5B" w:rsidRPr="00D37986" w:rsidRDefault="002A0C5B" w:rsidP="009E33B6">
            <w:pPr>
              <w:spacing w:before="120" w:after="120"/>
              <w:jc w:val="both"/>
              <w:rPr>
                <w:rFonts w:ascii="Arial" w:hAnsi="Arial" w:cs="Arial"/>
                <w:b/>
              </w:rPr>
            </w:pPr>
            <w:r w:rsidRPr="00D37986">
              <w:rPr>
                <w:rFonts w:ascii="Arial" w:hAnsi="Arial" w:cs="Arial"/>
                <w:b/>
              </w:rPr>
              <w:t>1713295</w:t>
            </w:r>
          </w:p>
        </w:tc>
      </w:tr>
      <w:tr w:rsidR="002A0C5B" w:rsidRPr="00A406E5" w14:paraId="7B343E92" w14:textId="77777777" w:rsidTr="002A0C5B">
        <w:trPr>
          <w:trHeight w:val="891"/>
        </w:trPr>
        <w:tc>
          <w:tcPr>
            <w:tcW w:w="2097" w:type="dxa"/>
            <w:shd w:val="pct15" w:color="auto" w:fill="auto"/>
          </w:tcPr>
          <w:p w14:paraId="016480EF" w14:textId="77777777" w:rsidR="002A0C5B" w:rsidRPr="00D37986" w:rsidRDefault="002A0C5B" w:rsidP="009E33B6">
            <w:pPr>
              <w:spacing w:before="120" w:after="120"/>
              <w:jc w:val="both"/>
              <w:rPr>
                <w:rFonts w:ascii="Arial" w:hAnsi="Arial" w:cs="Arial"/>
                <w:b/>
              </w:rPr>
            </w:pPr>
            <w:r w:rsidRPr="00D37986">
              <w:rPr>
                <w:rFonts w:ascii="Arial" w:hAnsi="Arial" w:cs="Arial"/>
                <w:b/>
              </w:rPr>
              <w:t>Programme:</w:t>
            </w:r>
          </w:p>
        </w:tc>
        <w:tc>
          <w:tcPr>
            <w:tcW w:w="7844" w:type="dxa"/>
            <w:gridSpan w:val="3"/>
          </w:tcPr>
          <w:p w14:paraId="07B30E32" w14:textId="77777777" w:rsidR="002A0C5B" w:rsidRPr="00D37986" w:rsidRDefault="002A0C5B" w:rsidP="009E33B6">
            <w:pPr>
              <w:spacing w:before="120" w:after="120"/>
              <w:jc w:val="both"/>
              <w:rPr>
                <w:rFonts w:ascii="Arial" w:hAnsi="Arial" w:cs="Arial"/>
                <w:b/>
              </w:rPr>
            </w:pPr>
            <w:r w:rsidRPr="00D37986">
              <w:rPr>
                <w:rFonts w:ascii="Arial" w:hAnsi="Arial" w:cs="Arial"/>
                <w:b/>
              </w:rPr>
              <w:t>DProf</w:t>
            </w:r>
          </w:p>
        </w:tc>
      </w:tr>
      <w:tr w:rsidR="002A0C5B" w:rsidRPr="00A406E5" w14:paraId="627BE78C" w14:textId="77777777" w:rsidTr="002A0C5B">
        <w:trPr>
          <w:trHeight w:val="891"/>
        </w:trPr>
        <w:tc>
          <w:tcPr>
            <w:tcW w:w="2097" w:type="dxa"/>
            <w:shd w:val="pct15" w:color="auto" w:fill="auto"/>
          </w:tcPr>
          <w:p w14:paraId="1E516B67" w14:textId="77777777" w:rsidR="002A0C5B" w:rsidRPr="00D37986" w:rsidRDefault="002A0C5B" w:rsidP="009E33B6">
            <w:pPr>
              <w:spacing w:before="120" w:after="120"/>
              <w:jc w:val="both"/>
              <w:rPr>
                <w:rFonts w:ascii="Arial" w:hAnsi="Arial" w:cs="Arial"/>
                <w:b/>
              </w:rPr>
            </w:pPr>
            <w:r w:rsidRPr="00D37986">
              <w:rPr>
                <w:rFonts w:ascii="Arial" w:hAnsi="Arial" w:cs="Arial"/>
                <w:b/>
              </w:rPr>
              <w:t>Module:</w:t>
            </w:r>
          </w:p>
        </w:tc>
        <w:tc>
          <w:tcPr>
            <w:tcW w:w="7844" w:type="dxa"/>
            <w:gridSpan w:val="3"/>
          </w:tcPr>
          <w:p w14:paraId="34920FFB" w14:textId="77777777" w:rsidR="002A0C5B" w:rsidRPr="00D37986" w:rsidRDefault="002A0C5B" w:rsidP="009E33B6">
            <w:pPr>
              <w:spacing w:before="120" w:after="120"/>
              <w:jc w:val="both"/>
              <w:rPr>
                <w:rFonts w:ascii="Arial" w:hAnsi="Arial" w:cs="Arial"/>
                <w:b/>
              </w:rPr>
            </w:pPr>
            <w:r>
              <w:rPr>
                <w:rFonts w:ascii="Arial" w:hAnsi="Arial" w:cs="Arial"/>
                <w:b/>
                <w:color w:val="000000"/>
              </w:rPr>
              <w:t>Quantitative Research Methods</w:t>
            </w:r>
          </w:p>
        </w:tc>
      </w:tr>
      <w:tr w:rsidR="002A0C5B" w:rsidRPr="00A406E5" w14:paraId="4AD564A5" w14:textId="77777777" w:rsidTr="002A0C5B">
        <w:trPr>
          <w:trHeight w:val="1857"/>
        </w:trPr>
        <w:tc>
          <w:tcPr>
            <w:tcW w:w="2097" w:type="dxa"/>
            <w:shd w:val="pct15" w:color="auto" w:fill="auto"/>
          </w:tcPr>
          <w:p w14:paraId="466EDE1F" w14:textId="77777777" w:rsidR="002A0C5B" w:rsidRPr="00D37986" w:rsidRDefault="002A0C5B" w:rsidP="009E33B6">
            <w:pPr>
              <w:spacing w:before="120" w:after="120"/>
              <w:jc w:val="both"/>
              <w:rPr>
                <w:rFonts w:ascii="Arial" w:hAnsi="Arial" w:cs="Arial"/>
                <w:b/>
              </w:rPr>
            </w:pPr>
            <w:r w:rsidRPr="00D37986">
              <w:rPr>
                <w:rFonts w:ascii="Arial" w:hAnsi="Arial" w:cs="Arial"/>
                <w:b/>
              </w:rPr>
              <w:t>Module code:</w:t>
            </w:r>
          </w:p>
        </w:tc>
        <w:tc>
          <w:tcPr>
            <w:tcW w:w="3299" w:type="dxa"/>
          </w:tcPr>
          <w:p w14:paraId="264C1332" w14:textId="77777777" w:rsidR="002A0C5B" w:rsidRPr="00D37986" w:rsidRDefault="002A0C5B" w:rsidP="009E33B6">
            <w:pPr>
              <w:spacing w:before="120" w:after="120"/>
              <w:jc w:val="both"/>
              <w:rPr>
                <w:rFonts w:ascii="Arial" w:hAnsi="Arial" w:cs="Arial"/>
                <w:b/>
              </w:rPr>
            </w:pPr>
            <w:r w:rsidRPr="00D37986">
              <w:rPr>
                <w:rFonts w:ascii="Arial" w:hAnsi="Arial" w:cs="Arial"/>
                <w:b/>
              </w:rPr>
              <w:t>BMDP700</w:t>
            </w:r>
            <w:r>
              <w:rPr>
                <w:rFonts w:ascii="Arial" w:hAnsi="Arial" w:cs="Arial"/>
                <w:b/>
              </w:rPr>
              <w:t>9</w:t>
            </w:r>
          </w:p>
        </w:tc>
        <w:tc>
          <w:tcPr>
            <w:tcW w:w="2272" w:type="dxa"/>
            <w:shd w:val="clear" w:color="auto" w:fill="D9D9D9"/>
          </w:tcPr>
          <w:p w14:paraId="4F892707" w14:textId="77777777" w:rsidR="002A0C5B" w:rsidRPr="00D37986" w:rsidRDefault="002A0C5B" w:rsidP="009E33B6">
            <w:pPr>
              <w:pStyle w:val="Heading2"/>
              <w:rPr>
                <w:rFonts w:ascii="Arial" w:hAnsi="Arial" w:cs="Arial"/>
                <w:b/>
                <w:bCs/>
                <w:sz w:val="24"/>
                <w:szCs w:val="24"/>
              </w:rPr>
            </w:pPr>
            <w:r w:rsidRPr="00D37986">
              <w:rPr>
                <w:rFonts w:ascii="Arial" w:hAnsi="Arial" w:cs="Arial"/>
                <w:b/>
                <w:bCs/>
                <w:color w:val="000000" w:themeColor="text1"/>
                <w:sz w:val="24"/>
                <w:szCs w:val="24"/>
              </w:rPr>
              <w:t>Contribution to Overall Module Assessment (%)</w:t>
            </w:r>
          </w:p>
        </w:tc>
        <w:tc>
          <w:tcPr>
            <w:tcW w:w="2273" w:type="dxa"/>
          </w:tcPr>
          <w:p w14:paraId="5BAB046B" w14:textId="77777777" w:rsidR="002A0C5B" w:rsidRPr="00D37986" w:rsidRDefault="002A0C5B" w:rsidP="009E33B6">
            <w:pPr>
              <w:spacing w:before="120" w:after="120"/>
              <w:jc w:val="both"/>
              <w:rPr>
                <w:rFonts w:ascii="Arial" w:hAnsi="Arial" w:cs="Arial"/>
                <w:b/>
              </w:rPr>
            </w:pPr>
            <w:r w:rsidRPr="00D37986">
              <w:rPr>
                <w:rFonts w:ascii="Arial" w:hAnsi="Arial" w:cs="Arial"/>
                <w:b/>
              </w:rPr>
              <w:t>100%</w:t>
            </w:r>
          </w:p>
        </w:tc>
      </w:tr>
      <w:tr w:rsidR="002A0C5B" w:rsidRPr="00A406E5" w14:paraId="7ED4C9DA" w14:textId="77777777" w:rsidTr="002A0C5B">
        <w:trPr>
          <w:trHeight w:val="891"/>
        </w:trPr>
        <w:tc>
          <w:tcPr>
            <w:tcW w:w="2097" w:type="dxa"/>
            <w:shd w:val="pct15" w:color="auto" w:fill="auto"/>
          </w:tcPr>
          <w:p w14:paraId="7782FDBB" w14:textId="77777777" w:rsidR="002A0C5B" w:rsidRPr="00D37986" w:rsidRDefault="002A0C5B" w:rsidP="009E33B6">
            <w:pPr>
              <w:spacing w:before="120" w:after="120"/>
              <w:jc w:val="both"/>
              <w:rPr>
                <w:rFonts w:ascii="Arial" w:hAnsi="Arial" w:cs="Arial"/>
                <w:b/>
              </w:rPr>
            </w:pPr>
            <w:r w:rsidRPr="00D37986">
              <w:rPr>
                <w:rFonts w:ascii="Arial" w:hAnsi="Arial" w:cs="Arial"/>
                <w:b/>
              </w:rPr>
              <w:t>Lecturer:</w:t>
            </w:r>
          </w:p>
        </w:tc>
        <w:tc>
          <w:tcPr>
            <w:tcW w:w="3299" w:type="dxa"/>
          </w:tcPr>
          <w:p w14:paraId="774CEF6F" w14:textId="77777777" w:rsidR="002A0C5B" w:rsidRPr="00D37986" w:rsidRDefault="002A0C5B" w:rsidP="009E33B6">
            <w:pPr>
              <w:spacing w:before="120" w:after="120"/>
              <w:jc w:val="both"/>
              <w:rPr>
                <w:rFonts w:ascii="Arial" w:hAnsi="Arial" w:cs="Arial"/>
                <w:b/>
              </w:rPr>
            </w:pPr>
            <w:r w:rsidRPr="00D37986">
              <w:rPr>
                <w:rFonts w:ascii="Arial" w:hAnsi="Arial" w:cs="Arial"/>
                <w:b/>
              </w:rPr>
              <w:t>Dr Roisin Mullins</w:t>
            </w:r>
          </w:p>
        </w:tc>
        <w:tc>
          <w:tcPr>
            <w:tcW w:w="2272" w:type="dxa"/>
            <w:shd w:val="clear" w:color="auto" w:fill="D9D9D9"/>
          </w:tcPr>
          <w:p w14:paraId="5D8A62F1" w14:textId="77777777" w:rsidR="002A0C5B" w:rsidRPr="00D37986" w:rsidRDefault="002A0C5B" w:rsidP="009E33B6">
            <w:pPr>
              <w:spacing w:before="120" w:after="120"/>
              <w:jc w:val="both"/>
              <w:rPr>
                <w:rFonts w:ascii="Arial" w:hAnsi="Arial" w:cs="Arial"/>
                <w:b/>
              </w:rPr>
            </w:pPr>
            <w:r w:rsidRPr="00D37986">
              <w:rPr>
                <w:rFonts w:ascii="Arial" w:hAnsi="Arial" w:cs="Arial"/>
                <w:b/>
              </w:rPr>
              <w:t>Internal Verifier:</w:t>
            </w:r>
          </w:p>
        </w:tc>
        <w:tc>
          <w:tcPr>
            <w:tcW w:w="2273" w:type="dxa"/>
          </w:tcPr>
          <w:p w14:paraId="2102ADDD" w14:textId="77777777" w:rsidR="002A0C5B" w:rsidRPr="00D37986" w:rsidRDefault="002A0C5B" w:rsidP="009E33B6">
            <w:pPr>
              <w:spacing w:before="120" w:after="120"/>
              <w:jc w:val="both"/>
              <w:rPr>
                <w:rFonts w:ascii="Arial" w:hAnsi="Arial" w:cs="Arial"/>
                <w:b/>
              </w:rPr>
            </w:pPr>
            <w:r w:rsidRPr="00D37986">
              <w:rPr>
                <w:rFonts w:ascii="Arial" w:hAnsi="Arial" w:cs="Arial"/>
                <w:b/>
              </w:rPr>
              <w:t>Dr L</w:t>
            </w:r>
            <w:r>
              <w:rPr>
                <w:rFonts w:ascii="Arial" w:hAnsi="Arial" w:cs="Arial"/>
                <w:b/>
              </w:rPr>
              <w:t>aura James</w:t>
            </w:r>
          </w:p>
        </w:tc>
      </w:tr>
      <w:tr w:rsidR="002A0C5B" w:rsidRPr="00A406E5" w14:paraId="6A4205E8" w14:textId="77777777" w:rsidTr="002A0C5B">
        <w:trPr>
          <w:trHeight w:val="1374"/>
        </w:trPr>
        <w:tc>
          <w:tcPr>
            <w:tcW w:w="2097" w:type="dxa"/>
            <w:shd w:val="pct15" w:color="auto" w:fill="auto"/>
          </w:tcPr>
          <w:p w14:paraId="4450B6D7" w14:textId="77777777" w:rsidR="002A0C5B" w:rsidRPr="00D37986" w:rsidRDefault="002A0C5B" w:rsidP="009E33B6">
            <w:pPr>
              <w:spacing w:before="120" w:after="120"/>
              <w:jc w:val="both"/>
              <w:rPr>
                <w:rFonts w:ascii="Arial" w:hAnsi="Arial" w:cs="Arial"/>
                <w:b/>
              </w:rPr>
            </w:pPr>
            <w:r w:rsidRPr="00D37986">
              <w:rPr>
                <w:rFonts w:ascii="Arial" w:hAnsi="Arial" w:cs="Arial"/>
                <w:b/>
              </w:rPr>
              <w:t>Assignment Title:</w:t>
            </w:r>
          </w:p>
        </w:tc>
        <w:tc>
          <w:tcPr>
            <w:tcW w:w="3299" w:type="dxa"/>
          </w:tcPr>
          <w:p w14:paraId="67833FAD" w14:textId="77777777" w:rsidR="002A0C5B" w:rsidRPr="00D37986" w:rsidRDefault="002A0C5B" w:rsidP="009E33B6">
            <w:pPr>
              <w:spacing w:before="120" w:after="120"/>
              <w:jc w:val="both"/>
              <w:rPr>
                <w:rFonts w:ascii="Arial" w:hAnsi="Arial" w:cs="Arial"/>
                <w:b/>
                <w:bCs/>
              </w:rPr>
            </w:pPr>
            <w:r>
              <w:rPr>
                <w:rFonts w:ascii="Arial" w:hAnsi="Arial" w:cs="Arial"/>
                <w:b/>
                <w:bCs/>
              </w:rPr>
              <w:t>Report</w:t>
            </w:r>
          </w:p>
        </w:tc>
        <w:tc>
          <w:tcPr>
            <w:tcW w:w="2272" w:type="dxa"/>
            <w:shd w:val="pct15" w:color="auto" w:fill="auto"/>
          </w:tcPr>
          <w:p w14:paraId="312ECD6E" w14:textId="77777777" w:rsidR="002A0C5B" w:rsidRPr="00D37986" w:rsidRDefault="002A0C5B" w:rsidP="009E33B6">
            <w:pPr>
              <w:spacing w:before="120" w:after="120"/>
              <w:jc w:val="both"/>
              <w:rPr>
                <w:rFonts w:ascii="Arial" w:hAnsi="Arial" w:cs="Arial"/>
                <w:b/>
              </w:rPr>
            </w:pPr>
            <w:r w:rsidRPr="00D37986">
              <w:rPr>
                <w:rFonts w:ascii="Arial" w:hAnsi="Arial" w:cs="Arial"/>
                <w:b/>
              </w:rPr>
              <w:t>Word count (or equivalent):</w:t>
            </w:r>
          </w:p>
        </w:tc>
        <w:tc>
          <w:tcPr>
            <w:tcW w:w="2273" w:type="dxa"/>
          </w:tcPr>
          <w:p w14:paraId="6B8BB8EB" w14:textId="77777777" w:rsidR="002A0C5B" w:rsidRPr="00D37986" w:rsidRDefault="002A0C5B" w:rsidP="009E33B6">
            <w:pPr>
              <w:spacing w:before="120" w:after="120"/>
              <w:jc w:val="both"/>
              <w:rPr>
                <w:rFonts w:ascii="Arial" w:hAnsi="Arial" w:cs="Arial"/>
                <w:b/>
              </w:rPr>
            </w:pPr>
            <w:r>
              <w:rPr>
                <w:rFonts w:ascii="Arial" w:hAnsi="Arial" w:cs="Arial"/>
                <w:b/>
              </w:rPr>
              <w:t xml:space="preserve">Do not exceed </w:t>
            </w:r>
            <w:r w:rsidRPr="00D37986">
              <w:rPr>
                <w:rFonts w:ascii="Arial" w:hAnsi="Arial" w:cs="Arial"/>
                <w:b/>
              </w:rPr>
              <w:t>7,500 words equivalent</w:t>
            </w:r>
          </w:p>
        </w:tc>
      </w:tr>
      <w:tr w:rsidR="002A0C5B" w:rsidRPr="00A406E5" w14:paraId="30C91576" w14:textId="77777777" w:rsidTr="002A0C5B">
        <w:trPr>
          <w:trHeight w:val="1820"/>
        </w:trPr>
        <w:tc>
          <w:tcPr>
            <w:tcW w:w="2097" w:type="dxa"/>
            <w:shd w:val="pct15" w:color="auto" w:fill="auto"/>
          </w:tcPr>
          <w:p w14:paraId="01E97CC3" w14:textId="77777777" w:rsidR="002A0C5B" w:rsidRPr="00D37986" w:rsidRDefault="002A0C5B" w:rsidP="009E33B6">
            <w:pPr>
              <w:spacing w:before="120" w:after="120"/>
              <w:jc w:val="both"/>
              <w:rPr>
                <w:rFonts w:ascii="Arial" w:hAnsi="Arial" w:cs="Arial"/>
                <w:b/>
              </w:rPr>
            </w:pPr>
            <w:r w:rsidRPr="00D37986">
              <w:rPr>
                <w:rFonts w:ascii="Arial" w:hAnsi="Arial" w:cs="Arial"/>
                <w:b/>
              </w:rPr>
              <w:t>Submission deadline:</w:t>
            </w:r>
          </w:p>
        </w:tc>
        <w:tc>
          <w:tcPr>
            <w:tcW w:w="3299" w:type="dxa"/>
          </w:tcPr>
          <w:p w14:paraId="7563F265" w14:textId="77777777" w:rsidR="002A0C5B" w:rsidRPr="00D37986" w:rsidRDefault="002A0C5B" w:rsidP="009E33B6">
            <w:pPr>
              <w:spacing w:before="120" w:after="120"/>
              <w:jc w:val="both"/>
              <w:rPr>
                <w:rFonts w:ascii="Arial" w:hAnsi="Arial" w:cs="Arial"/>
                <w:b/>
              </w:rPr>
            </w:pPr>
            <w:r>
              <w:rPr>
                <w:rFonts w:ascii="Arial" w:hAnsi="Arial" w:cs="Arial"/>
                <w:b/>
              </w:rPr>
              <w:t>20</w:t>
            </w:r>
            <w:r w:rsidRPr="00D37986">
              <w:rPr>
                <w:rFonts w:ascii="Arial" w:hAnsi="Arial" w:cs="Arial"/>
                <w:b/>
                <w:vertAlign w:val="superscript"/>
              </w:rPr>
              <w:t>th</w:t>
            </w:r>
            <w:r>
              <w:rPr>
                <w:rFonts w:ascii="Arial" w:hAnsi="Arial" w:cs="Arial"/>
                <w:b/>
              </w:rPr>
              <w:t xml:space="preserve"> September 2026</w:t>
            </w:r>
          </w:p>
        </w:tc>
        <w:tc>
          <w:tcPr>
            <w:tcW w:w="2272" w:type="dxa"/>
            <w:shd w:val="pct15" w:color="auto" w:fill="auto"/>
          </w:tcPr>
          <w:p w14:paraId="1656F752" w14:textId="77777777" w:rsidR="002A0C5B" w:rsidRPr="00D37986" w:rsidRDefault="002A0C5B" w:rsidP="009E33B6">
            <w:pPr>
              <w:spacing w:before="120" w:after="120"/>
              <w:jc w:val="both"/>
              <w:rPr>
                <w:rFonts w:ascii="Arial" w:hAnsi="Arial" w:cs="Arial"/>
                <w:b/>
              </w:rPr>
            </w:pPr>
            <w:r w:rsidRPr="00D37986">
              <w:rPr>
                <w:rFonts w:ascii="Arial" w:hAnsi="Arial" w:cs="Arial"/>
                <w:b/>
              </w:rPr>
              <w:t>Return date of provisional marks &amp; written feedback:</w:t>
            </w:r>
          </w:p>
        </w:tc>
        <w:tc>
          <w:tcPr>
            <w:tcW w:w="2273" w:type="dxa"/>
          </w:tcPr>
          <w:p w14:paraId="215ABB1D" w14:textId="77777777" w:rsidR="002A0C5B" w:rsidRPr="00D37986" w:rsidRDefault="002A0C5B" w:rsidP="009E33B6">
            <w:pPr>
              <w:spacing w:before="120" w:after="120"/>
              <w:jc w:val="both"/>
              <w:rPr>
                <w:rFonts w:ascii="Arial" w:hAnsi="Arial" w:cs="Arial"/>
                <w:b/>
              </w:rPr>
            </w:pPr>
            <w:r>
              <w:rPr>
                <w:rFonts w:ascii="Arial" w:hAnsi="Arial" w:cs="Arial"/>
                <w:b/>
              </w:rPr>
              <w:t>16/10/2026</w:t>
            </w:r>
          </w:p>
        </w:tc>
      </w:tr>
    </w:tbl>
    <w:p w14:paraId="2D49261C" w14:textId="77777777" w:rsidR="002A0C5B" w:rsidRDefault="002A0C5B" w:rsidP="002A0C5B"/>
    <w:p w14:paraId="07E231F9" w14:textId="77777777" w:rsidR="009A34F6" w:rsidRDefault="009A34F6"/>
    <w:p w14:paraId="26AFF134" w14:textId="77777777" w:rsidR="009A34F6" w:rsidRDefault="009A34F6"/>
    <w:p w14:paraId="15932A4C" w14:textId="77777777" w:rsidR="009A34F6" w:rsidRDefault="009A34F6"/>
    <w:p w14:paraId="76E48354" w14:textId="77777777" w:rsidR="009A34F6" w:rsidRDefault="009A34F6"/>
    <w:p w14:paraId="08F6D352" w14:textId="77777777" w:rsidR="009A34F6" w:rsidRDefault="009A34F6"/>
    <w:p w14:paraId="5A8AA805" w14:textId="77777777" w:rsidR="009A34F6" w:rsidRDefault="009A34F6"/>
    <w:p w14:paraId="41116513" w14:textId="77777777" w:rsidR="009A34F6" w:rsidRDefault="009A34F6"/>
    <w:p w14:paraId="0AA542AD" w14:textId="77777777" w:rsidR="009A34F6" w:rsidRDefault="009A34F6"/>
    <w:p w14:paraId="518CBA9B" w14:textId="77777777" w:rsidR="009A34F6" w:rsidRDefault="009A34F6"/>
    <w:p w14:paraId="05323A3B" w14:textId="77777777" w:rsidR="009A34F6" w:rsidRDefault="009A34F6"/>
    <w:p w14:paraId="1FBEABB9" w14:textId="77777777" w:rsidR="003D33A9" w:rsidRPr="003D33A9" w:rsidRDefault="003D33A9" w:rsidP="003D33A9">
      <w:pPr>
        <w:spacing w:before="100" w:beforeAutospacing="1" w:after="100" w:afterAutospacing="1" w:line="300" w:lineRule="atLeast"/>
        <w:jc w:val="both"/>
        <w:outlineLvl w:val="0"/>
        <w:rPr>
          <w:rFonts w:ascii="Arial" w:hAnsi="Arial" w:cs="Arial"/>
          <w:b/>
          <w:bCs/>
          <w:kern w:val="36"/>
          <w:sz w:val="28"/>
          <w:szCs w:val="28"/>
        </w:rPr>
      </w:pPr>
      <w:r w:rsidRPr="003D33A9">
        <w:rPr>
          <w:rFonts w:ascii="Arial" w:hAnsi="Arial" w:cs="Arial"/>
          <w:b/>
          <w:bCs/>
          <w:kern w:val="36"/>
          <w:sz w:val="28"/>
          <w:szCs w:val="28"/>
        </w:rPr>
        <w:lastRenderedPageBreak/>
        <w:t>Factors Associated with Reading-Age Progress Amongst Year 6 Pupils: An Analysis of Attendance, eFSM, ALN and Gender</w:t>
      </w:r>
    </w:p>
    <w:p w14:paraId="708E71DD" w14:textId="77777777" w:rsidR="009A34F6" w:rsidRDefault="009A34F6"/>
    <w:p w14:paraId="2798DA33" w14:textId="77777777" w:rsidR="009A34F6" w:rsidRDefault="009A34F6"/>
    <w:p w14:paraId="0ED49EC0" w14:textId="77777777" w:rsidR="009A34F6" w:rsidRDefault="009A34F6"/>
    <w:p w14:paraId="228CD068" w14:textId="77777777" w:rsidR="009A34F6" w:rsidRDefault="009A34F6"/>
    <w:p w14:paraId="6ED69930" w14:textId="77777777" w:rsidR="009A34F6" w:rsidRDefault="009A34F6"/>
    <w:p w14:paraId="0A405544" w14:textId="77777777" w:rsidR="009A34F6" w:rsidRDefault="009A34F6"/>
    <w:p w14:paraId="4FE1D77A" w14:textId="77777777" w:rsidR="009A34F6" w:rsidRDefault="009A34F6"/>
    <w:p w14:paraId="70308E70" w14:textId="77777777" w:rsidR="009A34F6" w:rsidRDefault="009A34F6"/>
    <w:p w14:paraId="3DDD6E15" w14:textId="77777777" w:rsidR="009A34F6" w:rsidRDefault="009A34F6"/>
    <w:p w14:paraId="6FF0A1B8" w14:textId="77777777" w:rsidR="009A34F6" w:rsidRDefault="009A34F6"/>
    <w:p w14:paraId="25F10A8F" w14:textId="77777777" w:rsidR="009A34F6" w:rsidRDefault="009A34F6"/>
    <w:p w14:paraId="40AC48FD" w14:textId="77777777" w:rsidR="009A34F6" w:rsidRDefault="009A34F6"/>
    <w:p w14:paraId="346C4845" w14:textId="77777777" w:rsidR="009A34F6" w:rsidRDefault="009A34F6"/>
    <w:p w14:paraId="34D49A5F" w14:textId="77777777" w:rsidR="009A34F6" w:rsidRDefault="009A34F6"/>
    <w:p w14:paraId="4BCF24AA" w14:textId="77777777" w:rsidR="009A34F6" w:rsidRDefault="009A34F6"/>
    <w:p w14:paraId="7A288CC4" w14:textId="77777777" w:rsidR="009A34F6" w:rsidRDefault="009A34F6"/>
    <w:p w14:paraId="0DE737E6" w14:textId="77777777" w:rsidR="009A34F6" w:rsidRDefault="009A34F6"/>
    <w:p w14:paraId="220E45B6" w14:textId="77777777" w:rsidR="009A34F6" w:rsidRDefault="009A34F6"/>
    <w:p w14:paraId="2CD4CC13" w14:textId="77777777" w:rsidR="009A34F6" w:rsidRDefault="009A34F6"/>
    <w:p w14:paraId="468E99F8" w14:textId="77777777" w:rsidR="009A34F6" w:rsidRDefault="009A34F6"/>
    <w:p w14:paraId="3F08FFDB" w14:textId="77777777" w:rsidR="009A34F6" w:rsidRDefault="009A34F6"/>
    <w:p w14:paraId="24997A0A" w14:textId="77777777" w:rsidR="009A34F6" w:rsidRDefault="009A34F6"/>
    <w:p w14:paraId="2085E4FF" w14:textId="77777777" w:rsidR="009A34F6" w:rsidRDefault="009A34F6"/>
    <w:p w14:paraId="0B24A02D" w14:textId="77777777" w:rsidR="009A34F6" w:rsidRDefault="009A34F6"/>
    <w:p w14:paraId="7BFB734E" w14:textId="77777777" w:rsidR="009A34F6" w:rsidRDefault="009A34F6"/>
    <w:p w14:paraId="67FDAA53" w14:textId="77777777" w:rsidR="009A34F6" w:rsidRDefault="009A34F6"/>
    <w:p w14:paraId="7951C502" w14:textId="77777777" w:rsidR="009A34F6" w:rsidRDefault="009A34F6"/>
    <w:p w14:paraId="01B59370" w14:textId="77777777" w:rsidR="009A34F6" w:rsidRDefault="009A34F6"/>
    <w:p w14:paraId="673474D6" w14:textId="77777777" w:rsidR="009A34F6" w:rsidRDefault="009A34F6"/>
    <w:p w14:paraId="751DC24C" w14:textId="77777777" w:rsidR="009A34F6" w:rsidRDefault="009A34F6"/>
    <w:p w14:paraId="384674DE" w14:textId="77777777" w:rsidR="009A34F6" w:rsidRDefault="009A34F6"/>
    <w:p w14:paraId="1160B190" w14:textId="77777777" w:rsidR="009A34F6" w:rsidRDefault="009A34F6"/>
    <w:p w14:paraId="21F7E69F" w14:textId="77777777" w:rsidR="009A34F6" w:rsidRDefault="009A34F6"/>
    <w:p w14:paraId="329F1FBE" w14:textId="77777777" w:rsidR="009A34F6" w:rsidRDefault="009A34F6"/>
    <w:p w14:paraId="70BCC42B" w14:textId="77777777" w:rsidR="009A34F6" w:rsidRDefault="009A34F6"/>
    <w:p w14:paraId="22E6E558" w14:textId="77777777" w:rsidR="003D33A9" w:rsidRDefault="003D33A9"/>
    <w:p w14:paraId="6E34C0B2" w14:textId="77777777" w:rsidR="009A34F6" w:rsidRDefault="009A34F6"/>
    <w:p w14:paraId="107EE98C" w14:textId="77777777" w:rsidR="009A34F6" w:rsidRDefault="009A34F6"/>
    <w:p w14:paraId="7204E539" w14:textId="77777777" w:rsidR="009A34F6" w:rsidRDefault="009A34F6"/>
    <w:p w14:paraId="20CF7DC2" w14:textId="77777777" w:rsidR="009A34F6" w:rsidRDefault="009A34F6"/>
    <w:p w14:paraId="643DDC3F" w14:textId="77777777" w:rsidR="009A34F6" w:rsidRDefault="009A34F6"/>
    <w:p w14:paraId="4920C25E" w14:textId="77777777" w:rsidR="009A34F6" w:rsidRDefault="009A34F6"/>
    <w:p w14:paraId="49C15398" w14:textId="77777777" w:rsidR="009A34F6" w:rsidRDefault="009A34F6"/>
    <w:p w14:paraId="26CD25C6" w14:textId="77777777" w:rsidR="006C4F9A" w:rsidRDefault="006C4F9A" w:rsidP="002A0C5B">
      <w:pPr>
        <w:spacing w:before="100" w:beforeAutospacing="1" w:after="100" w:afterAutospacing="1" w:line="360" w:lineRule="auto"/>
        <w:jc w:val="both"/>
      </w:pPr>
    </w:p>
    <w:p w14:paraId="3533C6C8" w14:textId="4CBA6BFA" w:rsidR="002A0C5B" w:rsidRPr="002A0C5B" w:rsidRDefault="009A34F6" w:rsidP="002A0C5B">
      <w:pPr>
        <w:spacing w:before="100" w:beforeAutospacing="1" w:after="100" w:afterAutospacing="1" w:line="360" w:lineRule="auto"/>
        <w:jc w:val="both"/>
        <w:rPr>
          <w:rFonts w:ascii="Arial" w:hAnsi="Arial" w:cs="Arial"/>
          <w:b/>
          <w:bCs/>
        </w:rPr>
      </w:pPr>
      <w:r w:rsidRPr="002A0C5B">
        <w:rPr>
          <w:rFonts w:ascii="Arial" w:hAnsi="Arial" w:cs="Arial"/>
          <w:b/>
          <w:bCs/>
        </w:rPr>
        <w:lastRenderedPageBreak/>
        <w:t>Abstract</w:t>
      </w:r>
    </w:p>
    <w:p w14:paraId="7BA73296" w14:textId="77777777" w:rsidR="002A0C5B" w:rsidRPr="002A0C5B" w:rsidRDefault="002A0C5B" w:rsidP="002A0C5B">
      <w:pPr>
        <w:pStyle w:val="NormalWeb"/>
        <w:spacing w:line="360" w:lineRule="auto"/>
        <w:jc w:val="both"/>
        <w:rPr>
          <w:rFonts w:ascii="Arial" w:hAnsi="Arial" w:cs="Arial"/>
        </w:rPr>
      </w:pPr>
      <w:r w:rsidRPr="002A0C5B">
        <w:rPr>
          <w:rFonts w:ascii="Arial" w:hAnsi="Arial" w:cs="Arial"/>
        </w:rPr>
        <w:t>The ability to read effectively underpins educational achievement and enables pupils to engage successfully with the wider curriculum. Understanding the factors associated with reading development is therefore important for schools seeking to improve outcomes and reduce educational inequalities. This study examined the relationship between attendance, eligibility for Free School Meals (eFSM), Additional Learning Needs (ALN) status and gender in relation to reading-age progress amongst Year 6 pupils.</w:t>
      </w:r>
    </w:p>
    <w:p w14:paraId="584CA837" w14:textId="402091DD" w:rsidR="002A0C5B" w:rsidRPr="002A0C5B" w:rsidRDefault="002A0C5B" w:rsidP="002A0C5B">
      <w:pPr>
        <w:pStyle w:val="NormalWeb"/>
        <w:spacing w:line="360" w:lineRule="auto"/>
        <w:jc w:val="both"/>
        <w:rPr>
          <w:rFonts w:ascii="Arial" w:hAnsi="Arial" w:cs="Arial"/>
        </w:rPr>
      </w:pPr>
      <w:r w:rsidRPr="002A0C5B">
        <w:rPr>
          <w:rFonts w:ascii="Arial" w:hAnsi="Arial" w:cs="Arial"/>
        </w:rPr>
        <w:t xml:space="preserve">A quantitative, retrospective cohort design was employed using routinely collected assessment and demographic data from 177 Year 6 pupils in a Welsh </w:t>
      </w:r>
      <w:r w:rsidR="00983942">
        <w:rPr>
          <w:rFonts w:ascii="Arial" w:hAnsi="Arial" w:cs="Arial"/>
        </w:rPr>
        <w:t>Primary Federation</w:t>
      </w:r>
      <w:r w:rsidRPr="002A0C5B">
        <w:rPr>
          <w:rFonts w:ascii="Arial" w:hAnsi="Arial" w:cs="Arial"/>
        </w:rPr>
        <w:t>. Reading attainment was measured using the Salford Reading Test, administered in October 2025 and June 2026. Reading-age scores were converted into total months to calculate progress over the study period. Statistical analyses included descriptive statistics, tests of normality, Pearson's Product-Moment Correlation and independent-samples t-tests.</w:t>
      </w:r>
    </w:p>
    <w:p w14:paraId="0FDE2C43" w14:textId="4FDA27D7" w:rsidR="002A0C5B" w:rsidRPr="001E071E" w:rsidRDefault="002A0C5B" w:rsidP="001E071E">
      <w:pPr>
        <w:spacing w:line="360" w:lineRule="auto"/>
        <w:jc w:val="both"/>
        <w:rPr>
          <w:rFonts w:ascii="Segoe UI" w:hAnsi="Segoe UI" w:cs="Segoe UI"/>
          <w:sz w:val="21"/>
          <w:szCs w:val="21"/>
        </w:rPr>
      </w:pPr>
      <w:r w:rsidRPr="002A0C5B">
        <w:rPr>
          <w:rFonts w:ascii="Arial" w:hAnsi="Arial" w:cs="Arial"/>
        </w:rPr>
        <w:t>Pupils demonstrated an average reading-age gain of 4.38 months (SD = 2.93).</w:t>
      </w:r>
      <w:r w:rsidR="001E071E" w:rsidRPr="001E071E">
        <w:rPr>
          <w:rFonts w:ascii="Segoe UI" w:hAnsi="Segoe UI" w:cs="Segoe UI"/>
          <w:sz w:val="21"/>
          <w:szCs w:val="21"/>
        </w:rPr>
        <w:t xml:space="preserve"> </w:t>
      </w:r>
      <w:r w:rsidR="001E071E" w:rsidRPr="00E25716">
        <w:rPr>
          <w:rFonts w:ascii="Arial" w:hAnsi="Arial" w:cs="Arial"/>
        </w:rPr>
        <w:t>Results identified</w:t>
      </w:r>
      <w:r w:rsidR="001E071E" w:rsidRPr="001E071E">
        <w:rPr>
          <w:rFonts w:ascii="Arial" w:hAnsi="Arial" w:cs="Arial"/>
        </w:rPr>
        <w:t xml:space="preserve"> a weak negative relationship between attendance and reading-age progress (r = -.176)</w:t>
      </w:r>
      <w:r w:rsidR="00E25716">
        <w:rPr>
          <w:rFonts w:ascii="Arial" w:hAnsi="Arial" w:cs="Arial"/>
        </w:rPr>
        <w:t xml:space="preserve"> </w:t>
      </w:r>
      <w:r w:rsidR="00E25716" w:rsidRPr="00E25716">
        <w:rPr>
          <w:rFonts w:ascii="Arial" w:hAnsi="Arial" w:cs="Arial"/>
        </w:rPr>
        <w:t>which explained only 3.1% of the variance in reading-age progress</w:t>
      </w:r>
      <w:r w:rsidR="00E25716">
        <w:rPr>
          <w:rFonts w:ascii="Segoe UI" w:hAnsi="Segoe UI" w:cs="Segoe UI"/>
          <w:sz w:val="21"/>
          <w:szCs w:val="21"/>
        </w:rPr>
        <w:t xml:space="preserve">. </w:t>
      </w:r>
      <w:r w:rsidR="00E25716">
        <w:rPr>
          <w:rFonts w:ascii="Arial" w:hAnsi="Arial" w:cs="Arial"/>
        </w:rPr>
        <w:t>I</w:t>
      </w:r>
      <w:r w:rsidR="001E071E" w:rsidRPr="001E071E">
        <w:rPr>
          <w:rFonts w:ascii="Arial" w:hAnsi="Arial" w:cs="Arial"/>
        </w:rPr>
        <w:t xml:space="preserve">ndicating that pupils with lower attendance tended to make slightly greater gains in reading age. However, attendance accounted for only </w:t>
      </w:r>
      <w:r w:rsidR="001D59BB">
        <w:rPr>
          <w:rFonts w:ascii="Arial" w:hAnsi="Arial" w:cs="Arial"/>
        </w:rPr>
        <w:t>3.1%</w:t>
      </w:r>
      <w:r w:rsidR="001E071E" w:rsidRPr="001E071E">
        <w:rPr>
          <w:rFonts w:ascii="Arial" w:hAnsi="Arial" w:cs="Arial"/>
        </w:rPr>
        <w:t xml:space="preserve"> of the variance in reading-age progress.</w:t>
      </w:r>
      <w:r w:rsidR="001E071E">
        <w:rPr>
          <w:rFonts w:ascii="Arial" w:hAnsi="Arial" w:cs="Arial"/>
        </w:rPr>
        <w:t xml:space="preserve"> </w:t>
      </w:r>
      <w:r w:rsidRPr="002A0C5B">
        <w:rPr>
          <w:rFonts w:ascii="Arial" w:hAnsi="Arial" w:cs="Arial"/>
        </w:rPr>
        <w:t>Significant differences were found between pupils eligible for eFSM and those not eligible, with eFSM pupils demonstrating greater reading-age progress despite lower levels of overall reading attainment. Similarly, pupils identified with ALN demonstrated significantly greater reading-age progress than pupils without identified ALN. No statistically significant differences were identified according to gender.</w:t>
      </w:r>
    </w:p>
    <w:p w14:paraId="5954B77E" w14:textId="77777777" w:rsidR="002A0C5B" w:rsidRPr="002A0C5B" w:rsidRDefault="002A0C5B" w:rsidP="002A0C5B">
      <w:pPr>
        <w:pStyle w:val="NormalWeb"/>
        <w:spacing w:line="360" w:lineRule="auto"/>
        <w:jc w:val="both"/>
        <w:rPr>
          <w:rFonts w:ascii="Arial" w:hAnsi="Arial" w:cs="Arial"/>
        </w:rPr>
      </w:pPr>
      <w:r w:rsidRPr="002A0C5B">
        <w:rPr>
          <w:rFonts w:ascii="Arial" w:hAnsi="Arial" w:cs="Arial"/>
        </w:rPr>
        <w:t xml:space="preserve">The findings highlight the importance of distinguishing between reading attainment and reading progress when evaluating literacy outcomes. Whilst pupils eligible for eFSM and those identified with ALN demonstrated lower levels of attainment, both groups made significantly greater progress than their peers. The study suggests that pupils traditionally considered at greater educational risk may nevertheless demonstrate substantial gains in reading age over time and reinforces the importance </w:t>
      </w:r>
      <w:r w:rsidRPr="002A0C5B">
        <w:rPr>
          <w:rFonts w:ascii="Arial" w:hAnsi="Arial" w:cs="Arial"/>
        </w:rPr>
        <w:lastRenderedPageBreak/>
        <w:t>of monitoring progress alongside attainment when evaluating educational effectiveness.</w:t>
      </w:r>
    </w:p>
    <w:p w14:paraId="22103C9C" w14:textId="77777777" w:rsidR="002A0C5B" w:rsidRPr="002A0C5B" w:rsidRDefault="002A0C5B" w:rsidP="002A0C5B">
      <w:pPr>
        <w:pStyle w:val="NormalWeb"/>
        <w:spacing w:line="360" w:lineRule="auto"/>
        <w:jc w:val="both"/>
        <w:rPr>
          <w:rFonts w:ascii="Arial" w:hAnsi="Arial" w:cs="Arial"/>
        </w:rPr>
      </w:pPr>
      <w:r w:rsidRPr="002A0C5B">
        <w:rPr>
          <w:rStyle w:val="Strong"/>
          <w:rFonts w:ascii="Arial" w:hAnsi="Arial" w:cs="Arial"/>
        </w:rPr>
        <w:t>Keywords:</w:t>
      </w:r>
      <w:r w:rsidRPr="002A0C5B">
        <w:rPr>
          <w:rFonts w:ascii="Arial" w:hAnsi="Arial" w:cs="Arial"/>
        </w:rPr>
        <w:t xml:space="preserve"> Reading-age progress; Salford Reading Test; attendance; eligible for Free School Meals (eFSM); Additional Learning Needs (ALN); literacy attainment.</w:t>
      </w:r>
    </w:p>
    <w:p w14:paraId="7CE81073" w14:textId="63F1EC5C" w:rsidR="002A0C5B" w:rsidRPr="002A0C5B" w:rsidRDefault="002A0C5B" w:rsidP="002A0C5B">
      <w:pPr>
        <w:spacing w:line="360" w:lineRule="auto"/>
        <w:jc w:val="both"/>
        <w:rPr>
          <w:rFonts w:ascii="Arial" w:hAnsi="Arial" w:cs="Arial"/>
        </w:rPr>
      </w:pPr>
    </w:p>
    <w:p w14:paraId="2A6462B9" w14:textId="77777777" w:rsidR="002A0C5B" w:rsidRPr="002A0C5B" w:rsidRDefault="002A0C5B" w:rsidP="002A0C5B">
      <w:pPr>
        <w:spacing w:before="100" w:beforeAutospacing="1" w:after="100" w:afterAutospacing="1" w:line="360" w:lineRule="auto"/>
        <w:jc w:val="both"/>
        <w:rPr>
          <w:rFonts w:ascii="Arial" w:hAnsi="Arial" w:cs="Arial"/>
          <w:b/>
          <w:bCs/>
        </w:rPr>
      </w:pPr>
    </w:p>
    <w:p w14:paraId="7DACE65C" w14:textId="77777777" w:rsidR="002A0C5B" w:rsidRPr="002A0C5B" w:rsidRDefault="002A0C5B" w:rsidP="002A0C5B">
      <w:pPr>
        <w:spacing w:before="100" w:beforeAutospacing="1" w:after="100" w:afterAutospacing="1" w:line="360" w:lineRule="auto"/>
        <w:jc w:val="both"/>
        <w:rPr>
          <w:rFonts w:ascii="Arial" w:hAnsi="Arial" w:cs="Arial"/>
          <w:b/>
          <w:bCs/>
        </w:rPr>
      </w:pPr>
    </w:p>
    <w:p w14:paraId="5C04D2B2" w14:textId="77777777" w:rsidR="002A0C5B" w:rsidRDefault="002A0C5B" w:rsidP="002A0C5B">
      <w:pPr>
        <w:spacing w:before="100" w:beforeAutospacing="1" w:after="100" w:afterAutospacing="1" w:line="300" w:lineRule="atLeast"/>
        <w:rPr>
          <w:rFonts w:ascii="Arial" w:hAnsi="Arial" w:cs="Arial"/>
          <w:b/>
          <w:bCs/>
        </w:rPr>
      </w:pPr>
    </w:p>
    <w:p w14:paraId="55941B1E" w14:textId="77777777" w:rsidR="002A0C5B" w:rsidRDefault="002A0C5B" w:rsidP="002A0C5B">
      <w:pPr>
        <w:spacing w:before="100" w:beforeAutospacing="1" w:after="100" w:afterAutospacing="1" w:line="300" w:lineRule="atLeast"/>
        <w:rPr>
          <w:rFonts w:ascii="Arial" w:hAnsi="Arial" w:cs="Arial"/>
          <w:b/>
          <w:bCs/>
        </w:rPr>
      </w:pPr>
    </w:p>
    <w:p w14:paraId="32FA811B" w14:textId="77777777" w:rsidR="002A0C5B" w:rsidRDefault="002A0C5B" w:rsidP="002A0C5B">
      <w:pPr>
        <w:spacing w:before="100" w:beforeAutospacing="1" w:after="100" w:afterAutospacing="1" w:line="300" w:lineRule="atLeast"/>
        <w:rPr>
          <w:rFonts w:ascii="Arial" w:hAnsi="Arial" w:cs="Arial"/>
          <w:b/>
          <w:bCs/>
        </w:rPr>
      </w:pPr>
    </w:p>
    <w:p w14:paraId="05C5BA93" w14:textId="77777777" w:rsidR="00FD7810" w:rsidRDefault="00FD7810" w:rsidP="009A34F6">
      <w:pPr>
        <w:spacing w:line="360" w:lineRule="auto"/>
        <w:jc w:val="both"/>
        <w:rPr>
          <w:rFonts w:ascii="Arial" w:hAnsi="Arial" w:cs="Arial"/>
          <w:b/>
          <w:bCs/>
        </w:rPr>
      </w:pPr>
    </w:p>
    <w:p w14:paraId="69DEC40B" w14:textId="77777777" w:rsidR="00FD7810" w:rsidRDefault="00FD7810" w:rsidP="009A34F6">
      <w:pPr>
        <w:spacing w:line="360" w:lineRule="auto"/>
        <w:jc w:val="both"/>
        <w:rPr>
          <w:rFonts w:ascii="Arial" w:hAnsi="Arial" w:cs="Arial"/>
          <w:b/>
          <w:bCs/>
        </w:rPr>
      </w:pPr>
    </w:p>
    <w:p w14:paraId="6A79584E" w14:textId="77777777" w:rsidR="00FD7810" w:rsidRDefault="00FD7810" w:rsidP="009A34F6">
      <w:pPr>
        <w:spacing w:line="360" w:lineRule="auto"/>
        <w:jc w:val="both"/>
        <w:rPr>
          <w:rFonts w:ascii="Arial" w:hAnsi="Arial" w:cs="Arial"/>
          <w:b/>
          <w:bCs/>
        </w:rPr>
      </w:pPr>
    </w:p>
    <w:p w14:paraId="742CCB2A" w14:textId="77777777" w:rsidR="00FD7810" w:rsidRDefault="00FD7810" w:rsidP="009A34F6">
      <w:pPr>
        <w:spacing w:line="360" w:lineRule="auto"/>
        <w:jc w:val="both"/>
        <w:rPr>
          <w:rFonts w:ascii="Arial" w:hAnsi="Arial" w:cs="Arial"/>
          <w:b/>
          <w:bCs/>
        </w:rPr>
      </w:pPr>
    </w:p>
    <w:p w14:paraId="0B0B311A" w14:textId="77777777" w:rsidR="00FD7810" w:rsidRDefault="00FD7810" w:rsidP="009A34F6">
      <w:pPr>
        <w:spacing w:line="360" w:lineRule="auto"/>
        <w:jc w:val="both"/>
        <w:rPr>
          <w:rFonts w:ascii="Arial" w:hAnsi="Arial" w:cs="Arial"/>
          <w:b/>
          <w:bCs/>
        </w:rPr>
      </w:pPr>
    </w:p>
    <w:p w14:paraId="65E8D2F4" w14:textId="77777777" w:rsidR="00FD7810" w:rsidRDefault="00FD7810" w:rsidP="009A34F6">
      <w:pPr>
        <w:spacing w:line="360" w:lineRule="auto"/>
        <w:jc w:val="both"/>
        <w:rPr>
          <w:rFonts w:ascii="Arial" w:hAnsi="Arial" w:cs="Arial"/>
          <w:b/>
          <w:bCs/>
        </w:rPr>
      </w:pPr>
    </w:p>
    <w:p w14:paraId="6B572E4B" w14:textId="77777777" w:rsidR="00FD7810" w:rsidRDefault="00FD7810" w:rsidP="009A34F6">
      <w:pPr>
        <w:spacing w:line="360" w:lineRule="auto"/>
        <w:jc w:val="both"/>
        <w:rPr>
          <w:rFonts w:ascii="Arial" w:hAnsi="Arial" w:cs="Arial"/>
          <w:b/>
          <w:bCs/>
        </w:rPr>
      </w:pPr>
    </w:p>
    <w:p w14:paraId="02E1CED6" w14:textId="77777777" w:rsidR="00FD7810" w:rsidRDefault="00FD7810" w:rsidP="009A34F6">
      <w:pPr>
        <w:spacing w:line="360" w:lineRule="auto"/>
        <w:jc w:val="both"/>
        <w:rPr>
          <w:rFonts w:ascii="Arial" w:hAnsi="Arial" w:cs="Arial"/>
          <w:b/>
          <w:bCs/>
        </w:rPr>
      </w:pPr>
    </w:p>
    <w:p w14:paraId="4C8407A9" w14:textId="77777777" w:rsidR="00FD7810" w:rsidRDefault="00FD7810" w:rsidP="009A34F6">
      <w:pPr>
        <w:spacing w:line="360" w:lineRule="auto"/>
        <w:jc w:val="both"/>
        <w:rPr>
          <w:rFonts w:ascii="Arial" w:hAnsi="Arial" w:cs="Arial"/>
          <w:b/>
          <w:bCs/>
        </w:rPr>
      </w:pPr>
    </w:p>
    <w:p w14:paraId="69A19A04" w14:textId="77777777" w:rsidR="00FD7810" w:rsidRDefault="00FD7810" w:rsidP="009A34F6">
      <w:pPr>
        <w:spacing w:line="360" w:lineRule="auto"/>
        <w:jc w:val="both"/>
        <w:rPr>
          <w:rFonts w:ascii="Arial" w:hAnsi="Arial" w:cs="Arial"/>
          <w:b/>
          <w:bCs/>
        </w:rPr>
      </w:pPr>
    </w:p>
    <w:p w14:paraId="17525840" w14:textId="77777777" w:rsidR="00FD7810" w:rsidRDefault="00FD7810" w:rsidP="009A34F6">
      <w:pPr>
        <w:spacing w:line="360" w:lineRule="auto"/>
        <w:jc w:val="both"/>
        <w:rPr>
          <w:rFonts w:ascii="Arial" w:hAnsi="Arial" w:cs="Arial"/>
          <w:b/>
          <w:bCs/>
        </w:rPr>
      </w:pPr>
    </w:p>
    <w:p w14:paraId="03A32DD5" w14:textId="77777777" w:rsidR="00FD7810" w:rsidRDefault="00FD7810" w:rsidP="009A34F6">
      <w:pPr>
        <w:spacing w:line="360" w:lineRule="auto"/>
        <w:jc w:val="both"/>
        <w:rPr>
          <w:rFonts w:ascii="Arial" w:hAnsi="Arial" w:cs="Arial"/>
          <w:b/>
          <w:bCs/>
        </w:rPr>
      </w:pPr>
    </w:p>
    <w:p w14:paraId="00F7952F" w14:textId="77777777" w:rsidR="00FD7810" w:rsidRDefault="00FD7810" w:rsidP="009A34F6">
      <w:pPr>
        <w:spacing w:line="360" w:lineRule="auto"/>
        <w:jc w:val="both"/>
        <w:rPr>
          <w:rFonts w:ascii="Arial" w:hAnsi="Arial" w:cs="Arial"/>
          <w:b/>
          <w:bCs/>
        </w:rPr>
      </w:pPr>
    </w:p>
    <w:p w14:paraId="12D91913" w14:textId="77777777" w:rsidR="00FD7810" w:rsidRDefault="00FD7810" w:rsidP="009A34F6">
      <w:pPr>
        <w:spacing w:line="360" w:lineRule="auto"/>
        <w:jc w:val="both"/>
        <w:rPr>
          <w:rFonts w:ascii="Arial" w:hAnsi="Arial" w:cs="Arial"/>
          <w:b/>
          <w:bCs/>
        </w:rPr>
      </w:pPr>
    </w:p>
    <w:p w14:paraId="7C5CC659" w14:textId="77777777" w:rsidR="00FD7810" w:rsidRDefault="00FD7810" w:rsidP="009A34F6">
      <w:pPr>
        <w:spacing w:line="360" w:lineRule="auto"/>
        <w:jc w:val="both"/>
        <w:rPr>
          <w:rFonts w:ascii="Arial" w:hAnsi="Arial" w:cs="Arial"/>
          <w:b/>
          <w:bCs/>
        </w:rPr>
      </w:pPr>
    </w:p>
    <w:p w14:paraId="15587BC7" w14:textId="77777777" w:rsidR="002A0C5B" w:rsidRDefault="002A0C5B" w:rsidP="009A34F6">
      <w:pPr>
        <w:spacing w:line="360" w:lineRule="auto"/>
        <w:jc w:val="both"/>
        <w:rPr>
          <w:rFonts w:ascii="Arial" w:hAnsi="Arial" w:cs="Arial"/>
          <w:b/>
          <w:bCs/>
        </w:rPr>
      </w:pPr>
    </w:p>
    <w:p w14:paraId="255447B6" w14:textId="77777777" w:rsidR="002A0C5B" w:rsidRDefault="002A0C5B" w:rsidP="009A34F6">
      <w:pPr>
        <w:spacing w:line="360" w:lineRule="auto"/>
        <w:jc w:val="both"/>
        <w:rPr>
          <w:rFonts w:ascii="Arial" w:hAnsi="Arial" w:cs="Arial"/>
          <w:b/>
          <w:bCs/>
        </w:rPr>
      </w:pPr>
    </w:p>
    <w:p w14:paraId="52E09D04" w14:textId="77777777" w:rsidR="002A0C5B" w:rsidRDefault="002A0C5B" w:rsidP="009A34F6">
      <w:pPr>
        <w:spacing w:line="360" w:lineRule="auto"/>
        <w:jc w:val="both"/>
        <w:rPr>
          <w:rFonts w:ascii="Arial" w:hAnsi="Arial" w:cs="Arial"/>
          <w:b/>
          <w:bCs/>
        </w:rPr>
      </w:pPr>
    </w:p>
    <w:p w14:paraId="37417713" w14:textId="77777777" w:rsidR="00FD7810" w:rsidRDefault="00FD7810" w:rsidP="009A34F6">
      <w:pPr>
        <w:spacing w:line="360" w:lineRule="auto"/>
        <w:jc w:val="both"/>
        <w:rPr>
          <w:rFonts w:ascii="Arial" w:hAnsi="Arial" w:cs="Arial"/>
          <w:b/>
          <w:bCs/>
        </w:rPr>
      </w:pPr>
    </w:p>
    <w:p w14:paraId="79B84264" w14:textId="0E3235AA" w:rsidR="009A34F6" w:rsidRDefault="009A34F6" w:rsidP="009A34F6">
      <w:pPr>
        <w:spacing w:line="360" w:lineRule="auto"/>
        <w:jc w:val="both"/>
        <w:rPr>
          <w:rFonts w:ascii="Arial" w:hAnsi="Arial" w:cs="Arial"/>
          <w:b/>
          <w:bCs/>
        </w:rPr>
      </w:pPr>
      <w:r w:rsidRPr="00462784">
        <w:rPr>
          <w:rFonts w:ascii="Arial" w:hAnsi="Arial" w:cs="Arial"/>
          <w:b/>
          <w:bCs/>
        </w:rPr>
        <w:lastRenderedPageBreak/>
        <w:t>Introduction</w:t>
      </w:r>
    </w:p>
    <w:p w14:paraId="67612F3A" w14:textId="57239384" w:rsidR="00B266AE" w:rsidRPr="00B266AE" w:rsidRDefault="00B266AE" w:rsidP="00B266AE">
      <w:pPr>
        <w:pStyle w:val="NormalWeb"/>
        <w:spacing w:line="360" w:lineRule="auto"/>
        <w:jc w:val="both"/>
        <w:rPr>
          <w:rFonts w:ascii="Arial" w:hAnsi="Arial" w:cs="Arial"/>
        </w:rPr>
      </w:pPr>
      <w:r w:rsidRPr="00B266AE">
        <w:rPr>
          <w:rFonts w:ascii="Arial" w:hAnsi="Arial" w:cs="Arial"/>
        </w:rPr>
        <w:t xml:space="preserve">Improving literacy outcomes remains a persistent challenge within Welsh education. Despite sustained policy attention and successive reforms aimed at raising standards, national and international assessments continue to raise concerns regarding reading attainment. Recent Programme for International Student Assessment (PISA) findings indicate that Wales continues to perform below the OECD average and remains the lowest-performing UK nation in reading literacy (Welsh Government, 2023). More recent PISA 2025 results suggest that these concerns remain, with reading performance continuing to </w:t>
      </w:r>
      <w:r>
        <w:rPr>
          <w:rFonts w:ascii="Arial" w:hAnsi="Arial" w:cs="Arial"/>
        </w:rPr>
        <w:t xml:space="preserve">regress </w:t>
      </w:r>
      <w:r w:rsidRPr="00B266AE">
        <w:rPr>
          <w:rFonts w:ascii="Arial" w:hAnsi="Arial" w:cs="Arial"/>
        </w:rPr>
        <w:t xml:space="preserve">behind the other UK nations and almost one-third of Welsh pupils failing to achieve the OECD baseline level of reading proficiency. These findings reinforce the importance of understanding the factors associated with literacy development and educational equity in Wales. </w:t>
      </w:r>
    </w:p>
    <w:p w14:paraId="165DB717" w14:textId="1FCCA393" w:rsidR="00B266AE" w:rsidRPr="00B266AE" w:rsidRDefault="00B266AE" w:rsidP="00B266AE">
      <w:pPr>
        <w:pStyle w:val="NormalWeb"/>
        <w:spacing w:line="360" w:lineRule="auto"/>
        <w:jc w:val="both"/>
        <w:rPr>
          <w:rFonts w:ascii="Arial" w:hAnsi="Arial" w:cs="Arial"/>
        </w:rPr>
      </w:pPr>
      <w:r w:rsidRPr="00B266AE">
        <w:rPr>
          <w:rFonts w:ascii="Arial" w:hAnsi="Arial" w:cs="Arial"/>
        </w:rPr>
        <w:t>Literacy occupies a central position within Welsh educational policy</w:t>
      </w:r>
      <w:r w:rsidR="00983942">
        <w:rPr>
          <w:rFonts w:ascii="Arial" w:hAnsi="Arial" w:cs="Arial"/>
        </w:rPr>
        <w:t>,</w:t>
      </w:r>
      <w:r w:rsidRPr="00B266AE">
        <w:rPr>
          <w:rFonts w:ascii="Arial" w:hAnsi="Arial" w:cs="Arial"/>
        </w:rPr>
        <w:t xml:space="preserve"> </w:t>
      </w:r>
      <w:r w:rsidR="00983942">
        <w:rPr>
          <w:rFonts w:ascii="Arial" w:hAnsi="Arial" w:cs="Arial"/>
        </w:rPr>
        <w:t>i</w:t>
      </w:r>
      <w:r w:rsidRPr="00B266AE">
        <w:rPr>
          <w:rFonts w:ascii="Arial" w:hAnsi="Arial" w:cs="Arial"/>
        </w:rPr>
        <w:t>nitiatives such as the Literacy and Numeracy Framework (LNF), national reading assessments and, more recently, personalised assessments within Curriculum for Wales reflect</w:t>
      </w:r>
      <w:r w:rsidR="00983942">
        <w:rPr>
          <w:rFonts w:ascii="Arial" w:hAnsi="Arial" w:cs="Arial"/>
        </w:rPr>
        <w:t xml:space="preserve"> the</w:t>
      </w:r>
      <w:r w:rsidRPr="00B266AE">
        <w:rPr>
          <w:rFonts w:ascii="Arial" w:hAnsi="Arial" w:cs="Arial"/>
        </w:rPr>
        <w:t xml:space="preserve"> recognition that literacy is fundamental to successful participation across the curriculum (Welsh Government, 2024). However, concerns regarding reading attainment persist despite these reforms, raising questions about the extent to which policy initiatives have translated into sustained improvements in pupil outcomes.</w:t>
      </w:r>
    </w:p>
    <w:p w14:paraId="244599DD" w14:textId="77777777" w:rsidR="00B266AE" w:rsidRPr="00B266AE" w:rsidRDefault="00B266AE" w:rsidP="00B266AE">
      <w:pPr>
        <w:pStyle w:val="NormalWeb"/>
        <w:spacing w:line="360" w:lineRule="auto"/>
        <w:jc w:val="both"/>
        <w:rPr>
          <w:rFonts w:ascii="Arial" w:hAnsi="Arial" w:cs="Arial"/>
        </w:rPr>
      </w:pPr>
      <w:r w:rsidRPr="00B266AE">
        <w:rPr>
          <w:rFonts w:ascii="Arial" w:hAnsi="Arial" w:cs="Arial"/>
        </w:rPr>
        <w:t>The significance of literacy is reflected in a substantial body of research linking reading proficiency to educational attainment, participation, employment prospects and wider social mobility (OECD, 2010; Brooks, 2016). Reading functions not only as a curriculum subject but also as the principal means through which learners access knowledge and engage with learning across other disciplines. Consequently, inequalities in literacy attainment have implications that extend beyond educational performance alone, making literacy development an important concern for policymakers, educational leaders and practitioners.</w:t>
      </w:r>
    </w:p>
    <w:p w14:paraId="1D2C8915" w14:textId="77777777" w:rsidR="00B266AE" w:rsidRPr="00B266AE" w:rsidRDefault="00B266AE" w:rsidP="00B266AE">
      <w:pPr>
        <w:pStyle w:val="NormalWeb"/>
        <w:spacing w:line="360" w:lineRule="auto"/>
        <w:jc w:val="both"/>
        <w:rPr>
          <w:rFonts w:ascii="Arial" w:hAnsi="Arial" w:cs="Arial"/>
        </w:rPr>
      </w:pPr>
      <w:r w:rsidRPr="00B266AE">
        <w:rPr>
          <w:rFonts w:ascii="Arial" w:hAnsi="Arial" w:cs="Arial"/>
        </w:rPr>
        <w:t xml:space="preserve">Research has identified a range of factors associated with literacy attainment and progress. Socio-economic disadvantage, commonly measured through eligibility for Free School Meals (eFSM), has consistently been linked to lower educational outcomes. Similarly, pupils identified with Additional Learning Needs (ALN) may </w:t>
      </w:r>
      <w:r w:rsidRPr="00B266AE">
        <w:rPr>
          <w:rFonts w:ascii="Arial" w:hAnsi="Arial" w:cs="Arial"/>
        </w:rPr>
        <w:lastRenderedPageBreak/>
        <w:t>experience barriers that affect literacy development despite receiving targeted support. Attendance has also emerged as a significant concern in the post-pandemic educational landscape, with reduced attendance potentially limiting access to instruction and intervention. In addition, gender differences in reading attainment have been widely reported, with girls frequently outperforming boys on measures of reading achievement.</w:t>
      </w:r>
    </w:p>
    <w:p w14:paraId="50939D48" w14:textId="2A9A7753" w:rsidR="00B266AE" w:rsidRPr="00B266AE" w:rsidRDefault="00B266AE" w:rsidP="00B266AE">
      <w:pPr>
        <w:pStyle w:val="NormalWeb"/>
        <w:spacing w:line="360" w:lineRule="auto"/>
        <w:jc w:val="both"/>
        <w:rPr>
          <w:rFonts w:ascii="Arial" w:hAnsi="Arial" w:cs="Arial"/>
        </w:rPr>
      </w:pPr>
      <w:r w:rsidRPr="00B266AE">
        <w:rPr>
          <w:rFonts w:ascii="Arial" w:hAnsi="Arial" w:cs="Arial"/>
        </w:rPr>
        <w:t>Whilst these factors have been extensively examined within the wider literature, much of the existing research relies on large</w:t>
      </w:r>
      <w:r>
        <w:rPr>
          <w:rFonts w:ascii="Arial" w:hAnsi="Arial" w:cs="Arial"/>
        </w:rPr>
        <w:t xml:space="preserve"> </w:t>
      </w:r>
      <w:r w:rsidRPr="00B266AE">
        <w:rPr>
          <w:rFonts w:ascii="Arial" w:hAnsi="Arial" w:cs="Arial"/>
        </w:rPr>
        <w:t>scale datasets that identify population-level trends. Such studies provide valuable insight into patterns of attainment but may offer limited understanding of how these relationships operate within individual school contexts. Furthermore, research has tended to focus on attainment rather than rates of progress, despite the distinction between the two being particularly important when evaluating educational effectiveness and equity.</w:t>
      </w:r>
    </w:p>
    <w:p w14:paraId="373D2BB8" w14:textId="4AD4CF4B" w:rsidR="00B266AE" w:rsidRPr="00B266AE" w:rsidRDefault="00B266AE" w:rsidP="00B266AE">
      <w:pPr>
        <w:pStyle w:val="NormalWeb"/>
        <w:spacing w:line="360" w:lineRule="auto"/>
        <w:jc w:val="both"/>
        <w:rPr>
          <w:rFonts w:ascii="Arial" w:hAnsi="Arial" w:cs="Arial"/>
        </w:rPr>
      </w:pPr>
      <w:r w:rsidRPr="00B266AE">
        <w:rPr>
          <w:rFonts w:ascii="Arial" w:hAnsi="Arial" w:cs="Arial"/>
        </w:rPr>
        <w:t xml:space="preserve">Against this backdrop, the present study investigates the extent to which attendance, eFSM eligibility, ALN status and gender are associated with reading-age progress amongst Year 6 pupils in a Welsh </w:t>
      </w:r>
      <w:r w:rsidR="004E4484">
        <w:rPr>
          <w:rFonts w:ascii="Arial" w:hAnsi="Arial" w:cs="Arial"/>
        </w:rPr>
        <w:t>Federation</w:t>
      </w:r>
      <w:r w:rsidRPr="00B266AE">
        <w:rPr>
          <w:rFonts w:ascii="Arial" w:hAnsi="Arial" w:cs="Arial"/>
        </w:rPr>
        <w:t>. Reading development is operationalised through gains in reading age as measured by the Salford Reading Test. By examining the relationships between these factors and pupils' progress, the study seeks to identify the characteristics most strongly associated with differential literacy outcomes. In doing so, it contributes to ongoing debates concerning educational equity, literacy development and evidence-informed school improvement. The findings may assist educational leaders in targeting interventions more effectively, allocating resources strategically and developing approaches that reduce barriers to literacy achievement for vulnerable groups of learners.</w:t>
      </w:r>
    </w:p>
    <w:p w14:paraId="27104CBA" w14:textId="77777777" w:rsidR="00E25F85" w:rsidRDefault="00E25F85" w:rsidP="00E25F85">
      <w:pPr>
        <w:pStyle w:val="Heading2"/>
        <w:spacing w:line="360" w:lineRule="auto"/>
        <w:jc w:val="both"/>
        <w:rPr>
          <w:rFonts w:ascii="Arial" w:hAnsi="Arial" w:cs="Arial"/>
          <w:b/>
          <w:bCs/>
          <w:color w:val="000000" w:themeColor="text1"/>
          <w:sz w:val="24"/>
          <w:szCs w:val="24"/>
        </w:rPr>
      </w:pPr>
      <w:r w:rsidRPr="00E25F85">
        <w:rPr>
          <w:rFonts w:ascii="Arial" w:hAnsi="Arial" w:cs="Arial"/>
          <w:b/>
          <w:bCs/>
          <w:color w:val="000000" w:themeColor="text1"/>
          <w:sz w:val="24"/>
          <w:szCs w:val="24"/>
        </w:rPr>
        <w:t>Literature and Theoretical Framework</w:t>
      </w:r>
    </w:p>
    <w:p w14:paraId="5AFBC03D" w14:textId="77777777" w:rsidR="004E4484" w:rsidRPr="004E4484" w:rsidRDefault="004E4484" w:rsidP="004E4484">
      <w:pPr>
        <w:pStyle w:val="NormalWeb"/>
        <w:spacing w:line="360" w:lineRule="auto"/>
        <w:jc w:val="both"/>
        <w:rPr>
          <w:rFonts w:ascii="Arial" w:hAnsi="Arial" w:cs="Arial"/>
        </w:rPr>
      </w:pPr>
      <w:r w:rsidRPr="004E4484">
        <w:rPr>
          <w:rFonts w:ascii="Arial" w:hAnsi="Arial" w:cs="Arial"/>
        </w:rPr>
        <w:t>Reading proficiency is strongly associated with educational attainment, participation, employment prospects and wider social mobility (Brooks, 2016). As reading functions both as a curriculum subject and as the primary means through which learners access knowledge across other disciplines, understanding the factors associated with literacy development remains an important concern for educational leaders and policymakers.</w:t>
      </w:r>
    </w:p>
    <w:p w14:paraId="070AC1E6" w14:textId="77777777" w:rsidR="004E4484" w:rsidRPr="004E4484" w:rsidRDefault="004E4484" w:rsidP="004E4484">
      <w:pPr>
        <w:pStyle w:val="NormalWeb"/>
        <w:spacing w:line="360" w:lineRule="auto"/>
        <w:jc w:val="both"/>
        <w:rPr>
          <w:rFonts w:ascii="Arial" w:hAnsi="Arial" w:cs="Arial"/>
        </w:rPr>
      </w:pPr>
      <w:r w:rsidRPr="004E4484">
        <w:rPr>
          <w:rFonts w:ascii="Arial" w:hAnsi="Arial" w:cs="Arial"/>
        </w:rPr>
        <w:lastRenderedPageBreak/>
        <w:t>The present study is informed by Bronfenbrenner's (1979) Ecological Systems Theory, which conceptualises educational outcomes as the product of interactions between individuals and the multiple environments within which they live and learn. From this perspective, literacy development is shaped not only by learner characteristics but also by family circumstances, school experiences and broader socio-economic influences. Attendance, eligibility for Free School Meals (eFSM), Additional Learning Needs (ALN) status and gender may therefore be viewed as interconnected influences on literacy development rather than independent predictors.</w:t>
      </w:r>
    </w:p>
    <w:p w14:paraId="42BD50F2" w14:textId="5DA760FA" w:rsidR="004E4484" w:rsidRPr="004E4484" w:rsidRDefault="004E4484" w:rsidP="004E4484">
      <w:pPr>
        <w:pStyle w:val="NormalWeb"/>
        <w:spacing w:line="360" w:lineRule="auto"/>
        <w:jc w:val="both"/>
        <w:rPr>
          <w:rFonts w:ascii="Arial" w:hAnsi="Arial" w:cs="Arial"/>
        </w:rPr>
      </w:pPr>
      <w:r w:rsidRPr="004E4484">
        <w:rPr>
          <w:rFonts w:ascii="Arial" w:hAnsi="Arial" w:cs="Arial"/>
        </w:rPr>
        <w:t>Measuring reading development presents a methodological challenge because reading is a multidimensional construct encompassing decoding, fluency, comprehension, vocabulary knowledge and engagement. Consequently, no single assessment can provide a complete representation of reading ability</w:t>
      </w:r>
      <w:r w:rsidR="00983942">
        <w:rPr>
          <w:rFonts w:ascii="Arial" w:hAnsi="Arial" w:cs="Arial"/>
        </w:rPr>
        <w:t>, d</w:t>
      </w:r>
      <w:r w:rsidRPr="004E4484">
        <w:rPr>
          <w:rFonts w:ascii="Arial" w:hAnsi="Arial" w:cs="Arial"/>
        </w:rPr>
        <w:t>espite these limitations, standardised assessments remain widely used because they provide consistent measures of attainment and progress over time. The Salford Reading Test is commonly used in UK schools and provides an estimate of reading age based on reading accuracy and fluency (Vincent &amp; de la Mare, 2008). However, age-equivalent scores have been criticised for their psychometric limitations and may imply a level of precision that exceeds what can reasonably be inferred from assessment data. Small changes in raw scores can produce disproportionately large changes in age-equivalent scores, limiting their reliability as indicators of progress (Pearson Assessments, n.d.). Furthermore, gains in reading age do not necessarily reflect equivalent improvements in broader literacy skills such as comprehension, critical reading and engagement with texts.</w:t>
      </w:r>
    </w:p>
    <w:p w14:paraId="73D73D2F" w14:textId="77777777" w:rsidR="004E4484" w:rsidRPr="004E4484" w:rsidRDefault="004E4484" w:rsidP="004E4484">
      <w:pPr>
        <w:pStyle w:val="NormalWeb"/>
        <w:spacing w:line="360" w:lineRule="auto"/>
        <w:jc w:val="both"/>
        <w:rPr>
          <w:rFonts w:ascii="Arial" w:hAnsi="Arial" w:cs="Arial"/>
        </w:rPr>
      </w:pPr>
      <w:r w:rsidRPr="004E4484">
        <w:rPr>
          <w:rFonts w:ascii="Arial" w:hAnsi="Arial" w:cs="Arial"/>
        </w:rPr>
        <w:t>A substantial body of literature identifies socio-economic disadvantage as one of the strongest predictors of educational attainment (Sirin, 2005; Duncan &amp; Magnuson, 2012). Within Wales, eligibility for Free School Meals remains the most widely used indicator of disadvantage, although it captures only one dimension of socio-economic circumstance. Research suggests that pupils from disadvantaged backgrounds may have reduced access to literacy resources and reading-related experiences (Van Steensel, 2006). Nevertheless, disadvantage is not deterministic, and considerable variation exists both within and between school contexts.</w:t>
      </w:r>
    </w:p>
    <w:p w14:paraId="23533C25" w14:textId="77777777" w:rsidR="004E4484" w:rsidRPr="004E4484" w:rsidRDefault="004E4484" w:rsidP="004E4484">
      <w:pPr>
        <w:pStyle w:val="NormalWeb"/>
        <w:spacing w:line="360" w:lineRule="auto"/>
        <w:jc w:val="both"/>
        <w:rPr>
          <w:rFonts w:ascii="Arial" w:hAnsi="Arial" w:cs="Arial"/>
        </w:rPr>
      </w:pPr>
      <w:r w:rsidRPr="004E4484">
        <w:rPr>
          <w:rFonts w:ascii="Arial" w:hAnsi="Arial" w:cs="Arial"/>
        </w:rPr>
        <w:lastRenderedPageBreak/>
        <w:t>Attendance has also emerged as an important educational concern, particularly in the post-pandemic context. Whilst regular attendance is generally associated with improved academic outcomes (Balfanz &amp; Byrnes, 2018), attendance itself is influenced by a range of social and educational factors, including disadvantage, wellbeing and additional learning needs. Although existing research largely focuses on attainment, less is known about the relationship between attendance and rates of reading progress.</w:t>
      </w:r>
    </w:p>
    <w:p w14:paraId="4B372BE3" w14:textId="77777777" w:rsidR="004E4484" w:rsidRPr="004E4484" w:rsidRDefault="004E4484" w:rsidP="004E4484">
      <w:pPr>
        <w:pStyle w:val="NormalWeb"/>
        <w:spacing w:line="360" w:lineRule="auto"/>
        <w:jc w:val="both"/>
        <w:rPr>
          <w:rFonts w:ascii="Arial" w:hAnsi="Arial" w:cs="Arial"/>
        </w:rPr>
      </w:pPr>
      <w:r w:rsidRPr="004E4484">
        <w:rPr>
          <w:rFonts w:ascii="Arial" w:hAnsi="Arial" w:cs="Arial"/>
        </w:rPr>
        <w:t>Similarly, pupils identified with ALN frequently demonstrate lower levels of literacy attainment, although the ALN population is highly heterogeneous and encompasses a wide range of learning profiles and support needs. Evidence suggests that targeted support and high-quality teaching can positively influence literacy outcomes for many learners with additional needs (Snowling &amp; Hulme, 2021). Gender differences in reading attainment have also been widely reported, with girls typically outperforming boys in international assessments (OECD, 2023). However, higher attainment does not necessarily imply greater rates of improvement over time, and the relationship between gender and reading progress remains less clearly understood.</w:t>
      </w:r>
    </w:p>
    <w:p w14:paraId="1DCBB655" w14:textId="232FC956" w:rsidR="002A0C5B" w:rsidRPr="004E4484" w:rsidRDefault="004E4484" w:rsidP="004E4484">
      <w:pPr>
        <w:pStyle w:val="NormalWeb"/>
        <w:spacing w:line="360" w:lineRule="auto"/>
        <w:jc w:val="both"/>
        <w:rPr>
          <w:rFonts w:ascii="Arial" w:hAnsi="Arial" w:cs="Arial"/>
        </w:rPr>
      </w:pPr>
      <w:r w:rsidRPr="004E4484">
        <w:rPr>
          <w:rFonts w:ascii="Arial" w:hAnsi="Arial" w:cs="Arial"/>
        </w:rPr>
        <w:t xml:space="preserve">Although extensive research has examined attendance, socio-economic disadvantage, ALN status and gender in relation to educational attainment, important gaps remain. Much of the available evidence focuses on attainment rather than progress and frequently examines these variables in isolation. Consequently, less is known about how these factors relate to reading-age progress within individual school contexts. The present study addresses this gap by examining the extent to which attendance, eFSM status, ALN status and gender are associated with reading-age progress amongst a Year 6 cohort in a Welsh </w:t>
      </w:r>
      <w:r w:rsidR="00983942">
        <w:rPr>
          <w:rFonts w:ascii="Arial" w:hAnsi="Arial" w:cs="Arial"/>
        </w:rPr>
        <w:t>P</w:t>
      </w:r>
      <w:r w:rsidRPr="004E4484">
        <w:rPr>
          <w:rFonts w:ascii="Arial" w:hAnsi="Arial" w:cs="Arial"/>
        </w:rPr>
        <w:t xml:space="preserve">rimary </w:t>
      </w:r>
      <w:r w:rsidR="00983942">
        <w:rPr>
          <w:rFonts w:ascii="Arial" w:hAnsi="Arial" w:cs="Arial"/>
        </w:rPr>
        <w:t>Federation</w:t>
      </w:r>
      <w:r w:rsidRPr="004E4484">
        <w:rPr>
          <w:rFonts w:ascii="Arial" w:hAnsi="Arial" w:cs="Arial"/>
        </w:rPr>
        <w:t>.</w:t>
      </w:r>
    </w:p>
    <w:p w14:paraId="321F594D" w14:textId="77777777" w:rsidR="002A0C5B" w:rsidRPr="002A0C5B" w:rsidRDefault="002A0C5B" w:rsidP="002A0C5B">
      <w:pPr>
        <w:pStyle w:val="Heading2"/>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Hypotheses</w:t>
      </w:r>
    </w:p>
    <w:p w14:paraId="77B1A255" w14:textId="77777777" w:rsidR="002A0C5B" w:rsidRPr="002A0C5B" w:rsidRDefault="002A0C5B" w:rsidP="002A0C5B">
      <w:pPr>
        <w:pStyle w:val="NormalWeb"/>
        <w:spacing w:line="360" w:lineRule="auto"/>
        <w:jc w:val="both"/>
        <w:rPr>
          <w:rFonts w:ascii="Arial" w:hAnsi="Arial" w:cs="Arial"/>
          <w:color w:val="000000" w:themeColor="text1"/>
        </w:rPr>
      </w:pPr>
      <w:r w:rsidRPr="002A0C5B">
        <w:rPr>
          <w:rStyle w:val="Strong"/>
          <w:rFonts w:ascii="Arial" w:hAnsi="Arial" w:cs="Arial"/>
          <w:color w:val="000000" w:themeColor="text1"/>
        </w:rPr>
        <w:t>H1:</w:t>
      </w:r>
      <w:r w:rsidRPr="002A0C5B">
        <w:rPr>
          <w:rFonts w:ascii="Arial" w:hAnsi="Arial" w:cs="Arial"/>
          <w:color w:val="000000" w:themeColor="text1"/>
        </w:rPr>
        <w:t xml:space="preserve"> Higher attendance rates will be positively associated with greater reading-age progress.</w:t>
      </w:r>
    </w:p>
    <w:p w14:paraId="74AD7C07" w14:textId="77777777" w:rsidR="002A0C5B" w:rsidRPr="002A0C5B" w:rsidRDefault="002A0C5B" w:rsidP="002A0C5B">
      <w:pPr>
        <w:pStyle w:val="NormalWeb"/>
        <w:spacing w:line="360" w:lineRule="auto"/>
        <w:jc w:val="both"/>
        <w:rPr>
          <w:rFonts w:ascii="Arial" w:hAnsi="Arial" w:cs="Arial"/>
          <w:color w:val="000000" w:themeColor="text1"/>
        </w:rPr>
      </w:pPr>
      <w:r w:rsidRPr="002A0C5B">
        <w:rPr>
          <w:rStyle w:val="Strong"/>
          <w:rFonts w:ascii="Arial" w:hAnsi="Arial" w:cs="Arial"/>
          <w:color w:val="000000" w:themeColor="text1"/>
        </w:rPr>
        <w:t>H2:</w:t>
      </w:r>
      <w:r w:rsidRPr="002A0C5B">
        <w:rPr>
          <w:rFonts w:ascii="Arial" w:hAnsi="Arial" w:cs="Arial"/>
          <w:color w:val="000000" w:themeColor="text1"/>
        </w:rPr>
        <w:t xml:space="preserve"> Pupils eligible for eFSM will demonstrate significantly lower reading-age progress than non-eFSM pupils.</w:t>
      </w:r>
    </w:p>
    <w:p w14:paraId="3E7C20FD" w14:textId="77777777" w:rsidR="002A0C5B" w:rsidRPr="002A0C5B" w:rsidRDefault="002A0C5B" w:rsidP="002A0C5B">
      <w:pPr>
        <w:pStyle w:val="NormalWeb"/>
        <w:spacing w:line="360" w:lineRule="auto"/>
        <w:jc w:val="both"/>
        <w:rPr>
          <w:rFonts w:ascii="Arial" w:hAnsi="Arial" w:cs="Arial"/>
          <w:color w:val="000000" w:themeColor="text1"/>
        </w:rPr>
      </w:pPr>
      <w:r w:rsidRPr="002A0C5B">
        <w:rPr>
          <w:rStyle w:val="Strong"/>
          <w:rFonts w:ascii="Arial" w:hAnsi="Arial" w:cs="Arial"/>
          <w:color w:val="000000" w:themeColor="text1"/>
        </w:rPr>
        <w:lastRenderedPageBreak/>
        <w:t>H3:</w:t>
      </w:r>
      <w:r w:rsidRPr="002A0C5B">
        <w:rPr>
          <w:rFonts w:ascii="Arial" w:hAnsi="Arial" w:cs="Arial"/>
          <w:color w:val="000000" w:themeColor="text1"/>
        </w:rPr>
        <w:t xml:space="preserve"> Pupils identified with ALN will demonstrate significantly lower reading-age progress than pupils without identified additional learning needs.</w:t>
      </w:r>
    </w:p>
    <w:p w14:paraId="1AD4458E" w14:textId="4C5B0AEC" w:rsidR="002A0C5B" w:rsidRPr="002A0C5B" w:rsidRDefault="002A0C5B" w:rsidP="002A0C5B">
      <w:pPr>
        <w:pStyle w:val="NormalWeb"/>
        <w:spacing w:line="360" w:lineRule="auto"/>
        <w:jc w:val="both"/>
        <w:rPr>
          <w:rFonts w:ascii="Arial" w:hAnsi="Arial" w:cs="Arial"/>
          <w:color w:val="000000" w:themeColor="text1"/>
        </w:rPr>
      </w:pPr>
      <w:r w:rsidRPr="002A0C5B">
        <w:rPr>
          <w:rStyle w:val="Strong"/>
          <w:rFonts w:ascii="Arial" w:hAnsi="Arial" w:cs="Arial"/>
          <w:color w:val="000000" w:themeColor="text1"/>
        </w:rPr>
        <w:t>H4:</w:t>
      </w:r>
      <w:r w:rsidRPr="002A0C5B">
        <w:rPr>
          <w:rFonts w:ascii="Arial" w:hAnsi="Arial" w:cs="Arial"/>
          <w:color w:val="000000" w:themeColor="text1"/>
        </w:rPr>
        <w:t xml:space="preserve"> Reading-age progress will differ significantly according to gender.</w:t>
      </w:r>
    </w:p>
    <w:p w14:paraId="185477CE" w14:textId="77777777" w:rsidR="009A34F6" w:rsidRDefault="009A34F6" w:rsidP="009A34F6">
      <w:pPr>
        <w:spacing w:before="100" w:beforeAutospacing="1" w:after="100" w:afterAutospacing="1" w:line="360" w:lineRule="auto"/>
        <w:jc w:val="both"/>
        <w:outlineLvl w:val="0"/>
        <w:rPr>
          <w:rFonts w:ascii="Arial" w:hAnsi="Arial" w:cs="Arial"/>
          <w:b/>
          <w:bCs/>
          <w:kern w:val="36"/>
        </w:rPr>
      </w:pPr>
      <w:r w:rsidRPr="00462784">
        <w:rPr>
          <w:rFonts w:ascii="Arial" w:hAnsi="Arial" w:cs="Arial"/>
          <w:b/>
          <w:bCs/>
          <w:kern w:val="36"/>
        </w:rPr>
        <w:t>Methodology</w:t>
      </w:r>
    </w:p>
    <w:p w14:paraId="482FA46F" w14:textId="6CEA9A22"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This study was underpinned by a post-positivist epistemological </w:t>
      </w:r>
      <w:r w:rsidR="00C42704" w:rsidRPr="002A0C5B">
        <w:rPr>
          <w:rFonts w:ascii="Arial" w:hAnsi="Arial" w:cs="Arial"/>
          <w:color w:val="000000" w:themeColor="text1"/>
        </w:rPr>
        <w:t>stance</w:t>
      </w:r>
      <w:r w:rsidR="00C42704">
        <w:rPr>
          <w:rFonts w:ascii="Arial" w:hAnsi="Arial" w:cs="Arial"/>
          <w:color w:val="000000" w:themeColor="text1"/>
        </w:rPr>
        <w:t>;</w:t>
      </w:r>
      <w:r w:rsidR="00C7291C">
        <w:rPr>
          <w:rFonts w:ascii="Arial" w:hAnsi="Arial" w:cs="Arial"/>
          <w:color w:val="000000" w:themeColor="text1"/>
        </w:rPr>
        <w:t xml:space="preserve"> a</w:t>
      </w:r>
      <w:r w:rsidRPr="002A0C5B">
        <w:rPr>
          <w:rFonts w:ascii="Arial" w:hAnsi="Arial" w:cs="Arial"/>
          <w:color w:val="000000" w:themeColor="text1"/>
        </w:rPr>
        <w:t xml:space="preserve"> post-positivist approach was considered appropriate because the research sought to test a series of hypotheses using objective quantitative data. Reading-age progress was treated as a measurable outcome, and statistical analyses were used to examine the relationships between attendance, eFSM status, ALN status, gender and pupil progress. Whilst recognising the limitations of quantitative measurement, the study aimed to generate evidence-based conclusions through systematic statistical inquiry (Creswell &amp; Creswell, 2018; Cohen et al., 2018).</w:t>
      </w:r>
    </w:p>
    <w:p w14:paraId="66C40AD7" w14:textId="59CC8B39"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To address the research questions, a quantitative, non-experimental design was employe</w:t>
      </w:r>
      <w:r w:rsidR="00C7291C">
        <w:rPr>
          <w:rFonts w:ascii="Arial" w:hAnsi="Arial" w:cs="Arial"/>
          <w:color w:val="000000" w:themeColor="text1"/>
        </w:rPr>
        <w:t>d, t</w:t>
      </w:r>
      <w:r w:rsidRPr="002A0C5B">
        <w:rPr>
          <w:rFonts w:ascii="Arial" w:hAnsi="Arial" w:cs="Arial"/>
          <w:color w:val="000000" w:themeColor="text1"/>
        </w:rPr>
        <w:t>his approach enabled the examination of relationships between measurable variables and facilitated the identification of statistically significant differences between pupil groups. Attendance, eFSM status, ALN status and gender were examined as independent variables, whilst reading-age progress served as the dependent variable.</w:t>
      </w:r>
    </w:p>
    <w:p w14:paraId="09E0D61E" w14:textId="4249AE0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Data w</w:t>
      </w:r>
      <w:r w:rsidR="00C7291C">
        <w:rPr>
          <w:rFonts w:ascii="Arial" w:hAnsi="Arial" w:cs="Arial"/>
          <w:color w:val="000000" w:themeColor="text1"/>
        </w:rPr>
        <w:t>as</w:t>
      </w:r>
      <w:r w:rsidRPr="002A0C5B">
        <w:rPr>
          <w:rFonts w:ascii="Arial" w:hAnsi="Arial" w:cs="Arial"/>
          <w:color w:val="000000" w:themeColor="text1"/>
        </w:rPr>
        <w:t xml:space="preserve"> drawn from routinely collected school assessment and demographic records and analysed retrospectively. No intervention was introduced as part of the study</w:t>
      </w:r>
      <w:r w:rsidR="00C7291C">
        <w:rPr>
          <w:rFonts w:ascii="Arial" w:hAnsi="Arial" w:cs="Arial"/>
          <w:color w:val="000000" w:themeColor="text1"/>
        </w:rPr>
        <w:t xml:space="preserve"> i</w:t>
      </w:r>
      <w:r w:rsidRPr="002A0C5B">
        <w:rPr>
          <w:rFonts w:ascii="Arial" w:hAnsi="Arial" w:cs="Arial"/>
          <w:color w:val="000000" w:themeColor="text1"/>
        </w:rPr>
        <w:t>nstead, the research explored naturally occurring variation in pupil outcomes over the course of an academic year. This retrospective cohort design provided an opportunity to investigate patterns of reading-age progress within an authentic educational setting across a whole Year 6 cohort.</w:t>
      </w:r>
    </w:p>
    <w:p w14:paraId="1182E19E" w14:textId="77777777" w:rsidR="002A0C5B" w:rsidRPr="002A0C5B" w:rsidRDefault="002A0C5B" w:rsidP="002A0C5B">
      <w:pPr>
        <w:pStyle w:val="Heading2"/>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Participants</w:t>
      </w:r>
    </w:p>
    <w:p w14:paraId="65161E06" w14:textId="3A07DD32"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The sample consisted of 177 Year 6 pupils attending a</w:t>
      </w:r>
      <w:r w:rsidR="00C42704">
        <w:rPr>
          <w:rFonts w:ascii="Arial" w:hAnsi="Arial" w:cs="Arial"/>
          <w:color w:val="000000" w:themeColor="text1"/>
        </w:rPr>
        <w:t xml:space="preserve"> Welsh</w:t>
      </w:r>
      <w:r w:rsidR="00983942">
        <w:rPr>
          <w:rFonts w:ascii="Arial" w:hAnsi="Arial" w:cs="Arial"/>
          <w:color w:val="000000" w:themeColor="text1"/>
        </w:rPr>
        <w:t xml:space="preserve"> Primary</w:t>
      </w:r>
      <w:r w:rsidR="00C42704">
        <w:rPr>
          <w:rFonts w:ascii="Arial" w:hAnsi="Arial" w:cs="Arial"/>
          <w:color w:val="000000" w:themeColor="text1"/>
        </w:rPr>
        <w:t xml:space="preserve"> Federation</w:t>
      </w:r>
      <w:r w:rsidRPr="002A0C5B">
        <w:rPr>
          <w:rFonts w:ascii="Arial" w:hAnsi="Arial" w:cs="Arial"/>
          <w:color w:val="000000" w:themeColor="text1"/>
        </w:rPr>
        <w:t>. The cohort included 92 boys (52.0%), 84 girls (47.5%) and one pupil recorded within an alternative gender category (0.5%). Seventy-six pupils (42.9%) were eligible for Free School Meals (eFSM), whilst 101 pupils (57.1%) were not.</w:t>
      </w:r>
    </w:p>
    <w:p w14:paraId="1C8AABCA" w14:textId="7BA3AB9C"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lastRenderedPageBreak/>
        <w:t xml:space="preserve">Eighty-three pupils (46.9%) were identified as having an Additional Learning Need (ALN) and were recorded by the school as receiving monitoring, School Individual Development Plan (IDP), Local Authority IDP, ALN provision or Pupil-Centred </w:t>
      </w:r>
      <w:r w:rsidR="00F35E25">
        <w:rPr>
          <w:rFonts w:ascii="Arial" w:hAnsi="Arial" w:cs="Arial"/>
          <w:color w:val="000000" w:themeColor="text1"/>
        </w:rPr>
        <w:t>Plan</w:t>
      </w:r>
      <w:r w:rsidRPr="002A0C5B">
        <w:rPr>
          <w:rFonts w:ascii="Arial" w:hAnsi="Arial" w:cs="Arial"/>
          <w:color w:val="000000" w:themeColor="text1"/>
        </w:rPr>
        <w:t xml:space="preserve"> (PC</w:t>
      </w:r>
      <w:r w:rsidR="00F35E25">
        <w:rPr>
          <w:rFonts w:ascii="Arial" w:hAnsi="Arial" w:cs="Arial"/>
          <w:color w:val="000000" w:themeColor="text1"/>
        </w:rPr>
        <w:t>P</w:t>
      </w:r>
      <w:r w:rsidRPr="002A0C5B">
        <w:rPr>
          <w:rFonts w:ascii="Arial" w:hAnsi="Arial" w:cs="Arial"/>
          <w:color w:val="000000" w:themeColor="text1"/>
        </w:rPr>
        <w:t>) support. Ninety-four pupils (53.1%) had no identified Additional Learning Need.</w:t>
      </w:r>
    </w:p>
    <w:p w14:paraId="0EED3589" w14:textId="2DC597FD"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As the study included the entire Year 6 cohort</w:t>
      </w:r>
      <w:r w:rsidR="00C42704">
        <w:rPr>
          <w:rFonts w:ascii="Arial" w:hAnsi="Arial" w:cs="Arial"/>
          <w:color w:val="000000" w:themeColor="text1"/>
        </w:rPr>
        <w:t>s</w:t>
      </w:r>
      <w:r w:rsidRPr="002A0C5B">
        <w:rPr>
          <w:rFonts w:ascii="Arial" w:hAnsi="Arial" w:cs="Arial"/>
          <w:color w:val="000000" w:themeColor="text1"/>
        </w:rPr>
        <w:t>, no sampling procedure was required.</w:t>
      </w:r>
    </w:p>
    <w:p w14:paraId="3D2B7162" w14:textId="77777777" w:rsidR="002A0C5B" w:rsidRPr="002A0C5B" w:rsidRDefault="002A0C5B" w:rsidP="002A0C5B">
      <w:pPr>
        <w:pStyle w:val="Heading2"/>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Measures</w:t>
      </w:r>
    </w:p>
    <w:p w14:paraId="46A98150" w14:textId="77777777" w:rsidR="002A0C5B" w:rsidRPr="002A0C5B" w:rsidRDefault="002A0C5B" w:rsidP="002A0C5B">
      <w:pPr>
        <w:pStyle w:val="Heading3"/>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Salford Reading Test</w:t>
      </w:r>
    </w:p>
    <w:p w14:paraId="6FD2A331"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Reading attainment was measured using the Salford Reading Test, a standardised assessment commonly used within UK schools to assess reading accuracy and fluency and provide an estimate of reading age (Vincent &amp; de la Mare, 2008).</w:t>
      </w:r>
    </w:p>
    <w:p w14:paraId="7ECB736D"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The assessment was administered at the beginning of Year 6 in October 2025 and repeated in June 2026, approximately eight months later. Reading-age scores were converted into total months prior to analysis to facilitate accurate calculation of reading-age progress and permit valid statistical comparisons. Progress was calculated by subtracting baseline reading age from follow-up reading age.</w:t>
      </w:r>
    </w:p>
    <w:p w14:paraId="5E181AB3" w14:textId="77777777" w:rsidR="002A0C5B" w:rsidRPr="002A0C5B" w:rsidRDefault="002A0C5B" w:rsidP="002A0C5B">
      <w:pPr>
        <w:pStyle w:val="Heading3"/>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Attendance</w:t>
      </w:r>
    </w:p>
    <w:p w14:paraId="5DC539D7"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Attendance data were obtained from Bromcom school records and recorded as attendance percentages. Attendance was treated as a continuous variable for statistical analysis.</w:t>
      </w:r>
    </w:p>
    <w:p w14:paraId="7248CDC3" w14:textId="77777777" w:rsidR="002A0C5B" w:rsidRPr="002A0C5B" w:rsidRDefault="002A0C5B" w:rsidP="002A0C5B">
      <w:pPr>
        <w:pStyle w:val="Heading3"/>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Free School Meal Eligibility</w:t>
      </w:r>
    </w:p>
    <w:p w14:paraId="6E0A97D1" w14:textId="48B2E2B8"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eFSM status was obtained from </w:t>
      </w:r>
      <w:r w:rsidR="00983942">
        <w:rPr>
          <w:rFonts w:ascii="Arial" w:hAnsi="Arial" w:cs="Arial"/>
          <w:color w:val="000000" w:themeColor="text1"/>
        </w:rPr>
        <w:t xml:space="preserve">Bromcom </w:t>
      </w:r>
      <w:r w:rsidRPr="002A0C5B">
        <w:rPr>
          <w:rFonts w:ascii="Arial" w:hAnsi="Arial" w:cs="Arial"/>
          <w:color w:val="000000" w:themeColor="text1"/>
        </w:rPr>
        <w:t>school records and recorded as a binary variable indicating whether pupils were eligible</w:t>
      </w:r>
      <w:r w:rsidR="00C7291C">
        <w:rPr>
          <w:rFonts w:ascii="Arial" w:hAnsi="Arial" w:cs="Arial"/>
          <w:color w:val="000000" w:themeColor="text1"/>
        </w:rPr>
        <w:t xml:space="preserve"> (Y)</w:t>
      </w:r>
      <w:r w:rsidRPr="002A0C5B">
        <w:rPr>
          <w:rFonts w:ascii="Arial" w:hAnsi="Arial" w:cs="Arial"/>
          <w:color w:val="000000" w:themeColor="text1"/>
        </w:rPr>
        <w:t xml:space="preserve"> or not eligible for Free School Meals</w:t>
      </w:r>
      <w:r w:rsidR="00C7291C">
        <w:rPr>
          <w:rFonts w:ascii="Arial" w:hAnsi="Arial" w:cs="Arial"/>
          <w:color w:val="000000" w:themeColor="text1"/>
        </w:rPr>
        <w:t xml:space="preserve"> (N)</w:t>
      </w:r>
      <w:r w:rsidRPr="002A0C5B">
        <w:rPr>
          <w:rFonts w:ascii="Arial" w:hAnsi="Arial" w:cs="Arial"/>
          <w:color w:val="000000" w:themeColor="text1"/>
        </w:rPr>
        <w:t>.</w:t>
      </w:r>
    </w:p>
    <w:p w14:paraId="276F0F02" w14:textId="43504CEF" w:rsidR="002A0C5B" w:rsidRPr="002A0C5B" w:rsidRDefault="002A0C5B" w:rsidP="002A0C5B">
      <w:pPr>
        <w:pStyle w:val="Heading3"/>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Additional Learning Needs</w:t>
      </w:r>
      <w:r w:rsidR="00CD4560">
        <w:rPr>
          <w:rFonts w:ascii="Arial" w:hAnsi="Arial" w:cs="Arial"/>
          <w:b/>
          <w:bCs/>
          <w:color w:val="000000" w:themeColor="text1"/>
          <w:sz w:val="24"/>
          <w:szCs w:val="24"/>
        </w:rPr>
        <w:t xml:space="preserve"> (ALN)</w:t>
      </w:r>
    </w:p>
    <w:p w14:paraId="6B3839AA" w14:textId="3D81E7C9" w:rsidR="009B0D67" w:rsidRDefault="002A0C5B" w:rsidP="009B0D67">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ALN status was determined from school </w:t>
      </w:r>
      <w:r w:rsidR="00983942">
        <w:rPr>
          <w:rFonts w:ascii="Arial" w:hAnsi="Arial" w:cs="Arial"/>
          <w:color w:val="000000" w:themeColor="text1"/>
        </w:rPr>
        <w:t xml:space="preserve">Bromcom </w:t>
      </w:r>
      <w:r w:rsidRPr="002A0C5B">
        <w:rPr>
          <w:rFonts w:ascii="Arial" w:hAnsi="Arial" w:cs="Arial"/>
          <w:color w:val="000000" w:themeColor="text1"/>
        </w:rPr>
        <w:t>records</w:t>
      </w:r>
      <w:r w:rsidR="00C7291C">
        <w:rPr>
          <w:rFonts w:ascii="Arial" w:hAnsi="Arial" w:cs="Arial"/>
          <w:color w:val="000000" w:themeColor="text1"/>
        </w:rPr>
        <w:t>, p</w:t>
      </w:r>
      <w:r w:rsidRPr="002A0C5B">
        <w:rPr>
          <w:rFonts w:ascii="Arial" w:hAnsi="Arial" w:cs="Arial"/>
          <w:color w:val="000000" w:themeColor="text1"/>
        </w:rPr>
        <w:t>upils receiving monitoring, School I</w:t>
      </w:r>
      <w:r w:rsidR="00CD4560">
        <w:rPr>
          <w:rFonts w:ascii="Arial" w:hAnsi="Arial" w:cs="Arial"/>
          <w:color w:val="000000" w:themeColor="text1"/>
        </w:rPr>
        <w:t xml:space="preserve">ndividual </w:t>
      </w:r>
      <w:r w:rsidRPr="002A0C5B">
        <w:rPr>
          <w:rFonts w:ascii="Arial" w:hAnsi="Arial" w:cs="Arial"/>
          <w:color w:val="000000" w:themeColor="text1"/>
        </w:rPr>
        <w:t>D</w:t>
      </w:r>
      <w:r w:rsidR="00CD4560">
        <w:rPr>
          <w:rFonts w:ascii="Arial" w:hAnsi="Arial" w:cs="Arial"/>
          <w:color w:val="000000" w:themeColor="text1"/>
        </w:rPr>
        <w:t xml:space="preserve">evelopment </w:t>
      </w:r>
      <w:r w:rsidRPr="002A0C5B">
        <w:rPr>
          <w:rFonts w:ascii="Arial" w:hAnsi="Arial" w:cs="Arial"/>
          <w:color w:val="000000" w:themeColor="text1"/>
        </w:rPr>
        <w:t>P</w:t>
      </w:r>
      <w:r w:rsidR="00CD4560">
        <w:rPr>
          <w:rFonts w:ascii="Arial" w:hAnsi="Arial" w:cs="Arial"/>
          <w:color w:val="000000" w:themeColor="text1"/>
        </w:rPr>
        <w:t>lan (IDP)</w:t>
      </w:r>
      <w:r w:rsidRPr="002A0C5B">
        <w:rPr>
          <w:rFonts w:ascii="Arial" w:hAnsi="Arial" w:cs="Arial"/>
          <w:color w:val="000000" w:themeColor="text1"/>
        </w:rPr>
        <w:t xml:space="preserve">, Local Authority IDP, ALN </w:t>
      </w:r>
      <w:r w:rsidRPr="002A0C5B">
        <w:rPr>
          <w:rFonts w:ascii="Arial" w:hAnsi="Arial" w:cs="Arial"/>
          <w:color w:val="000000" w:themeColor="text1"/>
        </w:rPr>
        <w:lastRenderedPageBreak/>
        <w:t xml:space="preserve">provision or </w:t>
      </w:r>
      <w:r w:rsidR="00CD4560" w:rsidRPr="002A0C5B">
        <w:rPr>
          <w:rFonts w:ascii="Arial" w:hAnsi="Arial" w:cs="Arial"/>
          <w:color w:val="000000" w:themeColor="text1"/>
        </w:rPr>
        <w:t>P</w:t>
      </w:r>
      <w:r w:rsidR="00741885">
        <w:rPr>
          <w:rFonts w:ascii="Arial" w:hAnsi="Arial" w:cs="Arial"/>
          <w:color w:val="000000" w:themeColor="text1"/>
        </w:rPr>
        <w:t>upil</w:t>
      </w:r>
      <w:r w:rsidR="00CD4560">
        <w:rPr>
          <w:rFonts w:ascii="Arial" w:hAnsi="Arial" w:cs="Arial"/>
          <w:color w:val="000000" w:themeColor="text1"/>
        </w:rPr>
        <w:t xml:space="preserve">-Centred </w:t>
      </w:r>
      <w:r w:rsidR="00C7291C">
        <w:rPr>
          <w:rFonts w:ascii="Arial" w:hAnsi="Arial" w:cs="Arial"/>
          <w:color w:val="000000" w:themeColor="text1"/>
        </w:rPr>
        <w:t>P</w:t>
      </w:r>
      <w:r w:rsidR="00CD4560">
        <w:rPr>
          <w:rFonts w:ascii="Arial" w:hAnsi="Arial" w:cs="Arial"/>
          <w:color w:val="000000" w:themeColor="text1"/>
        </w:rPr>
        <w:t>lan (PCP)</w:t>
      </w:r>
      <w:r w:rsidRPr="002A0C5B">
        <w:rPr>
          <w:rFonts w:ascii="Arial" w:hAnsi="Arial" w:cs="Arial"/>
          <w:color w:val="000000" w:themeColor="text1"/>
        </w:rPr>
        <w:t xml:space="preserve"> support were classified as having an Additional Learning Need.</w:t>
      </w:r>
    </w:p>
    <w:p w14:paraId="067FF09D" w14:textId="5D38E864" w:rsidR="002A0C5B" w:rsidRPr="009B0D67" w:rsidRDefault="002A0C5B" w:rsidP="009B0D67">
      <w:pPr>
        <w:pStyle w:val="NormalWeb"/>
        <w:spacing w:line="360" w:lineRule="auto"/>
        <w:jc w:val="both"/>
        <w:rPr>
          <w:rFonts w:ascii="Arial" w:hAnsi="Arial" w:cs="Arial"/>
          <w:color w:val="000000" w:themeColor="text1"/>
        </w:rPr>
      </w:pPr>
      <w:r w:rsidRPr="002A0C5B">
        <w:rPr>
          <w:rFonts w:ascii="Arial" w:hAnsi="Arial" w:cs="Arial"/>
          <w:b/>
          <w:bCs/>
          <w:color w:val="000000" w:themeColor="text1"/>
        </w:rPr>
        <w:t>Gender</w:t>
      </w:r>
    </w:p>
    <w:p w14:paraId="753E5D9F"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Gender was recorded according to school records and categorised for statistical analysis.</w:t>
      </w:r>
    </w:p>
    <w:p w14:paraId="749A8B81" w14:textId="77777777" w:rsidR="002A0C5B" w:rsidRPr="002A0C5B" w:rsidRDefault="002A0C5B" w:rsidP="002A0C5B">
      <w:pPr>
        <w:pStyle w:val="Heading2"/>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Procedure</w:t>
      </w:r>
    </w:p>
    <w:p w14:paraId="67E6BF88"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The Salford Reading Test was administered in October 2025 and repeated in June 2026. Assessments were administered by trained school staff following the standardised procedures outlined within the test manual. Following completion of the assessments, reading-age data, attendance records and demographic information were anonymised and combined into a single dataset for analysis.</w:t>
      </w:r>
    </w:p>
    <w:p w14:paraId="1A4EC55C" w14:textId="77777777" w:rsidR="002A0C5B" w:rsidRPr="002A0C5B" w:rsidRDefault="002A0C5B" w:rsidP="002A0C5B">
      <w:pPr>
        <w:pStyle w:val="Heading2"/>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Ethical Considerations</w:t>
      </w:r>
    </w:p>
    <w:p w14:paraId="5AF6250D"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The study utilised anonymised secondary data routinely collected by the school as part of its normal assessment and monitoring procedures. No identifying pupil information was included within the dataset or reported within the findings.</w:t>
      </w:r>
    </w:p>
    <w:p w14:paraId="2FF83A44" w14:textId="0BD59479"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Data w</w:t>
      </w:r>
      <w:r w:rsidR="00C7291C">
        <w:rPr>
          <w:rFonts w:ascii="Arial" w:hAnsi="Arial" w:cs="Arial"/>
          <w:color w:val="000000" w:themeColor="text1"/>
        </w:rPr>
        <w:t xml:space="preserve">as </w:t>
      </w:r>
      <w:r w:rsidRPr="002A0C5B">
        <w:rPr>
          <w:rFonts w:ascii="Arial" w:hAnsi="Arial" w:cs="Arial"/>
          <w:color w:val="000000" w:themeColor="text1"/>
        </w:rPr>
        <w:t>stored securely and analysed in accordance with school data-protection procedures, the General Data Protection Regulation (GDPR) and institutional ethical guidelines. As the research involved secondary analysis of anonymised educational data collected routinely by the school, no direct participant recruitment was required.</w:t>
      </w:r>
    </w:p>
    <w:p w14:paraId="60E014AC" w14:textId="77777777" w:rsidR="002A0C5B" w:rsidRPr="002A0C5B" w:rsidRDefault="002A0C5B" w:rsidP="002A0C5B">
      <w:pPr>
        <w:pStyle w:val="Heading2"/>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Data Analysis</w:t>
      </w:r>
    </w:p>
    <w:p w14:paraId="0F85FFC0" w14:textId="651050D9"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Data w</w:t>
      </w:r>
      <w:r w:rsidR="00C7291C">
        <w:rPr>
          <w:rFonts w:ascii="Arial" w:hAnsi="Arial" w:cs="Arial"/>
          <w:color w:val="000000" w:themeColor="text1"/>
        </w:rPr>
        <w:t>as</w:t>
      </w:r>
      <w:r w:rsidRPr="002A0C5B">
        <w:rPr>
          <w:rFonts w:ascii="Arial" w:hAnsi="Arial" w:cs="Arial"/>
          <w:color w:val="000000" w:themeColor="text1"/>
        </w:rPr>
        <w:t xml:space="preserve"> analysed using Microsoft Excel and IBM SPSS Statistics</w:t>
      </w:r>
      <w:r w:rsidR="00C7291C">
        <w:rPr>
          <w:rFonts w:ascii="Arial" w:hAnsi="Arial" w:cs="Arial"/>
          <w:color w:val="000000" w:themeColor="text1"/>
        </w:rPr>
        <w:t>, p</w:t>
      </w:r>
      <w:r w:rsidRPr="002A0C5B">
        <w:rPr>
          <w:rFonts w:ascii="Arial" w:hAnsi="Arial" w:cs="Arial"/>
          <w:color w:val="000000" w:themeColor="text1"/>
        </w:rPr>
        <w:t>rior to analysis, all reading-age scores were converted into total months to facilitate calculation of reading-age progress. Descriptive statistics, including frequencies, means and standard deviations, were calculated to provide an overview of the sample and patterns of reading attainment and progress.</w:t>
      </w:r>
    </w:p>
    <w:p w14:paraId="22B1267E" w14:textId="67607F27" w:rsidR="002A0C5B" w:rsidRPr="009B0D67" w:rsidRDefault="002A0C5B" w:rsidP="009B0D67">
      <w:pPr>
        <w:spacing w:line="360" w:lineRule="auto"/>
        <w:jc w:val="both"/>
        <w:rPr>
          <w:rFonts w:ascii="Segoe UI" w:hAnsi="Segoe UI" w:cs="Segoe UI"/>
          <w:sz w:val="21"/>
          <w:szCs w:val="21"/>
        </w:rPr>
      </w:pPr>
      <w:r w:rsidRPr="002A0C5B">
        <w:rPr>
          <w:rFonts w:ascii="Arial" w:hAnsi="Arial" w:cs="Arial"/>
          <w:color w:val="000000" w:themeColor="text1"/>
        </w:rPr>
        <w:t xml:space="preserve">The distribution of reading-age progress scores was assessed using descriptive statistics, histograms and a Shapiro-Wilk test of normality. As the data deviated </w:t>
      </w:r>
      <w:r w:rsidRPr="002A0C5B">
        <w:rPr>
          <w:rFonts w:ascii="Arial" w:hAnsi="Arial" w:cs="Arial"/>
          <w:color w:val="000000" w:themeColor="text1"/>
        </w:rPr>
        <w:lastRenderedPageBreak/>
        <w:t xml:space="preserve">significantly from a normal distribution, </w:t>
      </w:r>
      <w:r w:rsidR="009B0D67" w:rsidRPr="009B0D67">
        <w:rPr>
          <w:rFonts w:ascii="Arial" w:hAnsi="Arial" w:cs="Arial"/>
        </w:rPr>
        <w:t>a</w:t>
      </w:r>
      <w:r w:rsidR="009B0D67" w:rsidRPr="009B0D67">
        <w:rPr>
          <w:rFonts w:ascii="Arial" w:hAnsi="Arial" w:cs="Arial"/>
        </w:rPr>
        <w:t>lternative non-parametric analyses were considered; however, parametric procedures were retained because of the sample size and the robustness of Pearson's correlation and independent-samples t-tests to moderate departures from normality</w:t>
      </w:r>
      <w:r w:rsidR="009B0D67" w:rsidRPr="009B0D67">
        <w:rPr>
          <w:rFonts w:ascii="Arial" w:hAnsi="Arial" w:cs="Arial"/>
        </w:rPr>
        <w:t>.</w:t>
      </w:r>
    </w:p>
    <w:p w14:paraId="011E7D07"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Pearson's Product-Moment Correlation was used to examine the relationship between attendance and reading-age progress. Pearson's </w:t>
      </w:r>
      <w:r w:rsidRPr="002A0C5B">
        <w:rPr>
          <w:rStyle w:val="Emphasis"/>
          <w:rFonts w:ascii="Arial" w:hAnsi="Arial" w:cs="Arial"/>
          <w:color w:val="000000" w:themeColor="text1"/>
        </w:rPr>
        <w:t>r</w:t>
      </w:r>
      <w:r w:rsidRPr="002A0C5B">
        <w:rPr>
          <w:rFonts w:ascii="Arial" w:hAnsi="Arial" w:cs="Arial"/>
          <w:color w:val="000000" w:themeColor="text1"/>
        </w:rPr>
        <w:t xml:space="preserve"> was selected because both variables were continuous and the study sought to determine the strength and direction of any linear relationship between them.</w:t>
      </w:r>
    </w:p>
    <w:p w14:paraId="4603932D" w14:textId="095CAB28"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Independent-samples </w:t>
      </w:r>
      <w:r w:rsidRPr="002A0C5B">
        <w:rPr>
          <w:rStyle w:val="Emphasis"/>
          <w:rFonts w:ascii="Arial" w:hAnsi="Arial" w:cs="Arial"/>
          <w:color w:val="000000" w:themeColor="text1"/>
        </w:rPr>
        <w:t>t</w:t>
      </w:r>
      <w:r w:rsidRPr="002A0C5B">
        <w:rPr>
          <w:rFonts w:ascii="Arial" w:hAnsi="Arial" w:cs="Arial"/>
          <w:color w:val="000000" w:themeColor="text1"/>
        </w:rPr>
        <w:t>-tests were used to compare reading-age progress according to eFSM status, ALN status and gender. Statistical significance was assessed using an alpha level of .05 throughout all analyses.</w:t>
      </w:r>
    </w:p>
    <w:p w14:paraId="112D9012" w14:textId="77777777" w:rsidR="00C42704" w:rsidRDefault="00462784" w:rsidP="00983942">
      <w:pPr>
        <w:jc w:val="both"/>
        <w:outlineLvl w:val="1"/>
        <w:rPr>
          <w:rFonts w:ascii="Arial" w:hAnsi="Arial" w:cs="Arial"/>
          <w:b/>
          <w:bCs/>
        </w:rPr>
      </w:pPr>
      <w:bookmarkStart w:id="0" w:name="OLE_LINK11"/>
      <w:r w:rsidRPr="00462784">
        <w:rPr>
          <w:rFonts w:ascii="Arial" w:hAnsi="Arial" w:cs="Arial"/>
          <w:b/>
          <w:bCs/>
        </w:rPr>
        <w:t>Results</w:t>
      </w:r>
    </w:p>
    <w:p w14:paraId="2DF2C35D" w14:textId="79A384E0" w:rsidR="00462784" w:rsidRPr="00462784" w:rsidRDefault="002A0C5B" w:rsidP="00983942">
      <w:pPr>
        <w:jc w:val="both"/>
        <w:outlineLvl w:val="1"/>
        <w:rPr>
          <w:rFonts w:ascii="Arial" w:hAnsi="Arial" w:cs="Arial"/>
          <w:b/>
          <w:bCs/>
        </w:rPr>
      </w:pPr>
      <w:r>
        <w:rPr>
          <w:rFonts w:ascii="Arial" w:hAnsi="Arial" w:cs="Arial"/>
          <w:b/>
          <w:bCs/>
        </w:rPr>
        <w:t>Table</w:t>
      </w:r>
      <w:r w:rsidR="00462784" w:rsidRPr="00462784">
        <w:rPr>
          <w:rFonts w:ascii="Arial" w:hAnsi="Arial" w:cs="Arial"/>
          <w:b/>
          <w:bCs/>
        </w:rPr>
        <w:t xml:space="preserve"> </w:t>
      </w:r>
      <w:r w:rsidR="00462784">
        <w:rPr>
          <w:rFonts w:ascii="Arial" w:hAnsi="Arial" w:cs="Arial"/>
          <w:b/>
          <w:bCs/>
        </w:rPr>
        <w:t>1</w:t>
      </w:r>
      <w:r w:rsidR="00462784" w:rsidRPr="00462784">
        <w:rPr>
          <w:rFonts w:ascii="Arial" w:hAnsi="Arial" w:cs="Arial"/>
          <w:b/>
          <w:bCs/>
        </w:rPr>
        <w:t>.1</w:t>
      </w:r>
      <w:r>
        <w:rPr>
          <w:rFonts w:ascii="Arial" w:hAnsi="Arial" w:cs="Arial"/>
          <w:b/>
          <w:bCs/>
        </w:rPr>
        <w:t xml:space="preserve"> Descriptive statistics of Reading-Age Progress</w:t>
      </w:r>
    </w:p>
    <w:tbl>
      <w:tblPr>
        <w:tblStyle w:val="TableGrid"/>
        <w:tblW w:w="0" w:type="auto"/>
        <w:tblLook w:val="04A0" w:firstRow="1" w:lastRow="0" w:firstColumn="1" w:lastColumn="0" w:noHBand="0" w:noVBand="1"/>
      </w:tblPr>
      <w:tblGrid>
        <w:gridCol w:w="4248"/>
        <w:gridCol w:w="709"/>
        <w:gridCol w:w="833"/>
        <w:gridCol w:w="1043"/>
        <w:gridCol w:w="897"/>
        <w:gridCol w:w="1286"/>
      </w:tblGrid>
      <w:tr w:rsidR="00462784" w:rsidRPr="00462784" w14:paraId="3C3C1036" w14:textId="77777777" w:rsidTr="00462784">
        <w:tc>
          <w:tcPr>
            <w:tcW w:w="4248" w:type="dxa"/>
          </w:tcPr>
          <w:p w14:paraId="0FBBB822" w14:textId="641AA234" w:rsidR="00462784" w:rsidRPr="00462784" w:rsidRDefault="00462784" w:rsidP="00462784">
            <w:pPr>
              <w:spacing w:before="100" w:beforeAutospacing="1" w:after="100" w:afterAutospacing="1" w:line="360" w:lineRule="auto"/>
              <w:jc w:val="center"/>
              <w:outlineLvl w:val="1"/>
              <w:rPr>
                <w:rFonts w:ascii="Arial" w:hAnsi="Arial" w:cs="Arial"/>
                <w:b/>
                <w:bCs/>
              </w:rPr>
            </w:pPr>
            <w:r w:rsidRPr="00462784">
              <w:rPr>
                <w:rFonts w:ascii="Arial" w:hAnsi="Arial" w:cs="Arial"/>
                <w:b/>
                <w:bCs/>
              </w:rPr>
              <w:t>Variable</w:t>
            </w:r>
          </w:p>
        </w:tc>
        <w:tc>
          <w:tcPr>
            <w:tcW w:w="709" w:type="dxa"/>
          </w:tcPr>
          <w:p w14:paraId="2F93A57A" w14:textId="6555C32A" w:rsidR="00462784" w:rsidRPr="00462784" w:rsidRDefault="00462784" w:rsidP="00462784">
            <w:pPr>
              <w:spacing w:before="100" w:beforeAutospacing="1" w:after="100" w:afterAutospacing="1" w:line="360" w:lineRule="auto"/>
              <w:jc w:val="center"/>
              <w:outlineLvl w:val="1"/>
              <w:rPr>
                <w:rFonts w:ascii="Arial" w:hAnsi="Arial" w:cs="Arial"/>
                <w:b/>
                <w:bCs/>
              </w:rPr>
            </w:pPr>
            <w:r w:rsidRPr="00462784">
              <w:rPr>
                <w:rFonts w:ascii="Arial" w:hAnsi="Arial" w:cs="Arial"/>
                <w:b/>
                <w:bCs/>
              </w:rPr>
              <w:t>N</w:t>
            </w:r>
          </w:p>
        </w:tc>
        <w:tc>
          <w:tcPr>
            <w:tcW w:w="833" w:type="dxa"/>
          </w:tcPr>
          <w:p w14:paraId="4E400AD7" w14:textId="0250F4FA" w:rsidR="00462784" w:rsidRPr="00462784" w:rsidRDefault="00462784" w:rsidP="00462784">
            <w:pPr>
              <w:spacing w:before="100" w:beforeAutospacing="1" w:after="100" w:afterAutospacing="1" w:line="360" w:lineRule="auto"/>
              <w:jc w:val="center"/>
              <w:outlineLvl w:val="1"/>
              <w:rPr>
                <w:rFonts w:ascii="Arial" w:hAnsi="Arial" w:cs="Arial"/>
                <w:b/>
                <w:bCs/>
              </w:rPr>
            </w:pPr>
            <w:r w:rsidRPr="00462784">
              <w:rPr>
                <w:rFonts w:ascii="Arial" w:hAnsi="Arial" w:cs="Arial"/>
                <w:b/>
                <w:bCs/>
              </w:rPr>
              <w:t>Mean</w:t>
            </w:r>
          </w:p>
        </w:tc>
        <w:tc>
          <w:tcPr>
            <w:tcW w:w="1043" w:type="dxa"/>
          </w:tcPr>
          <w:p w14:paraId="09ECCBED" w14:textId="27A4AACE" w:rsidR="00462784" w:rsidRPr="00462784" w:rsidRDefault="00462784" w:rsidP="00462784">
            <w:pPr>
              <w:spacing w:before="100" w:beforeAutospacing="1" w:after="100" w:afterAutospacing="1" w:line="360" w:lineRule="auto"/>
              <w:jc w:val="center"/>
              <w:outlineLvl w:val="1"/>
              <w:rPr>
                <w:rFonts w:ascii="Arial" w:hAnsi="Arial" w:cs="Arial"/>
                <w:b/>
                <w:bCs/>
              </w:rPr>
            </w:pPr>
            <w:r w:rsidRPr="00462784">
              <w:rPr>
                <w:rFonts w:ascii="Arial" w:hAnsi="Arial" w:cs="Arial"/>
                <w:b/>
                <w:bCs/>
              </w:rPr>
              <w:t>Median</w:t>
            </w:r>
          </w:p>
        </w:tc>
        <w:tc>
          <w:tcPr>
            <w:tcW w:w="897" w:type="dxa"/>
          </w:tcPr>
          <w:p w14:paraId="5C57F333" w14:textId="7B885E10" w:rsidR="00462784" w:rsidRPr="00462784" w:rsidRDefault="00462784" w:rsidP="00462784">
            <w:pPr>
              <w:spacing w:before="100" w:beforeAutospacing="1" w:after="100" w:afterAutospacing="1" w:line="360" w:lineRule="auto"/>
              <w:jc w:val="center"/>
              <w:outlineLvl w:val="1"/>
              <w:rPr>
                <w:rFonts w:ascii="Arial" w:hAnsi="Arial" w:cs="Arial"/>
                <w:b/>
                <w:bCs/>
              </w:rPr>
            </w:pPr>
            <w:r w:rsidRPr="00462784">
              <w:rPr>
                <w:rFonts w:ascii="Arial" w:hAnsi="Arial" w:cs="Arial"/>
                <w:b/>
                <w:bCs/>
              </w:rPr>
              <w:t>Mode</w:t>
            </w:r>
          </w:p>
        </w:tc>
        <w:tc>
          <w:tcPr>
            <w:tcW w:w="1286" w:type="dxa"/>
          </w:tcPr>
          <w:p w14:paraId="3519DCE5" w14:textId="07D694E5" w:rsidR="00462784" w:rsidRPr="00462784" w:rsidRDefault="00462784" w:rsidP="00462784">
            <w:pPr>
              <w:spacing w:before="100" w:beforeAutospacing="1" w:after="100" w:afterAutospacing="1" w:line="360" w:lineRule="auto"/>
              <w:jc w:val="center"/>
              <w:outlineLvl w:val="1"/>
              <w:rPr>
                <w:rFonts w:ascii="Arial" w:hAnsi="Arial" w:cs="Arial"/>
                <w:b/>
                <w:bCs/>
              </w:rPr>
            </w:pPr>
            <w:r w:rsidRPr="00462784">
              <w:rPr>
                <w:rFonts w:ascii="Arial" w:hAnsi="Arial" w:cs="Arial"/>
                <w:b/>
                <w:bCs/>
              </w:rPr>
              <w:t>SD</w:t>
            </w:r>
          </w:p>
        </w:tc>
      </w:tr>
      <w:tr w:rsidR="00462784" w:rsidRPr="00462784" w14:paraId="7367110F" w14:textId="77777777" w:rsidTr="00462784">
        <w:tc>
          <w:tcPr>
            <w:tcW w:w="4248" w:type="dxa"/>
          </w:tcPr>
          <w:p w14:paraId="6746CB58" w14:textId="47FE5B3B" w:rsidR="00462784" w:rsidRPr="00462784" w:rsidRDefault="00462784" w:rsidP="00462784">
            <w:pPr>
              <w:spacing w:before="100" w:beforeAutospacing="1" w:after="100" w:afterAutospacing="1" w:line="360" w:lineRule="auto"/>
              <w:jc w:val="center"/>
              <w:outlineLvl w:val="1"/>
              <w:rPr>
                <w:rFonts w:ascii="Arial" w:hAnsi="Arial" w:cs="Arial"/>
              </w:rPr>
            </w:pPr>
            <w:r w:rsidRPr="00462784">
              <w:rPr>
                <w:rFonts w:ascii="Arial" w:hAnsi="Arial" w:cs="Arial"/>
              </w:rPr>
              <w:t>Reading-Age Progress (Months)</w:t>
            </w:r>
          </w:p>
        </w:tc>
        <w:tc>
          <w:tcPr>
            <w:tcW w:w="709" w:type="dxa"/>
          </w:tcPr>
          <w:p w14:paraId="21F3E61B" w14:textId="513A80F6" w:rsidR="00462784" w:rsidRPr="00462784" w:rsidRDefault="00462784" w:rsidP="00462784">
            <w:pPr>
              <w:spacing w:before="100" w:beforeAutospacing="1" w:after="100" w:afterAutospacing="1" w:line="360" w:lineRule="auto"/>
              <w:jc w:val="center"/>
              <w:outlineLvl w:val="1"/>
              <w:rPr>
                <w:rFonts w:ascii="Arial" w:hAnsi="Arial" w:cs="Arial"/>
              </w:rPr>
            </w:pPr>
            <w:r w:rsidRPr="00462784">
              <w:rPr>
                <w:rFonts w:ascii="Arial" w:hAnsi="Arial" w:cs="Arial"/>
              </w:rPr>
              <w:t>177</w:t>
            </w:r>
          </w:p>
        </w:tc>
        <w:tc>
          <w:tcPr>
            <w:tcW w:w="833" w:type="dxa"/>
          </w:tcPr>
          <w:p w14:paraId="24CF6C4E" w14:textId="78B9EED4" w:rsidR="00462784" w:rsidRPr="00462784" w:rsidRDefault="00462784" w:rsidP="00462784">
            <w:pPr>
              <w:spacing w:before="100" w:beforeAutospacing="1" w:after="100" w:afterAutospacing="1" w:line="360" w:lineRule="auto"/>
              <w:jc w:val="center"/>
              <w:outlineLvl w:val="1"/>
              <w:rPr>
                <w:rFonts w:ascii="Arial" w:hAnsi="Arial" w:cs="Arial"/>
              </w:rPr>
            </w:pPr>
            <w:r w:rsidRPr="00462784">
              <w:rPr>
                <w:rFonts w:ascii="Arial" w:hAnsi="Arial" w:cs="Arial"/>
              </w:rPr>
              <w:t>4.38</w:t>
            </w:r>
          </w:p>
        </w:tc>
        <w:tc>
          <w:tcPr>
            <w:tcW w:w="1043" w:type="dxa"/>
          </w:tcPr>
          <w:p w14:paraId="447AC5A7" w14:textId="54E8C9C5" w:rsidR="00462784" w:rsidRPr="00462784" w:rsidRDefault="00462784" w:rsidP="00462784">
            <w:pPr>
              <w:spacing w:before="100" w:beforeAutospacing="1" w:after="100" w:afterAutospacing="1" w:line="360" w:lineRule="auto"/>
              <w:jc w:val="center"/>
              <w:outlineLvl w:val="1"/>
              <w:rPr>
                <w:rFonts w:ascii="Arial" w:hAnsi="Arial" w:cs="Arial"/>
              </w:rPr>
            </w:pPr>
            <w:r w:rsidRPr="00462784">
              <w:rPr>
                <w:rFonts w:ascii="Arial" w:hAnsi="Arial" w:cs="Arial"/>
              </w:rPr>
              <w:t>5.00</w:t>
            </w:r>
          </w:p>
        </w:tc>
        <w:tc>
          <w:tcPr>
            <w:tcW w:w="897" w:type="dxa"/>
          </w:tcPr>
          <w:p w14:paraId="34FD5EED" w14:textId="54396E66" w:rsidR="00462784" w:rsidRPr="00462784" w:rsidRDefault="00462784" w:rsidP="00462784">
            <w:pPr>
              <w:spacing w:before="100" w:beforeAutospacing="1" w:after="100" w:afterAutospacing="1" w:line="360" w:lineRule="auto"/>
              <w:jc w:val="center"/>
              <w:outlineLvl w:val="1"/>
              <w:rPr>
                <w:rFonts w:ascii="Arial" w:hAnsi="Arial" w:cs="Arial"/>
              </w:rPr>
            </w:pPr>
            <w:r w:rsidRPr="00462784">
              <w:rPr>
                <w:rFonts w:ascii="Arial" w:hAnsi="Arial" w:cs="Arial"/>
              </w:rPr>
              <w:t>6.00</w:t>
            </w:r>
          </w:p>
        </w:tc>
        <w:tc>
          <w:tcPr>
            <w:tcW w:w="1286" w:type="dxa"/>
          </w:tcPr>
          <w:p w14:paraId="772F79F8" w14:textId="76559F50" w:rsidR="00462784" w:rsidRPr="00462784" w:rsidRDefault="00462784" w:rsidP="00462784">
            <w:pPr>
              <w:spacing w:before="100" w:beforeAutospacing="1" w:after="100" w:afterAutospacing="1" w:line="360" w:lineRule="auto"/>
              <w:jc w:val="center"/>
              <w:outlineLvl w:val="1"/>
              <w:rPr>
                <w:rFonts w:ascii="Arial" w:hAnsi="Arial" w:cs="Arial"/>
              </w:rPr>
            </w:pPr>
            <w:r w:rsidRPr="00462784">
              <w:rPr>
                <w:rFonts w:ascii="Arial" w:hAnsi="Arial" w:cs="Arial"/>
              </w:rPr>
              <w:t>2.93</w:t>
            </w:r>
          </w:p>
        </w:tc>
      </w:tr>
    </w:tbl>
    <w:p w14:paraId="0AE5410B" w14:textId="77777777" w:rsidR="00462784" w:rsidRPr="00462784" w:rsidRDefault="00462784" w:rsidP="00462784">
      <w:pPr>
        <w:spacing w:line="300" w:lineRule="atLeast"/>
        <w:rPr>
          <w:rFonts w:ascii="Arial" w:hAnsi="Arial" w:cs="Arial"/>
        </w:rPr>
      </w:pPr>
    </w:p>
    <w:p w14:paraId="37FC87D8" w14:textId="77777777" w:rsidR="00C42704" w:rsidRDefault="002A0C5B" w:rsidP="00C42704">
      <w:pPr>
        <w:jc w:val="both"/>
        <w:rPr>
          <w:rFonts w:ascii="Arial" w:hAnsi="Arial" w:cs="Arial"/>
        </w:rPr>
      </w:pPr>
      <w:r>
        <w:rPr>
          <w:rFonts w:ascii="Arial" w:hAnsi="Arial" w:cs="Arial"/>
        </w:rPr>
        <w:t>Table</w:t>
      </w:r>
      <w:r w:rsidR="00462784" w:rsidRPr="00462784">
        <w:rPr>
          <w:rFonts w:ascii="Arial" w:hAnsi="Arial" w:cs="Arial"/>
        </w:rPr>
        <w:t xml:space="preserve"> </w:t>
      </w:r>
      <w:r w:rsidR="00462784">
        <w:rPr>
          <w:rFonts w:ascii="Arial" w:hAnsi="Arial" w:cs="Arial"/>
        </w:rPr>
        <w:t>1</w:t>
      </w:r>
      <w:r w:rsidR="00462784" w:rsidRPr="00462784">
        <w:rPr>
          <w:rFonts w:ascii="Arial" w:hAnsi="Arial" w:cs="Arial"/>
        </w:rPr>
        <w:t>.1 shows descriptive statistics for reading-age progress across the sample. Pupils made an average of 4.38 months' progress in reading age (SD = 2.93). The median score was 5.00 months and the most frequently occurring score was 6.00 months.</w:t>
      </w:r>
    </w:p>
    <w:p w14:paraId="5D6EAB03" w14:textId="77777777" w:rsidR="00C42704" w:rsidRDefault="00C42704" w:rsidP="00C42704">
      <w:pPr>
        <w:jc w:val="both"/>
        <w:rPr>
          <w:rFonts w:ascii="Arial" w:hAnsi="Arial" w:cs="Arial"/>
        </w:rPr>
      </w:pPr>
    </w:p>
    <w:p w14:paraId="5640D362" w14:textId="7A375674" w:rsidR="00462784" w:rsidRDefault="00462784" w:rsidP="00C42704">
      <w:pPr>
        <w:jc w:val="both"/>
        <w:rPr>
          <w:rFonts w:ascii="Arial" w:hAnsi="Arial" w:cs="Arial"/>
          <w:b/>
          <w:bCs/>
        </w:rPr>
      </w:pPr>
      <w:r w:rsidRPr="00462784">
        <w:rPr>
          <w:rFonts w:ascii="Arial" w:hAnsi="Arial" w:cs="Arial"/>
          <w:b/>
          <w:bCs/>
        </w:rPr>
        <w:t xml:space="preserve">Figure </w:t>
      </w:r>
      <w:r>
        <w:rPr>
          <w:rFonts w:ascii="Arial" w:hAnsi="Arial" w:cs="Arial"/>
          <w:b/>
          <w:bCs/>
        </w:rPr>
        <w:t>1</w:t>
      </w:r>
      <w:r w:rsidRPr="00462784">
        <w:rPr>
          <w:rFonts w:ascii="Arial" w:hAnsi="Arial" w:cs="Arial"/>
          <w:b/>
          <w:bCs/>
        </w:rPr>
        <w:t>.2 Distribution of Reading Age Progress</w:t>
      </w:r>
    </w:p>
    <w:p w14:paraId="57563A80" w14:textId="77777777" w:rsidR="00C42704" w:rsidRPr="00C42704" w:rsidRDefault="00C42704" w:rsidP="00C42704">
      <w:pPr>
        <w:jc w:val="both"/>
        <w:rPr>
          <w:rFonts w:ascii="Arial" w:hAnsi="Arial" w:cs="Arial"/>
        </w:rPr>
      </w:pPr>
    </w:p>
    <w:p w14:paraId="749E1AA4" w14:textId="799FE1FC" w:rsidR="00462784" w:rsidRPr="00462784" w:rsidRDefault="00462784" w:rsidP="009A34F6">
      <w:pPr>
        <w:spacing w:before="100" w:beforeAutospacing="1" w:after="100" w:afterAutospacing="1" w:line="360" w:lineRule="auto"/>
        <w:jc w:val="both"/>
        <w:outlineLvl w:val="1"/>
        <w:rPr>
          <w:rFonts w:ascii="Arial" w:hAnsi="Arial" w:cs="Arial"/>
          <w:b/>
          <w:bCs/>
        </w:rPr>
      </w:pPr>
      <w:r w:rsidRPr="00462784">
        <w:rPr>
          <w:rFonts w:ascii="Arial" w:hAnsi="Arial" w:cs="Arial"/>
          <w:noProof/>
        </w:rPr>
        <mc:AlternateContent>
          <mc:Choice Requires="cx1">
            <w:drawing>
              <wp:inline distT="0" distB="0" distL="0" distR="0" wp14:anchorId="133204C9" wp14:editId="3BC45F3A">
                <wp:extent cx="5861154" cy="2755900"/>
                <wp:effectExtent l="0" t="0" r="6350" b="0"/>
                <wp:docPr id="498145417" name="Chart 1">
                  <a:extLst xmlns:a="http://schemas.openxmlformats.org/drawingml/2006/main">
                    <a:ext uri="{FF2B5EF4-FFF2-40B4-BE49-F238E27FC236}">
                      <a16:creationId xmlns:a16="http://schemas.microsoft.com/office/drawing/2014/main" id="{619E46FF-3550-DB6F-1465-BB1F40D6374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0"/>
                  </a:graphicData>
                </a:graphic>
              </wp:inline>
            </w:drawing>
          </mc:Choice>
          <mc:Fallback>
            <w:drawing>
              <wp:inline distT="0" distB="0" distL="0" distR="0" wp14:anchorId="133204C9" wp14:editId="3BC45F3A">
                <wp:extent cx="5861154" cy="2755900"/>
                <wp:effectExtent l="0" t="0" r="6350" b="0"/>
                <wp:docPr id="498145417" name="Chart 1">
                  <a:extLst xmlns:a="http://schemas.openxmlformats.org/drawingml/2006/main">
                    <a:ext uri="{FF2B5EF4-FFF2-40B4-BE49-F238E27FC236}">
                      <a16:creationId xmlns:a16="http://schemas.microsoft.com/office/drawing/2014/main" id="{619E46FF-3550-DB6F-1465-BB1F40D6374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98145417" name="Chart 1">
                          <a:extLst>
                            <a:ext uri="{FF2B5EF4-FFF2-40B4-BE49-F238E27FC236}">
                              <a16:creationId xmlns:a16="http://schemas.microsoft.com/office/drawing/2014/main" id="{619E46FF-3550-DB6F-1465-BB1F40D63746}"/>
                            </a:ext>
                          </a:extLst>
                        </pic:cNvPr>
                        <pic:cNvPicPr>
                          <a:picLocks noGrp="1" noRot="1" noChangeAspect="1" noMove="1" noResize="1" noEditPoints="1" noAdjustHandles="1" noChangeArrowheads="1" noChangeShapeType="1"/>
                        </pic:cNvPicPr>
                      </pic:nvPicPr>
                      <pic:blipFill>
                        <a:blip r:embed="rId11"/>
                        <a:stretch>
                          <a:fillRect/>
                        </a:stretch>
                      </pic:blipFill>
                      <pic:spPr>
                        <a:xfrm>
                          <a:off x="0" y="0"/>
                          <a:ext cx="5861050" cy="2755900"/>
                        </a:xfrm>
                        <a:prstGeom prst="rect">
                          <a:avLst/>
                        </a:prstGeom>
                      </pic:spPr>
                    </pic:pic>
                  </a:graphicData>
                </a:graphic>
              </wp:inline>
            </w:drawing>
          </mc:Fallback>
        </mc:AlternateContent>
      </w:r>
    </w:p>
    <w:p w14:paraId="644CB591" w14:textId="4EB5838C" w:rsidR="00462784" w:rsidRPr="00462784" w:rsidRDefault="00462784" w:rsidP="00462784">
      <w:pPr>
        <w:pStyle w:val="NormalWeb"/>
        <w:spacing w:line="360" w:lineRule="auto"/>
        <w:jc w:val="both"/>
        <w:rPr>
          <w:rFonts w:ascii="Arial" w:hAnsi="Arial" w:cs="Arial"/>
        </w:rPr>
      </w:pPr>
      <w:r w:rsidRPr="00462784">
        <w:rPr>
          <w:rFonts w:ascii="Arial" w:hAnsi="Arial" w:cs="Arial"/>
        </w:rPr>
        <w:lastRenderedPageBreak/>
        <w:t xml:space="preserve">Figure </w:t>
      </w:r>
      <w:r>
        <w:rPr>
          <w:rFonts w:ascii="Arial" w:hAnsi="Arial" w:cs="Arial"/>
        </w:rPr>
        <w:t>1</w:t>
      </w:r>
      <w:r w:rsidRPr="00462784">
        <w:rPr>
          <w:rFonts w:ascii="Arial" w:hAnsi="Arial" w:cs="Arial"/>
        </w:rPr>
        <w:t>.2 illustrates the distribution of reading-age progress scores across the sample. Most pupils achieved positive gains in reading age, with scores concentrated towards the upper end of the distribution. The highest frequency of scores fell within the 5.8-to-7.6-month range, indicating that this level of progress was the most common within the sample. In contrast, relatively few pupils recorded low or negative levels of progress.</w:t>
      </w:r>
    </w:p>
    <w:p w14:paraId="6DDE6B9E" w14:textId="2F0A595C" w:rsidR="00462784" w:rsidRPr="00462784" w:rsidRDefault="00462784" w:rsidP="00462784">
      <w:pPr>
        <w:pStyle w:val="NormalWeb"/>
        <w:spacing w:line="360" w:lineRule="auto"/>
        <w:jc w:val="both"/>
        <w:rPr>
          <w:rFonts w:ascii="Arial" w:hAnsi="Arial" w:cs="Arial"/>
        </w:rPr>
      </w:pPr>
      <w:r w:rsidRPr="00462784">
        <w:rPr>
          <w:rFonts w:ascii="Arial" w:hAnsi="Arial" w:cs="Arial"/>
        </w:rPr>
        <w:t>Analysis of the histogram suggested that the distribution was not symmetrical. The frequency of scores increased gradually across the categories before reaching a peak in the 5.8-to-7.6-month interval and then</w:t>
      </w:r>
      <w:r w:rsidR="00F90377">
        <w:rPr>
          <w:rFonts w:ascii="Arial" w:hAnsi="Arial" w:cs="Arial"/>
        </w:rPr>
        <w:t xml:space="preserve"> </w:t>
      </w:r>
      <w:r w:rsidRPr="00462784">
        <w:rPr>
          <w:rFonts w:ascii="Arial" w:hAnsi="Arial" w:cs="Arial"/>
        </w:rPr>
        <w:t>decline</w:t>
      </w:r>
      <w:r w:rsidR="004455BC">
        <w:rPr>
          <w:rFonts w:ascii="Arial" w:hAnsi="Arial" w:cs="Arial"/>
        </w:rPr>
        <w:t>d</w:t>
      </w:r>
      <w:r w:rsidRPr="00462784">
        <w:rPr>
          <w:rFonts w:ascii="Arial" w:hAnsi="Arial" w:cs="Arial"/>
        </w:rPr>
        <w:t xml:space="preserve"> in the final category. This pattern indicates a negatively skewed distribution, with a small number of pupils recording substantially lower levels of progress than the majority of the sample.</w:t>
      </w:r>
    </w:p>
    <w:p w14:paraId="08D3747A" w14:textId="09AB469B" w:rsidR="00462784" w:rsidRPr="00462784" w:rsidRDefault="00462784" w:rsidP="00462784">
      <w:pPr>
        <w:pStyle w:val="NormalWeb"/>
        <w:spacing w:line="360" w:lineRule="auto"/>
        <w:jc w:val="both"/>
        <w:rPr>
          <w:rFonts w:ascii="Arial" w:hAnsi="Arial" w:cs="Arial"/>
        </w:rPr>
      </w:pPr>
      <w:r w:rsidRPr="00462784">
        <w:rPr>
          <w:rFonts w:ascii="Arial" w:hAnsi="Arial" w:cs="Arial"/>
        </w:rPr>
        <w:t xml:space="preserve">The shape of the histogram was consistent with the descriptive statistics reported in Figure </w:t>
      </w:r>
      <w:r>
        <w:rPr>
          <w:rFonts w:ascii="Arial" w:hAnsi="Arial" w:cs="Arial"/>
        </w:rPr>
        <w:t>1</w:t>
      </w:r>
      <w:r w:rsidRPr="00462784">
        <w:rPr>
          <w:rFonts w:ascii="Arial" w:hAnsi="Arial" w:cs="Arial"/>
        </w:rPr>
        <w:t>.1. The mean reading-age progress score was 4.38 months (SD = 2.93), while the median and mode were 5.00 and 6.00 months respectively. The lower mean in comparison to the median and mode further suggests a degree of negative skew within the data.</w:t>
      </w:r>
    </w:p>
    <w:p w14:paraId="49380B3C" w14:textId="7111025C" w:rsidR="00462784" w:rsidRPr="00462784" w:rsidRDefault="002A0C5B" w:rsidP="00462784">
      <w:pPr>
        <w:spacing w:before="100" w:beforeAutospacing="1" w:after="100" w:afterAutospacing="1" w:line="300" w:lineRule="atLeast"/>
        <w:outlineLvl w:val="2"/>
        <w:rPr>
          <w:rFonts w:ascii="Arial" w:hAnsi="Arial" w:cs="Arial"/>
          <w:b/>
          <w:bCs/>
        </w:rPr>
      </w:pPr>
      <w:r>
        <w:rPr>
          <w:rFonts w:ascii="Arial" w:hAnsi="Arial" w:cs="Arial"/>
          <w:b/>
          <w:bCs/>
        </w:rPr>
        <w:t>Table</w:t>
      </w:r>
      <w:r w:rsidR="00462784" w:rsidRPr="00462784">
        <w:rPr>
          <w:rFonts w:ascii="Arial" w:hAnsi="Arial" w:cs="Arial"/>
          <w:b/>
          <w:bCs/>
        </w:rPr>
        <w:t xml:space="preserve"> </w:t>
      </w:r>
      <w:r w:rsidR="00462784">
        <w:rPr>
          <w:rFonts w:ascii="Arial" w:hAnsi="Arial" w:cs="Arial"/>
          <w:b/>
          <w:bCs/>
        </w:rPr>
        <w:t>1</w:t>
      </w:r>
      <w:r w:rsidR="00462784" w:rsidRPr="00462784">
        <w:rPr>
          <w:rFonts w:ascii="Arial" w:hAnsi="Arial" w:cs="Arial"/>
          <w:b/>
          <w:bCs/>
        </w:rPr>
        <w:t xml:space="preserve">.3 </w:t>
      </w:r>
      <w:r>
        <w:rPr>
          <w:rFonts w:ascii="Arial" w:hAnsi="Arial" w:cs="Arial"/>
          <w:b/>
          <w:bCs/>
        </w:rPr>
        <w:t>Shapiro-Wilk Test of Normality</w:t>
      </w:r>
    </w:p>
    <w:tbl>
      <w:tblPr>
        <w:tblW w:w="9348" w:type="dxa"/>
        <w:tblCellSpacing w:w="15" w:type="dxa"/>
        <w:tblCellMar>
          <w:top w:w="15" w:type="dxa"/>
          <w:left w:w="15" w:type="dxa"/>
          <w:bottom w:w="15" w:type="dxa"/>
          <w:right w:w="15" w:type="dxa"/>
        </w:tblCellMar>
        <w:tblLook w:val="04A0" w:firstRow="1" w:lastRow="0" w:firstColumn="1" w:lastColumn="0" w:noHBand="0" w:noVBand="1"/>
      </w:tblPr>
      <w:tblGrid>
        <w:gridCol w:w="2827"/>
        <w:gridCol w:w="2268"/>
        <w:gridCol w:w="1843"/>
        <w:gridCol w:w="2410"/>
      </w:tblGrid>
      <w:tr w:rsidR="00462784" w:rsidRPr="00462784" w14:paraId="5B3B83BB" w14:textId="77777777" w:rsidTr="00462784">
        <w:trPr>
          <w:tblCellSpacing w:w="15" w:type="dxa"/>
        </w:trPr>
        <w:tc>
          <w:tcPr>
            <w:tcW w:w="2782"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0613CAA7" w14:textId="77777777" w:rsidR="00462784" w:rsidRPr="00462784" w:rsidRDefault="00462784" w:rsidP="00462784">
            <w:pPr>
              <w:jc w:val="center"/>
              <w:rPr>
                <w:rFonts w:ascii="Arial" w:hAnsi="Arial" w:cs="Arial"/>
                <w:b/>
                <w:bCs/>
              </w:rPr>
            </w:pPr>
            <w:r w:rsidRPr="00462784">
              <w:rPr>
                <w:rFonts w:ascii="Arial" w:hAnsi="Arial" w:cs="Arial"/>
                <w:b/>
                <w:bCs/>
              </w:rPr>
              <w:t>Variable</w:t>
            </w:r>
          </w:p>
        </w:tc>
        <w:tc>
          <w:tcPr>
            <w:tcW w:w="2238"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0521194" w14:textId="77777777" w:rsidR="00462784" w:rsidRPr="00462784" w:rsidRDefault="00462784" w:rsidP="00462784">
            <w:pPr>
              <w:jc w:val="center"/>
              <w:rPr>
                <w:rFonts w:ascii="Arial" w:hAnsi="Arial" w:cs="Arial"/>
                <w:b/>
                <w:bCs/>
              </w:rPr>
            </w:pPr>
            <w:r w:rsidRPr="00462784">
              <w:rPr>
                <w:rFonts w:ascii="Arial" w:hAnsi="Arial" w:cs="Arial"/>
                <w:b/>
                <w:bCs/>
              </w:rPr>
              <w:t>Shapiro-Wilk (W)</w:t>
            </w:r>
          </w:p>
        </w:tc>
        <w:tc>
          <w:tcPr>
            <w:tcW w:w="1813"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7793B5A" w14:textId="77777777" w:rsidR="00462784" w:rsidRPr="00462784" w:rsidRDefault="00462784" w:rsidP="00462784">
            <w:pPr>
              <w:jc w:val="center"/>
              <w:rPr>
                <w:rFonts w:ascii="Arial" w:hAnsi="Arial" w:cs="Arial"/>
                <w:b/>
                <w:bCs/>
              </w:rPr>
            </w:pPr>
            <w:r w:rsidRPr="00462784">
              <w:rPr>
                <w:rFonts w:ascii="Arial" w:hAnsi="Arial" w:cs="Arial"/>
                <w:b/>
                <w:bCs/>
              </w:rPr>
              <w:t>df</w:t>
            </w:r>
          </w:p>
        </w:tc>
        <w:tc>
          <w:tcPr>
            <w:tcW w:w="236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0E6A457" w14:textId="77777777" w:rsidR="00462784" w:rsidRPr="00462784" w:rsidRDefault="00462784" w:rsidP="00462784">
            <w:pPr>
              <w:jc w:val="center"/>
              <w:rPr>
                <w:rFonts w:ascii="Arial" w:hAnsi="Arial" w:cs="Arial"/>
                <w:b/>
                <w:bCs/>
              </w:rPr>
            </w:pPr>
            <w:r w:rsidRPr="00462784">
              <w:rPr>
                <w:rFonts w:ascii="Arial" w:hAnsi="Arial" w:cs="Arial"/>
                <w:b/>
                <w:bCs/>
              </w:rPr>
              <w:t>p</w:t>
            </w:r>
          </w:p>
        </w:tc>
      </w:tr>
      <w:tr w:rsidR="00462784" w:rsidRPr="00462784" w14:paraId="08C0F593" w14:textId="77777777" w:rsidTr="00462784">
        <w:trPr>
          <w:tblCellSpacing w:w="15" w:type="dxa"/>
        </w:trPr>
        <w:tc>
          <w:tcPr>
            <w:tcW w:w="2782" w:type="dxa"/>
            <w:tcBorders>
              <w:top w:val="single" w:sz="6" w:space="0" w:color="E6E6E6"/>
              <w:left w:val="single" w:sz="6" w:space="0" w:color="E6E6E6"/>
              <w:bottom w:val="single" w:sz="6" w:space="0" w:color="E6E6E6"/>
              <w:right w:val="single" w:sz="6" w:space="0" w:color="E6E6E6"/>
            </w:tcBorders>
            <w:vAlign w:val="center"/>
            <w:hideMark/>
          </w:tcPr>
          <w:p w14:paraId="15398CF4" w14:textId="77777777" w:rsidR="00462784" w:rsidRPr="00462784" w:rsidRDefault="00462784" w:rsidP="00462784">
            <w:pPr>
              <w:rPr>
                <w:rFonts w:ascii="Arial" w:hAnsi="Arial" w:cs="Arial"/>
              </w:rPr>
            </w:pPr>
            <w:r w:rsidRPr="00462784">
              <w:rPr>
                <w:rFonts w:ascii="Arial" w:hAnsi="Arial" w:cs="Arial"/>
              </w:rPr>
              <w:t>Reading-Age Progress</w:t>
            </w:r>
          </w:p>
        </w:tc>
        <w:tc>
          <w:tcPr>
            <w:tcW w:w="2238" w:type="dxa"/>
            <w:tcBorders>
              <w:top w:val="single" w:sz="6" w:space="0" w:color="E6E6E6"/>
              <w:left w:val="single" w:sz="6" w:space="0" w:color="E6E6E6"/>
              <w:bottom w:val="single" w:sz="6" w:space="0" w:color="E6E6E6"/>
              <w:right w:val="single" w:sz="6" w:space="0" w:color="E6E6E6"/>
            </w:tcBorders>
            <w:vAlign w:val="center"/>
            <w:hideMark/>
          </w:tcPr>
          <w:p w14:paraId="5BE13552" w14:textId="77777777" w:rsidR="00462784" w:rsidRPr="00462784" w:rsidRDefault="00462784" w:rsidP="00462784">
            <w:pPr>
              <w:rPr>
                <w:rFonts w:ascii="Arial" w:hAnsi="Arial" w:cs="Arial"/>
              </w:rPr>
            </w:pPr>
            <w:r w:rsidRPr="00462784">
              <w:rPr>
                <w:rFonts w:ascii="Arial" w:hAnsi="Arial" w:cs="Arial"/>
              </w:rPr>
              <w:t>.891</w:t>
            </w:r>
          </w:p>
        </w:tc>
        <w:tc>
          <w:tcPr>
            <w:tcW w:w="1813" w:type="dxa"/>
            <w:tcBorders>
              <w:top w:val="single" w:sz="6" w:space="0" w:color="E6E6E6"/>
              <w:left w:val="single" w:sz="6" w:space="0" w:color="E6E6E6"/>
              <w:bottom w:val="single" w:sz="6" w:space="0" w:color="E6E6E6"/>
              <w:right w:val="single" w:sz="6" w:space="0" w:color="E6E6E6"/>
            </w:tcBorders>
            <w:vAlign w:val="center"/>
            <w:hideMark/>
          </w:tcPr>
          <w:p w14:paraId="69C76BF8" w14:textId="77777777" w:rsidR="00462784" w:rsidRPr="00462784" w:rsidRDefault="00462784" w:rsidP="00462784">
            <w:pPr>
              <w:rPr>
                <w:rFonts w:ascii="Arial" w:hAnsi="Arial" w:cs="Arial"/>
              </w:rPr>
            </w:pPr>
            <w:r w:rsidRPr="00462784">
              <w:rPr>
                <w:rFonts w:ascii="Arial" w:hAnsi="Arial" w:cs="Arial"/>
              </w:rPr>
              <w:t>177</w:t>
            </w:r>
          </w:p>
        </w:tc>
        <w:tc>
          <w:tcPr>
            <w:tcW w:w="2365" w:type="dxa"/>
            <w:tcBorders>
              <w:top w:val="single" w:sz="6" w:space="0" w:color="E6E6E6"/>
              <w:left w:val="single" w:sz="6" w:space="0" w:color="E6E6E6"/>
              <w:bottom w:val="single" w:sz="6" w:space="0" w:color="E6E6E6"/>
              <w:right w:val="single" w:sz="6" w:space="0" w:color="E6E6E6"/>
            </w:tcBorders>
            <w:vAlign w:val="center"/>
            <w:hideMark/>
          </w:tcPr>
          <w:p w14:paraId="2285F97D" w14:textId="77777777" w:rsidR="00462784" w:rsidRPr="00462784" w:rsidRDefault="00462784" w:rsidP="00462784">
            <w:pPr>
              <w:rPr>
                <w:rFonts w:ascii="Arial" w:hAnsi="Arial" w:cs="Arial"/>
              </w:rPr>
            </w:pPr>
            <w:r w:rsidRPr="00462784">
              <w:rPr>
                <w:rFonts w:ascii="Arial" w:hAnsi="Arial" w:cs="Arial"/>
              </w:rPr>
              <w:t>&lt; .001</w:t>
            </w:r>
          </w:p>
        </w:tc>
      </w:tr>
    </w:tbl>
    <w:p w14:paraId="439EE679" w14:textId="77777777" w:rsidR="00462784" w:rsidRPr="00462784" w:rsidRDefault="00462784" w:rsidP="00462784">
      <w:pPr>
        <w:spacing w:line="360" w:lineRule="auto"/>
        <w:jc w:val="both"/>
        <w:rPr>
          <w:rFonts w:ascii="Arial" w:hAnsi="Arial" w:cs="Arial"/>
        </w:rPr>
      </w:pPr>
    </w:p>
    <w:p w14:paraId="68F06176" w14:textId="77777777" w:rsidR="00AF3FBD" w:rsidRPr="00AF3FBD" w:rsidRDefault="00AF3FBD" w:rsidP="00AF3FBD">
      <w:pPr>
        <w:spacing w:line="360" w:lineRule="auto"/>
        <w:jc w:val="both"/>
        <w:rPr>
          <w:rFonts w:ascii="Arial" w:hAnsi="Arial" w:cs="Arial"/>
        </w:rPr>
      </w:pPr>
      <w:r w:rsidRPr="00AF3FBD">
        <w:rPr>
          <w:rFonts w:ascii="Arial" w:hAnsi="Arial" w:cs="Arial"/>
        </w:rPr>
        <w:t xml:space="preserve">To assess normality, a Shapiro-Wilk test was conducted on reading-age progress scores. The results indicated a significant departure from normality, </w:t>
      </w:r>
      <w:r w:rsidRPr="00AF3FBD">
        <w:rPr>
          <w:rStyle w:val="Emphasis"/>
          <w:rFonts w:ascii="Arial" w:hAnsi="Arial" w:cs="Arial"/>
        </w:rPr>
        <w:t>W</w:t>
      </w:r>
      <w:r w:rsidRPr="00AF3FBD">
        <w:rPr>
          <w:rFonts w:ascii="Arial" w:hAnsi="Arial" w:cs="Arial"/>
        </w:rPr>
        <w:t xml:space="preserve"> = .891, </w:t>
      </w:r>
      <w:r w:rsidRPr="00AF3FBD">
        <w:rPr>
          <w:rStyle w:val="Emphasis"/>
          <w:rFonts w:ascii="Arial" w:hAnsi="Arial" w:cs="Arial"/>
        </w:rPr>
        <w:t>p</w:t>
      </w:r>
      <w:r w:rsidRPr="00AF3FBD">
        <w:rPr>
          <w:rFonts w:ascii="Arial" w:hAnsi="Arial" w:cs="Arial"/>
        </w:rPr>
        <w:t xml:space="preserve"> &lt; .001. This finding was consistent with the distribution shown in Figure 1.2, which suggested a negatively skewed pattern. However, parametric analyses were retained because of the relatively large sample size (</w:t>
      </w:r>
      <w:r w:rsidRPr="00AF3FBD">
        <w:rPr>
          <w:rStyle w:val="Emphasis"/>
          <w:rFonts w:ascii="Arial" w:hAnsi="Arial" w:cs="Arial"/>
        </w:rPr>
        <w:t>N</w:t>
      </w:r>
      <w:r w:rsidRPr="00AF3FBD">
        <w:rPr>
          <w:rFonts w:ascii="Arial" w:hAnsi="Arial" w:cs="Arial"/>
        </w:rPr>
        <w:t xml:space="preserve"> = 177) and the established robustness of Pearson's correlations and independent-samples </w:t>
      </w:r>
      <w:r w:rsidRPr="00AF3FBD">
        <w:rPr>
          <w:rStyle w:val="Emphasis"/>
          <w:rFonts w:ascii="Arial" w:hAnsi="Arial" w:cs="Arial"/>
        </w:rPr>
        <w:t>t</w:t>
      </w:r>
      <w:r w:rsidRPr="00AF3FBD">
        <w:rPr>
          <w:rFonts w:ascii="Arial" w:hAnsi="Arial" w:cs="Arial"/>
        </w:rPr>
        <w:t xml:space="preserve">-tests to moderate violations of normality. Consequently, Pearson's product-moment correlation and independent-samples </w:t>
      </w:r>
      <w:r w:rsidRPr="00AF3FBD">
        <w:rPr>
          <w:rStyle w:val="Emphasis"/>
          <w:rFonts w:ascii="Arial" w:hAnsi="Arial" w:cs="Arial"/>
        </w:rPr>
        <w:t>t</w:t>
      </w:r>
      <w:r w:rsidRPr="00AF3FBD">
        <w:rPr>
          <w:rFonts w:ascii="Arial" w:hAnsi="Arial" w:cs="Arial"/>
        </w:rPr>
        <w:t>-tests were used in the subsequent analyses.</w:t>
      </w:r>
    </w:p>
    <w:p w14:paraId="3739B73E" w14:textId="77777777" w:rsidR="00983942" w:rsidRDefault="00983942" w:rsidP="009A34F6">
      <w:pPr>
        <w:spacing w:before="100" w:beforeAutospacing="1" w:after="100" w:afterAutospacing="1" w:line="360" w:lineRule="auto"/>
        <w:jc w:val="both"/>
        <w:outlineLvl w:val="1"/>
        <w:rPr>
          <w:rFonts w:ascii="Arial" w:hAnsi="Arial" w:cs="Arial"/>
          <w:b/>
          <w:bCs/>
        </w:rPr>
      </w:pPr>
      <w:bookmarkStart w:id="1" w:name="OLE_LINK7"/>
    </w:p>
    <w:p w14:paraId="3AFB1AB4" w14:textId="77777777" w:rsidR="00983942" w:rsidRDefault="00983942" w:rsidP="009A34F6">
      <w:pPr>
        <w:spacing w:before="100" w:beforeAutospacing="1" w:after="100" w:afterAutospacing="1" w:line="360" w:lineRule="auto"/>
        <w:jc w:val="both"/>
        <w:outlineLvl w:val="1"/>
        <w:rPr>
          <w:rFonts w:ascii="Arial" w:hAnsi="Arial" w:cs="Arial"/>
          <w:b/>
          <w:bCs/>
        </w:rPr>
      </w:pPr>
    </w:p>
    <w:p w14:paraId="300852DD" w14:textId="3C37927A" w:rsidR="00462784" w:rsidRPr="00462784" w:rsidRDefault="00462784" w:rsidP="009A34F6">
      <w:pPr>
        <w:spacing w:before="100" w:beforeAutospacing="1" w:after="100" w:afterAutospacing="1" w:line="360" w:lineRule="auto"/>
        <w:jc w:val="both"/>
        <w:outlineLvl w:val="1"/>
        <w:rPr>
          <w:rFonts w:ascii="Arial" w:hAnsi="Arial" w:cs="Arial"/>
          <w:b/>
          <w:bCs/>
        </w:rPr>
      </w:pPr>
      <w:r w:rsidRPr="00462784">
        <w:rPr>
          <w:rFonts w:ascii="Arial" w:hAnsi="Arial" w:cs="Arial"/>
          <w:b/>
          <w:bCs/>
        </w:rPr>
        <w:lastRenderedPageBreak/>
        <w:t>Hypothesis 1 -Attendance and Progress</w:t>
      </w:r>
    </w:p>
    <w:p w14:paraId="4DABE4C7" w14:textId="0A888A24" w:rsidR="00462784" w:rsidRPr="00462784" w:rsidRDefault="002A0C5B" w:rsidP="009A34F6">
      <w:pPr>
        <w:spacing w:before="100" w:beforeAutospacing="1" w:after="100" w:afterAutospacing="1" w:line="360" w:lineRule="auto"/>
        <w:jc w:val="both"/>
        <w:outlineLvl w:val="1"/>
        <w:rPr>
          <w:rFonts w:ascii="Arial" w:hAnsi="Arial" w:cs="Arial"/>
          <w:b/>
          <w:bCs/>
        </w:rPr>
      </w:pPr>
      <w:bookmarkStart w:id="2" w:name="OLE_LINK1"/>
      <w:r>
        <w:rPr>
          <w:rFonts w:ascii="Arial" w:hAnsi="Arial" w:cs="Arial"/>
          <w:b/>
          <w:bCs/>
        </w:rPr>
        <w:t>Table</w:t>
      </w:r>
      <w:r w:rsidR="00462784" w:rsidRPr="00462784">
        <w:rPr>
          <w:rFonts w:ascii="Arial" w:hAnsi="Arial" w:cs="Arial"/>
          <w:b/>
          <w:bCs/>
        </w:rPr>
        <w:t xml:space="preserve"> </w:t>
      </w:r>
      <w:r w:rsidR="00462784">
        <w:rPr>
          <w:rFonts w:ascii="Arial" w:hAnsi="Arial" w:cs="Arial"/>
          <w:b/>
          <w:bCs/>
        </w:rPr>
        <w:t>2</w:t>
      </w:r>
      <w:r w:rsidR="00462784" w:rsidRPr="00462784">
        <w:rPr>
          <w:rFonts w:ascii="Arial" w:hAnsi="Arial" w:cs="Arial"/>
          <w:b/>
          <w:bCs/>
        </w:rPr>
        <w:t>.1 Re</w:t>
      </w:r>
      <w:r>
        <w:rPr>
          <w:rFonts w:ascii="Arial" w:hAnsi="Arial" w:cs="Arial"/>
          <w:b/>
          <w:bCs/>
        </w:rPr>
        <w:t>ading Attainment and Reading-Age Progress by Attendance Category</w:t>
      </w:r>
    </w:p>
    <w:tbl>
      <w:tblPr>
        <w:tblStyle w:val="TableGrid"/>
        <w:tblW w:w="0" w:type="auto"/>
        <w:tblBorders>
          <w:top w:val="double" w:sz="4" w:space="0" w:color="000000" w:themeColor="text1"/>
          <w:left w:val="double" w:sz="4" w:space="0" w:color="000000" w:themeColor="text1"/>
          <w:bottom w:val="double" w:sz="4" w:space="0" w:color="000000" w:themeColor="text1"/>
          <w:right w:val="double" w:sz="4" w:space="0" w:color="000000" w:themeColor="text1"/>
          <w:insideH w:val="double" w:sz="4" w:space="0" w:color="000000" w:themeColor="text1"/>
          <w:insideV w:val="double" w:sz="4" w:space="0" w:color="000000" w:themeColor="text1"/>
        </w:tblBorders>
        <w:tblLook w:val="04A0" w:firstRow="1" w:lastRow="0" w:firstColumn="1" w:lastColumn="0" w:noHBand="0" w:noVBand="1"/>
      </w:tblPr>
      <w:tblGrid>
        <w:gridCol w:w="1894"/>
        <w:gridCol w:w="1159"/>
        <w:gridCol w:w="2009"/>
        <w:gridCol w:w="2021"/>
        <w:gridCol w:w="1913"/>
      </w:tblGrid>
      <w:tr w:rsidR="00462784" w:rsidRPr="00462784" w14:paraId="2B0E0836" w14:textId="77777777" w:rsidTr="00462784">
        <w:tc>
          <w:tcPr>
            <w:tcW w:w="1894" w:type="dxa"/>
          </w:tcPr>
          <w:p w14:paraId="72AB77DB" w14:textId="77777777" w:rsidR="00462784" w:rsidRPr="00462784" w:rsidRDefault="00462784" w:rsidP="009E33B6">
            <w:pPr>
              <w:spacing w:line="360" w:lineRule="auto"/>
              <w:jc w:val="both"/>
              <w:rPr>
                <w:rFonts w:ascii="Arial" w:hAnsi="Arial" w:cs="Arial"/>
              </w:rPr>
            </w:pPr>
            <w:r w:rsidRPr="00462784">
              <w:rPr>
                <w:rFonts w:ascii="Arial" w:hAnsi="Arial" w:cs="Arial"/>
              </w:rPr>
              <w:t>Attendance grouping</w:t>
            </w:r>
          </w:p>
        </w:tc>
        <w:tc>
          <w:tcPr>
            <w:tcW w:w="1159" w:type="dxa"/>
          </w:tcPr>
          <w:p w14:paraId="3721F8AE" w14:textId="77777777" w:rsidR="00462784" w:rsidRPr="00462784" w:rsidRDefault="00462784" w:rsidP="009E33B6">
            <w:pPr>
              <w:spacing w:line="360" w:lineRule="auto"/>
              <w:jc w:val="both"/>
              <w:rPr>
                <w:rFonts w:ascii="Arial" w:hAnsi="Arial" w:cs="Arial"/>
              </w:rPr>
            </w:pPr>
            <w:r w:rsidRPr="00462784">
              <w:rPr>
                <w:rFonts w:ascii="Arial" w:hAnsi="Arial" w:cs="Arial"/>
              </w:rPr>
              <w:t>N</w:t>
            </w:r>
          </w:p>
        </w:tc>
        <w:tc>
          <w:tcPr>
            <w:tcW w:w="2009" w:type="dxa"/>
          </w:tcPr>
          <w:p w14:paraId="2D4E093F" w14:textId="77777777" w:rsidR="00462784" w:rsidRPr="00462784" w:rsidRDefault="00462784" w:rsidP="009E33B6">
            <w:pPr>
              <w:spacing w:line="360" w:lineRule="auto"/>
              <w:jc w:val="both"/>
              <w:rPr>
                <w:rFonts w:ascii="Arial" w:hAnsi="Arial" w:cs="Arial"/>
              </w:rPr>
            </w:pPr>
            <w:r w:rsidRPr="00462784">
              <w:rPr>
                <w:rFonts w:ascii="Arial" w:hAnsi="Arial" w:cs="Arial"/>
              </w:rPr>
              <w:t>Mean attendance</w:t>
            </w:r>
          </w:p>
        </w:tc>
        <w:tc>
          <w:tcPr>
            <w:tcW w:w="2021" w:type="dxa"/>
          </w:tcPr>
          <w:p w14:paraId="25C58E27" w14:textId="77777777" w:rsidR="00462784" w:rsidRPr="00462784" w:rsidRDefault="00462784" w:rsidP="009E33B6">
            <w:pPr>
              <w:spacing w:line="360" w:lineRule="auto"/>
              <w:jc w:val="both"/>
              <w:rPr>
                <w:rFonts w:ascii="Arial" w:hAnsi="Arial" w:cs="Arial"/>
              </w:rPr>
            </w:pPr>
            <w:r w:rsidRPr="00462784">
              <w:rPr>
                <w:rFonts w:ascii="Arial" w:hAnsi="Arial" w:cs="Arial"/>
              </w:rPr>
              <w:t>Mean Reading Age</w:t>
            </w:r>
          </w:p>
        </w:tc>
        <w:tc>
          <w:tcPr>
            <w:tcW w:w="1913" w:type="dxa"/>
          </w:tcPr>
          <w:p w14:paraId="26EB46F6" w14:textId="77777777" w:rsidR="00462784" w:rsidRPr="00462784" w:rsidRDefault="00462784" w:rsidP="009E33B6">
            <w:pPr>
              <w:spacing w:line="360" w:lineRule="auto"/>
              <w:jc w:val="both"/>
              <w:rPr>
                <w:rFonts w:ascii="Arial" w:hAnsi="Arial" w:cs="Arial"/>
              </w:rPr>
            </w:pPr>
            <w:r w:rsidRPr="00462784">
              <w:rPr>
                <w:rFonts w:ascii="Arial" w:hAnsi="Arial" w:cs="Arial"/>
              </w:rPr>
              <w:t>Mean Reading progress</w:t>
            </w:r>
          </w:p>
        </w:tc>
      </w:tr>
      <w:tr w:rsidR="00462784" w:rsidRPr="00462784" w14:paraId="5E9A3EA5" w14:textId="77777777" w:rsidTr="00C7291C">
        <w:tc>
          <w:tcPr>
            <w:tcW w:w="1894" w:type="dxa"/>
            <w:shd w:val="clear" w:color="auto" w:fill="00B050"/>
          </w:tcPr>
          <w:p w14:paraId="545DC5F9" w14:textId="77777777" w:rsidR="00462784" w:rsidRPr="00462784" w:rsidRDefault="00462784" w:rsidP="009E33B6">
            <w:pPr>
              <w:spacing w:line="360" w:lineRule="auto"/>
              <w:jc w:val="both"/>
              <w:rPr>
                <w:rFonts w:ascii="Arial" w:hAnsi="Arial" w:cs="Arial"/>
              </w:rPr>
            </w:pPr>
            <w:r w:rsidRPr="00462784">
              <w:rPr>
                <w:rFonts w:ascii="Arial" w:hAnsi="Arial" w:cs="Arial"/>
              </w:rPr>
              <w:t>95%&gt;</w:t>
            </w:r>
          </w:p>
        </w:tc>
        <w:tc>
          <w:tcPr>
            <w:tcW w:w="1159" w:type="dxa"/>
          </w:tcPr>
          <w:p w14:paraId="2C80D0CD" w14:textId="77777777" w:rsidR="00462784" w:rsidRPr="00462784" w:rsidRDefault="00462784" w:rsidP="00C7291C">
            <w:pPr>
              <w:spacing w:line="360" w:lineRule="auto"/>
              <w:jc w:val="center"/>
              <w:rPr>
                <w:rFonts w:ascii="Arial" w:hAnsi="Arial" w:cs="Arial"/>
              </w:rPr>
            </w:pPr>
            <w:r w:rsidRPr="00462784">
              <w:rPr>
                <w:rFonts w:ascii="Arial" w:hAnsi="Arial" w:cs="Arial"/>
              </w:rPr>
              <w:t>28</w:t>
            </w:r>
          </w:p>
        </w:tc>
        <w:tc>
          <w:tcPr>
            <w:tcW w:w="2009" w:type="dxa"/>
          </w:tcPr>
          <w:p w14:paraId="64D71F2A" w14:textId="77777777" w:rsidR="00462784" w:rsidRPr="00462784" w:rsidRDefault="00462784" w:rsidP="00C7291C">
            <w:pPr>
              <w:spacing w:line="360" w:lineRule="auto"/>
              <w:jc w:val="center"/>
              <w:rPr>
                <w:rFonts w:ascii="Arial" w:hAnsi="Arial" w:cs="Arial"/>
              </w:rPr>
            </w:pPr>
            <w:r w:rsidRPr="00462784">
              <w:rPr>
                <w:rFonts w:ascii="Arial" w:hAnsi="Arial" w:cs="Arial"/>
              </w:rPr>
              <w:t>96%</w:t>
            </w:r>
          </w:p>
        </w:tc>
        <w:tc>
          <w:tcPr>
            <w:tcW w:w="2021" w:type="dxa"/>
          </w:tcPr>
          <w:p w14:paraId="2BD36E2B" w14:textId="77777777" w:rsidR="00462784" w:rsidRPr="00462784" w:rsidRDefault="00462784" w:rsidP="00C7291C">
            <w:pPr>
              <w:spacing w:line="360" w:lineRule="auto"/>
              <w:jc w:val="center"/>
              <w:rPr>
                <w:rFonts w:ascii="Arial" w:hAnsi="Arial" w:cs="Arial"/>
              </w:rPr>
            </w:pPr>
            <w:r w:rsidRPr="00462784">
              <w:rPr>
                <w:rFonts w:ascii="Arial" w:hAnsi="Arial" w:cs="Arial"/>
              </w:rPr>
              <w:t>11.4</w:t>
            </w:r>
          </w:p>
        </w:tc>
        <w:tc>
          <w:tcPr>
            <w:tcW w:w="1913" w:type="dxa"/>
          </w:tcPr>
          <w:p w14:paraId="69362E47" w14:textId="77777777" w:rsidR="00462784" w:rsidRPr="00462784" w:rsidRDefault="00462784" w:rsidP="00C7291C">
            <w:pPr>
              <w:spacing w:line="360" w:lineRule="auto"/>
              <w:jc w:val="center"/>
              <w:rPr>
                <w:rFonts w:ascii="Arial" w:hAnsi="Arial" w:cs="Arial"/>
              </w:rPr>
            </w:pPr>
            <w:r w:rsidRPr="00462784">
              <w:rPr>
                <w:rFonts w:ascii="Arial" w:hAnsi="Arial" w:cs="Arial"/>
              </w:rPr>
              <w:t>3.17</w:t>
            </w:r>
          </w:p>
        </w:tc>
      </w:tr>
      <w:tr w:rsidR="00462784" w:rsidRPr="00462784" w14:paraId="393073AA" w14:textId="77777777" w:rsidTr="00C7291C">
        <w:tc>
          <w:tcPr>
            <w:tcW w:w="1894" w:type="dxa"/>
            <w:shd w:val="clear" w:color="auto" w:fill="FFC000"/>
          </w:tcPr>
          <w:p w14:paraId="5E622C83" w14:textId="77777777" w:rsidR="00462784" w:rsidRPr="00462784" w:rsidRDefault="00462784" w:rsidP="009E33B6">
            <w:pPr>
              <w:spacing w:line="360" w:lineRule="auto"/>
              <w:jc w:val="both"/>
              <w:rPr>
                <w:rFonts w:ascii="Arial" w:hAnsi="Arial" w:cs="Arial"/>
              </w:rPr>
            </w:pPr>
            <w:r w:rsidRPr="00462784">
              <w:rPr>
                <w:rFonts w:ascii="Arial" w:hAnsi="Arial" w:cs="Arial"/>
              </w:rPr>
              <w:t>94-90%</w:t>
            </w:r>
          </w:p>
        </w:tc>
        <w:tc>
          <w:tcPr>
            <w:tcW w:w="1159" w:type="dxa"/>
          </w:tcPr>
          <w:p w14:paraId="77527EFE" w14:textId="77777777" w:rsidR="00462784" w:rsidRPr="00462784" w:rsidRDefault="00462784" w:rsidP="00C7291C">
            <w:pPr>
              <w:spacing w:line="360" w:lineRule="auto"/>
              <w:jc w:val="center"/>
              <w:rPr>
                <w:rFonts w:ascii="Arial" w:hAnsi="Arial" w:cs="Arial"/>
              </w:rPr>
            </w:pPr>
            <w:r w:rsidRPr="00462784">
              <w:rPr>
                <w:rFonts w:ascii="Arial" w:hAnsi="Arial" w:cs="Arial"/>
              </w:rPr>
              <w:t>53</w:t>
            </w:r>
          </w:p>
        </w:tc>
        <w:tc>
          <w:tcPr>
            <w:tcW w:w="2009" w:type="dxa"/>
          </w:tcPr>
          <w:p w14:paraId="32DEDB92" w14:textId="77777777" w:rsidR="00462784" w:rsidRPr="00462784" w:rsidRDefault="00462784" w:rsidP="00C7291C">
            <w:pPr>
              <w:spacing w:line="360" w:lineRule="auto"/>
              <w:jc w:val="center"/>
              <w:rPr>
                <w:rFonts w:ascii="Arial" w:hAnsi="Arial" w:cs="Arial"/>
              </w:rPr>
            </w:pPr>
            <w:r w:rsidRPr="00462784">
              <w:rPr>
                <w:rFonts w:ascii="Arial" w:hAnsi="Arial" w:cs="Arial"/>
              </w:rPr>
              <w:t>92%</w:t>
            </w:r>
          </w:p>
        </w:tc>
        <w:tc>
          <w:tcPr>
            <w:tcW w:w="2021" w:type="dxa"/>
          </w:tcPr>
          <w:p w14:paraId="2A9A4F46" w14:textId="77777777" w:rsidR="00462784" w:rsidRPr="00462784" w:rsidRDefault="00462784" w:rsidP="00C7291C">
            <w:pPr>
              <w:spacing w:line="360" w:lineRule="auto"/>
              <w:jc w:val="center"/>
              <w:rPr>
                <w:rFonts w:ascii="Arial" w:hAnsi="Arial" w:cs="Arial"/>
              </w:rPr>
            </w:pPr>
            <w:r w:rsidRPr="00462784">
              <w:rPr>
                <w:rFonts w:ascii="Arial" w:hAnsi="Arial" w:cs="Arial"/>
              </w:rPr>
              <w:t>10.3</w:t>
            </w:r>
          </w:p>
        </w:tc>
        <w:tc>
          <w:tcPr>
            <w:tcW w:w="1913" w:type="dxa"/>
          </w:tcPr>
          <w:p w14:paraId="7CE00518" w14:textId="77777777" w:rsidR="00462784" w:rsidRPr="00462784" w:rsidRDefault="00462784" w:rsidP="00C7291C">
            <w:pPr>
              <w:spacing w:line="360" w:lineRule="auto"/>
              <w:jc w:val="center"/>
              <w:rPr>
                <w:rFonts w:ascii="Arial" w:hAnsi="Arial" w:cs="Arial"/>
              </w:rPr>
            </w:pPr>
            <w:r w:rsidRPr="00462784">
              <w:rPr>
                <w:rFonts w:ascii="Arial" w:hAnsi="Arial" w:cs="Arial"/>
              </w:rPr>
              <w:t>4.38</w:t>
            </w:r>
          </w:p>
        </w:tc>
      </w:tr>
      <w:tr w:rsidR="00462784" w:rsidRPr="00462784" w14:paraId="7828F75A" w14:textId="77777777" w:rsidTr="00C7291C">
        <w:tc>
          <w:tcPr>
            <w:tcW w:w="1894" w:type="dxa"/>
            <w:shd w:val="clear" w:color="auto" w:fill="EE0000"/>
          </w:tcPr>
          <w:p w14:paraId="12D203AC" w14:textId="77777777" w:rsidR="00462784" w:rsidRPr="00462784" w:rsidRDefault="00462784" w:rsidP="009E33B6">
            <w:pPr>
              <w:spacing w:line="360" w:lineRule="auto"/>
              <w:jc w:val="both"/>
              <w:rPr>
                <w:rFonts w:ascii="Arial" w:hAnsi="Arial" w:cs="Arial"/>
              </w:rPr>
            </w:pPr>
            <w:r w:rsidRPr="00462784">
              <w:rPr>
                <w:rFonts w:ascii="Arial" w:hAnsi="Arial" w:cs="Arial"/>
              </w:rPr>
              <w:t>89%&lt;</w:t>
            </w:r>
          </w:p>
        </w:tc>
        <w:tc>
          <w:tcPr>
            <w:tcW w:w="1159" w:type="dxa"/>
          </w:tcPr>
          <w:p w14:paraId="1DE398D4" w14:textId="77777777" w:rsidR="00462784" w:rsidRPr="00462784" w:rsidRDefault="00462784" w:rsidP="00C7291C">
            <w:pPr>
              <w:spacing w:line="360" w:lineRule="auto"/>
              <w:jc w:val="center"/>
              <w:rPr>
                <w:rFonts w:ascii="Arial" w:hAnsi="Arial" w:cs="Arial"/>
              </w:rPr>
            </w:pPr>
            <w:r w:rsidRPr="00462784">
              <w:rPr>
                <w:rFonts w:ascii="Arial" w:hAnsi="Arial" w:cs="Arial"/>
              </w:rPr>
              <w:t>95</w:t>
            </w:r>
          </w:p>
        </w:tc>
        <w:tc>
          <w:tcPr>
            <w:tcW w:w="2009" w:type="dxa"/>
          </w:tcPr>
          <w:p w14:paraId="3F6AD176" w14:textId="77777777" w:rsidR="00462784" w:rsidRPr="00462784" w:rsidRDefault="00462784" w:rsidP="00C7291C">
            <w:pPr>
              <w:spacing w:line="360" w:lineRule="auto"/>
              <w:jc w:val="center"/>
              <w:rPr>
                <w:rFonts w:ascii="Arial" w:hAnsi="Arial" w:cs="Arial"/>
              </w:rPr>
            </w:pPr>
            <w:r w:rsidRPr="00462784">
              <w:rPr>
                <w:rFonts w:ascii="Arial" w:hAnsi="Arial" w:cs="Arial"/>
              </w:rPr>
              <w:t>78%</w:t>
            </w:r>
          </w:p>
        </w:tc>
        <w:tc>
          <w:tcPr>
            <w:tcW w:w="2021" w:type="dxa"/>
          </w:tcPr>
          <w:p w14:paraId="7FF26A8A" w14:textId="77777777" w:rsidR="00462784" w:rsidRPr="00462784" w:rsidRDefault="00462784" w:rsidP="00C7291C">
            <w:pPr>
              <w:spacing w:line="360" w:lineRule="auto"/>
              <w:jc w:val="center"/>
              <w:rPr>
                <w:rFonts w:ascii="Arial" w:hAnsi="Arial" w:cs="Arial"/>
              </w:rPr>
            </w:pPr>
            <w:r w:rsidRPr="00462784">
              <w:rPr>
                <w:rFonts w:ascii="Arial" w:hAnsi="Arial" w:cs="Arial"/>
              </w:rPr>
              <w:t>9.97</w:t>
            </w:r>
          </w:p>
        </w:tc>
        <w:tc>
          <w:tcPr>
            <w:tcW w:w="1913" w:type="dxa"/>
          </w:tcPr>
          <w:p w14:paraId="11EE25B3" w14:textId="77777777" w:rsidR="00462784" w:rsidRPr="00462784" w:rsidRDefault="00462784" w:rsidP="00C7291C">
            <w:pPr>
              <w:spacing w:line="360" w:lineRule="auto"/>
              <w:jc w:val="center"/>
              <w:rPr>
                <w:rFonts w:ascii="Arial" w:hAnsi="Arial" w:cs="Arial"/>
              </w:rPr>
            </w:pPr>
            <w:r w:rsidRPr="00462784">
              <w:rPr>
                <w:rFonts w:ascii="Arial" w:hAnsi="Arial" w:cs="Arial"/>
              </w:rPr>
              <w:t>4.51</w:t>
            </w:r>
          </w:p>
        </w:tc>
      </w:tr>
    </w:tbl>
    <w:p w14:paraId="6C224036" w14:textId="77777777" w:rsidR="00462784" w:rsidRPr="00462784" w:rsidRDefault="00462784" w:rsidP="00462784">
      <w:pPr>
        <w:spacing w:line="300" w:lineRule="atLeast"/>
        <w:rPr>
          <w:rFonts w:ascii="Arial" w:hAnsi="Arial" w:cs="Arial"/>
        </w:rPr>
      </w:pPr>
      <w:bookmarkStart w:id="3" w:name="OLE_LINK13"/>
    </w:p>
    <w:p w14:paraId="489D5CB6" w14:textId="07EC2E28" w:rsidR="00981F6E" w:rsidRDefault="00981F6E" w:rsidP="00981F6E">
      <w:pPr>
        <w:spacing w:line="360" w:lineRule="auto"/>
        <w:jc w:val="both"/>
        <w:rPr>
          <w:rFonts w:ascii="Arial" w:hAnsi="Arial" w:cs="Arial"/>
        </w:rPr>
      </w:pPr>
      <w:r w:rsidRPr="00981F6E">
        <w:rPr>
          <w:rFonts w:ascii="Arial" w:hAnsi="Arial" w:cs="Arial"/>
        </w:rPr>
        <w:t>Table 2.1 presents descriptive statistics for reading attainment and reading-age progress across the attendance categories. Pupils with attendance of 95% or above demonstrated the highest mean reading age (M = 11.40 years), whereas pupils with attendance below 90% demonstrated the lowest mean reading age (M = 9.97 years). However, the pattern for progress differed</w:t>
      </w:r>
      <w:r w:rsidR="00983942">
        <w:rPr>
          <w:rFonts w:ascii="Arial" w:hAnsi="Arial" w:cs="Arial"/>
        </w:rPr>
        <w:t>, p</w:t>
      </w:r>
      <w:r w:rsidRPr="00981F6E">
        <w:rPr>
          <w:rFonts w:ascii="Arial" w:hAnsi="Arial" w:cs="Arial"/>
        </w:rPr>
        <w:t>upils with attendance of 95% or above demonstrated the lowest mean reading-age progress (M = 3.17 months), compared with 4.38 months for pupils with attendance between 90% and 94%, and 4.51 months for pupils with attendance below 90%. These descriptive statistics suggest that pupils in the lower attendance categories demonstrated slightly greater reading-age gains than pupils with higher attendance.</w:t>
      </w:r>
    </w:p>
    <w:p w14:paraId="738FE75B" w14:textId="19B65375" w:rsidR="00462784" w:rsidRPr="00462784" w:rsidRDefault="00462784" w:rsidP="00462784">
      <w:pPr>
        <w:spacing w:line="300" w:lineRule="atLeast"/>
        <w:jc w:val="both"/>
        <w:rPr>
          <w:rFonts w:ascii="Arial" w:hAnsi="Arial" w:cs="Arial"/>
        </w:rPr>
      </w:pPr>
      <w:bookmarkStart w:id="4" w:name="OLE_LINK12"/>
      <w:r w:rsidRPr="00462784">
        <w:rPr>
          <w:rFonts w:ascii="Arial" w:hAnsi="Arial" w:cs="Arial"/>
          <w:b/>
          <w:bCs/>
        </w:rPr>
        <w:t xml:space="preserve">Figure </w:t>
      </w:r>
      <w:r>
        <w:rPr>
          <w:rFonts w:ascii="Arial" w:hAnsi="Arial" w:cs="Arial"/>
          <w:b/>
          <w:bCs/>
        </w:rPr>
        <w:t>2</w:t>
      </w:r>
      <w:r w:rsidRPr="00462784">
        <w:rPr>
          <w:rFonts w:ascii="Arial" w:hAnsi="Arial" w:cs="Arial"/>
          <w:b/>
          <w:bCs/>
        </w:rPr>
        <w:t>.2 Scatterplot showing the relationship between attendance (%) and reading-age progress (months)</w:t>
      </w:r>
    </w:p>
    <w:p w14:paraId="02A4EDC3" w14:textId="77777777" w:rsidR="007E642C" w:rsidRDefault="00462784" w:rsidP="007E642C">
      <w:pPr>
        <w:spacing w:before="100" w:beforeAutospacing="1" w:after="100" w:afterAutospacing="1" w:line="360" w:lineRule="auto"/>
        <w:jc w:val="both"/>
        <w:outlineLvl w:val="1"/>
        <w:rPr>
          <w:rFonts w:ascii="Arial" w:hAnsi="Arial" w:cs="Arial"/>
          <w:b/>
          <w:bCs/>
        </w:rPr>
      </w:pPr>
      <w:r w:rsidRPr="00462784">
        <w:rPr>
          <w:rFonts w:ascii="Arial" w:hAnsi="Arial" w:cs="Arial"/>
          <w:noProof/>
        </w:rPr>
        <w:drawing>
          <wp:inline distT="0" distB="0" distL="0" distR="0" wp14:anchorId="42F69E0F" wp14:editId="6B5BE0D7">
            <wp:extent cx="5715000" cy="2908300"/>
            <wp:effectExtent l="0" t="0" r="12700" b="12700"/>
            <wp:docPr id="1614537442" name="Chart 1">
              <a:extLst xmlns:a="http://schemas.openxmlformats.org/drawingml/2006/main">
                <a:ext uri="{FF2B5EF4-FFF2-40B4-BE49-F238E27FC236}">
                  <a16:creationId xmlns:a16="http://schemas.microsoft.com/office/drawing/2014/main" id="{F48953EB-96EC-6D75-48FA-7D747BD5C9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bookmarkStart w:id="5" w:name="OLE_LINK8"/>
      <w:bookmarkEnd w:id="1"/>
      <w:bookmarkEnd w:id="3"/>
      <w:bookmarkEnd w:id="4"/>
    </w:p>
    <w:p w14:paraId="195CCCD5" w14:textId="3634AE95" w:rsidR="00981F6E" w:rsidRPr="00741885" w:rsidRDefault="00981F6E" w:rsidP="00741885">
      <w:pPr>
        <w:spacing w:line="360" w:lineRule="auto"/>
        <w:jc w:val="both"/>
        <w:rPr>
          <w:rFonts w:ascii="Segoe UI" w:hAnsi="Segoe UI" w:cs="Segoe UI"/>
          <w:sz w:val="21"/>
          <w:szCs w:val="21"/>
        </w:rPr>
      </w:pPr>
      <w:r w:rsidRPr="00981F6E">
        <w:rPr>
          <w:rFonts w:ascii="Arial" w:hAnsi="Arial" w:cs="Arial"/>
        </w:rPr>
        <w:lastRenderedPageBreak/>
        <w:t xml:space="preserve">Figure 2.2 presents the relationship between attendance and reading-age progress. Visual inspection of the scatterplot indicates substantial variability in progress across all attendance levels. </w:t>
      </w:r>
      <w:r w:rsidR="001F28DB" w:rsidRPr="00981F6E">
        <w:rPr>
          <w:rFonts w:ascii="Arial" w:hAnsi="Arial" w:cs="Arial"/>
        </w:rPr>
        <w:t>The trendline</w:t>
      </w:r>
      <w:r w:rsidRPr="00981F6E">
        <w:rPr>
          <w:rFonts w:ascii="Arial" w:hAnsi="Arial" w:cs="Arial"/>
        </w:rPr>
        <w:t xml:space="preserve"> demonstrated a slight negative slope, suggesting that pupils with lower attendance tended to demonstrate greater gains in reading age. However, the wide dispersion of data points indicates that attendance was only weakly associated with reading-age progress. Pearson's product-moment correlation identified a weak negative relationship between attendance and reading-age progress</w:t>
      </w:r>
      <w:r w:rsidR="00741885">
        <w:rPr>
          <w:rFonts w:ascii="Arial" w:hAnsi="Arial" w:cs="Arial"/>
        </w:rPr>
        <w:t>,</w:t>
      </w:r>
      <w:r w:rsidR="00741885" w:rsidRPr="00741885">
        <w:rPr>
          <w:rFonts w:ascii="Arial" w:hAnsi="Arial" w:cs="Arial"/>
        </w:rPr>
        <w:t xml:space="preserve"> </w:t>
      </w:r>
      <w:r w:rsidR="003D33A9" w:rsidRPr="00741885">
        <w:rPr>
          <w:rStyle w:val="Emphasis"/>
          <w:rFonts w:ascii="Arial" w:hAnsi="Arial" w:cs="Arial"/>
        </w:rPr>
        <w:t>r</w:t>
      </w:r>
      <w:r w:rsidR="003D33A9" w:rsidRPr="00741885">
        <w:rPr>
          <w:rFonts w:ascii="Arial" w:hAnsi="Arial" w:cs="Arial"/>
        </w:rPr>
        <w:t xml:space="preserve"> (</w:t>
      </w:r>
      <w:r w:rsidR="00741885" w:rsidRPr="00741885">
        <w:rPr>
          <w:rFonts w:ascii="Arial" w:hAnsi="Arial" w:cs="Arial"/>
        </w:rPr>
        <w:t xml:space="preserve">174) = -.176, </w:t>
      </w:r>
      <w:r w:rsidR="00741885" w:rsidRPr="00741885">
        <w:rPr>
          <w:rStyle w:val="Emphasis"/>
          <w:rFonts w:ascii="Arial" w:hAnsi="Arial" w:cs="Arial"/>
        </w:rPr>
        <w:t>p</w:t>
      </w:r>
      <w:r w:rsidR="00741885" w:rsidRPr="00741885">
        <w:rPr>
          <w:rFonts w:ascii="Arial" w:hAnsi="Arial" w:cs="Arial"/>
        </w:rPr>
        <w:t xml:space="preserve"> = .019.</w:t>
      </w:r>
      <w:r w:rsidR="00741885">
        <w:rPr>
          <w:rFonts w:ascii="Segoe UI" w:hAnsi="Segoe UI" w:cs="Segoe UI"/>
          <w:sz w:val="21"/>
          <w:szCs w:val="21"/>
        </w:rPr>
        <w:t xml:space="preserve"> </w:t>
      </w:r>
      <w:r w:rsidRPr="00981F6E">
        <w:rPr>
          <w:rFonts w:ascii="Arial" w:hAnsi="Arial" w:cs="Arial"/>
        </w:rPr>
        <w:t>The coefficient of determination (R² = .031) indicated that attendance accounted for approximately 3.1% of the variance in reading-age progress, suggesting that attendance was only a minor contributor to differences in reading-age gains across the sample.</w:t>
      </w:r>
    </w:p>
    <w:p w14:paraId="1B272ED5" w14:textId="77777777" w:rsidR="00741885" w:rsidRDefault="00741885" w:rsidP="00981F6E">
      <w:pPr>
        <w:spacing w:line="360" w:lineRule="auto"/>
        <w:jc w:val="both"/>
        <w:rPr>
          <w:rFonts w:ascii="Arial" w:hAnsi="Arial" w:cs="Arial"/>
        </w:rPr>
      </w:pPr>
    </w:p>
    <w:p w14:paraId="25220FEF" w14:textId="0EAA032F" w:rsidR="007910C6" w:rsidRPr="007910C6" w:rsidRDefault="007910C6" w:rsidP="007910C6">
      <w:pPr>
        <w:spacing w:line="360" w:lineRule="auto"/>
        <w:jc w:val="both"/>
        <w:rPr>
          <w:rFonts w:ascii="Arial" w:hAnsi="Arial" w:cs="Arial"/>
        </w:rPr>
      </w:pPr>
      <w:r w:rsidRPr="007910C6">
        <w:rPr>
          <w:rFonts w:ascii="Arial" w:hAnsi="Arial" w:cs="Arial"/>
        </w:rPr>
        <w:t xml:space="preserve">Therefore, </w:t>
      </w:r>
      <w:r w:rsidRPr="007910C6">
        <w:rPr>
          <w:rFonts w:ascii="Arial" w:hAnsi="Arial" w:cs="Arial"/>
        </w:rPr>
        <w:t xml:space="preserve">the </w:t>
      </w:r>
      <w:r w:rsidRPr="007910C6">
        <w:rPr>
          <w:rFonts w:ascii="Arial" w:hAnsi="Arial" w:cs="Arial"/>
        </w:rPr>
        <w:t>Hypothesis was not supporte</w:t>
      </w:r>
      <w:r w:rsidR="001F28DB">
        <w:rPr>
          <w:rFonts w:ascii="Arial" w:hAnsi="Arial" w:cs="Arial"/>
        </w:rPr>
        <w:t>d, w</w:t>
      </w:r>
      <w:r w:rsidRPr="007910C6">
        <w:rPr>
          <w:rFonts w:ascii="Arial" w:hAnsi="Arial" w:cs="Arial"/>
        </w:rPr>
        <w:t>hilst a statistically significant relationship was identified, the relationship was negative rather than positive. Pupils with lower attendance demonstrated slightly greater gains in reading age, although the effect was weak.</w:t>
      </w:r>
    </w:p>
    <w:p w14:paraId="2C08CBF9" w14:textId="722BF31C" w:rsidR="007E642C" w:rsidRPr="007E642C" w:rsidRDefault="007E642C" w:rsidP="007E642C">
      <w:pPr>
        <w:spacing w:before="100" w:beforeAutospacing="1" w:after="100" w:afterAutospacing="1" w:line="360" w:lineRule="auto"/>
        <w:jc w:val="both"/>
        <w:outlineLvl w:val="1"/>
        <w:rPr>
          <w:rFonts w:ascii="Arial" w:hAnsi="Arial" w:cs="Arial"/>
          <w:b/>
          <w:bCs/>
        </w:rPr>
      </w:pPr>
      <w:r w:rsidRPr="00462784">
        <w:rPr>
          <w:rFonts w:ascii="Arial" w:hAnsi="Arial" w:cs="Arial"/>
          <w:b/>
          <w:bCs/>
        </w:rPr>
        <w:t>Hypothesis 2:</w:t>
      </w:r>
      <w:r w:rsidRPr="00462784">
        <w:rPr>
          <w:rFonts w:ascii="Arial" w:hAnsi="Arial" w:cs="Arial"/>
        </w:rPr>
        <w:t xml:space="preserve"> </w:t>
      </w:r>
      <w:r w:rsidRPr="00462784">
        <w:rPr>
          <w:rFonts w:ascii="Arial" w:hAnsi="Arial" w:cs="Arial"/>
          <w:b/>
          <w:bCs/>
        </w:rPr>
        <w:t>eFSM versus Non eFSM Progress</w:t>
      </w:r>
      <w:r w:rsidRPr="00462784">
        <w:rPr>
          <w:rFonts w:ascii="Arial" w:hAnsi="Arial" w:cs="Arial"/>
        </w:rPr>
        <w:t xml:space="preserve"> </w:t>
      </w:r>
    </w:p>
    <w:p w14:paraId="75005A40" w14:textId="66CAF3D6" w:rsidR="00462784" w:rsidRPr="00462784" w:rsidRDefault="002A0C5B" w:rsidP="00462784">
      <w:pPr>
        <w:spacing w:before="100" w:beforeAutospacing="1" w:after="100" w:afterAutospacing="1" w:line="360" w:lineRule="auto"/>
        <w:jc w:val="both"/>
        <w:rPr>
          <w:rFonts w:ascii="Arial" w:hAnsi="Arial" w:cs="Arial"/>
          <w:b/>
          <w:bCs/>
        </w:rPr>
      </w:pPr>
      <w:r>
        <w:rPr>
          <w:rFonts w:ascii="Arial" w:hAnsi="Arial" w:cs="Arial"/>
          <w:b/>
          <w:bCs/>
        </w:rPr>
        <w:t>Table</w:t>
      </w:r>
      <w:r w:rsidR="00462784" w:rsidRPr="00462784">
        <w:rPr>
          <w:rFonts w:ascii="Arial" w:hAnsi="Arial" w:cs="Arial"/>
          <w:b/>
          <w:bCs/>
        </w:rPr>
        <w:t xml:space="preserve"> </w:t>
      </w:r>
      <w:r w:rsidR="00462784">
        <w:rPr>
          <w:rFonts w:ascii="Arial" w:hAnsi="Arial" w:cs="Arial"/>
          <w:b/>
          <w:bCs/>
        </w:rPr>
        <w:t>3</w:t>
      </w:r>
      <w:r w:rsidR="00462784" w:rsidRPr="00462784">
        <w:rPr>
          <w:rFonts w:ascii="Arial" w:hAnsi="Arial" w:cs="Arial"/>
          <w:b/>
          <w:bCs/>
        </w:rPr>
        <w:t>.1 Reading Age Progress by eFSM Status</w:t>
      </w:r>
    </w:p>
    <w:tbl>
      <w:tblPr>
        <w:tblW w:w="9050"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39"/>
        <w:gridCol w:w="1418"/>
        <w:gridCol w:w="2557"/>
        <w:gridCol w:w="1536"/>
      </w:tblGrid>
      <w:tr w:rsidR="00462784" w:rsidRPr="00462784" w14:paraId="5377A4E6" w14:textId="77777777" w:rsidTr="00462784">
        <w:trPr>
          <w:trHeight w:val="244"/>
          <w:tblHeader/>
          <w:tblCellSpacing w:w="15" w:type="dxa"/>
        </w:trPr>
        <w:tc>
          <w:tcPr>
            <w:tcW w:w="3494" w:type="dxa"/>
            <w:vAlign w:val="center"/>
            <w:hideMark/>
          </w:tcPr>
          <w:p w14:paraId="51807938" w14:textId="77777777" w:rsidR="00462784" w:rsidRPr="00462784" w:rsidRDefault="00462784" w:rsidP="00462784">
            <w:pPr>
              <w:jc w:val="center"/>
              <w:rPr>
                <w:rFonts w:ascii="Arial" w:hAnsi="Arial" w:cs="Arial"/>
                <w:b/>
                <w:bCs/>
              </w:rPr>
            </w:pPr>
            <w:r w:rsidRPr="00462784">
              <w:rPr>
                <w:rFonts w:ascii="Arial" w:hAnsi="Arial" w:cs="Arial"/>
                <w:b/>
                <w:bCs/>
              </w:rPr>
              <w:t>Group</w:t>
            </w:r>
          </w:p>
        </w:tc>
        <w:tc>
          <w:tcPr>
            <w:tcW w:w="1388" w:type="dxa"/>
            <w:vAlign w:val="center"/>
            <w:hideMark/>
          </w:tcPr>
          <w:p w14:paraId="48B727DE" w14:textId="77777777" w:rsidR="00462784" w:rsidRPr="00462784" w:rsidRDefault="00462784" w:rsidP="00462784">
            <w:pPr>
              <w:jc w:val="center"/>
              <w:rPr>
                <w:rFonts w:ascii="Arial" w:hAnsi="Arial" w:cs="Arial"/>
                <w:b/>
                <w:bCs/>
              </w:rPr>
            </w:pPr>
            <w:r w:rsidRPr="00462784">
              <w:rPr>
                <w:rFonts w:ascii="Arial" w:hAnsi="Arial" w:cs="Arial"/>
                <w:b/>
                <w:bCs/>
              </w:rPr>
              <w:t>N</w:t>
            </w:r>
          </w:p>
        </w:tc>
        <w:tc>
          <w:tcPr>
            <w:tcW w:w="2527" w:type="dxa"/>
            <w:vAlign w:val="center"/>
            <w:hideMark/>
          </w:tcPr>
          <w:p w14:paraId="35815746" w14:textId="77777777" w:rsidR="00462784" w:rsidRPr="00462784" w:rsidRDefault="00462784" w:rsidP="00462784">
            <w:pPr>
              <w:jc w:val="center"/>
              <w:rPr>
                <w:rFonts w:ascii="Arial" w:hAnsi="Arial" w:cs="Arial"/>
                <w:b/>
                <w:bCs/>
              </w:rPr>
            </w:pPr>
            <w:r w:rsidRPr="00462784">
              <w:rPr>
                <w:rFonts w:ascii="Arial" w:hAnsi="Arial" w:cs="Arial"/>
                <w:b/>
                <w:bCs/>
              </w:rPr>
              <w:t>Mean Progress</w:t>
            </w:r>
          </w:p>
        </w:tc>
        <w:tc>
          <w:tcPr>
            <w:tcW w:w="0" w:type="auto"/>
            <w:vAlign w:val="center"/>
            <w:hideMark/>
          </w:tcPr>
          <w:p w14:paraId="3DFDFA49" w14:textId="77777777" w:rsidR="00462784" w:rsidRPr="00462784" w:rsidRDefault="00462784" w:rsidP="00462784">
            <w:pPr>
              <w:jc w:val="center"/>
              <w:rPr>
                <w:rFonts w:ascii="Arial" w:hAnsi="Arial" w:cs="Arial"/>
                <w:b/>
                <w:bCs/>
              </w:rPr>
            </w:pPr>
            <w:r w:rsidRPr="00462784">
              <w:rPr>
                <w:rFonts w:ascii="Arial" w:hAnsi="Arial" w:cs="Arial"/>
                <w:b/>
                <w:bCs/>
              </w:rPr>
              <w:t>SD</w:t>
            </w:r>
          </w:p>
        </w:tc>
      </w:tr>
      <w:tr w:rsidR="00462784" w:rsidRPr="00462784" w14:paraId="59FD1182" w14:textId="77777777" w:rsidTr="00462784">
        <w:trPr>
          <w:trHeight w:val="244"/>
          <w:tblCellSpacing w:w="15" w:type="dxa"/>
        </w:trPr>
        <w:tc>
          <w:tcPr>
            <w:tcW w:w="3494" w:type="dxa"/>
            <w:vAlign w:val="center"/>
            <w:hideMark/>
          </w:tcPr>
          <w:p w14:paraId="2FFDF85A" w14:textId="77777777" w:rsidR="00462784" w:rsidRPr="00462784" w:rsidRDefault="00462784" w:rsidP="00462784">
            <w:pPr>
              <w:jc w:val="center"/>
              <w:rPr>
                <w:rFonts w:ascii="Arial" w:hAnsi="Arial" w:cs="Arial"/>
              </w:rPr>
            </w:pPr>
            <w:r w:rsidRPr="00462784">
              <w:rPr>
                <w:rFonts w:ascii="Arial" w:hAnsi="Arial" w:cs="Arial"/>
              </w:rPr>
              <w:t>eFSM</w:t>
            </w:r>
          </w:p>
        </w:tc>
        <w:tc>
          <w:tcPr>
            <w:tcW w:w="1388" w:type="dxa"/>
            <w:vAlign w:val="center"/>
            <w:hideMark/>
          </w:tcPr>
          <w:p w14:paraId="3D2D64A5" w14:textId="77777777" w:rsidR="00462784" w:rsidRPr="00462784" w:rsidRDefault="00462784" w:rsidP="00462784">
            <w:pPr>
              <w:jc w:val="center"/>
              <w:rPr>
                <w:rFonts w:ascii="Arial" w:hAnsi="Arial" w:cs="Arial"/>
              </w:rPr>
            </w:pPr>
            <w:r w:rsidRPr="00462784">
              <w:rPr>
                <w:rFonts w:ascii="Arial" w:hAnsi="Arial" w:cs="Arial"/>
              </w:rPr>
              <w:t>76</w:t>
            </w:r>
          </w:p>
        </w:tc>
        <w:tc>
          <w:tcPr>
            <w:tcW w:w="2527" w:type="dxa"/>
            <w:vAlign w:val="center"/>
            <w:hideMark/>
          </w:tcPr>
          <w:p w14:paraId="117AE084" w14:textId="77777777" w:rsidR="00462784" w:rsidRPr="00462784" w:rsidRDefault="00462784" w:rsidP="00462784">
            <w:pPr>
              <w:jc w:val="center"/>
              <w:rPr>
                <w:rFonts w:ascii="Arial" w:hAnsi="Arial" w:cs="Arial"/>
              </w:rPr>
            </w:pPr>
            <w:r w:rsidRPr="00462784">
              <w:rPr>
                <w:rFonts w:ascii="Arial" w:hAnsi="Arial" w:cs="Arial"/>
              </w:rPr>
              <w:t>4.75</w:t>
            </w:r>
          </w:p>
        </w:tc>
        <w:tc>
          <w:tcPr>
            <w:tcW w:w="0" w:type="auto"/>
            <w:vAlign w:val="center"/>
            <w:hideMark/>
          </w:tcPr>
          <w:p w14:paraId="3203E1E0" w14:textId="06A44F9F" w:rsidR="00462784" w:rsidRPr="00462784" w:rsidRDefault="00462784" w:rsidP="00462784">
            <w:pPr>
              <w:jc w:val="center"/>
              <w:rPr>
                <w:rFonts w:ascii="Arial" w:hAnsi="Arial" w:cs="Arial"/>
              </w:rPr>
            </w:pPr>
            <w:r w:rsidRPr="00462784">
              <w:rPr>
                <w:rFonts w:ascii="Arial" w:hAnsi="Arial" w:cs="Arial"/>
              </w:rPr>
              <w:t>2.51</w:t>
            </w:r>
          </w:p>
        </w:tc>
      </w:tr>
      <w:tr w:rsidR="00462784" w:rsidRPr="00462784" w14:paraId="319E4325" w14:textId="77777777" w:rsidTr="00462784">
        <w:trPr>
          <w:trHeight w:val="244"/>
          <w:tblCellSpacing w:w="15" w:type="dxa"/>
        </w:trPr>
        <w:tc>
          <w:tcPr>
            <w:tcW w:w="3494" w:type="dxa"/>
            <w:vAlign w:val="center"/>
            <w:hideMark/>
          </w:tcPr>
          <w:p w14:paraId="5C959ED6" w14:textId="77777777" w:rsidR="00462784" w:rsidRPr="00462784" w:rsidRDefault="00462784" w:rsidP="00462784">
            <w:pPr>
              <w:jc w:val="center"/>
              <w:rPr>
                <w:rFonts w:ascii="Arial" w:hAnsi="Arial" w:cs="Arial"/>
              </w:rPr>
            </w:pPr>
            <w:r w:rsidRPr="00462784">
              <w:rPr>
                <w:rFonts w:ascii="Arial" w:hAnsi="Arial" w:cs="Arial"/>
              </w:rPr>
              <w:t>Non-eFSM</w:t>
            </w:r>
          </w:p>
        </w:tc>
        <w:tc>
          <w:tcPr>
            <w:tcW w:w="1388" w:type="dxa"/>
            <w:vAlign w:val="center"/>
            <w:hideMark/>
          </w:tcPr>
          <w:p w14:paraId="72FB662F" w14:textId="77777777" w:rsidR="00462784" w:rsidRPr="00462784" w:rsidRDefault="00462784" w:rsidP="00462784">
            <w:pPr>
              <w:jc w:val="center"/>
              <w:rPr>
                <w:rFonts w:ascii="Arial" w:hAnsi="Arial" w:cs="Arial"/>
              </w:rPr>
            </w:pPr>
            <w:r w:rsidRPr="00462784">
              <w:rPr>
                <w:rFonts w:ascii="Arial" w:hAnsi="Arial" w:cs="Arial"/>
              </w:rPr>
              <w:t>101</w:t>
            </w:r>
          </w:p>
        </w:tc>
        <w:tc>
          <w:tcPr>
            <w:tcW w:w="2527" w:type="dxa"/>
            <w:vAlign w:val="center"/>
            <w:hideMark/>
          </w:tcPr>
          <w:p w14:paraId="318C0F3D" w14:textId="77777777" w:rsidR="00462784" w:rsidRPr="00462784" w:rsidRDefault="00462784" w:rsidP="00462784">
            <w:pPr>
              <w:jc w:val="center"/>
              <w:rPr>
                <w:rFonts w:ascii="Arial" w:hAnsi="Arial" w:cs="Arial"/>
              </w:rPr>
            </w:pPr>
            <w:r w:rsidRPr="00462784">
              <w:rPr>
                <w:rFonts w:ascii="Arial" w:hAnsi="Arial" w:cs="Arial"/>
              </w:rPr>
              <w:t>3.79</w:t>
            </w:r>
          </w:p>
        </w:tc>
        <w:tc>
          <w:tcPr>
            <w:tcW w:w="0" w:type="auto"/>
            <w:vAlign w:val="center"/>
            <w:hideMark/>
          </w:tcPr>
          <w:p w14:paraId="65315BDE" w14:textId="602A7B47" w:rsidR="00462784" w:rsidRPr="00462784" w:rsidRDefault="00462784" w:rsidP="00462784">
            <w:pPr>
              <w:jc w:val="center"/>
              <w:rPr>
                <w:rFonts w:ascii="Arial" w:hAnsi="Arial" w:cs="Arial"/>
              </w:rPr>
            </w:pPr>
            <w:r w:rsidRPr="00462784">
              <w:rPr>
                <w:rFonts w:ascii="Arial" w:hAnsi="Arial" w:cs="Arial"/>
              </w:rPr>
              <w:t>3.08</w:t>
            </w:r>
          </w:p>
        </w:tc>
      </w:tr>
    </w:tbl>
    <w:p w14:paraId="18BECDE7" w14:textId="77777777" w:rsidR="00462784" w:rsidRPr="00462784" w:rsidRDefault="00462784" w:rsidP="00462784">
      <w:pPr>
        <w:spacing w:line="300" w:lineRule="atLeast"/>
        <w:rPr>
          <w:rFonts w:ascii="Arial" w:hAnsi="Arial" w:cs="Arial"/>
        </w:rPr>
      </w:pPr>
    </w:p>
    <w:p w14:paraId="34E168C4" w14:textId="48B0A4E8" w:rsidR="00462784" w:rsidRPr="00E25F85" w:rsidRDefault="00462784" w:rsidP="00462784">
      <w:pPr>
        <w:spacing w:line="360" w:lineRule="auto"/>
        <w:jc w:val="both"/>
        <w:rPr>
          <w:rFonts w:ascii="Segoe UI" w:hAnsi="Segoe UI" w:cs="Segoe UI"/>
          <w:sz w:val="21"/>
          <w:szCs w:val="21"/>
        </w:rPr>
      </w:pPr>
      <w:r w:rsidRPr="00462784">
        <w:rPr>
          <w:rFonts w:ascii="Arial" w:hAnsi="Arial" w:cs="Arial"/>
        </w:rPr>
        <w:t>An independent-samples t-test was conducted to compare reading-age progress between pupils eligible for eFSM and those who were not eligible</w:t>
      </w:r>
      <w:r w:rsidRPr="00E25F85">
        <w:rPr>
          <w:rFonts w:ascii="Arial" w:hAnsi="Arial" w:cs="Arial"/>
        </w:rPr>
        <w:t xml:space="preserve">. </w:t>
      </w:r>
      <w:r w:rsidR="00E25F85" w:rsidRPr="00E25F85">
        <w:rPr>
          <w:rFonts w:ascii="Arial" w:hAnsi="Arial" w:cs="Arial"/>
        </w:rPr>
        <w:t xml:space="preserve">Pupils eligible for eFSM demonstrated greater progress than non-eFSM pupils, </w:t>
      </w:r>
      <w:r w:rsidR="003D33A9" w:rsidRPr="00E25F85">
        <w:rPr>
          <w:rFonts w:ascii="Arial" w:hAnsi="Arial" w:cs="Arial"/>
        </w:rPr>
        <w:t>t (</w:t>
      </w:r>
      <w:proofErr w:type="gramStart"/>
      <w:r w:rsidR="00E25F85" w:rsidRPr="00E25F85">
        <w:rPr>
          <w:rFonts w:ascii="Arial" w:hAnsi="Arial" w:cs="Arial"/>
        </w:rPr>
        <w:t>172)=</w:t>
      </w:r>
      <w:proofErr w:type="gramEnd"/>
      <w:r w:rsidR="00E25F85" w:rsidRPr="00E25F85">
        <w:rPr>
          <w:rFonts w:ascii="Arial" w:hAnsi="Arial" w:cs="Arial"/>
        </w:rPr>
        <w:t>3.39, p=.001.</w:t>
      </w:r>
      <w:r w:rsidR="00E25F85">
        <w:rPr>
          <w:rFonts w:ascii="Segoe UI" w:hAnsi="Segoe UI" w:cs="Segoe UI"/>
          <w:sz w:val="21"/>
          <w:szCs w:val="21"/>
        </w:rPr>
        <w:t xml:space="preserve"> </w:t>
      </w:r>
      <w:r w:rsidRPr="00462784">
        <w:rPr>
          <w:rFonts w:ascii="Arial" w:hAnsi="Arial" w:cs="Arial"/>
        </w:rPr>
        <w:t>Therefore, Hypothesis 2 was not supported, as eFSM pupils demonstrated significantly greater, rather than lower, reading-age progress.</w:t>
      </w:r>
    </w:p>
    <w:p w14:paraId="1C196DD2" w14:textId="4E0357E7" w:rsidR="00462784" w:rsidRPr="00462784" w:rsidRDefault="002A0C5B" w:rsidP="00462784">
      <w:pPr>
        <w:spacing w:before="100" w:beforeAutospacing="1" w:after="100" w:afterAutospacing="1" w:line="360" w:lineRule="auto"/>
        <w:jc w:val="both"/>
        <w:rPr>
          <w:rFonts w:ascii="Arial" w:hAnsi="Arial" w:cs="Arial"/>
          <w:b/>
          <w:bCs/>
        </w:rPr>
      </w:pPr>
      <w:r>
        <w:rPr>
          <w:rFonts w:ascii="Arial" w:hAnsi="Arial" w:cs="Arial"/>
          <w:b/>
          <w:bCs/>
        </w:rPr>
        <w:t>Table</w:t>
      </w:r>
      <w:r w:rsidR="00462784" w:rsidRPr="00462784">
        <w:rPr>
          <w:rFonts w:ascii="Arial" w:hAnsi="Arial" w:cs="Arial"/>
          <w:b/>
          <w:bCs/>
        </w:rPr>
        <w:t xml:space="preserve"> </w:t>
      </w:r>
      <w:r w:rsidR="00462784">
        <w:rPr>
          <w:rFonts w:ascii="Arial" w:hAnsi="Arial" w:cs="Arial"/>
          <w:b/>
          <w:bCs/>
        </w:rPr>
        <w:t>3</w:t>
      </w:r>
      <w:r w:rsidR="00462784" w:rsidRPr="00462784">
        <w:rPr>
          <w:rFonts w:ascii="Arial" w:hAnsi="Arial" w:cs="Arial"/>
          <w:b/>
          <w:bCs/>
        </w:rPr>
        <w:t>.2 Reading Attainment and Progress by eFSM Status</w:t>
      </w:r>
    </w:p>
    <w:tbl>
      <w:tblPr>
        <w:tblW w:w="902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68"/>
        <w:gridCol w:w="2848"/>
        <w:gridCol w:w="2848"/>
        <w:gridCol w:w="1959"/>
      </w:tblGrid>
      <w:tr w:rsidR="00462784" w:rsidRPr="00462784" w14:paraId="6AD06773" w14:textId="77777777" w:rsidTr="00462784">
        <w:trPr>
          <w:trHeight w:val="285"/>
          <w:tblHeader/>
          <w:tblCellSpacing w:w="15" w:type="dxa"/>
        </w:trPr>
        <w:tc>
          <w:tcPr>
            <w:tcW w:w="0" w:type="auto"/>
            <w:vAlign w:val="center"/>
            <w:hideMark/>
          </w:tcPr>
          <w:p w14:paraId="0B92304A" w14:textId="77777777" w:rsidR="00462784" w:rsidRPr="00462784" w:rsidRDefault="00462784" w:rsidP="00462784">
            <w:pPr>
              <w:jc w:val="center"/>
              <w:rPr>
                <w:rFonts w:ascii="Arial" w:hAnsi="Arial" w:cs="Arial"/>
                <w:b/>
                <w:bCs/>
              </w:rPr>
            </w:pPr>
            <w:r w:rsidRPr="00462784">
              <w:rPr>
                <w:rFonts w:ascii="Arial" w:hAnsi="Arial" w:cs="Arial"/>
                <w:b/>
                <w:bCs/>
              </w:rPr>
              <w:t>Group</w:t>
            </w:r>
          </w:p>
        </w:tc>
        <w:tc>
          <w:tcPr>
            <w:tcW w:w="0" w:type="auto"/>
            <w:vAlign w:val="center"/>
            <w:hideMark/>
          </w:tcPr>
          <w:p w14:paraId="02534693" w14:textId="77777777" w:rsidR="00462784" w:rsidRPr="00462784" w:rsidRDefault="00462784" w:rsidP="00462784">
            <w:pPr>
              <w:jc w:val="center"/>
              <w:rPr>
                <w:rFonts w:ascii="Arial" w:hAnsi="Arial" w:cs="Arial"/>
                <w:b/>
                <w:bCs/>
              </w:rPr>
            </w:pPr>
            <w:r w:rsidRPr="00462784">
              <w:rPr>
                <w:rFonts w:ascii="Arial" w:hAnsi="Arial" w:cs="Arial"/>
                <w:b/>
                <w:bCs/>
              </w:rPr>
              <w:t>Mean Reading Age (Test 1)</w:t>
            </w:r>
          </w:p>
        </w:tc>
        <w:tc>
          <w:tcPr>
            <w:tcW w:w="0" w:type="auto"/>
            <w:vAlign w:val="center"/>
            <w:hideMark/>
          </w:tcPr>
          <w:p w14:paraId="4FC73803" w14:textId="77777777" w:rsidR="00462784" w:rsidRPr="00462784" w:rsidRDefault="00462784" w:rsidP="00462784">
            <w:pPr>
              <w:jc w:val="center"/>
              <w:rPr>
                <w:rFonts w:ascii="Arial" w:hAnsi="Arial" w:cs="Arial"/>
                <w:b/>
                <w:bCs/>
              </w:rPr>
            </w:pPr>
            <w:r w:rsidRPr="00462784">
              <w:rPr>
                <w:rFonts w:ascii="Arial" w:hAnsi="Arial" w:cs="Arial"/>
                <w:b/>
                <w:bCs/>
              </w:rPr>
              <w:t>Mean Reading Age (Test 2)</w:t>
            </w:r>
          </w:p>
        </w:tc>
        <w:tc>
          <w:tcPr>
            <w:tcW w:w="0" w:type="auto"/>
            <w:vAlign w:val="center"/>
            <w:hideMark/>
          </w:tcPr>
          <w:p w14:paraId="28BCB74A" w14:textId="77777777" w:rsidR="00462784" w:rsidRPr="00462784" w:rsidRDefault="00462784" w:rsidP="00462784">
            <w:pPr>
              <w:jc w:val="center"/>
              <w:rPr>
                <w:rFonts w:ascii="Arial" w:hAnsi="Arial" w:cs="Arial"/>
                <w:b/>
                <w:bCs/>
              </w:rPr>
            </w:pPr>
            <w:r w:rsidRPr="00462784">
              <w:rPr>
                <w:rFonts w:ascii="Arial" w:hAnsi="Arial" w:cs="Arial"/>
                <w:b/>
                <w:bCs/>
              </w:rPr>
              <w:t>Mean Progress</w:t>
            </w:r>
          </w:p>
        </w:tc>
      </w:tr>
      <w:tr w:rsidR="00462784" w:rsidRPr="00462784" w14:paraId="64B10146" w14:textId="77777777" w:rsidTr="00462784">
        <w:trPr>
          <w:trHeight w:val="285"/>
          <w:tblCellSpacing w:w="15" w:type="dxa"/>
        </w:trPr>
        <w:tc>
          <w:tcPr>
            <w:tcW w:w="0" w:type="auto"/>
            <w:vAlign w:val="center"/>
            <w:hideMark/>
          </w:tcPr>
          <w:p w14:paraId="581D9140" w14:textId="77777777" w:rsidR="00462784" w:rsidRPr="00462784" w:rsidRDefault="00462784" w:rsidP="00462784">
            <w:pPr>
              <w:jc w:val="center"/>
              <w:rPr>
                <w:rFonts w:ascii="Arial" w:hAnsi="Arial" w:cs="Arial"/>
              </w:rPr>
            </w:pPr>
            <w:r w:rsidRPr="00462784">
              <w:rPr>
                <w:rFonts w:ascii="Arial" w:hAnsi="Arial" w:cs="Arial"/>
              </w:rPr>
              <w:t>eFSM</w:t>
            </w:r>
          </w:p>
        </w:tc>
        <w:tc>
          <w:tcPr>
            <w:tcW w:w="0" w:type="auto"/>
            <w:vAlign w:val="center"/>
            <w:hideMark/>
          </w:tcPr>
          <w:p w14:paraId="015A2270" w14:textId="77777777" w:rsidR="00462784" w:rsidRPr="00462784" w:rsidRDefault="00462784" w:rsidP="00462784">
            <w:pPr>
              <w:jc w:val="center"/>
              <w:rPr>
                <w:rFonts w:ascii="Arial" w:hAnsi="Arial" w:cs="Arial"/>
              </w:rPr>
            </w:pPr>
            <w:r w:rsidRPr="00462784">
              <w:rPr>
                <w:rFonts w:ascii="Arial" w:hAnsi="Arial" w:cs="Arial"/>
              </w:rPr>
              <w:t>9.05</w:t>
            </w:r>
          </w:p>
        </w:tc>
        <w:tc>
          <w:tcPr>
            <w:tcW w:w="0" w:type="auto"/>
            <w:vAlign w:val="center"/>
            <w:hideMark/>
          </w:tcPr>
          <w:p w14:paraId="79E7E286" w14:textId="77777777" w:rsidR="00462784" w:rsidRPr="00462784" w:rsidRDefault="00462784" w:rsidP="00462784">
            <w:pPr>
              <w:jc w:val="center"/>
              <w:rPr>
                <w:rFonts w:ascii="Arial" w:hAnsi="Arial" w:cs="Arial"/>
              </w:rPr>
            </w:pPr>
            <w:r w:rsidRPr="00462784">
              <w:rPr>
                <w:rFonts w:ascii="Arial" w:hAnsi="Arial" w:cs="Arial"/>
              </w:rPr>
              <w:t>9.34</w:t>
            </w:r>
          </w:p>
        </w:tc>
        <w:tc>
          <w:tcPr>
            <w:tcW w:w="0" w:type="auto"/>
            <w:vAlign w:val="center"/>
            <w:hideMark/>
          </w:tcPr>
          <w:p w14:paraId="4FEA2597" w14:textId="77777777" w:rsidR="00462784" w:rsidRPr="00462784" w:rsidRDefault="00462784" w:rsidP="00462784">
            <w:pPr>
              <w:jc w:val="center"/>
              <w:rPr>
                <w:rFonts w:ascii="Arial" w:hAnsi="Arial" w:cs="Arial"/>
              </w:rPr>
            </w:pPr>
            <w:r w:rsidRPr="00462784">
              <w:rPr>
                <w:rFonts w:ascii="Arial" w:hAnsi="Arial" w:cs="Arial"/>
              </w:rPr>
              <w:t>4.75</w:t>
            </w:r>
          </w:p>
        </w:tc>
      </w:tr>
      <w:tr w:rsidR="00462784" w:rsidRPr="00462784" w14:paraId="488A8FBD" w14:textId="77777777" w:rsidTr="00462784">
        <w:trPr>
          <w:trHeight w:val="285"/>
          <w:tblCellSpacing w:w="15" w:type="dxa"/>
        </w:trPr>
        <w:tc>
          <w:tcPr>
            <w:tcW w:w="0" w:type="auto"/>
            <w:vAlign w:val="center"/>
            <w:hideMark/>
          </w:tcPr>
          <w:p w14:paraId="758AB816" w14:textId="77777777" w:rsidR="00462784" w:rsidRPr="00462784" w:rsidRDefault="00462784" w:rsidP="00462784">
            <w:pPr>
              <w:jc w:val="center"/>
              <w:rPr>
                <w:rFonts w:ascii="Arial" w:hAnsi="Arial" w:cs="Arial"/>
              </w:rPr>
            </w:pPr>
            <w:r w:rsidRPr="00462784">
              <w:rPr>
                <w:rFonts w:ascii="Arial" w:hAnsi="Arial" w:cs="Arial"/>
              </w:rPr>
              <w:lastRenderedPageBreak/>
              <w:t>Non-eFSM</w:t>
            </w:r>
          </w:p>
        </w:tc>
        <w:tc>
          <w:tcPr>
            <w:tcW w:w="0" w:type="auto"/>
            <w:vAlign w:val="center"/>
            <w:hideMark/>
          </w:tcPr>
          <w:p w14:paraId="65C52624" w14:textId="77777777" w:rsidR="00462784" w:rsidRPr="00462784" w:rsidRDefault="00462784" w:rsidP="00462784">
            <w:pPr>
              <w:jc w:val="center"/>
              <w:rPr>
                <w:rFonts w:ascii="Arial" w:hAnsi="Arial" w:cs="Arial"/>
              </w:rPr>
            </w:pPr>
            <w:r w:rsidRPr="00462784">
              <w:rPr>
                <w:rFonts w:ascii="Arial" w:hAnsi="Arial" w:cs="Arial"/>
              </w:rPr>
              <w:t>10.68</w:t>
            </w:r>
          </w:p>
        </w:tc>
        <w:tc>
          <w:tcPr>
            <w:tcW w:w="0" w:type="auto"/>
            <w:vAlign w:val="center"/>
            <w:hideMark/>
          </w:tcPr>
          <w:p w14:paraId="5755208C" w14:textId="77777777" w:rsidR="00462784" w:rsidRPr="00462784" w:rsidRDefault="00462784" w:rsidP="00462784">
            <w:pPr>
              <w:jc w:val="center"/>
              <w:rPr>
                <w:rFonts w:ascii="Arial" w:hAnsi="Arial" w:cs="Arial"/>
              </w:rPr>
            </w:pPr>
            <w:r w:rsidRPr="00462784">
              <w:rPr>
                <w:rFonts w:ascii="Arial" w:hAnsi="Arial" w:cs="Arial"/>
              </w:rPr>
              <w:t>11.01</w:t>
            </w:r>
          </w:p>
        </w:tc>
        <w:tc>
          <w:tcPr>
            <w:tcW w:w="0" w:type="auto"/>
            <w:vAlign w:val="center"/>
            <w:hideMark/>
          </w:tcPr>
          <w:p w14:paraId="77CE8328" w14:textId="77777777" w:rsidR="00462784" w:rsidRPr="00462784" w:rsidRDefault="00462784" w:rsidP="00462784">
            <w:pPr>
              <w:jc w:val="center"/>
              <w:rPr>
                <w:rFonts w:ascii="Arial" w:hAnsi="Arial" w:cs="Arial"/>
              </w:rPr>
            </w:pPr>
            <w:r w:rsidRPr="00462784">
              <w:rPr>
                <w:rFonts w:ascii="Arial" w:hAnsi="Arial" w:cs="Arial"/>
              </w:rPr>
              <w:t>3.79</w:t>
            </w:r>
          </w:p>
        </w:tc>
      </w:tr>
      <w:tr w:rsidR="00F35E25" w:rsidRPr="00462784" w14:paraId="5A560338" w14:textId="77777777" w:rsidTr="00E8476F">
        <w:trPr>
          <w:trHeight w:val="285"/>
          <w:tblCellSpacing w:w="15" w:type="dxa"/>
        </w:trPr>
        <w:tc>
          <w:tcPr>
            <w:tcW w:w="0" w:type="auto"/>
            <w:gridSpan w:val="4"/>
            <w:vAlign w:val="center"/>
          </w:tcPr>
          <w:p w14:paraId="010C9252" w14:textId="21AEDADF" w:rsidR="00F35E25" w:rsidRPr="001F28DB" w:rsidRDefault="00F35E25" w:rsidP="00F35E25">
            <w:pPr>
              <w:spacing w:line="300" w:lineRule="atLeast"/>
              <w:jc w:val="both"/>
              <w:rPr>
                <w:rFonts w:ascii="Arial" w:hAnsi="Arial" w:cs="Arial"/>
                <w:i/>
                <w:iCs/>
                <w:sz w:val="21"/>
                <w:szCs w:val="21"/>
              </w:rPr>
            </w:pPr>
            <w:r w:rsidRPr="001F28DB">
              <w:rPr>
                <w:rFonts w:ascii="Arial" w:hAnsi="Arial" w:cs="Arial"/>
                <w:i/>
                <w:iCs/>
                <w:sz w:val="21"/>
                <w:szCs w:val="21"/>
              </w:rPr>
              <w:t>Mean progress values were calculated from individual pupil gains and therefore do not necessarily equal the difference between group mean reading ages at Test 1 and Test 2.</w:t>
            </w:r>
          </w:p>
        </w:tc>
      </w:tr>
    </w:tbl>
    <w:p w14:paraId="15E69098" w14:textId="77777777" w:rsidR="00462784" w:rsidRPr="00462784" w:rsidRDefault="00462784" w:rsidP="00462784">
      <w:pPr>
        <w:spacing w:line="300" w:lineRule="atLeast"/>
        <w:rPr>
          <w:rFonts w:ascii="Arial" w:hAnsi="Arial" w:cs="Arial"/>
        </w:rPr>
      </w:pPr>
    </w:p>
    <w:p w14:paraId="5E95611F" w14:textId="78741820" w:rsidR="00462784" w:rsidRDefault="00462784" w:rsidP="00462784">
      <w:pPr>
        <w:spacing w:line="360" w:lineRule="auto"/>
        <w:jc w:val="both"/>
        <w:rPr>
          <w:rFonts w:ascii="Arial" w:hAnsi="Arial" w:cs="Arial"/>
        </w:rPr>
      </w:pPr>
      <w:r w:rsidRPr="00462784">
        <w:rPr>
          <w:rFonts w:ascii="Arial" w:hAnsi="Arial" w:cs="Arial"/>
        </w:rPr>
        <w:t>Analysis of the reading-age attainment scores revealed differences between the two groups. At the beginning of the study, pupils eligible for eFSM had a mean reading age of 9.05 years, compared with 10.68 years for non-eFSM pupils. Following the second administration of the Salford Reading Test, mean reading ages increased to 9.34 years and 11.01 years respectively. Although pupils eligible for eFSM demonstrated greater average progress during the study period, non-eFSM pupils maintained higher overall levels of reading attainment.</w:t>
      </w:r>
    </w:p>
    <w:bookmarkEnd w:id="2"/>
    <w:p w14:paraId="0D864F1F" w14:textId="77777777" w:rsidR="001F28DB" w:rsidRDefault="001F28DB" w:rsidP="00462784">
      <w:pPr>
        <w:spacing w:line="360" w:lineRule="auto"/>
        <w:jc w:val="both"/>
        <w:rPr>
          <w:rFonts w:ascii="Arial" w:hAnsi="Arial" w:cs="Arial"/>
          <w:b/>
          <w:bCs/>
        </w:rPr>
      </w:pPr>
    </w:p>
    <w:p w14:paraId="589B971C" w14:textId="27D7668F" w:rsidR="00237620" w:rsidRPr="001F28DB" w:rsidRDefault="00237620" w:rsidP="00462784">
      <w:pPr>
        <w:spacing w:line="360" w:lineRule="auto"/>
        <w:jc w:val="both"/>
        <w:rPr>
          <w:rFonts w:ascii="Arial" w:hAnsi="Arial" w:cs="Arial"/>
          <w:b/>
          <w:bCs/>
        </w:rPr>
      </w:pPr>
      <w:r w:rsidRPr="001F28DB">
        <w:rPr>
          <w:rFonts w:ascii="Arial" w:hAnsi="Arial" w:cs="Arial"/>
          <w:b/>
          <w:bCs/>
        </w:rPr>
        <w:t xml:space="preserve">Table 3:3 </w:t>
      </w:r>
      <w:r w:rsidR="001F28DB">
        <w:rPr>
          <w:rFonts w:ascii="Arial" w:hAnsi="Arial" w:cs="Arial"/>
          <w:b/>
          <w:bCs/>
        </w:rPr>
        <w:t xml:space="preserve">Mean Progress of </w:t>
      </w:r>
      <w:proofErr w:type="gramStart"/>
      <w:r w:rsidR="001F28DB">
        <w:rPr>
          <w:rFonts w:ascii="Arial" w:hAnsi="Arial" w:cs="Arial"/>
          <w:b/>
          <w:bCs/>
        </w:rPr>
        <w:t>Non e</w:t>
      </w:r>
      <w:proofErr w:type="gramEnd"/>
      <w:r w:rsidR="001F28DB">
        <w:rPr>
          <w:rFonts w:ascii="Arial" w:hAnsi="Arial" w:cs="Arial"/>
          <w:b/>
          <w:bCs/>
        </w:rPr>
        <w:t>-FSM Pupils Versus eFSM Pupils</w:t>
      </w:r>
    </w:p>
    <w:p w14:paraId="1E70A9E4" w14:textId="77777777" w:rsidR="007F0FC0" w:rsidRPr="00462784" w:rsidRDefault="007F0FC0" w:rsidP="00462784">
      <w:pPr>
        <w:spacing w:line="360" w:lineRule="auto"/>
        <w:jc w:val="both"/>
        <w:rPr>
          <w:rFonts w:ascii="Arial" w:hAnsi="Arial" w:cs="Arial"/>
        </w:rPr>
      </w:pPr>
    </w:p>
    <w:p w14:paraId="11DD5590" w14:textId="77777777" w:rsidR="00462784" w:rsidRDefault="00462784" w:rsidP="00462784">
      <w:pPr>
        <w:spacing w:line="300" w:lineRule="atLeast"/>
        <w:rPr>
          <w:rFonts w:ascii="Arial" w:hAnsi="Arial" w:cs="Arial"/>
          <w:b/>
          <w:bCs/>
        </w:rPr>
      </w:pPr>
    </w:p>
    <w:p w14:paraId="3D59444A" w14:textId="31A232DD" w:rsidR="00462784" w:rsidRPr="00462784" w:rsidRDefault="00462784" w:rsidP="00462784">
      <w:pPr>
        <w:spacing w:line="300" w:lineRule="atLeast"/>
        <w:rPr>
          <w:rFonts w:ascii="Arial" w:hAnsi="Arial" w:cs="Arial"/>
          <w:b/>
          <w:bCs/>
        </w:rPr>
      </w:pPr>
      <w:r w:rsidRPr="00462784">
        <w:rPr>
          <w:rFonts w:ascii="Arial" w:hAnsi="Arial" w:cs="Arial"/>
          <w:b/>
          <w:bCs/>
        </w:rPr>
        <w:t xml:space="preserve">Figure </w:t>
      </w:r>
      <w:r>
        <w:rPr>
          <w:rFonts w:ascii="Arial" w:hAnsi="Arial" w:cs="Arial"/>
          <w:b/>
          <w:bCs/>
        </w:rPr>
        <w:t>3</w:t>
      </w:r>
      <w:r w:rsidRPr="00462784">
        <w:rPr>
          <w:rFonts w:ascii="Arial" w:hAnsi="Arial" w:cs="Arial"/>
          <w:b/>
          <w:bCs/>
        </w:rPr>
        <w:t>.3 Mean Reading-Age Progress by eFSM Status</w:t>
      </w:r>
    </w:p>
    <w:p w14:paraId="75E9B588" w14:textId="53E59FF5" w:rsidR="00462784" w:rsidRPr="00462784" w:rsidRDefault="00FD7810" w:rsidP="00462784">
      <w:pPr>
        <w:spacing w:line="300" w:lineRule="atLeast"/>
        <w:rPr>
          <w:rFonts w:ascii="Arial" w:hAnsi="Arial" w:cs="Arial"/>
          <w:b/>
          <w:bCs/>
        </w:rPr>
      </w:pPr>
      <w:r w:rsidRPr="00462784">
        <w:rPr>
          <w:rFonts w:ascii="Arial" w:hAnsi="Arial" w:cs="Arial"/>
          <w:noProof/>
        </w:rPr>
        <w:drawing>
          <wp:anchor distT="0" distB="0" distL="114300" distR="114300" simplePos="0" relativeHeight="251659264" behindDoc="0" locked="0" layoutInCell="1" allowOverlap="1" wp14:anchorId="14172221" wp14:editId="5AAEF83D">
            <wp:simplePos x="0" y="0"/>
            <wp:positionH relativeFrom="column">
              <wp:posOffset>-59690</wp:posOffset>
            </wp:positionH>
            <wp:positionV relativeFrom="paragraph">
              <wp:posOffset>-561902</wp:posOffset>
            </wp:positionV>
            <wp:extent cx="5816600" cy="2353456"/>
            <wp:effectExtent l="0" t="0" r="12700" b="8890"/>
            <wp:wrapNone/>
            <wp:docPr id="2091050674" name="Chart 1">
              <a:extLst xmlns:a="http://schemas.openxmlformats.org/drawingml/2006/main">
                <a:ext uri="{FF2B5EF4-FFF2-40B4-BE49-F238E27FC236}">
                  <a16:creationId xmlns:a16="http://schemas.microsoft.com/office/drawing/2014/main" id="{69225ACD-10E5-77A8-F267-0C9C866652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10E51939" w14:textId="6F0C8FA0" w:rsidR="00462784" w:rsidRPr="00462784" w:rsidRDefault="00462784" w:rsidP="00462784">
      <w:pPr>
        <w:spacing w:line="300" w:lineRule="atLeast"/>
        <w:rPr>
          <w:rFonts w:ascii="Arial" w:hAnsi="Arial" w:cs="Arial"/>
          <w:b/>
          <w:bCs/>
        </w:rPr>
      </w:pPr>
    </w:p>
    <w:p w14:paraId="28D9124A" w14:textId="44E06593" w:rsidR="00462784" w:rsidRPr="00462784" w:rsidRDefault="00462784" w:rsidP="00462784">
      <w:pPr>
        <w:spacing w:line="300" w:lineRule="atLeast"/>
        <w:rPr>
          <w:rFonts w:ascii="Arial" w:hAnsi="Arial" w:cs="Arial"/>
          <w:b/>
          <w:bCs/>
        </w:rPr>
      </w:pPr>
    </w:p>
    <w:p w14:paraId="4AD7680F" w14:textId="7F9D62D6" w:rsidR="00462784" w:rsidRPr="00462784" w:rsidRDefault="00462784" w:rsidP="00462784">
      <w:pPr>
        <w:spacing w:line="300" w:lineRule="atLeast"/>
        <w:rPr>
          <w:rFonts w:ascii="Arial" w:hAnsi="Arial" w:cs="Arial"/>
          <w:b/>
          <w:bCs/>
        </w:rPr>
      </w:pPr>
    </w:p>
    <w:p w14:paraId="108321F0" w14:textId="3724FD76" w:rsidR="00462784" w:rsidRPr="00462784" w:rsidRDefault="00462784" w:rsidP="00462784">
      <w:pPr>
        <w:spacing w:line="300" w:lineRule="atLeast"/>
        <w:rPr>
          <w:rFonts w:ascii="Arial" w:hAnsi="Arial" w:cs="Arial"/>
          <w:b/>
          <w:bCs/>
        </w:rPr>
      </w:pPr>
    </w:p>
    <w:p w14:paraId="537C2B3D" w14:textId="77777777" w:rsidR="00462784" w:rsidRPr="00462784" w:rsidRDefault="00462784" w:rsidP="00462784">
      <w:pPr>
        <w:spacing w:before="100" w:beforeAutospacing="1" w:after="100" w:afterAutospacing="1" w:line="360" w:lineRule="auto"/>
        <w:jc w:val="both"/>
        <w:rPr>
          <w:rFonts w:ascii="Arial" w:hAnsi="Arial" w:cs="Arial"/>
        </w:rPr>
      </w:pPr>
    </w:p>
    <w:p w14:paraId="78E450A0" w14:textId="77777777" w:rsidR="00462784" w:rsidRPr="00462784" w:rsidRDefault="00462784" w:rsidP="00462784">
      <w:pPr>
        <w:spacing w:before="100" w:beforeAutospacing="1" w:after="100" w:afterAutospacing="1" w:line="360" w:lineRule="auto"/>
        <w:jc w:val="both"/>
        <w:rPr>
          <w:rFonts w:ascii="Arial" w:hAnsi="Arial" w:cs="Arial"/>
          <w:b/>
          <w:bCs/>
        </w:rPr>
      </w:pPr>
    </w:p>
    <w:p w14:paraId="0F0060B9" w14:textId="0543E79C" w:rsidR="00462784" w:rsidRDefault="00462784" w:rsidP="00462784">
      <w:pPr>
        <w:spacing w:line="360" w:lineRule="auto"/>
        <w:jc w:val="both"/>
        <w:rPr>
          <w:rFonts w:ascii="Arial" w:hAnsi="Arial" w:cs="Arial"/>
        </w:rPr>
      </w:pPr>
      <w:r w:rsidRPr="00462784">
        <w:rPr>
          <w:rStyle w:val="Strong"/>
          <w:rFonts w:ascii="Arial" w:hAnsi="Arial" w:cs="Arial"/>
          <w:b w:val="0"/>
          <w:bCs w:val="0"/>
        </w:rPr>
        <w:t xml:space="preserve">Figure </w:t>
      </w:r>
      <w:r>
        <w:rPr>
          <w:rStyle w:val="Strong"/>
          <w:rFonts w:ascii="Arial" w:hAnsi="Arial" w:cs="Arial"/>
          <w:b w:val="0"/>
          <w:bCs w:val="0"/>
        </w:rPr>
        <w:t>3</w:t>
      </w:r>
      <w:r w:rsidRPr="00462784">
        <w:rPr>
          <w:rStyle w:val="Strong"/>
          <w:rFonts w:ascii="Arial" w:hAnsi="Arial" w:cs="Arial"/>
          <w:b w:val="0"/>
          <w:bCs w:val="0"/>
        </w:rPr>
        <w:t>.3</w:t>
      </w:r>
      <w:r w:rsidRPr="00462784">
        <w:rPr>
          <w:rFonts w:ascii="Arial" w:hAnsi="Arial" w:cs="Arial"/>
        </w:rPr>
        <w:t xml:space="preserve"> illustrates mean reading-age progress according to eFSM status. Pupils eligible for eFSM demonstrated higher average reading-age progress (M = </w:t>
      </w:r>
      <w:r w:rsidR="006565E3">
        <w:rPr>
          <w:rFonts w:ascii="Arial" w:hAnsi="Arial" w:cs="Arial"/>
        </w:rPr>
        <w:t xml:space="preserve">4.75 </w:t>
      </w:r>
      <w:r w:rsidRPr="00462784">
        <w:rPr>
          <w:rFonts w:ascii="Arial" w:hAnsi="Arial" w:cs="Arial"/>
        </w:rPr>
        <w:t>months) than non-eFSM pupils (M = 3.7</w:t>
      </w:r>
      <w:r w:rsidR="006565E3">
        <w:rPr>
          <w:rFonts w:ascii="Arial" w:hAnsi="Arial" w:cs="Arial"/>
        </w:rPr>
        <w:t>9</w:t>
      </w:r>
      <w:r w:rsidRPr="00462784">
        <w:rPr>
          <w:rFonts w:ascii="Arial" w:hAnsi="Arial" w:cs="Arial"/>
        </w:rPr>
        <w:t xml:space="preserve"> months). The difference was statistically significant, </w:t>
      </w:r>
      <w:proofErr w:type="gramStart"/>
      <w:r w:rsidRPr="00462784">
        <w:rPr>
          <w:rStyle w:val="Emphasis"/>
          <w:rFonts w:ascii="Arial" w:hAnsi="Arial" w:cs="Arial"/>
        </w:rPr>
        <w:t>t</w:t>
      </w:r>
      <w:r w:rsidRPr="00462784">
        <w:rPr>
          <w:rFonts w:ascii="Arial" w:hAnsi="Arial" w:cs="Arial"/>
        </w:rPr>
        <w:t>(</w:t>
      </w:r>
      <w:proofErr w:type="gramEnd"/>
      <w:r w:rsidRPr="00462784">
        <w:rPr>
          <w:rFonts w:ascii="Arial" w:hAnsi="Arial" w:cs="Arial"/>
        </w:rPr>
        <w:t xml:space="preserve">172) = 3.39, </w:t>
      </w:r>
      <w:r w:rsidRPr="00462784">
        <w:rPr>
          <w:rStyle w:val="Emphasis"/>
          <w:rFonts w:ascii="Arial" w:hAnsi="Arial" w:cs="Arial"/>
        </w:rPr>
        <w:t>p</w:t>
      </w:r>
      <w:r w:rsidRPr="00462784">
        <w:rPr>
          <w:rFonts w:ascii="Arial" w:hAnsi="Arial" w:cs="Arial"/>
        </w:rPr>
        <w:t xml:space="preserve"> = .001.</w:t>
      </w:r>
    </w:p>
    <w:p w14:paraId="0C927A5F" w14:textId="3B85C3A9" w:rsidR="00462784" w:rsidRDefault="00462784" w:rsidP="00462784">
      <w:pPr>
        <w:spacing w:before="100" w:beforeAutospacing="1" w:after="100" w:afterAutospacing="1" w:line="360" w:lineRule="auto"/>
        <w:jc w:val="both"/>
        <w:rPr>
          <w:rFonts w:ascii="Arial" w:hAnsi="Arial" w:cs="Arial"/>
          <w:b/>
          <w:bCs/>
        </w:rPr>
      </w:pPr>
      <w:bookmarkStart w:id="6" w:name="OLE_LINK9"/>
      <w:bookmarkEnd w:id="5"/>
      <w:r w:rsidRPr="00462784">
        <w:rPr>
          <w:rFonts w:ascii="Arial" w:hAnsi="Arial" w:cs="Arial"/>
          <w:b/>
          <w:bCs/>
        </w:rPr>
        <w:t>H</w:t>
      </w:r>
      <w:r>
        <w:rPr>
          <w:rFonts w:ascii="Arial" w:hAnsi="Arial" w:cs="Arial"/>
          <w:b/>
          <w:bCs/>
        </w:rPr>
        <w:t xml:space="preserve">ypothesis </w:t>
      </w:r>
      <w:r w:rsidR="007E642C">
        <w:rPr>
          <w:rFonts w:ascii="Arial" w:hAnsi="Arial" w:cs="Arial"/>
          <w:b/>
          <w:bCs/>
        </w:rPr>
        <w:t>3</w:t>
      </w:r>
      <w:r>
        <w:rPr>
          <w:rFonts w:ascii="Arial" w:hAnsi="Arial" w:cs="Arial"/>
          <w:b/>
          <w:bCs/>
        </w:rPr>
        <w:t xml:space="preserve"> Reading-Age progress (months) by ALN status</w:t>
      </w:r>
    </w:p>
    <w:p w14:paraId="1743640E" w14:textId="13142A29" w:rsidR="00462784" w:rsidRDefault="002A0C5B" w:rsidP="00462784">
      <w:pPr>
        <w:spacing w:before="100" w:beforeAutospacing="1" w:after="100" w:afterAutospacing="1" w:line="360" w:lineRule="auto"/>
        <w:jc w:val="both"/>
        <w:rPr>
          <w:rFonts w:ascii="Arial" w:hAnsi="Arial" w:cs="Arial"/>
          <w:b/>
          <w:bCs/>
        </w:rPr>
      </w:pPr>
      <w:r>
        <w:rPr>
          <w:rFonts w:ascii="Arial" w:hAnsi="Arial" w:cs="Arial"/>
          <w:b/>
          <w:bCs/>
        </w:rPr>
        <w:t>Table</w:t>
      </w:r>
      <w:r w:rsidR="00462784">
        <w:rPr>
          <w:rFonts w:ascii="Arial" w:hAnsi="Arial" w:cs="Arial"/>
          <w:b/>
          <w:bCs/>
        </w:rPr>
        <w:t xml:space="preserve"> 4.1 Reading Age Progress </w:t>
      </w:r>
      <w:r>
        <w:rPr>
          <w:rFonts w:ascii="Arial" w:hAnsi="Arial" w:cs="Arial"/>
          <w:b/>
          <w:bCs/>
        </w:rPr>
        <w:t>by</w:t>
      </w:r>
      <w:r w:rsidR="00462784">
        <w:rPr>
          <w:rFonts w:ascii="Arial" w:hAnsi="Arial" w:cs="Arial"/>
          <w:b/>
          <w:bCs/>
        </w:rPr>
        <w:t xml:space="preserve"> ALN status</w:t>
      </w:r>
    </w:p>
    <w:tbl>
      <w:tblPr>
        <w:tblW w:w="9226" w:type="dxa"/>
        <w:tblCellSpacing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15" w:type="dxa"/>
          <w:left w:w="15" w:type="dxa"/>
          <w:bottom w:w="15" w:type="dxa"/>
          <w:right w:w="15" w:type="dxa"/>
        </w:tblCellMar>
        <w:tblLook w:val="04A0" w:firstRow="1" w:lastRow="0" w:firstColumn="1" w:lastColumn="0" w:noHBand="0" w:noVBand="1"/>
      </w:tblPr>
      <w:tblGrid>
        <w:gridCol w:w="2044"/>
        <w:gridCol w:w="667"/>
        <w:gridCol w:w="5454"/>
        <w:gridCol w:w="1061"/>
      </w:tblGrid>
      <w:tr w:rsidR="00462784" w14:paraId="5C36CC46" w14:textId="77777777" w:rsidTr="009E33B6">
        <w:trPr>
          <w:trHeight w:val="384"/>
          <w:tblHeader/>
          <w:tblCellSpacing w:w="15" w:type="dxa"/>
        </w:trPr>
        <w:tc>
          <w:tcPr>
            <w:tcW w:w="0" w:type="auto"/>
            <w:vAlign w:val="center"/>
            <w:hideMark/>
          </w:tcPr>
          <w:p w14:paraId="017AD65A" w14:textId="77777777" w:rsidR="00462784" w:rsidRPr="00462784" w:rsidRDefault="00462784" w:rsidP="009E33B6">
            <w:pPr>
              <w:jc w:val="center"/>
              <w:rPr>
                <w:rFonts w:ascii="Arial" w:hAnsi="Arial" w:cs="Arial"/>
                <w:b/>
                <w:bCs/>
              </w:rPr>
            </w:pPr>
            <w:r w:rsidRPr="00462784">
              <w:rPr>
                <w:rFonts w:ascii="Arial" w:hAnsi="Arial" w:cs="Arial"/>
                <w:b/>
                <w:bCs/>
              </w:rPr>
              <w:lastRenderedPageBreak/>
              <w:t>Group</w:t>
            </w:r>
          </w:p>
        </w:tc>
        <w:tc>
          <w:tcPr>
            <w:tcW w:w="0" w:type="auto"/>
            <w:vAlign w:val="center"/>
            <w:hideMark/>
          </w:tcPr>
          <w:p w14:paraId="607DF91C" w14:textId="77777777" w:rsidR="00462784" w:rsidRPr="00462784" w:rsidRDefault="00462784" w:rsidP="009E33B6">
            <w:pPr>
              <w:jc w:val="center"/>
              <w:rPr>
                <w:rFonts w:ascii="Arial" w:hAnsi="Arial" w:cs="Arial"/>
                <w:b/>
                <w:bCs/>
              </w:rPr>
            </w:pPr>
            <w:r w:rsidRPr="00462784">
              <w:rPr>
                <w:rFonts w:ascii="Arial" w:hAnsi="Arial" w:cs="Arial"/>
                <w:b/>
                <w:bCs/>
              </w:rPr>
              <w:t>N</w:t>
            </w:r>
          </w:p>
        </w:tc>
        <w:tc>
          <w:tcPr>
            <w:tcW w:w="0" w:type="auto"/>
            <w:vAlign w:val="center"/>
            <w:hideMark/>
          </w:tcPr>
          <w:p w14:paraId="5BCA8CC6" w14:textId="77777777" w:rsidR="00462784" w:rsidRPr="00462784" w:rsidRDefault="00462784" w:rsidP="009E33B6">
            <w:pPr>
              <w:jc w:val="center"/>
              <w:rPr>
                <w:rFonts w:ascii="Arial" w:hAnsi="Arial" w:cs="Arial"/>
                <w:b/>
                <w:bCs/>
              </w:rPr>
            </w:pPr>
            <w:r w:rsidRPr="00462784">
              <w:rPr>
                <w:rFonts w:ascii="Arial" w:hAnsi="Arial" w:cs="Arial"/>
                <w:b/>
                <w:bCs/>
              </w:rPr>
              <w:t>Mean Progress (Months)</w:t>
            </w:r>
          </w:p>
        </w:tc>
        <w:tc>
          <w:tcPr>
            <w:tcW w:w="0" w:type="auto"/>
            <w:vAlign w:val="center"/>
            <w:hideMark/>
          </w:tcPr>
          <w:p w14:paraId="048778ED" w14:textId="77777777" w:rsidR="00462784" w:rsidRPr="00462784" w:rsidRDefault="00462784" w:rsidP="009E33B6">
            <w:pPr>
              <w:jc w:val="center"/>
              <w:rPr>
                <w:rFonts w:ascii="Arial" w:hAnsi="Arial" w:cs="Arial"/>
                <w:b/>
                <w:bCs/>
              </w:rPr>
            </w:pPr>
            <w:r w:rsidRPr="00462784">
              <w:rPr>
                <w:rFonts w:ascii="Arial" w:hAnsi="Arial" w:cs="Arial"/>
                <w:b/>
                <w:bCs/>
              </w:rPr>
              <w:t>SD</w:t>
            </w:r>
          </w:p>
        </w:tc>
      </w:tr>
      <w:tr w:rsidR="00462784" w14:paraId="73E09435" w14:textId="77777777" w:rsidTr="009E33B6">
        <w:trPr>
          <w:trHeight w:val="329"/>
          <w:tblCellSpacing w:w="15" w:type="dxa"/>
        </w:trPr>
        <w:tc>
          <w:tcPr>
            <w:tcW w:w="0" w:type="auto"/>
            <w:vAlign w:val="center"/>
            <w:hideMark/>
          </w:tcPr>
          <w:p w14:paraId="3D4791C4" w14:textId="77777777" w:rsidR="00462784" w:rsidRPr="00462784" w:rsidRDefault="00462784" w:rsidP="009E33B6">
            <w:pPr>
              <w:jc w:val="center"/>
              <w:rPr>
                <w:rFonts w:ascii="Arial" w:hAnsi="Arial" w:cs="Arial"/>
              </w:rPr>
            </w:pPr>
            <w:r w:rsidRPr="00462784">
              <w:rPr>
                <w:rFonts w:ascii="Arial" w:hAnsi="Arial" w:cs="Arial"/>
              </w:rPr>
              <w:t>ALN</w:t>
            </w:r>
          </w:p>
        </w:tc>
        <w:tc>
          <w:tcPr>
            <w:tcW w:w="0" w:type="auto"/>
            <w:vAlign w:val="center"/>
            <w:hideMark/>
          </w:tcPr>
          <w:p w14:paraId="7DAFDB19" w14:textId="579B1A26" w:rsidR="00462784" w:rsidRPr="00462784" w:rsidRDefault="00462784" w:rsidP="009E33B6">
            <w:pPr>
              <w:jc w:val="center"/>
              <w:rPr>
                <w:rFonts w:ascii="Arial" w:hAnsi="Arial" w:cs="Arial"/>
              </w:rPr>
            </w:pPr>
            <w:r w:rsidRPr="00462784">
              <w:rPr>
                <w:rFonts w:ascii="Arial" w:hAnsi="Arial" w:cs="Arial"/>
              </w:rPr>
              <w:t>8</w:t>
            </w:r>
            <w:r w:rsidR="00AF3FBD">
              <w:rPr>
                <w:rFonts w:ascii="Arial" w:hAnsi="Arial" w:cs="Arial"/>
              </w:rPr>
              <w:t>3</w:t>
            </w:r>
          </w:p>
        </w:tc>
        <w:tc>
          <w:tcPr>
            <w:tcW w:w="0" w:type="auto"/>
            <w:vAlign w:val="center"/>
            <w:hideMark/>
          </w:tcPr>
          <w:p w14:paraId="5E75588C" w14:textId="77777777" w:rsidR="00462784" w:rsidRPr="00462784" w:rsidRDefault="00462784" w:rsidP="009E33B6">
            <w:pPr>
              <w:jc w:val="center"/>
              <w:rPr>
                <w:rFonts w:ascii="Arial" w:hAnsi="Arial" w:cs="Arial"/>
              </w:rPr>
            </w:pPr>
            <w:r w:rsidRPr="00462784">
              <w:rPr>
                <w:rFonts w:ascii="Arial" w:hAnsi="Arial" w:cs="Arial"/>
              </w:rPr>
              <w:t>5.09</w:t>
            </w:r>
          </w:p>
        </w:tc>
        <w:tc>
          <w:tcPr>
            <w:tcW w:w="0" w:type="auto"/>
            <w:vAlign w:val="center"/>
            <w:hideMark/>
          </w:tcPr>
          <w:p w14:paraId="56D2E679" w14:textId="77777777" w:rsidR="00462784" w:rsidRPr="00462784" w:rsidRDefault="00462784" w:rsidP="009E33B6">
            <w:pPr>
              <w:jc w:val="center"/>
              <w:rPr>
                <w:rFonts w:ascii="Arial" w:hAnsi="Arial" w:cs="Arial"/>
              </w:rPr>
            </w:pPr>
            <w:r w:rsidRPr="00462784">
              <w:rPr>
                <w:rFonts w:ascii="Arial" w:hAnsi="Arial" w:cs="Arial"/>
              </w:rPr>
              <w:t>2.80</w:t>
            </w:r>
          </w:p>
        </w:tc>
      </w:tr>
      <w:tr w:rsidR="00462784" w14:paraId="50E7FB23" w14:textId="77777777" w:rsidTr="009E33B6">
        <w:trPr>
          <w:trHeight w:val="384"/>
          <w:tblCellSpacing w:w="15" w:type="dxa"/>
        </w:trPr>
        <w:tc>
          <w:tcPr>
            <w:tcW w:w="0" w:type="auto"/>
            <w:vAlign w:val="center"/>
            <w:hideMark/>
          </w:tcPr>
          <w:p w14:paraId="09A2B6CF" w14:textId="77777777" w:rsidR="00462784" w:rsidRPr="00462784" w:rsidRDefault="00462784" w:rsidP="009E33B6">
            <w:pPr>
              <w:jc w:val="center"/>
              <w:rPr>
                <w:rFonts w:ascii="Arial" w:hAnsi="Arial" w:cs="Arial"/>
              </w:rPr>
            </w:pPr>
            <w:r w:rsidRPr="00462784">
              <w:rPr>
                <w:rFonts w:ascii="Arial" w:hAnsi="Arial" w:cs="Arial"/>
              </w:rPr>
              <w:t>Non-ALN</w:t>
            </w:r>
          </w:p>
        </w:tc>
        <w:tc>
          <w:tcPr>
            <w:tcW w:w="0" w:type="auto"/>
            <w:vAlign w:val="center"/>
            <w:hideMark/>
          </w:tcPr>
          <w:p w14:paraId="424BD8EC" w14:textId="653DB4ED" w:rsidR="00462784" w:rsidRPr="00462784" w:rsidRDefault="00462784" w:rsidP="009E33B6">
            <w:pPr>
              <w:jc w:val="center"/>
              <w:rPr>
                <w:rFonts w:ascii="Arial" w:hAnsi="Arial" w:cs="Arial"/>
              </w:rPr>
            </w:pPr>
            <w:r w:rsidRPr="00462784">
              <w:rPr>
                <w:rFonts w:ascii="Arial" w:hAnsi="Arial" w:cs="Arial"/>
              </w:rPr>
              <w:t>9</w:t>
            </w:r>
            <w:r w:rsidR="00AF3FBD">
              <w:rPr>
                <w:rFonts w:ascii="Arial" w:hAnsi="Arial" w:cs="Arial"/>
              </w:rPr>
              <w:t>4</w:t>
            </w:r>
          </w:p>
        </w:tc>
        <w:tc>
          <w:tcPr>
            <w:tcW w:w="0" w:type="auto"/>
            <w:vAlign w:val="center"/>
            <w:hideMark/>
          </w:tcPr>
          <w:p w14:paraId="72CDB8A3" w14:textId="77777777" w:rsidR="00462784" w:rsidRPr="00462784" w:rsidRDefault="00462784" w:rsidP="009E33B6">
            <w:pPr>
              <w:jc w:val="center"/>
              <w:rPr>
                <w:rFonts w:ascii="Arial" w:hAnsi="Arial" w:cs="Arial"/>
              </w:rPr>
            </w:pPr>
            <w:r w:rsidRPr="00462784">
              <w:rPr>
                <w:rFonts w:ascii="Arial" w:hAnsi="Arial" w:cs="Arial"/>
              </w:rPr>
              <w:t>3.68</w:t>
            </w:r>
          </w:p>
        </w:tc>
        <w:tc>
          <w:tcPr>
            <w:tcW w:w="0" w:type="auto"/>
            <w:vAlign w:val="center"/>
            <w:hideMark/>
          </w:tcPr>
          <w:p w14:paraId="59313C6D" w14:textId="77777777" w:rsidR="00462784" w:rsidRPr="00462784" w:rsidRDefault="00462784" w:rsidP="009E33B6">
            <w:pPr>
              <w:jc w:val="center"/>
              <w:rPr>
                <w:rFonts w:ascii="Arial" w:hAnsi="Arial" w:cs="Arial"/>
              </w:rPr>
            </w:pPr>
            <w:r w:rsidRPr="00462784">
              <w:rPr>
                <w:rFonts w:ascii="Arial" w:hAnsi="Arial" w:cs="Arial"/>
              </w:rPr>
              <w:t>2.88</w:t>
            </w:r>
          </w:p>
        </w:tc>
      </w:tr>
    </w:tbl>
    <w:p w14:paraId="39E5ADC0" w14:textId="77777777" w:rsidR="00462784" w:rsidRDefault="00462784" w:rsidP="00462784">
      <w:pPr>
        <w:spacing w:line="360" w:lineRule="auto"/>
        <w:jc w:val="both"/>
        <w:rPr>
          <w:rFonts w:ascii="Arial" w:hAnsi="Arial" w:cs="Arial"/>
        </w:rPr>
      </w:pPr>
    </w:p>
    <w:p w14:paraId="721DEF86" w14:textId="2EDBEABC" w:rsidR="00462784" w:rsidRDefault="00462784" w:rsidP="00462784">
      <w:pPr>
        <w:spacing w:line="360" w:lineRule="auto"/>
        <w:jc w:val="both"/>
        <w:rPr>
          <w:rFonts w:ascii="Arial" w:hAnsi="Arial" w:cs="Arial"/>
        </w:rPr>
      </w:pPr>
      <w:r w:rsidRPr="00B266AE">
        <w:rPr>
          <w:rFonts w:ascii="Arial" w:hAnsi="Arial" w:cs="Arial"/>
        </w:rPr>
        <w:t>Table 4.1 highlights pupils</w:t>
      </w:r>
      <w:r w:rsidR="004455BC" w:rsidRPr="00B266AE">
        <w:rPr>
          <w:rFonts w:ascii="Arial" w:hAnsi="Arial" w:cs="Arial"/>
        </w:rPr>
        <w:t>’</w:t>
      </w:r>
      <w:r w:rsidRPr="00B266AE">
        <w:rPr>
          <w:rFonts w:ascii="Arial" w:hAnsi="Arial" w:cs="Arial"/>
        </w:rPr>
        <w:t xml:space="preserve"> reading-age progress according to their ALN status. Pupils identified with</w:t>
      </w:r>
      <w:r w:rsidRPr="00462784">
        <w:rPr>
          <w:rFonts w:ascii="Arial" w:hAnsi="Arial" w:cs="Arial"/>
        </w:rPr>
        <w:t xml:space="preserve"> Additional Learning Needs (ALN) demonstrated a higher mean level of reading-age progress (M = 5.09 months, SD = 2.80) than pupils without identified ALN (M = 3.68 months, SD = 2.88). The standard deviations indicate a similar degree of variation in reading-age progress across both groups</w:t>
      </w:r>
      <w:r>
        <w:rPr>
          <w:rFonts w:ascii="Arial" w:hAnsi="Arial" w:cs="Arial"/>
        </w:rPr>
        <w:t>.</w:t>
      </w:r>
    </w:p>
    <w:p w14:paraId="50B87F9D" w14:textId="0CCBA986" w:rsidR="00462784" w:rsidRDefault="00462784" w:rsidP="00462784">
      <w:pPr>
        <w:spacing w:before="100" w:beforeAutospacing="1" w:after="100" w:afterAutospacing="1" w:line="360" w:lineRule="auto"/>
        <w:jc w:val="both"/>
        <w:rPr>
          <w:rFonts w:ascii="Arial" w:hAnsi="Arial" w:cs="Arial"/>
          <w:b/>
          <w:bCs/>
        </w:rPr>
      </w:pPr>
      <w:r>
        <w:rPr>
          <w:rFonts w:ascii="Arial" w:hAnsi="Arial" w:cs="Arial"/>
          <w:b/>
          <w:bCs/>
        </w:rPr>
        <w:t>Figure 4.2 Mean Reading Age Progress by ALN Status (Months)</w:t>
      </w:r>
    </w:p>
    <w:p w14:paraId="08948407" w14:textId="32DAB652" w:rsidR="00462784" w:rsidRDefault="00462784" w:rsidP="00462784">
      <w:pPr>
        <w:spacing w:before="100" w:beforeAutospacing="1" w:after="100" w:afterAutospacing="1" w:line="360" w:lineRule="auto"/>
        <w:jc w:val="both"/>
        <w:rPr>
          <w:rFonts w:ascii="Arial" w:hAnsi="Arial" w:cs="Arial"/>
          <w:b/>
          <w:bCs/>
        </w:rPr>
      </w:pPr>
      <w:r>
        <w:rPr>
          <w:noProof/>
        </w:rPr>
        <w:drawing>
          <wp:inline distT="0" distB="0" distL="0" distR="0" wp14:anchorId="0B913A10" wp14:editId="535D831F">
            <wp:extent cx="5816600" cy="2743200"/>
            <wp:effectExtent l="0" t="0" r="12700" b="12700"/>
            <wp:docPr id="2105250275" name="Chart 1">
              <a:extLst xmlns:a="http://schemas.openxmlformats.org/drawingml/2006/main">
                <a:ext uri="{FF2B5EF4-FFF2-40B4-BE49-F238E27FC236}">
                  <a16:creationId xmlns:a16="http://schemas.microsoft.com/office/drawing/2014/main" id="{482C0BAB-D70B-BC88-D6D2-C29B935A08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E39A31D" w14:textId="543553BC" w:rsidR="00462784" w:rsidRPr="00462784" w:rsidRDefault="00462784" w:rsidP="00462784">
      <w:pPr>
        <w:spacing w:line="360" w:lineRule="auto"/>
        <w:jc w:val="both"/>
        <w:rPr>
          <w:rFonts w:ascii="Arial" w:hAnsi="Arial" w:cs="Arial"/>
        </w:rPr>
      </w:pPr>
      <w:r w:rsidRPr="00462784">
        <w:rPr>
          <w:rFonts w:ascii="Arial" w:hAnsi="Arial" w:cs="Arial"/>
        </w:rPr>
        <w:t xml:space="preserve">Figure </w:t>
      </w:r>
      <w:r>
        <w:rPr>
          <w:rFonts w:ascii="Arial" w:hAnsi="Arial" w:cs="Arial"/>
        </w:rPr>
        <w:t>4.2</w:t>
      </w:r>
      <w:r w:rsidRPr="00462784">
        <w:rPr>
          <w:rFonts w:ascii="Arial" w:hAnsi="Arial" w:cs="Arial"/>
        </w:rPr>
        <w:t xml:space="preserve"> illustrates mean reading-age progress according to ALN status. Pupils identified with ALN demonstrated greater average reading-age progress than pupils without identified ALN.</w:t>
      </w:r>
    </w:p>
    <w:p w14:paraId="14C8D681" w14:textId="77777777" w:rsidR="001F28DB" w:rsidRDefault="00462784" w:rsidP="001F28DB">
      <w:pPr>
        <w:spacing w:line="360" w:lineRule="auto"/>
        <w:jc w:val="both"/>
        <w:rPr>
          <w:rFonts w:ascii="Arial" w:hAnsi="Arial" w:cs="Arial"/>
        </w:rPr>
      </w:pPr>
      <w:r w:rsidRPr="00462784">
        <w:rPr>
          <w:rFonts w:ascii="Arial" w:hAnsi="Arial" w:cs="Arial"/>
        </w:rPr>
        <w:t xml:space="preserve">An independent-samples t-test was conducted to compare reading-age progress between pupils identified with ALN and pupils without identified additional learning needs. The difference was statistically significant, </w:t>
      </w:r>
      <w:proofErr w:type="gramStart"/>
      <w:r w:rsidRPr="00462784">
        <w:rPr>
          <w:rStyle w:val="Emphasis"/>
          <w:rFonts w:ascii="Arial" w:hAnsi="Arial" w:cs="Arial"/>
        </w:rPr>
        <w:t>t</w:t>
      </w:r>
      <w:r w:rsidRPr="00462784">
        <w:rPr>
          <w:rFonts w:ascii="Arial" w:hAnsi="Arial" w:cs="Arial"/>
        </w:rPr>
        <w:t>(</w:t>
      </w:r>
      <w:proofErr w:type="gramEnd"/>
      <w:r w:rsidRPr="00462784">
        <w:rPr>
          <w:rFonts w:ascii="Arial" w:hAnsi="Arial" w:cs="Arial"/>
        </w:rPr>
        <w:t xml:space="preserve">171) = 3.28, </w:t>
      </w:r>
      <w:r w:rsidRPr="00462784">
        <w:rPr>
          <w:rStyle w:val="Emphasis"/>
          <w:rFonts w:ascii="Arial" w:hAnsi="Arial" w:cs="Arial"/>
        </w:rPr>
        <w:t>p</w:t>
      </w:r>
      <w:r w:rsidRPr="00462784">
        <w:rPr>
          <w:rFonts w:ascii="Arial" w:hAnsi="Arial" w:cs="Arial"/>
        </w:rPr>
        <w:t xml:space="preserve"> = .001. Therefore, Hypothesis 3 was not supported, as pupils identified with ALN demonstrated significantly greater, rather than lower, reading-age progress than pupils without identified additional learning needs.</w:t>
      </w:r>
      <w:bookmarkStart w:id="7" w:name="OLE_LINK10"/>
      <w:bookmarkEnd w:id="6"/>
    </w:p>
    <w:p w14:paraId="77787656" w14:textId="77777777" w:rsidR="001F28DB" w:rsidRDefault="001F28DB" w:rsidP="001F28DB">
      <w:pPr>
        <w:spacing w:line="360" w:lineRule="auto"/>
        <w:jc w:val="both"/>
        <w:rPr>
          <w:rFonts w:ascii="Arial" w:hAnsi="Arial" w:cs="Arial"/>
        </w:rPr>
      </w:pPr>
    </w:p>
    <w:p w14:paraId="2E36F7B3" w14:textId="77D9BEC5" w:rsidR="00462784" w:rsidRPr="00462784" w:rsidRDefault="00462784" w:rsidP="001F28DB">
      <w:pPr>
        <w:spacing w:line="360" w:lineRule="auto"/>
        <w:jc w:val="both"/>
        <w:rPr>
          <w:rFonts w:ascii="Arial" w:hAnsi="Arial" w:cs="Arial"/>
        </w:rPr>
      </w:pPr>
      <w:r w:rsidRPr="00462784">
        <w:rPr>
          <w:rFonts w:ascii="Arial" w:hAnsi="Arial" w:cs="Arial"/>
          <w:b/>
          <w:bCs/>
        </w:rPr>
        <w:lastRenderedPageBreak/>
        <w:t>H</w:t>
      </w:r>
      <w:r>
        <w:rPr>
          <w:rFonts w:ascii="Arial" w:hAnsi="Arial" w:cs="Arial"/>
          <w:b/>
          <w:bCs/>
        </w:rPr>
        <w:t xml:space="preserve">ypothesis </w:t>
      </w:r>
      <w:r w:rsidR="007E642C">
        <w:rPr>
          <w:rFonts w:ascii="Arial" w:hAnsi="Arial" w:cs="Arial"/>
          <w:b/>
          <w:bCs/>
        </w:rPr>
        <w:t>4</w:t>
      </w:r>
      <w:r w:rsidRPr="00462784">
        <w:rPr>
          <w:rFonts w:ascii="Arial" w:hAnsi="Arial" w:cs="Arial"/>
        </w:rPr>
        <w:t xml:space="preserve"> </w:t>
      </w:r>
      <w:r w:rsidRPr="00462784">
        <w:rPr>
          <w:rFonts w:ascii="Arial" w:hAnsi="Arial" w:cs="Arial"/>
          <w:b/>
          <w:bCs/>
        </w:rPr>
        <w:t>Gender Difference in Reading Progress</w:t>
      </w:r>
    </w:p>
    <w:p w14:paraId="191376F3" w14:textId="193225CF" w:rsidR="00462784" w:rsidRPr="00462784" w:rsidRDefault="00462784" w:rsidP="00462784">
      <w:pPr>
        <w:spacing w:line="360" w:lineRule="auto"/>
        <w:jc w:val="both"/>
        <w:rPr>
          <w:rFonts w:ascii="Arial" w:hAnsi="Arial" w:cs="Arial"/>
        </w:rPr>
      </w:pPr>
      <w:r w:rsidRPr="00462784">
        <w:rPr>
          <w:rFonts w:ascii="Arial" w:hAnsi="Arial" w:cs="Arial"/>
        </w:rPr>
        <w:t>An independent-samples t-test was conducted to compare reading-age progress between boys and girls. Girls demonstrated a slightly higher mean level of reading-age progress (M = 4.</w:t>
      </w:r>
      <w:r w:rsidR="008F392C">
        <w:rPr>
          <w:rFonts w:ascii="Arial" w:hAnsi="Arial" w:cs="Arial"/>
        </w:rPr>
        <w:t>32</w:t>
      </w:r>
      <w:r w:rsidRPr="00462784">
        <w:rPr>
          <w:rFonts w:ascii="Arial" w:hAnsi="Arial" w:cs="Arial"/>
        </w:rPr>
        <w:t xml:space="preserve"> months, SD = 2.82) than boys (M = 4.0</w:t>
      </w:r>
      <w:r w:rsidR="008F392C">
        <w:rPr>
          <w:rFonts w:ascii="Arial" w:hAnsi="Arial" w:cs="Arial"/>
        </w:rPr>
        <w:t>0</w:t>
      </w:r>
      <w:r w:rsidRPr="00462784">
        <w:rPr>
          <w:rFonts w:ascii="Arial" w:hAnsi="Arial" w:cs="Arial"/>
        </w:rPr>
        <w:t xml:space="preserve"> months, SD = 3.01). However, this difference was not statistically significant, </w:t>
      </w:r>
      <w:proofErr w:type="gramStart"/>
      <w:r w:rsidRPr="00462784">
        <w:rPr>
          <w:rStyle w:val="Emphasis"/>
          <w:rFonts w:ascii="Arial" w:hAnsi="Arial" w:cs="Arial"/>
        </w:rPr>
        <w:t>t</w:t>
      </w:r>
      <w:r w:rsidRPr="00462784">
        <w:rPr>
          <w:rFonts w:ascii="Arial" w:hAnsi="Arial" w:cs="Arial"/>
        </w:rPr>
        <w:t>(</w:t>
      </w:r>
      <w:proofErr w:type="gramEnd"/>
      <w:r w:rsidRPr="00462784">
        <w:rPr>
          <w:rFonts w:ascii="Arial" w:hAnsi="Arial" w:cs="Arial"/>
        </w:rPr>
        <w:t xml:space="preserve">172) = 1.29, </w:t>
      </w:r>
      <w:r w:rsidRPr="00462784">
        <w:rPr>
          <w:rStyle w:val="Emphasis"/>
          <w:rFonts w:ascii="Arial" w:hAnsi="Arial" w:cs="Arial"/>
        </w:rPr>
        <w:t>p</w:t>
      </w:r>
      <w:r w:rsidRPr="00462784">
        <w:rPr>
          <w:rFonts w:ascii="Arial" w:hAnsi="Arial" w:cs="Arial"/>
        </w:rPr>
        <w:t xml:space="preserve"> = .197. Therefore, Hypothesis 4, which predicted that reading-age progress would differ significantly according to gender, was not supported.</w:t>
      </w:r>
    </w:p>
    <w:p w14:paraId="48547AE8" w14:textId="30A04B36" w:rsidR="00462784" w:rsidRPr="00462784" w:rsidRDefault="002A0C5B" w:rsidP="00462784">
      <w:pPr>
        <w:spacing w:before="100" w:beforeAutospacing="1" w:after="100" w:afterAutospacing="1" w:line="360" w:lineRule="auto"/>
        <w:jc w:val="both"/>
        <w:outlineLvl w:val="1"/>
        <w:rPr>
          <w:rFonts w:ascii="Arial" w:hAnsi="Arial" w:cs="Arial"/>
          <w:b/>
          <w:bCs/>
        </w:rPr>
      </w:pPr>
      <w:r>
        <w:rPr>
          <w:rFonts w:ascii="Arial" w:hAnsi="Arial" w:cs="Arial"/>
          <w:b/>
          <w:bCs/>
        </w:rPr>
        <w:t>Table</w:t>
      </w:r>
      <w:r w:rsidR="00462784">
        <w:rPr>
          <w:rFonts w:ascii="Arial" w:hAnsi="Arial" w:cs="Arial"/>
          <w:b/>
          <w:bCs/>
        </w:rPr>
        <w:t xml:space="preserve"> 5.1 Reading</w:t>
      </w:r>
      <w:r>
        <w:rPr>
          <w:rFonts w:ascii="Arial" w:hAnsi="Arial" w:cs="Arial"/>
          <w:b/>
          <w:bCs/>
        </w:rPr>
        <w:t>-</w:t>
      </w:r>
      <w:r w:rsidR="00462784">
        <w:rPr>
          <w:rFonts w:ascii="Arial" w:hAnsi="Arial" w:cs="Arial"/>
          <w:b/>
          <w:bCs/>
        </w:rPr>
        <w:t>Age Progress by Gender</w:t>
      </w:r>
    </w:p>
    <w:tbl>
      <w:tblPr>
        <w:tblW w:w="9276" w:type="dxa"/>
        <w:jc w:val="center"/>
        <w:tblCellSpacing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15" w:type="dxa"/>
          <w:left w:w="15" w:type="dxa"/>
          <w:bottom w:w="15" w:type="dxa"/>
          <w:right w:w="15" w:type="dxa"/>
        </w:tblCellMar>
        <w:tblLook w:val="04A0" w:firstRow="1" w:lastRow="0" w:firstColumn="1" w:lastColumn="0" w:noHBand="0" w:noVBand="1"/>
      </w:tblPr>
      <w:tblGrid>
        <w:gridCol w:w="1602"/>
        <w:gridCol w:w="711"/>
        <w:gridCol w:w="5831"/>
        <w:gridCol w:w="1132"/>
      </w:tblGrid>
      <w:tr w:rsidR="00462784" w:rsidRPr="00462784" w14:paraId="519421C6" w14:textId="77777777" w:rsidTr="009E33B6">
        <w:trPr>
          <w:trHeight w:val="284"/>
          <w:tblHeader/>
          <w:tblCellSpacing w:w="15" w:type="dxa"/>
          <w:jc w:val="center"/>
        </w:trPr>
        <w:tc>
          <w:tcPr>
            <w:tcW w:w="1557" w:type="dxa"/>
            <w:vAlign w:val="center"/>
            <w:hideMark/>
          </w:tcPr>
          <w:p w14:paraId="6BFBE687" w14:textId="77777777" w:rsidR="00462784" w:rsidRPr="00462784" w:rsidRDefault="00462784" w:rsidP="009E33B6">
            <w:pPr>
              <w:jc w:val="center"/>
              <w:rPr>
                <w:rFonts w:ascii="Arial" w:hAnsi="Arial" w:cs="Arial"/>
                <w:b/>
                <w:bCs/>
              </w:rPr>
            </w:pPr>
            <w:r w:rsidRPr="00462784">
              <w:rPr>
                <w:rFonts w:ascii="Arial" w:hAnsi="Arial" w:cs="Arial"/>
                <w:b/>
                <w:bCs/>
              </w:rPr>
              <w:t>Gender</w:t>
            </w:r>
          </w:p>
        </w:tc>
        <w:tc>
          <w:tcPr>
            <w:tcW w:w="0" w:type="auto"/>
            <w:vAlign w:val="center"/>
            <w:hideMark/>
          </w:tcPr>
          <w:p w14:paraId="39C7B77D" w14:textId="77777777" w:rsidR="00462784" w:rsidRPr="00462784" w:rsidRDefault="00462784" w:rsidP="009E33B6">
            <w:pPr>
              <w:jc w:val="center"/>
              <w:rPr>
                <w:rFonts w:ascii="Arial" w:hAnsi="Arial" w:cs="Arial"/>
                <w:b/>
                <w:bCs/>
              </w:rPr>
            </w:pPr>
            <w:r w:rsidRPr="00462784">
              <w:rPr>
                <w:rFonts w:ascii="Arial" w:hAnsi="Arial" w:cs="Arial"/>
                <w:b/>
                <w:bCs/>
              </w:rPr>
              <w:t>N</w:t>
            </w:r>
          </w:p>
        </w:tc>
        <w:tc>
          <w:tcPr>
            <w:tcW w:w="0" w:type="auto"/>
            <w:vAlign w:val="center"/>
            <w:hideMark/>
          </w:tcPr>
          <w:p w14:paraId="3DD70636" w14:textId="77777777" w:rsidR="00462784" w:rsidRPr="00462784" w:rsidRDefault="00462784" w:rsidP="009E33B6">
            <w:pPr>
              <w:jc w:val="center"/>
              <w:rPr>
                <w:rFonts w:ascii="Arial" w:hAnsi="Arial" w:cs="Arial"/>
                <w:b/>
                <w:bCs/>
              </w:rPr>
            </w:pPr>
            <w:r w:rsidRPr="00462784">
              <w:rPr>
                <w:rFonts w:ascii="Arial" w:hAnsi="Arial" w:cs="Arial"/>
                <w:b/>
                <w:bCs/>
              </w:rPr>
              <w:t>Mean Progress (Months)</w:t>
            </w:r>
          </w:p>
        </w:tc>
        <w:tc>
          <w:tcPr>
            <w:tcW w:w="0" w:type="auto"/>
            <w:vAlign w:val="center"/>
            <w:hideMark/>
          </w:tcPr>
          <w:p w14:paraId="7D160A40" w14:textId="77777777" w:rsidR="00462784" w:rsidRPr="00462784" w:rsidRDefault="00462784" w:rsidP="009E33B6">
            <w:pPr>
              <w:jc w:val="center"/>
              <w:rPr>
                <w:rFonts w:ascii="Arial" w:hAnsi="Arial" w:cs="Arial"/>
                <w:b/>
                <w:bCs/>
              </w:rPr>
            </w:pPr>
            <w:r w:rsidRPr="00462784">
              <w:rPr>
                <w:rFonts w:ascii="Arial" w:hAnsi="Arial" w:cs="Arial"/>
                <w:b/>
                <w:bCs/>
              </w:rPr>
              <w:t>SD</w:t>
            </w:r>
          </w:p>
        </w:tc>
      </w:tr>
      <w:tr w:rsidR="00462784" w:rsidRPr="00462784" w14:paraId="67049654" w14:textId="77777777" w:rsidTr="009E33B6">
        <w:trPr>
          <w:trHeight w:val="242"/>
          <w:tblCellSpacing w:w="15" w:type="dxa"/>
          <w:jc w:val="center"/>
        </w:trPr>
        <w:tc>
          <w:tcPr>
            <w:tcW w:w="0" w:type="auto"/>
            <w:vAlign w:val="center"/>
            <w:hideMark/>
          </w:tcPr>
          <w:p w14:paraId="3AE091C1" w14:textId="77777777" w:rsidR="00462784" w:rsidRPr="00462784" w:rsidRDefault="00462784" w:rsidP="009E33B6">
            <w:pPr>
              <w:jc w:val="center"/>
              <w:rPr>
                <w:rFonts w:ascii="Arial" w:hAnsi="Arial" w:cs="Arial"/>
              </w:rPr>
            </w:pPr>
            <w:r w:rsidRPr="00462784">
              <w:rPr>
                <w:rFonts w:ascii="Arial" w:hAnsi="Arial" w:cs="Arial"/>
              </w:rPr>
              <w:t>Boys</w:t>
            </w:r>
          </w:p>
        </w:tc>
        <w:tc>
          <w:tcPr>
            <w:tcW w:w="0" w:type="auto"/>
            <w:vAlign w:val="center"/>
            <w:hideMark/>
          </w:tcPr>
          <w:p w14:paraId="5444775F" w14:textId="77777777" w:rsidR="00462784" w:rsidRPr="00462784" w:rsidRDefault="00462784" w:rsidP="009E33B6">
            <w:pPr>
              <w:jc w:val="center"/>
              <w:rPr>
                <w:rFonts w:ascii="Arial" w:hAnsi="Arial" w:cs="Arial"/>
              </w:rPr>
            </w:pPr>
            <w:r w:rsidRPr="00462784">
              <w:rPr>
                <w:rFonts w:ascii="Arial" w:hAnsi="Arial" w:cs="Arial"/>
              </w:rPr>
              <w:t>92</w:t>
            </w:r>
          </w:p>
        </w:tc>
        <w:tc>
          <w:tcPr>
            <w:tcW w:w="0" w:type="auto"/>
            <w:vAlign w:val="center"/>
            <w:hideMark/>
          </w:tcPr>
          <w:p w14:paraId="61A464AE" w14:textId="77777777" w:rsidR="00462784" w:rsidRPr="00462784" w:rsidRDefault="00462784" w:rsidP="009E33B6">
            <w:pPr>
              <w:jc w:val="center"/>
              <w:rPr>
                <w:rFonts w:ascii="Arial" w:hAnsi="Arial" w:cs="Arial"/>
              </w:rPr>
            </w:pPr>
            <w:r w:rsidRPr="00462784">
              <w:rPr>
                <w:rFonts w:ascii="Arial" w:hAnsi="Arial" w:cs="Arial"/>
              </w:rPr>
              <w:t>4.00</w:t>
            </w:r>
          </w:p>
        </w:tc>
        <w:tc>
          <w:tcPr>
            <w:tcW w:w="0" w:type="auto"/>
            <w:vAlign w:val="center"/>
            <w:hideMark/>
          </w:tcPr>
          <w:p w14:paraId="7AB759FF" w14:textId="77777777" w:rsidR="00462784" w:rsidRPr="00462784" w:rsidRDefault="00462784" w:rsidP="009E33B6">
            <w:pPr>
              <w:jc w:val="center"/>
              <w:rPr>
                <w:rFonts w:ascii="Arial" w:hAnsi="Arial" w:cs="Arial"/>
              </w:rPr>
            </w:pPr>
            <w:r w:rsidRPr="00462784">
              <w:rPr>
                <w:rFonts w:ascii="Arial" w:hAnsi="Arial" w:cs="Arial"/>
              </w:rPr>
              <w:t>3.02</w:t>
            </w:r>
          </w:p>
        </w:tc>
      </w:tr>
      <w:tr w:rsidR="00462784" w:rsidRPr="00462784" w14:paraId="54F2BD51" w14:textId="77777777" w:rsidTr="009E33B6">
        <w:trPr>
          <w:trHeight w:val="284"/>
          <w:tblCellSpacing w:w="15" w:type="dxa"/>
          <w:jc w:val="center"/>
        </w:trPr>
        <w:tc>
          <w:tcPr>
            <w:tcW w:w="0" w:type="auto"/>
            <w:vAlign w:val="center"/>
            <w:hideMark/>
          </w:tcPr>
          <w:p w14:paraId="3607F6BF" w14:textId="77777777" w:rsidR="00462784" w:rsidRPr="00462784" w:rsidRDefault="00462784" w:rsidP="009E33B6">
            <w:pPr>
              <w:jc w:val="center"/>
              <w:rPr>
                <w:rFonts w:ascii="Arial" w:hAnsi="Arial" w:cs="Arial"/>
              </w:rPr>
            </w:pPr>
            <w:r w:rsidRPr="00462784">
              <w:rPr>
                <w:rFonts w:ascii="Arial" w:hAnsi="Arial" w:cs="Arial"/>
              </w:rPr>
              <w:t>Girls</w:t>
            </w:r>
          </w:p>
        </w:tc>
        <w:tc>
          <w:tcPr>
            <w:tcW w:w="0" w:type="auto"/>
            <w:vAlign w:val="center"/>
            <w:hideMark/>
          </w:tcPr>
          <w:p w14:paraId="6A91DC3E" w14:textId="77777777" w:rsidR="00462784" w:rsidRPr="00462784" w:rsidRDefault="00462784" w:rsidP="009E33B6">
            <w:pPr>
              <w:jc w:val="center"/>
              <w:rPr>
                <w:rFonts w:ascii="Arial" w:hAnsi="Arial" w:cs="Arial"/>
              </w:rPr>
            </w:pPr>
            <w:r w:rsidRPr="00462784">
              <w:rPr>
                <w:rFonts w:ascii="Arial" w:hAnsi="Arial" w:cs="Arial"/>
              </w:rPr>
              <w:t>84</w:t>
            </w:r>
          </w:p>
        </w:tc>
        <w:tc>
          <w:tcPr>
            <w:tcW w:w="0" w:type="auto"/>
            <w:vAlign w:val="center"/>
            <w:hideMark/>
          </w:tcPr>
          <w:p w14:paraId="78BB3513" w14:textId="77777777" w:rsidR="00462784" w:rsidRPr="00462784" w:rsidRDefault="00462784" w:rsidP="009E33B6">
            <w:pPr>
              <w:jc w:val="center"/>
              <w:rPr>
                <w:rFonts w:ascii="Arial" w:hAnsi="Arial" w:cs="Arial"/>
              </w:rPr>
            </w:pPr>
            <w:r w:rsidRPr="00462784">
              <w:rPr>
                <w:rFonts w:ascii="Arial" w:hAnsi="Arial" w:cs="Arial"/>
              </w:rPr>
              <w:t>4.32</w:t>
            </w:r>
          </w:p>
        </w:tc>
        <w:tc>
          <w:tcPr>
            <w:tcW w:w="0" w:type="auto"/>
            <w:vAlign w:val="center"/>
            <w:hideMark/>
          </w:tcPr>
          <w:p w14:paraId="40F01216" w14:textId="77777777" w:rsidR="00462784" w:rsidRPr="00462784" w:rsidRDefault="00462784" w:rsidP="009E33B6">
            <w:pPr>
              <w:jc w:val="center"/>
              <w:rPr>
                <w:rFonts w:ascii="Arial" w:hAnsi="Arial" w:cs="Arial"/>
              </w:rPr>
            </w:pPr>
            <w:r w:rsidRPr="00462784">
              <w:rPr>
                <w:rFonts w:ascii="Arial" w:hAnsi="Arial" w:cs="Arial"/>
              </w:rPr>
              <w:t>2.83</w:t>
            </w:r>
          </w:p>
        </w:tc>
      </w:tr>
    </w:tbl>
    <w:p w14:paraId="7F55B8C5" w14:textId="77777777" w:rsidR="00462784" w:rsidRDefault="00462784" w:rsidP="00462784">
      <w:pPr>
        <w:spacing w:line="300" w:lineRule="atLeast"/>
        <w:rPr>
          <w:rFonts w:ascii="Segoe UI" w:hAnsi="Segoe UI" w:cs="Segoe UI"/>
          <w:sz w:val="21"/>
          <w:szCs w:val="21"/>
        </w:rPr>
      </w:pPr>
    </w:p>
    <w:p w14:paraId="169E506F" w14:textId="7E780271" w:rsidR="00462784" w:rsidRDefault="002A0C5B" w:rsidP="00462784">
      <w:pPr>
        <w:spacing w:line="360" w:lineRule="auto"/>
        <w:jc w:val="both"/>
        <w:rPr>
          <w:rFonts w:ascii="Arial" w:hAnsi="Arial" w:cs="Arial"/>
        </w:rPr>
      </w:pPr>
      <w:r>
        <w:rPr>
          <w:rFonts w:ascii="Arial" w:hAnsi="Arial" w:cs="Arial"/>
        </w:rPr>
        <w:t>Table</w:t>
      </w:r>
      <w:r w:rsidR="00462784" w:rsidRPr="00462784">
        <w:rPr>
          <w:rFonts w:ascii="Arial" w:hAnsi="Arial" w:cs="Arial"/>
        </w:rPr>
        <w:t xml:space="preserve"> </w:t>
      </w:r>
      <w:r w:rsidR="00462784">
        <w:rPr>
          <w:rFonts w:ascii="Arial" w:hAnsi="Arial" w:cs="Arial"/>
        </w:rPr>
        <w:t>5</w:t>
      </w:r>
      <w:r w:rsidR="00462784" w:rsidRPr="00462784">
        <w:rPr>
          <w:rFonts w:ascii="Arial" w:hAnsi="Arial" w:cs="Arial"/>
        </w:rPr>
        <w:t>.1 presents reading-age progress by gender. Girls demonstrated a slightly higher mean level of reading-age progress (M = 4.32 months, SD = 2.83) than boys (M = 4.00 months, SD = 3.02). The difference between the group means was relatively small, indicating similar levels of progress across genders.</w:t>
      </w:r>
    </w:p>
    <w:p w14:paraId="1B14B65E" w14:textId="77777777" w:rsidR="00462784" w:rsidRDefault="00462784" w:rsidP="00462784">
      <w:pPr>
        <w:spacing w:line="360" w:lineRule="auto"/>
        <w:jc w:val="both"/>
        <w:rPr>
          <w:rFonts w:ascii="Arial" w:hAnsi="Arial" w:cs="Arial"/>
        </w:rPr>
      </w:pPr>
    </w:p>
    <w:p w14:paraId="478FDD31" w14:textId="6B82C4D0" w:rsidR="00462784" w:rsidRPr="00462784" w:rsidRDefault="00462784" w:rsidP="00462784">
      <w:pPr>
        <w:spacing w:line="360" w:lineRule="auto"/>
        <w:jc w:val="both"/>
        <w:rPr>
          <w:rFonts w:ascii="Arial" w:hAnsi="Arial" w:cs="Arial"/>
          <w:b/>
          <w:bCs/>
        </w:rPr>
      </w:pPr>
      <w:r w:rsidRPr="00462784">
        <w:rPr>
          <w:rFonts w:ascii="Arial" w:hAnsi="Arial" w:cs="Arial"/>
          <w:b/>
          <w:bCs/>
        </w:rPr>
        <w:t xml:space="preserve">Figure </w:t>
      </w:r>
      <w:r>
        <w:rPr>
          <w:rFonts w:ascii="Arial" w:hAnsi="Arial" w:cs="Arial"/>
          <w:b/>
          <w:bCs/>
        </w:rPr>
        <w:t>5</w:t>
      </w:r>
      <w:r w:rsidRPr="00462784">
        <w:rPr>
          <w:rFonts w:ascii="Arial" w:hAnsi="Arial" w:cs="Arial"/>
          <w:b/>
          <w:bCs/>
        </w:rPr>
        <w:t>.2 Mean Reading-Age Progress by Gender</w:t>
      </w:r>
    </w:p>
    <w:p w14:paraId="226CF089" w14:textId="69DCD5B2" w:rsidR="00462784" w:rsidRPr="00462784" w:rsidRDefault="006565E3" w:rsidP="009A34F6">
      <w:pPr>
        <w:spacing w:before="100" w:beforeAutospacing="1" w:after="100" w:afterAutospacing="1" w:line="360" w:lineRule="auto"/>
        <w:jc w:val="both"/>
        <w:outlineLvl w:val="1"/>
        <w:rPr>
          <w:rFonts w:ascii="Arial" w:hAnsi="Arial" w:cs="Arial"/>
          <w:b/>
          <w:bCs/>
        </w:rPr>
      </w:pPr>
      <w:r>
        <w:rPr>
          <w:noProof/>
        </w:rPr>
        <w:drawing>
          <wp:inline distT="0" distB="0" distL="0" distR="0" wp14:anchorId="57FEEDA5" wp14:editId="788C6CAE">
            <wp:extent cx="5669280" cy="3460652"/>
            <wp:effectExtent l="0" t="0" r="7620" b="6985"/>
            <wp:docPr id="1653243254" name="Chart 1">
              <a:extLst xmlns:a="http://schemas.openxmlformats.org/drawingml/2006/main">
                <a:ext uri="{FF2B5EF4-FFF2-40B4-BE49-F238E27FC236}">
                  <a16:creationId xmlns:a16="http://schemas.microsoft.com/office/drawing/2014/main" id="{37671287-19A5-38D3-0B41-855EB71BD3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0342D0D" w14:textId="6F9F5A6E" w:rsidR="00462784" w:rsidRPr="00462784" w:rsidRDefault="00462784" w:rsidP="00462784">
      <w:pPr>
        <w:spacing w:line="360" w:lineRule="auto"/>
        <w:jc w:val="both"/>
        <w:rPr>
          <w:rFonts w:ascii="Arial" w:hAnsi="Arial" w:cs="Arial"/>
        </w:rPr>
      </w:pPr>
      <w:r w:rsidRPr="00462784">
        <w:rPr>
          <w:rStyle w:val="Strong"/>
          <w:rFonts w:ascii="Arial" w:hAnsi="Arial" w:cs="Arial"/>
          <w:b w:val="0"/>
          <w:bCs w:val="0"/>
        </w:rPr>
        <w:lastRenderedPageBreak/>
        <w:t xml:space="preserve">Figure </w:t>
      </w:r>
      <w:r>
        <w:rPr>
          <w:rStyle w:val="Strong"/>
          <w:rFonts w:ascii="Arial" w:hAnsi="Arial" w:cs="Arial"/>
          <w:b w:val="0"/>
          <w:bCs w:val="0"/>
        </w:rPr>
        <w:t>5</w:t>
      </w:r>
      <w:r w:rsidRPr="00462784">
        <w:rPr>
          <w:rStyle w:val="Strong"/>
          <w:rFonts w:ascii="Arial" w:hAnsi="Arial" w:cs="Arial"/>
          <w:b w:val="0"/>
          <w:bCs w:val="0"/>
        </w:rPr>
        <w:t>.2</w:t>
      </w:r>
      <w:r w:rsidRPr="00462784">
        <w:rPr>
          <w:rFonts w:ascii="Arial" w:hAnsi="Arial" w:cs="Arial"/>
        </w:rPr>
        <w:t xml:space="preserve"> presents mean reading-age progress by gender. Girls demonstrated a slightly higher mean level of reading-age progress (M = 4.</w:t>
      </w:r>
      <w:r w:rsidR="002A0C5B">
        <w:rPr>
          <w:rFonts w:ascii="Arial" w:hAnsi="Arial" w:cs="Arial"/>
        </w:rPr>
        <w:t>32</w:t>
      </w:r>
      <w:r w:rsidRPr="00462784">
        <w:rPr>
          <w:rFonts w:ascii="Arial" w:hAnsi="Arial" w:cs="Arial"/>
        </w:rPr>
        <w:t xml:space="preserve"> months) than boys (M = 4.0</w:t>
      </w:r>
      <w:r w:rsidR="002A0C5B">
        <w:rPr>
          <w:rFonts w:ascii="Arial" w:hAnsi="Arial" w:cs="Arial"/>
        </w:rPr>
        <w:t>0</w:t>
      </w:r>
      <w:r w:rsidRPr="00462784">
        <w:rPr>
          <w:rFonts w:ascii="Arial" w:hAnsi="Arial" w:cs="Arial"/>
        </w:rPr>
        <w:t xml:space="preserve"> months). However, the difference between the group means was relatively small.</w:t>
      </w:r>
    </w:p>
    <w:bookmarkEnd w:id="0"/>
    <w:bookmarkEnd w:id="7"/>
    <w:p w14:paraId="051E5D93" w14:textId="1B6E8006" w:rsidR="00462784" w:rsidRPr="002A0C5B" w:rsidRDefault="00FD7810" w:rsidP="002A0C5B">
      <w:pPr>
        <w:spacing w:before="100" w:beforeAutospacing="1" w:after="100" w:afterAutospacing="1" w:line="360" w:lineRule="auto"/>
        <w:jc w:val="both"/>
        <w:outlineLvl w:val="1"/>
        <w:rPr>
          <w:rFonts w:ascii="Arial" w:hAnsi="Arial" w:cs="Arial"/>
          <w:b/>
          <w:bCs/>
          <w:color w:val="000000" w:themeColor="text1"/>
        </w:rPr>
      </w:pPr>
      <w:r w:rsidRPr="002A0C5B">
        <w:rPr>
          <w:rFonts w:ascii="Arial" w:hAnsi="Arial" w:cs="Arial"/>
          <w:b/>
          <w:bCs/>
          <w:color w:val="000000" w:themeColor="text1"/>
        </w:rPr>
        <w:t>Discussion</w:t>
      </w:r>
    </w:p>
    <w:p w14:paraId="003AEF9F" w14:textId="77777777" w:rsidR="002A0C5B" w:rsidRPr="002A0C5B" w:rsidRDefault="002A0C5B" w:rsidP="002A0C5B">
      <w:pPr>
        <w:pStyle w:val="Heading2"/>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Reading-Age Progress Distribution</w:t>
      </w:r>
    </w:p>
    <w:p w14:paraId="4441BB1B" w14:textId="47A19638" w:rsidR="00AF3FBD" w:rsidRPr="00AF3FBD" w:rsidRDefault="00AF3FBD" w:rsidP="00AF3FBD">
      <w:pPr>
        <w:spacing w:line="360" w:lineRule="auto"/>
        <w:jc w:val="both"/>
        <w:rPr>
          <w:rFonts w:ascii="Arial" w:hAnsi="Arial" w:cs="Arial"/>
        </w:rPr>
      </w:pPr>
      <w:r w:rsidRPr="00AF3FBD">
        <w:rPr>
          <w:rFonts w:ascii="Arial" w:hAnsi="Arial" w:cs="Arial"/>
        </w:rPr>
        <w:t>The findings indicated that the majority of pupils demonstrated positive reading-age progress during the study period, with an average gain of 4.38 months. The assessments were administered approximately eight months apart; therefore, this average gain suggests that, whilst pupils made positive progress overall, reading-age development did not keep pace with chronological progression. This suggests that, on average, pupils' reading-age development occurred at a slower rate than expected over the assessment period, despite measurable improvements in reading attainment. Progress scores were concentrated towards the upper end of the distribution, although a small number of pupils demonstrated limited or negative progress. This pattern contributed to the negatively skewed distribution observed within the sample.</w:t>
      </w:r>
    </w:p>
    <w:p w14:paraId="16344F49" w14:textId="3E35AE19" w:rsidR="000C6C89" w:rsidRDefault="007F0FC0" w:rsidP="00981F6E">
      <w:pPr>
        <w:pStyle w:val="NormalWeb"/>
        <w:spacing w:line="360" w:lineRule="auto"/>
        <w:jc w:val="both"/>
        <w:rPr>
          <w:rFonts w:ascii="Arial" w:hAnsi="Arial" w:cs="Arial"/>
        </w:rPr>
      </w:pPr>
      <w:r w:rsidRPr="007F0FC0">
        <w:rPr>
          <w:rFonts w:ascii="Arial" w:hAnsi="Arial" w:cs="Arial"/>
        </w:rPr>
        <w:t xml:space="preserve">The Shapiro-Wilk test confirmed that reading-age progress scores were not normally distributed. Such distributions are not uncommon within educational research, particularly when progress measures are used, as pupil outcomes rarely follow a </w:t>
      </w:r>
      <w:r w:rsidR="001F28DB">
        <w:rPr>
          <w:rFonts w:ascii="Arial" w:hAnsi="Arial" w:cs="Arial"/>
        </w:rPr>
        <w:t>linear</w:t>
      </w:r>
      <w:r w:rsidRPr="007F0FC0">
        <w:rPr>
          <w:rFonts w:ascii="Arial" w:hAnsi="Arial" w:cs="Arial"/>
        </w:rPr>
        <w:t xml:space="preserve"> pattern. The concentration of scores towards higher levels of progress suggests that positive gains were achieved by most pupils, although considerable variation remained across the cohort. This variation highlights the importance of recognising that pupils do not develop literacy skills at identical rates, even when taught within the same educational environment. </w:t>
      </w:r>
      <w:hyperlink r:id="rId16" w:history="1"/>
    </w:p>
    <w:p w14:paraId="0B0694A0" w14:textId="0CE3B21A" w:rsidR="00981F6E" w:rsidRDefault="007F0FC0" w:rsidP="00981F6E">
      <w:pPr>
        <w:pStyle w:val="NormalWeb"/>
        <w:spacing w:line="360" w:lineRule="auto"/>
        <w:jc w:val="both"/>
        <w:rPr>
          <w:rFonts w:ascii="Arial" w:hAnsi="Arial" w:cs="Arial"/>
        </w:rPr>
      </w:pPr>
      <w:r w:rsidRPr="007F0FC0">
        <w:rPr>
          <w:rFonts w:ascii="Arial" w:hAnsi="Arial" w:cs="Arial"/>
        </w:rPr>
        <w:t xml:space="preserve">Although the normality assumption was violated, parametric analyses were retained because of the relatively large sample size and the robustness of Pearson's correlations and independent-samples </w:t>
      </w:r>
      <w:r w:rsidRPr="007F0FC0">
        <w:rPr>
          <w:rStyle w:val="Emphasis"/>
          <w:rFonts w:ascii="Arial" w:hAnsi="Arial" w:cs="Arial"/>
        </w:rPr>
        <w:t>t</w:t>
      </w:r>
      <w:r w:rsidRPr="007F0FC0">
        <w:rPr>
          <w:rFonts w:ascii="Arial" w:hAnsi="Arial" w:cs="Arial"/>
        </w:rPr>
        <w:t>-tests to moderate departures from normality. Consequently, the findings should be interpreted with a reasonable degree of confidence. More broadly, the distribution of scores reinforces the complexity of literacy development and suggests that progress is influenced by a range of interacting factors rather than a single identifiable influence.</w:t>
      </w:r>
    </w:p>
    <w:p w14:paraId="24FB90A7" w14:textId="7CF62C18" w:rsidR="00981F6E" w:rsidRDefault="002A0C5B" w:rsidP="00981F6E">
      <w:pPr>
        <w:pStyle w:val="NormalWeb"/>
        <w:spacing w:line="360" w:lineRule="auto"/>
        <w:jc w:val="both"/>
        <w:rPr>
          <w:rFonts w:ascii="Arial" w:hAnsi="Arial" w:cs="Arial"/>
          <w:b/>
          <w:bCs/>
          <w:color w:val="000000" w:themeColor="text1"/>
        </w:rPr>
      </w:pPr>
      <w:r w:rsidRPr="002A0C5B">
        <w:rPr>
          <w:rFonts w:ascii="Arial" w:hAnsi="Arial" w:cs="Arial"/>
          <w:b/>
          <w:bCs/>
          <w:color w:val="000000" w:themeColor="text1"/>
        </w:rPr>
        <w:lastRenderedPageBreak/>
        <w:t>Attendance and Reading-Age Progress (H1)</w:t>
      </w:r>
    </w:p>
    <w:p w14:paraId="0D442CAE" w14:textId="77777777" w:rsidR="003E12B5" w:rsidRPr="003E12B5" w:rsidRDefault="003E12B5" w:rsidP="003E12B5">
      <w:pPr>
        <w:spacing w:line="360" w:lineRule="auto"/>
        <w:jc w:val="both"/>
        <w:rPr>
          <w:rFonts w:ascii="Arial" w:hAnsi="Arial" w:cs="Arial"/>
        </w:rPr>
      </w:pPr>
      <w:r w:rsidRPr="003E12B5">
        <w:rPr>
          <w:rFonts w:ascii="Arial" w:hAnsi="Arial" w:cs="Arial"/>
        </w:rPr>
        <w:t>Hypothesis 1 predicted that higher attendance rates would be positively associated with greater reading-age progress. The findings did not support this hypothesis. Pearson's correlation analysis identified a weak negative relationship between attendance and reading-age progress (r = -.176), suggesting that pupils with lower attendance tended to demonstrate slightly greater gains in reading age. However, the practical significance of this finding was limited, as attendance accounted for only 3.1% of the variance in reading-age progress (R² = .031). This suggests that other factors were likely to have had a greater influence on literacy development within this cohort.</w:t>
      </w:r>
    </w:p>
    <w:p w14:paraId="266C927C" w14:textId="77777777" w:rsidR="007910C6" w:rsidRPr="007910C6" w:rsidRDefault="007910C6" w:rsidP="007910C6">
      <w:pPr>
        <w:pStyle w:val="NormalWeb"/>
        <w:spacing w:line="360" w:lineRule="auto"/>
        <w:jc w:val="both"/>
        <w:rPr>
          <w:rFonts w:ascii="Arial" w:hAnsi="Arial" w:cs="Arial"/>
        </w:rPr>
      </w:pPr>
      <w:r w:rsidRPr="007910C6">
        <w:rPr>
          <w:rFonts w:ascii="Arial" w:hAnsi="Arial" w:cs="Arial"/>
        </w:rPr>
        <w:t>This finding contrasts with much of the existing literature, which suggests that regular attendance is associated with higher levels of academic achievement (Balfanz &amp; Byrnes, 2018). One possible explanation is that pupils with lower attendance entered the study with lower levels of reading attainment and therefore had greater scope for measurable improvement over time. Alternatively, pupils identified as vulnerable or at risk of underachievement may have received targeted literacy interventions that contributed to accelerated progress despite lower levels of attendance.</w:t>
      </w:r>
    </w:p>
    <w:p w14:paraId="026135CB" w14:textId="337A1576" w:rsidR="007910C6" w:rsidRPr="007910C6" w:rsidRDefault="007910C6" w:rsidP="00981F6E">
      <w:pPr>
        <w:pStyle w:val="NormalWeb"/>
        <w:spacing w:line="360" w:lineRule="auto"/>
        <w:jc w:val="both"/>
        <w:rPr>
          <w:rFonts w:ascii="Arial" w:hAnsi="Arial" w:cs="Arial"/>
        </w:rPr>
      </w:pPr>
      <w:r w:rsidRPr="007910C6">
        <w:rPr>
          <w:rFonts w:ascii="Arial" w:hAnsi="Arial" w:cs="Arial"/>
        </w:rPr>
        <w:t>The practical significance of the relationship was limited</w:t>
      </w:r>
      <w:r w:rsidR="001F28DB">
        <w:rPr>
          <w:rFonts w:ascii="Arial" w:hAnsi="Arial" w:cs="Arial"/>
        </w:rPr>
        <w:t>, g</w:t>
      </w:r>
      <w:r w:rsidRPr="007910C6">
        <w:rPr>
          <w:rFonts w:ascii="Arial" w:hAnsi="Arial" w:cs="Arial"/>
        </w:rPr>
        <w:t>iven that attendance explained only a small proportion of the variance in reading-age progress, it is likely that other factors played a more substantial role in influencing literacy development. From Bronfenbrenner's (1979) ecological perspective, attendance should therefore be viewed as one of several interconnected influences rather than a primary determinant of reading progress.</w:t>
      </w:r>
    </w:p>
    <w:p w14:paraId="02CF6A79" w14:textId="77777777" w:rsidR="002A0C5B" w:rsidRPr="002A0C5B" w:rsidRDefault="002A0C5B" w:rsidP="002A0C5B">
      <w:pPr>
        <w:pStyle w:val="Heading2"/>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eFSM and Reading-Age Progress (H2)</w:t>
      </w:r>
    </w:p>
    <w:p w14:paraId="6A346478"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Hypothesis 2 predicted that pupils eligible for Free School Meals (eFSM) would demonstrate significantly lower reading-age progress than their non-eFSM peers. The findings did not support this hypothesis. Contrary to expectations, pupils eligible for eFSM demonstrated significantly greater reading-age progress than pupils who were not eligible for eFSM.</w:t>
      </w:r>
    </w:p>
    <w:p w14:paraId="76FF387E" w14:textId="546F0D05"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lastRenderedPageBreak/>
        <w:t xml:space="preserve">This finding is </w:t>
      </w:r>
      <w:r w:rsidR="001F28DB" w:rsidRPr="002A0C5B">
        <w:rPr>
          <w:rFonts w:ascii="Arial" w:hAnsi="Arial" w:cs="Arial"/>
          <w:color w:val="000000" w:themeColor="text1"/>
        </w:rPr>
        <w:t>significant</w:t>
      </w:r>
      <w:r w:rsidRPr="002A0C5B">
        <w:rPr>
          <w:rFonts w:ascii="Arial" w:hAnsi="Arial" w:cs="Arial"/>
          <w:color w:val="000000" w:themeColor="text1"/>
        </w:rPr>
        <w:t xml:space="preserve"> because it contrasts with a substantial body of research linking socioeconomic disadvantage with lower educational attainment and literacy outcomes (Sirin, 2005; Duncan &amp; Magnuson, 2012). Whilst socioeconomically disadvantaged pupils frequently attain lower scores on measures of literacy attainment, the</w:t>
      </w:r>
      <w:r w:rsidR="001F28DB">
        <w:rPr>
          <w:rFonts w:ascii="Arial" w:hAnsi="Arial" w:cs="Arial"/>
          <w:color w:val="000000" w:themeColor="text1"/>
        </w:rPr>
        <w:t>se</w:t>
      </w:r>
      <w:r w:rsidRPr="002A0C5B">
        <w:rPr>
          <w:rFonts w:ascii="Arial" w:hAnsi="Arial" w:cs="Arial"/>
          <w:color w:val="000000" w:themeColor="text1"/>
        </w:rPr>
        <w:t xml:space="preserve"> findings suggest that lower attainment does not necessarily imply lower rates of progress.</w:t>
      </w:r>
    </w:p>
    <w:p w14:paraId="38273601" w14:textId="2D7AE038"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Importantly, pupils eligible for eFSM entered the study with lower mean reading-age scores and remained lower attaining than their peers at the second assessment point. However, they demonstrated stronger rates of improvement across the study period</w:t>
      </w:r>
      <w:r w:rsidR="001F28DB">
        <w:rPr>
          <w:rFonts w:ascii="Arial" w:hAnsi="Arial" w:cs="Arial"/>
          <w:color w:val="000000" w:themeColor="text1"/>
        </w:rPr>
        <w:t>,</w:t>
      </w:r>
      <w:r w:rsidRPr="002A0C5B">
        <w:rPr>
          <w:rFonts w:ascii="Arial" w:hAnsi="Arial" w:cs="Arial"/>
          <w:color w:val="000000" w:themeColor="text1"/>
        </w:rPr>
        <w:t xml:space="preserve"> </w:t>
      </w:r>
      <w:r w:rsidR="001F28DB">
        <w:rPr>
          <w:rFonts w:ascii="Arial" w:hAnsi="Arial" w:cs="Arial"/>
          <w:color w:val="000000" w:themeColor="text1"/>
        </w:rPr>
        <w:t>t</w:t>
      </w:r>
      <w:r w:rsidRPr="002A0C5B">
        <w:rPr>
          <w:rFonts w:ascii="Arial" w:hAnsi="Arial" w:cs="Arial"/>
          <w:color w:val="000000" w:themeColor="text1"/>
        </w:rPr>
        <w:t>his distinction highlights the importance of differentiating between attainment and progress. Whilst attainment reflects a pupil's current level of performance, progress reflects the rate of improvement over time</w:t>
      </w:r>
      <w:r w:rsidR="00C7291C">
        <w:rPr>
          <w:rFonts w:ascii="Arial" w:hAnsi="Arial" w:cs="Arial"/>
          <w:color w:val="000000" w:themeColor="text1"/>
        </w:rPr>
        <w:t>, t</w:t>
      </w:r>
      <w:r w:rsidRPr="002A0C5B">
        <w:rPr>
          <w:rFonts w:ascii="Arial" w:hAnsi="Arial" w:cs="Arial"/>
          <w:color w:val="000000" w:themeColor="text1"/>
        </w:rPr>
        <w:t>he two measures should therefore not be interpreted as interchangeable.</w:t>
      </w:r>
    </w:p>
    <w:p w14:paraId="63E7719B" w14:textId="788C4C9E" w:rsidR="00EB2B44" w:rsidRPr="00EB2B44" w:rsidRDefault="00EB2B44" w:rsidP="00EB2B44">
      <w:pPr>
        <w:spacing w:line="360" w:lineRule="auto"/>
        <w:jc w:val="both"/>
        <w:rPr>
          <w:rFonts w:ascii="Arial" w:hAnsi="Arial" w:cs="Arial"/>
        </w:rPr>
      </w:pPr>
      <w:r w:rsidRPr="00EB2B44">
        <w:rPr>
          <w:rFonts w:ascii="Arial" w:hAnsi="Arial" w:cs="Arial"/>
        </w:rPr>
        <w:t xml:space="preserve">Several explanations may account for this finding. Pupils eligible for eFSM may have benefited from targeted literacy initiatives, enhanced pastoral support, or closer progress monitoring associated with efforts to reduce socioeconomic disadvantage. It is also possible that </w:t>
      </w:r>
      <w:r>
        <w:rPr>
          <w:rFonts w:ascii="Arial" w:hAnsi="Arial" w:cs="Arial"/>
        </w:rPr>
        <w:t>the Federation</w:t>
      </w:r>
      <w:r w:rsidRPr="00EB2B44">
        <w:rPr>
          <w:rFonts w:ascii="Arial" w:hAnsi="Arial" w:cs="Arial"/>
        </w:rPr>
        <w:t xml:space="preserve"> prioritised resources towards disadvantaged learners, thereby increasing opportunities for accelerated progress</w:t>
      </w:r>
      <w:r>
        <w:rPr>
          <w:rFonts w:ascii="Arial" w:hAnsi="Arial" w:cs="Arial"/>
        </w:rPr>
        <w:t>, h</w:t>
      </w:r>
      <w:r w:rsidRPr="00EB2B44">
        <w:rPr>
          <w:rFonts w:ascii="Arial" w:hAnsi="Arial" w:cs="Arial"/>
        </w:rPr>
        <w:t>owever, because this study did not measure the nature, frequency, or quality of such support, the relative contribution of these factors remains uncertain.</w:t>
      </w:r>
    </w:p>
    <w:p w14:paraId="41DA24A8" w14:textId="77777777" w:rsidR="003E12B5" w:rsidRPr="00EB2B44" w:rsidRDefault="003E12B5" w:rsidP="00EB2B44">
      <w:pPr>
        <w:spacing w:line="360" w:lineRule="auto"/>
        <w:jc w:val="both"/>
        <w:rPr>
          <w:rFonts w:ascii="Arial" w:hAnsi="Arial" w:cs="Arial"/>
        </w:rPr>
      </w:pPr>
    </w:p>
    <w:p w14:paraId="55C9C347" w14:textId="77777777" w:rsidR="00741885" w:rsidRDefault="00741885" w:rsidP="00741885">
      <w:pPr>
        <w:spacing w:line="360" w:lineRule="auto"/>
        <w:jc w:val="both"/>
        <w:rPr>
          <w:rFonts w:ascii="Arial" w:hAnsi="Arial" w:cs="Arial"/>
        </w:rPr>
      </w:pPr>
      <w:r w:rsidRPr="00741885">
        <w:rPr>
          <w:rFonts w:ascii="Arial" w:hAnsi="Arial" w:cs="Arial"/>
        </w:rPr>
        <w:t>From an ecological perspective, eFSM status reflects wider socioeconomic influences operating beyond the classroom environment. Overall, the findings suggest that socioeconomic disadvantage does not necessarily result in lower rates of progress within this cohort.</w:t>
      </w:r>
    </w:p>
    <w:p w14:paraId="3C1B4258" w14:textId="77777777" w:rsidR="00741885" w:rsidRDefault="00741885" w:rsidP="00741885">
      <w:pPr>
        <w:spacing w:line="360" w:lineRule="auto"/>
        <w:jc w:val="both"/>
        <w:rPr>
          <w:rFonts w:ascii="Arial" w:hAnsi="Arial" w:cs="Arial"/>
        </w:rPr>
      </w:pPr>
    </w:p>
    <w:p w14:paraId="0DA1A33F" w14:textId="38555143" w:rsidR="002A0C5B" w:rsidRPr="00741885" w:rsidRDefault="002A0C5B" w:rsidP="00741885">
      <w:pPr>
        <w:spacing w:line="360" w:lineRule="auto"/>
        <w:jc w:val="both"/>
        <w:rPr>
          <w:rFonts w:ascii="Arial" w:hAnsi="Arial" w:cs="Arial"/>
        </w:rPr>
      </w:pPr>
      <w:r w:rsidRPr="002A0C5B">
        <w:rPr>
          <w:rFonts w:ascii="Arial" w:hAnsi="Arial" w:cs="Arial"/>
          <w:b/>
          <w:bCs/>
          <w:color w:val="000000" w:themeColor="text1"/>
        </w:rPr>
        <w:t>Additional Learning Needs (ALN) and Reading-Age Progress (H3)</w:t>
      </w:r>
    </w:p>
    <w:p w14:paraId="0D005F69"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Hypothesis 3 proposed that pupils identified with Additional Learning Needs (ALN) would demonstrate significantly lower reading-age progress than pupils without identified additional learning needs. The findings did not support this hypothesis. Instead, pupils identified with ALN demonstrated significantly greater reading-age progress than pupils without identified ALN.</w:t>
      </w:r>
    </w:p>
    <w:p w14:paraId="62590979"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lastRenderedPageBreak/>
        <w:t>This finding challenges assumptions frequently associated with ALN and literacy development. Whilst pupils with additional learning needs are often reported to achieve lower levels of literacy attainment, the present findings suggest that they may nevertheless make substantial gains over time. Consequently, lower attainment should not be interpreted as evidence of reduced capacity for progress.</w:t>
      </w:r>
    </w:p>
    <w:p w14:paraId="0CCD47FE"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One possible explanation is that pupils identified with ALN may have received additional support, targeted intervention or more intensive monitoring than their peers without identified needs. Prior research suggests that high-quality teaching and well-targeted support can positively influence literacy outcomes for many learners with additional needs (</w:t>
      </w:r>
      <w:proofErr w:type="spellStart"/>
      <w:r w:rsidRPr="002A0C5B">
        <w:rPr>
          <w:rFonts w:ascii="Arial" w:hAnsi="Arial" w:cs="Arial"/>
          <w:color w:val="000000" w:themeColor="text1"/>
        </w:rPr>
        <w:t>Snowling</w:t>
      </w:r>
      <w:proofErr w:type="spellEnd"/>
      <w:r w:rsidRPr="002A0C5B">
        <w:rPr>
          <w:rFonts w:ascii="Arial" w:hAnsi="Arial" w:cs="Arial"/>
          <w:color w:val="000000" w:themeColor="text1"/>
        </w:rPr>
        <w:t xml:space="preserve"> &amp; Hulme, 2021). Whilst the present study cannot establish causation, additional provision may have contributed to the stronger rates of progress observed.</w:t>
      </w:r>
    </w:p>
    <w:p w14:paraId="3A4F975E" w14:textId="5F85A5E5" w:rsid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A further explanation concerns starting points</w:t>
      </w:r>
      <w:r w:rsidR="001F28DB">
        <w:rPr>
          <w:rFonts w:ascii="Arial" w:hAnsi="Arial" w:cs="Arial"/>
          <w:color w:val="000000" w:themeColor="text1"/>
        </w:rPr>
        <w:t>, p</w:t>
      </w:r>
      <w:r w:rsidRPr="002A0C5B">
        <w:rPr>
          <w:rFonts w:ascii="Arial" w:hAnsi="Arial" w:cs="Arial"/>
          <w:color w:val="000000" w:themeColor="text1"/>
        </w:rPr>
        <w:t>upils with ALN may have begun the study with lower levels of attainment, providing greater opportunity for measurable improvement across the assessment period. As with the eFSM findings, this reinforces the importance of distinguishing between progress and attainment when evaluating educational outcomes.</w:t>
      </w:r>
    </w:p>
    <w:p w14:paraId="2A4A4560" w14:textId="57D6C728" w:rsidR="00237620" w:rsidRDefault="00EB2B44" w:rsidP="00237620">
      <w:pPr>
        <w:spacing w:line="360" w:lineRule="auto"/>
        <w:jc w:val="both"/>
        <w:rPr>
          <w:rFonts w:ascii="Arial" w:hAnsi="Arial" w:cs="Arial"/>
        </w:rPr>
      </w:pPr>
      <w:r w:rsidRPr="00EB2B44">
        <w:rPr>
          <w:rFonts w:ascii="Arial" w:hAnsi="Arial" w:cs="Arial"/>
        </w:rPr>
        <w:t>An alternative explanation for these findings is regression to the mean</w:t>
      </w:r>
      <w:r>
        <w:rPr>
          <w:rFonts w:ascii="Arial" w:hAnsi="Arial" w:cs="Arial"/>
        </w:rPr>
        <w:t>, p</w:t>
      </w:r>
      <w:r w:rsidRPr="00EB2B44">
        <w:rPr>
          <w:rFonts w:ascii="Arial" w:hAnsi="Arial" w:cs="Arial"/>
        </w:rPr>
        <w:t>upils identified with ALN may have entered the study with lower baseline reading-age scores, increasing the likelihood of larger gains at the second assessment point. Consequently, some of the progress observed may reflect a statistical tendency for initially lower scores to move closer to the sample average over time rather than the sole effect of intervention or support. Whilst targeted provision may have contributed positively to pupil outcomes, caution is therefore required when attributing greater progress exclusively to educational interventions.</w:t>
      </w:r>
    </w:p>
    <w:p w14:paraId="7CE93680" w14:textId="77777777" w:rsidR="00477144" w:rsidRPr="00237620" w:rsidRDefault="00477144" w:rsidP="00237620">
      <w:pPr>
        <w:spacing w:line="360" w:lineRule="auto"/>
        <w:jc w:val="both"/>
        <w:rPr>
          <w:rFonts w:ascii="Arial" w:hAnsi="Arial" w:cs="Arial"/>
        </w:rPr>
      </w:pPr>
    </w:p>
    <w:p w14:paraId="5700E3E0" w14:textId="77777777" w:rsidR="00477144" w:rsidRPr="00477144" w:rsidRDefault="00477144" w:rsidP="00477144">
      <w:pPr>
        <w:spacing w:line="360" w:lineRule="auto"/>
        <w:jc w:val="both"/>
        <w:rPr>
          <w:rFonts w:ascii="Arial" w:hAnsi="Arial" w:cs="Arial"/>
        </w:rPr>
      </w:pPr>
      <w:r w:rsidRPr="00477144">
        <w:rPr>
          <w:rFonts w:ascii="Arial" w:hAnsi="Arial" w:cs="Arial"/>
        </w:rPr>
        <w:t xml:space="preserve">The findings highlight the heterogeneity of the ALN population and caution against deficit-oriented assumptions regarding learners with identified needs. Whilst pupils with ALN are frequently discussed in relation to attainment gaps, the present findings suggest that lower attainment does not necessarily equate to lower rates of progress. However, because ALN encompasses a diverse range of learning profiles and support arrangements, the mechanisms underpinning these gains remain unclear. From an </w:t>
      </w:r>
      <w:r w:rsidRPr="00477144">
        <w:rPr>
          <w:rFonts w:ascii="Arial" w:hAnsi="Arial" w:cs="Arial"/>
        </w:rPr>
        <w:lastRenderedPageBreak/>
        <w:t>ecological perspective, progress may be influenced by interactions between learner characteristics, support provision and wider educational contexts. Future research employing more detailed categorisation of ALN and multivariate statistical analyses may provide a deeper understanding of the factors associated with literacy progress amongst learners with identified additional needs.</w:t>
      </w:r>
    </w:p>
    <w:p w14:paraId="2590F30D" w14:textId="15AC96F4" w:rsidR="002A0C5B" w:rsidRPr="00237620" w:rsidRDefault="002A0C5B" w:rsidP="00237620">
      <w:pPr>
        <w:spacing w:line="360" w:lineRule="auto"/>
        <w:jc w:val="both"/>
        <w:rPr>
          <w:rFonts w:ascii="Arial" w:hAnsi="Arial" w:cs="Arial"/>
        </w:rPr>
      </w:pPr>
    </w:p>
    <w:p w14:paraId="44C90CAB" w14:textId="77777777" w:rsidR="002A0C5B" w:rsidRPr="002A0C5B" w:rsidRDefault="002A0C5B" w:rsidP="002A0C5B">
      <w:pPr>
        <w:pStyle w:val="Heading2"/>
        <w:spacing w:line="360" w:lineRule="auto"/>
        <w:jc w:val="both"/>
        <w:rPr>
          <w:rFonts w:ascii="Arial" w:hAnsi="Arial" w:cs="Arial"/>
          <w:b/>
          <w:bCs/>
          <w:color w:val="000000" w:themeColor="text1"/>
          <w:sz w:val="24"/>
          <w:szCs w:val="24"/>
        </w:rPr>
      </w:pPr>
      <w:r w:rsidRPr="002A0C5B">
        <w:rPr>
          <w:rFonts w:ascii="Arial" w:hAnsi="Arial" w:cs="Arial"/>
          <w:b/>
          <w:bCs/>
          <w:color w:val="000000" w:themeColor="text1"/>
          <w:sz w:val="24"/>
          <w:szCs w:val="24"/>
        </w:rPr>
        <w:t>Gender Differences in Reading-Age Progress (H4)</w:t>
      </w:r>
    </w:p>
    <w:p w14:paraId="6FF7D8E1"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Hypothesis 4 predicted that reading-age progress would differ significantly according to gender. The findings did not support this hypothesis. Although girls demonstrated slightly higher mean reading-age progress than boys, the difference between groups was not statistically significant.</w:t>
      </w:r>
    </w:p>
    <w:p w14:paraId="12482B00" w14:textId="4E664F3A"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This finding is noteworthy because international research consistently reports higher levels of reading attainment amongst girls than boys (OECD, 2023). Similarly, girls have often been found to report more positive attitudes towards reading and greater engagement in reading-related activities outside school (Clark &amp; Teravainen-Goff, 20</w:t>
      </w:r>
      <w:r w:rsidR="00CD4560">
        <w:rPr>
          <w:rFonts w:ascii="Arial" w:hAnsi="Arial" w:cs="Arial"/>
          <w:color w:val="000000" w:themeColor="text1"/>
        </w:rPr>
        <w:t>19</w:t>
      </w:r>
      <w:r w:rsidRPr="002A0C5B">
        <w:rPr>
          <w:rFonts w:ascii="Arial" w:hAnsi="Arial" w:cs="Arial"/>
          <w:color w:val="000000" w:themeColor="text1"/>
        </w:rPr>
        <w:t>). However, the present findings suggest that higher attainment does not necessarily translate into significantly greater progress over time.</w:t>
      </w:r>
    </w:p>
    <w:p w14:paraId="75A64AD5"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One possible explanation is that reading-age progress reflects growth rather than absolute performance. Whilst boys and girls may differ in overall attainment, both groups may be equally capable of improving their reading skills when provided with comparable learning opportunities and instructional support.</w:t>
      </w:r>
    </w:p>
    <w:p w14:paraId="0791B130" w14:textId="77777777" w:rsid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The relatively small difference between the group means supports this interpretation. Although girls demonstrated higher average progress than boys, the size of the difference was modest and insufficient to demonstrate a meaningful statistical effect. Given the variation in progress observed within both groups, gender did not appear to function as a significant predictor of reading-age development within this cohort.</w:t>
      </w:r>
    </w:p>
    <w:p w14:paraId="44756048" w14:textId="5BC0CF8E" w:rsidR="00477144" w:rsidRDefault="00477144" w:rsidP="00477144">
      <w:pPr>
        <w:spacing w:line="360" w:lineRule="auto"/>
        <w:jc w:val="both"/>
        <w:rPr>
          <w:rFonts w:ascii="Arial" w:hAnsi="Arial" w:cs="Arial"/>
        </w:rPr>
      </w:pPr>
      <w:r w:rsidRPr="00477144">
        <w:rPr>
          <w:rFonts w:ascii="Arial" w:hAnsi="Arial" w:cs="Arial"/>
        </w:rPr>
        <w:t xml:space="preserve">Overall, the findings suggest that boys and girls made broadly comparable gains in reading age and that gender was not a significant predictor of reading-age development within this cohort. Whilst international research frequently reports gender differences in reading attainment, the present findings indicate that such differences </w:t>
      </w:r>
      <w:r w:rsidRPr="00477144">
        <w:rPr>
          <w:rFonts w:ascii="Arial" w:hAnsi="Arial" w:cs="Arial"/>
        </w:rPr>
        <w:lastRenderedPageBreak/>
        <w:t>may not necessarily translate into differences in rates of progress. This distinction is important because it suggests that attainment gaps observed at a single point in time may not accurately reflect pupils' capacity for improvement. Furthermore, the small size of the observed difference highlights the importance of considering practical significance alongside statistical significance when interpreting educational data.</w:t>
      </w:r>
    </w:p>
    <w:p w14:paraId="2F0CD091" w14:textId="77777777" w:rsidR="00E25F85" w:rsidRDefault="00E25F85" w:rsidP="00477144">
      <w:pPr>
        <w:spacing w:line="360" w:lineRule="auto"/>
        <w:jc w:val="both"/>
        <w:rPr>
          <w:rFonts w:ascii="Arial" w:hAnsi="Arial" w:cs="Arial"/>
        </w:rPr>
      </w:pPr>
    </w:p>
    <w:p w14:paraId="2DF19D04" w14:textId="36B0617B" w:rsidR="00E25F85" w:rsidRPr="00E25F85" w:rsidRDefault="00E25F85" w:rsidP="00477144">
      <w:pPr>
        <w:spacing w:line="360" w:lineRule="auto"/>
        <w:jc w:val="both"/>
        <w:rPr>
          <w:rFonts w:ascii="Arial" w:hAnsi="Arial" w:cs="Arial"/>
          <w:b/>
          <w:bCs/>
        </w:rPr>
      </w:pPr>
      <w:r w:rsidRPr="00E25F85">
        <w:rPr>
          <w:rFonts w:ascii="Arial" w:hAnsi="Arial" w:cs="Arial"/>
          <w:b/>
          <w:bCs/>
        </w:rPr>
        <w:t>Overall Discussion</w:t>
      </w:r>
    </w:p>
    <w:p w14:paraId="14F10B47" w14:textId="77777777" w:rsidR="000C6C89" w:rsidRPr="00477144" w:rsidRDefault="000C6C89" w:rsidP="00477144">
      <w:pPr>
        <w:spacing w:line="360" w:lineRule="auto"/>
        <w:jc w:val="both"/>
        <w:rPr>
          <w:rFonts w:ascii="Arial" w:hAnsi="Arial" w:cs="Arial"/>
        </w:rPr>
      </w:pPr>
    </w:p>
    <w:p w14:paraId="41F89FE4" w14:textId="4808A7B6" w:rsidR="00477144" w:rsidRPr="007E642C" w:rsidRDefault="00477144" w:rsidP="007E642C">
      <w:pPr>
        <w:spacing w:line="360" w:lineRule="auto"/>
        <w:jc w:val="both"/>
        <w:rPr>
          <w:rFonts w:ascii="Segoe UI" w:hAnsi="Segoe UI" w:cs="Segoe UI"/>
          <w:sz w:val="21"/>
          <w:szCs w:val="21"/>
        </w:rPr>
      </w:pPr>
      <w:r w:rsidRPr="00477144">
        <w:rPr>
          <w:rFonts w:ascii="Arial" w:hAnsi="Arial" w:cs="Arial"/>
        </w:rPr>
        <w:t>Taken together, the findings suggest that literacy development is influenced by a complex interaction of educational, social and individual factors.</w:t>
      </w:r>
      <w:r w:rsidR="007E642C" w:rsidRPr="007E642C">
        <w:rPr>
          <w:rFonts w:ascii="Segoe UI" w:hAnsi="Segoe UI" w:cs="Segoe UI"/>
          <w:sz w:val="21"/>
          <w:szCs w:val="21"/>
        </w:rPr>
        <w:t xml:space="preserve"> </w:t>
      </w:r>
      <w:r w:rsidR="007E642C" w:rsidRPr="007E642C">
        <w:rPr>
          <w:rFonts w:ascii="Arial" w:hAnsi="Arial" w:cs="Arial"/>
        </w:rPr>
        <w:t xml:space="preserve">Whilst attendance demonstrated a statistically significant </w:t>
      </w:r>
      <w:r w:rsidR="007E642C" w:rsidRPr="007E642C">
        <w:rPr>
          <w:rStyle w:val="Strong"/>
          <w:rFonts w:ascii="Arial" w:hAnsi="Arial" w:cs="Arial"/>
          <w:b w:val="0"/>
          <w:bCs w:val="0"/>
        </w:rPr>
        <w:t>negative</w:t>
      </w:r>
      <w:r w:rsidR="007E642C" w:rsidRPr="007E642C">
        <w:rPr>
          <w:rFonts w:ascii="Arial" w:hAnsi="Arial" w:cs="Arial"/>
        </w:rPr>
        <w:t xml:space="preserve"> association with reading-age progress, the relationship was weak and</w:t>
      </w:r>
      <w:r w:rsidR="006863C9">
        <w:rPr>
          <w:rFonts w:ascii="Arial" w:hAnsi="Arial" w:cs="Arial"/>
        </w:rPr>
        <w:t xml:space="preserve"> of limited practical significance</w:t>
      </w:r>
      <w:r w:rsidRPr="00477144">
        <w:rPr>
          <w:rFonts w:ascii="Arial" w:hAnsi="Arial" w:cs="Arial"/>
        </w:rPr>
        <w:t>. In contrast, pupils traditionally considered at greater educational risk, including those eligible for eFSM and those identified with ALN, demonstrated significantly greater rates of progress than their peers despite maintaining lower levels of overall attainment. Gender did not emerge as a significant predictor of reading-age progress.</w:t>
      </w:r>
    </w:p>
    <w:p w14:paraId="7A1AC27E" w14:textId="5C6AB064" w:rsidR="00477144" w:rsidRDefault="00477144" w:rsidP="00477144">
      <w:pPr>
        <w:pStyle w:val="NormalWeb"/>
        <w:spacing w:line="360" w:lineRule="auto"/>
        <w:jc w:val="both"/>
        <w:rPr>
          <w:rFonts w:ascii="Arial" w:hAnsi="Arial" w:cs="Arial"/>
        </w:rPr>
      </w:pPr>
      <w:r w:rsidRPr="00477144">
        <w:rPr>
          <w:rFonts w:ascii="Arial" w:hAnsi="Arial" w:cs="Arial"/>
        </w:rPr>
        <w:t>Collectively, these findings challenge simplistic assumptions linking disadvantage directly to lower educational progress. The distinction between attainment and progress is particularly important</w:t>
      </w:r>
      <w:r w:rsidR="00EB2B44">
        <w:rPr>
          <w:rFonts w:ascii="Arial" w:hAnsi="Arial" w:cs="Arial"/>
        </w:rPr>
        <w:t>, w</w:t>
      </w:r>
      <w:r w:rsidRPr="00477144">
        <w:rPr>
          <w:rFonts w:ascii="Arial" w:hAnsi="Arial" w:cs="Arial"/>
        </w:rPr>
        <w:t>hilst disadvantaged and ALN pupils remained lower attaining overall, they demonstrated stronger rates of improvement across the study period. However, caution is required when interpreting these findings</w:t>
      </w:r>
      <w:r w:rsidR="00EB2B44">
        <w:rPr>
          <w:rFonts w:ascii="Arial" w:hAnsi="Arial" w:cs="Arial"/>
        </w:rPr>
        <w:t>, g</w:t>
      </w:r>
      <w:r w:rsidRPr="00477144">
        <w:rPr>
          <w:rFonts w:ascii="Arial" w:hAnsi="Arial" w:cs="Arial"/>
        </w:rPr>
        <w:t>reater progress may reflect successful intervention and support, but it may also be influenced by lower baseline attainment and regression-to-the-mean effects. Consequently, the findings should not be interpreted as evidence that educational inequalities have been overcome.</w:t>
      </w:r>
    </w:p>
    <w:p w14:paraId="1549347D" w14:textId="77777777" w:rsidR="00E25F85" w:rsidRPr="00E25F85" w:rsidRDefault="00E25F85" w:rsidP="00E25F85">
      <w:pPr>
        <w:pStyle w:val="NormalWeb"/>
        <w:spacing w:line="360" w:lineRule="auto"/>
        <w:jc w:val="both"/>
        <w:rPr>
          <w:rFonts w:ascii="Arial" w:hAnsi="Arial" w:cs="Arial"/>
        </w:rPr>
      </w:pPr>
      <w:r w:rsidRPr="00E25F85">
        <w:rPr>
          <w:rFonts w:ascii="Arial" w:hAnsi="Arial" w:cs="Arial"/>
        </w:rPr>
        <w:t xml:space="preserve">The distinction between attainment and progress has important implications for educational leaders and policymakers. Educational accountability systems frequently emphasise attainment outcomes, yet attainment alone may provide an incomplete picture of educational effectiveness. The findings of the present study suggest that pupils who traditionally face greater barriers to educational success can nevertheless demonstrate substantial rates of improvement over time. Consequently, schools may benefit from adopting approaches that evaluate both attainment and progress when </w:t>
      </w:r>
      <w:r w:rsidRPr="00E25F85">
        <w:rPr>
          <w:rFonts w:ascii="Arial" w:hAnsi="Arial" w:cs="Arial"/>
        </w:rPr>
        <w:lastRenderedPageBreak/>
        <w:t>assessing the impact of literacy interventions and wider school improvement initiatives.</w:t>
      </w:r>
    </w:p>
    <w:p w14:paraId="346F6060" w14:textId="77777777" w:rsidR="00E25F85" w:rsidRPr="00E25F85" w:rsidRDefault="00E25F85" w:rsidP="00E25F85">
      <w:pPr>
        <w:pStyle w:val="NormalWeb"/>
        <w:spacing w:line="360" w:lineRule="auto"/>
        <w:jc w:val="both"/>
        <w:rPr>
          <w:rFonts w:ascii="Arial" w:hAnsi="Arial" w:cs="Arial"/>
        </w:rPr>
      </w:pPr>
      <w:r w:rsidRPr="00E25F85">
        <w:rPr>
          <w:rFonts w:ascii="Arial" w:hAnsi="Arial" w:cs="Arial"/>
        </w:rPr>
        <w:t>The findings also raise important questions regarding how educational disadvantage is conceptualised. Whilst eligibility for eFSM and identification of ALN were associated with lower levels of reading attainment, neither characteristic was associated with lower rates of progress. This suggests that deficit-oriented assumptions regarding disadvantaged groups may oversimplify the complexity of literacy development. Educational outcomes are likely to be shaped by a dynamic interaction between learner characteristics, school provision, family circumstances and wider social influences. As such, caution should be exercised when interpreting demographic characteristics as deterministic predictors of educational outcomes.</w:t>
      </w:r>
    </w:p>
    <w:p w14:paraId="2FD108DC" w14:textId="1CAEAA96" w:rsidR="00E25F85" w:rsidRPr="00E25F85" w:rsidRDefault="00E25F85" w:rsidP="00E25F85">
      <w:pPr>
        <w:pStyle w:val="NormalWeb"/>
        <w:spacing w:line="360" w:lineRule="auto"/>
        <w:jc w:val="both"/>
        <w:rPr>
          <w:rFonts w:ascii="Arial" w:hAnsi="Arial" w:cs="Arial"/>
        </w:rPr>
      </w:pPr>
      <w:r w:rsidRPr="00E25F85">
        <w:rPr>
          <w:rFonts w:ascii="Arial" w:hAnsi="Arial" w:cs="Arial"/>
        </w:rPr>
        <w:t xml:space="preserve">The attendance findings warrant particular </w:t>
      </w:r>
      <w:proofErr w:type="gramStart"/>
      <w:r w:rsidRPr="00E25F85">
        <w:rPr>
          <w:rFonts w:ascii="Arial" w:hAnsi="Arial" w:cs="Arial"/>
        </w:rPr>
        <w:t>consideration</w:t>
      </w:r>
      <w:r w:rsidR="00EB2B44">
        <w:rPr>
          <w:rFonts w:ascii="Arial" w:hAnsi="Arial" w:cs="Arial"/>
        </w:rPr>
        <w:t>,</w:t>
      </w:r>
      <w:proofErr w:type="gramEnd"/>
      <w:r w:rsidR="00EB2B44">
        <w:rPr>
          <w:rFonts w:ascii="Arial" w:hAnsi="Arial" w:cs="Arial"/>
        </w:rPr>
        <w:t xml:space="preserve"> t</w:t>
      </w:r>
      <w:r w:rsidRPr="00E25F85">
        <w:rPr>
          <w:rFonts w:ascii="Arial" w:hAnsi="Arial" w:cs="Arial"/>
        </w:rPr>
        <w:t>he weak negative relationship identified in the present study contrasts with a substantial body of research linking attendance with academic achievement. One possible explanation is that attendance may relate more strongly to attainment than to short-term rates of progress. Another possibility is that schools disproportionately direct intervention and support towards pupils identified as vulnerable or at risk of underachievement, including those with lower attendance. Consequently, greater progress amongst some pupils with lower attendance may reflect targeted support rather than the educational benefits of absence itself. Further investigation using larger datasets and multivariate approaches would be required to explore these relationships in more detail.</w:t>
      </w:r>
    </w:p>
    <w:p w14:paraId="014DAC6E" w14:textId="77777777" w:rsidR="00E25F85" w:rsidRPr="00E25F85" w:rsidRDefault="00E25F85" w:rsidP="00E25F85">
      <w:pPr>
        <w:pStyle w:val="NormalWeb"/>
        <w:spacing w:line="360" w:lineRule="auto"/>
        <w:jc w:val="both"/>
        <w:rPr>
          <w:rFonts w:ascii="Arial" w:hAnsi="Arial" w:cs="Arial"/>
        </w:rPr>
      </w:pPr>
      <w:r w:rsidRPr="00E25F85">
        <w:rPr>
          <w:rFonts w:ascii="Arial" w:hAnsi="Arial" w:cs="Arial"/>
        </w:rPr>
        <w:t>More broadly, the findings reinforce the importance of adopting a contextual understanding of literacy development. Bronfenbrenner's (1979) ecological framework suggests that educational outcomes emerge through interactions between learners and the multiple systems within which they are situated. The results of the present study provide some support for this perspective, as no individual predictor emerged as a strong determinant of reading-age progress. Instead, literacy development appears to reflect the cumulative influence of multiple interacting factors operating both within and beyond the school environment. This highlights the need for educational strategies that address not only academic factors but also the broader social and contextual influences that shape learning opportunities.</w:t>
      </w:r>
    </w:p>
    <w:p w14:paraId="036CADB6" w14:textId="73D30A91" w:rsidR="00E25F85" w:rsidRPr="00477144" w:rsidRDefault="006863C9" w:rsidP="00477144">
      <w:pPr>
        <w:pStyle w:val="NormalWeb"/>
        <w:spacing w:line="360" w:lineRule="auto"/>
        <w:jc w:val="both"/>
        <w:rPr>
          <w:rFonts w:ascii="Arial" w:hAnsi="Arial" w:cs="Arial"/>
        </w:rPr>
      </w:pPr>
      <w:r w:rsidRPr="006863C9">
        <w:rPr>
          <w:rFonts w:ascii="Arial" w:hAnsi="Arial" w:cs="Arial"/>
        </w:rPr>
        <w:lastRenderedPageBreak/>
        <w:t>Taken together, these findings suggest that attainment and progress should be considered complementary indicators of educational success.</w:t>
      </w:r>
      <w:r>
        <w:rPr>
          <w:rFonts w:ascii="Arial" w:hAnsi="Arial" w:cs="Arial"/>
        </w:rPr>
        <w:t xml:space="preserve"> </w:t>
      </w:r>
      <w:r w:rsidR="00E25F85" w:rsidRPr="00E25F85">
        <w:rPr>
          <w:rFonts w:ascii="Arial" w:hAnsi="Arial" w:cs="Arial"/>
        </w:rPr>
        <w:t>Whilst attainment remains an important indicator of educational achievement, progress measures may provide additional insight into how effectively schools support learners with differing starting points. Future research should therefore continue to examine literacy development through both attainment and progress-based lenses in order to provide a more comprehensive understanding of educational equity and school effectiveness.</w:t>
      </w:r>
    </w:p>
    <w:p w14:paraId="324C5D6E" w14:textId="77777777" w:rsidR="000C6928" w:rsidRPr="00CD4560" w:rsidRDefault="000C6928" w:rsidP="000C6928">
      <w:pPr>
        <w:pStyle w:val="Heading3"/>
        <w:spacing w:line="300" w:lineRule="atLeast"/>
        <w:rPr>
          <w:rFonts w:ascii="Arial" w:hAnsi="Arial" w:cs="Arial"/>
          <w:b/>
          <w:bCs/>
          <w:color w:val="000000" w:themeColor="text1"/>
          <w:sz w:val="24"/>
          <w:szCs w:val="24"/>
        </w:rPr>
      </w:pPr>
      <w:r w:rsidRPr="00CD4560">
        <w:rPr>
          <w:rFonts w:ascii="Arial" w:hAnsi="Arial" w:cs="Arial"/>
          <w:b/>
          <w:bCs/>
          <w:color w:val="000000" w:themeColor="text1"/>
          <w:sz w:val="24"/>
          <w:szCs w:val="24"/>
        </w:rPr>
        <w:t>Limitations</w:t>
      </w:r>
    </w:p>
    <w:p w14:paraId="36A902A1" w14:textId="77777777" w:rsidR="000C6928" w:rsidRPr="000C6928" w:rsidRDefault="000C6928" w:rsidP="000C6928">
      <w:pPr>
        <w:pStyle w:val="NormalWeb"/>
        <w:spacing w:line="360" w:lineRule="auto"/>
        <w:jc w:val="both"/>
        <w:rPr>
          <w:rFonts w:ascii="Arial" w:hAnsi="Arial" w:cs="Arial"/>
        </w:rPr>
      </w:pPr>
      <w:r w:rsidRPr="000C6928">
        <w:rPr>
          <w:rFonts w:ascii="Arial" w:hAnsi="Arial" w:cs="Arial"/>
        </w:rPr>
        <w:t>Whilst the present study provides valuable insight into factors associated with reading-age progress, several limitations should be acknowledged.</w:t>
      </w:r>
    </w:p>
    <w:p w14:paraId="0CD6A0C6" w14:textId="53BF36BD" w:rsidR="000C6928" w:rsidRPr="000C6928" w:rsidRDefault="000C6928" w:rsidP="000C6928">
      <w:pPr>
        <w:pStyle w:val="NormalWeb"/>
        <w:spacing w:line="360" w:lineRule="auto"/>
        <w:jc w:val="both"/>
        <w:rPr>
          <w:rFonts w:ascii="Arial" w:hAnsi="Arial" w:cs="Arial"/>
        </w:rPr>
      </w:pPr>
      <w:r w:rsidRPr="000C6928">
        <w:rPr>
          <w:rFonts w:ascii="Arial" w:hAnsi="Arial" w:cs="Arial"/>
        </w:rPr>
        <w:t xml:space="preserve">Firstly, the study was conducted within a single </w:t>
      </w:r>
      <w:r w:rsidR="00EB2B44">
        <w:rPr>
          <w:rFonts w:ascii="Arial" w:hAnsi="Arial" w:cs="Arial"/>
        </w:rPr>
        <w:t>F</w:t>
      </w:r>
      <w:r w:rsidRPr="000C6928">
        <w:rPr>
          <w:rFonts w:ascii="Arial" w:hAnsi="Arial" w:cs="Arial"/>
        </w:rPr>
        <w:t xml:space="preserve">ederation in Wales. As educational contexts vary considerably in terms of pupil demographics, levels of disadvantage, attendance patterns and intervention provision, the findings may not be generalisable to other schools or settings. Future research involving larger samples drawn from multiple schools would strengthen the external validity of the findings. </w:t>
      </w:r>
    </w:p>
    <w:p w14:paraId="722E9BAA" w14:textId="77777777" w:rsidR="000C6C89" w:rsidRDefault="000C6928" w:rsidP="000C6928">
      <w:pPr>
        <w:pStyle w:val="NormalWeb"/>
        <w:spacing w:line="360" w:lineRule="auto"/>
        <w:jc w:val="both"/>
        <w:rPr>
          <w:rFonts w:ascii="Arial" w:hAnsi="Arial" w:cs="Arial"/>
        </w:rPr>
      </w:pPr>
      <w:r w:rsidRPr="000C6928">
        <w:rPr>
          <w:rFonts w:ascii="Arial" w:hAnsi="Arial" w:cs="Arial"/>
        </w:rPr>
        <w:t xml:space="preserve">Secondly, reading development was measured using the Salford Reading Test and operationalised through gains in reading age. Whilst reading-age assessments provide a practical and widely used measure of literacy attainment, they represent only one aspect of reading development. Reading age does not fully capture broader literacy skills such as comprehension, vocabulary development, critical reading or engagement with texts. Consequently, the findings should be interpreted within the limitations of the measure employed. </w:t>
      </w:r>
      <w:hyperlink r:id="rId17" w:history="1"/>
    </w:p>
    <w:p w14:paraId="6492748A" w14:textId="77777777" w:rsidR="000C6C89" w:rsidRDefault="000C6928" w:rsidP="000C6928">
      <w:pPr>
        <w:pStyle w:val="NormalWeb"/>
        <w:spacing w:line="360" w:lineRule="auto"/>
        <w:jc w:val="both"/>
        <w:rPr>
          <w:rFonts w:ascii="Arial" w:hAnsi="Arial" w:cs="Arial"/>
        </w:rPr>
      </w:pPr>
      <w:r w:rsidRPr="000C6928">
        <w:rPr>
          <w:rFonts w:ascii="Arial" w:hAnsi="Arial" w:cs="Arial"/>
        </w:rPr>
        <w:t xml:space="preserve">Thirdly, eligibility for Free School Meals (eFSM) was used as an indicator of socioeconomic disadvantage. Although eFSM is commonly used within educational research and policy, it provides only a partial representation of socioeconomic circumstances. Factors such as parental education, cultural capital, housing stability and family circumstances may also influence literacy development but were not examined within the present study. </w:t>
      </w:r>
      <w:hyperlink r:id="rId18" w:history="1"/>
      <w:r w:rsidRPr="000C6928">
        <w:rPr>
          <w:rFonts w:ascii="Arial" w:hAnsi="Arial" w:cs="Arial"/>
        </w:rPr>
        <w:t xml:space="preserve"> </w:t>
      </w:r>
    </w:p>
    <w:p w14:paraId="07AE9C53" w14:textId="5F3738FF" w:rsidR="000C6928" w:rsidRPr="000C6928" w:rsidRDefault="000C6928" w:rsidP="000C6928">
      <w:pPr>
        <w:pStyle w:val="NormalWeb"/>
        <w:spacing w:line="360" w:lineRule="auto"/>
        <w:jc w:val="both"/>
        <w:rPr>
          <w:rFonts w:ascii="Arial" w:hAnsi="Arial" w:cs="Arial"/>
        </w:rPr>
      </w:pPr>
      <w:r w:rsidRPr="000C6928">
        <w:rPr>
          <w:rFonts w:ascii="Arial" w:hAnsi="Arial" w:cs="Arial"/>
        </w:rPr>
        <w:t xml:space="preserve">A further limitation concerns the treatment of Additional Learning Needs (ALN) as a single category. The ALN population encompasses a highly diverse range of learning </w:t>
      </w:r>
      <w:r w:rsidRPr="000C6928">
        <w:rPr>
          <w:rFonts w:ascii="Arial" w:hAnsi="Arial" w:cs="Arial"/>
        </w:rPr>
        <w:lastRenderedPageBreak/>
        <w:t xml:space="preserve">profiles, including pupils with specific learning difficulties, communication needs and developmental conditions. Consequently, examining ALN as a single variable may obscure important differences between groups of learners and oversimplify the relationship between identified need and reading progress. </w:t>
      </w:r>
    </w:p>
    <w:p w14:paraId="50AFBFF8" w14:textId="77777777" w:rsidR="000C6928" w:rsidRDefault="000C6928" w:rsidP="000C6928">
      <w:pPr>
        <w:pStyle w:val="NormalWeb"/>
        <w:spacing w:line="360" w:lineRule="auto"/>
        <w:jc w:val="both"/>
        <w:rPr>
          <w:rFonts w:ascii="Arial" w:hAnsi="Arial" w:cs="Arial"/>
        </w:rPr>
      </w:pPr>
      <w:r w:rsidRPr="000C6928">
        <w:rPr>
          <w:rFonts w:ascii="Arial" w:hAnsi="Arial" w:cs="Arial"/>
        </w:rPr>
        <w:t>Finally, the non-experimental and correlational nature of the study prevents any conclusions regarding causality. Whilst significant relationships and group differences were identified, it cannot be determined whether attendance, eFSM status or ALN status directly caused differences in reading-age progress. Furthermore, potential interactions between variables were not explored. For example, pupils identified with ALN may also have been eligible for eFSM or demonstrated lower attendance. Future research employing multiple regression analyses and larger datasets may provide a more comprehensive understanding of the factors influencing literacy development.</w:t>
      </w:r>
    </w:p>
    <w:p w14:paraId="073EDBF5" w14:textId="77777777" w:rsidR="000C6928" w:rsidRPr="000C6928" w:rsidRDefault="000C6928" w:rsidP="000C6928">
      <w:pPr>
        <w:spacing w:line="360" w:lineRule="auto"/>
        <w:jc w:val="both"/>
        <w:rPr>
          <w:rFonts w:ascii="Arial" w:hAnsi="Arial" w:cs="Arial"/>
        </w:rPr>
      </w:pPr>
      <w:r w:rsidRPr="000C6928">
        <w:rPr>
          <w:rFonts w:ascii="Arial" w:hAnsi="Arial" w:cs="Arial"/>
        </w:rPr>
        <w:t>Additionally, the possibility of regression to the mean should be considered when interpreting the findings. Pupils identified with ALN and those eligible for eFSM generally demonstrated lower levels of reading attainment at baseline. As a result, larger gains over time may partly reflect a statistical tendency for initially lower scores to move closer to the sample average at subsequent assessments. Whilst targeted interventions may have contributed to improved outcomes, caution is therefore required when attributing higher rates of progress solely to educational provision.</w:t>
      </w:r>
    </w:p>
    <w:p w14:paraId="49D95E20" w14:textId="77777777" w:rsidR="006405E7" w:rsidRPr="006405E7" w:rsidRDefault="006405E7" w:rsidP="006405E7">
      <w:pPr>
        <w:pStyle w:val="Heading3"/>
        <w:spacing w:line="360" w:lineRule="auto"/>
        <w:jc w:val="both"/>
        <w:rPr>
          <w:rFonts w:ascii="Arial" w:hAnsi="Arial" w:cs="Arial"/>
          <w:b/>
          <w:bCs/>
          <w:color w:val="000000" w:themeColor="text1"/>
          <w:sz w:val="24"/>
          <w:szCs w:val="24"/>
        </w:rPr>
      </w:pPr>
      <w:r w:rsidRPr="006405E7">
        <w:rPr>
          <w:rFonts w:ascii="Arial" w:hAnsi="Arial" w:cs="Arial"/>
          <w:b/>
          <w:bCs/>
          <w:color w:val="000000" w:themeColor="text1"/>
          <w:sz w:val="24"/>
          <w:szCs w:val="24"/>
        </w:rPr>
        <w:t>Conclusion</w:t>
      </w:r>
    </w:p>
    <w:p w14:paraId="0466FD08" w14:textId="77777777" w:rsidR="00DD1FE1" w:rsidRPr="00DD1FE1" w:rsidRDefault="00DD1FE1" w:rsidP="00DD1FE1">
      <w:pPr>
        <w:pStyle w:val="NormalWeb"/>
        <w:spacing w:line="360" w:lineRule="auto"/>
        <w:jc w:val="both"/>
        <w:rPr>
          <w:rFonts w:ascii="Arial" w:hAnsi="Arial" w:cs="Arial"/>
        </w:rPr>
      </w:pPr>
      <w:r w:rsidRPr="00DD1FE1">
        <w:rPr>
          <w:rFonts w:ascii="Arial" w:hAnsi="Arial" w:cs="Arial"/>
        </w:rPr>
        <w:t>This study examined the relationship between attendance, eligibility for Free School Meals (eFSM), Additional Learning Needs (ALN) status and gender in relation to reading-age progress amongst Year 6 pupils. Although pupils demonstrated an average reading-age gain of 4.38 months across the study period, this fell short of the approximate eight-month interval between assessments, suggesting that reading development did not fully keep pace with chronological progression.</w:t>
      </w:r>
    </w:p>
    <w:p w14:paraId="7E05C6D6" w14:textId="77777777" w:rsidR="00DD1FE1" w:rsidRPr="00DD1FE1" w:rsidRDefault="00DD1FE1" w:rsidP="00DD1FE1">
      <w:pPr>
        <w:pStyle w:val="NormalWeb"/>
        <w:spacing w:line="360" w:lineRule="auto"/>
        <w:jc w:val="both"/>
        <w:rPr>
          <w:rFonts w:ascii="Arial" w:hAnsi="Arial" w:cs="Arial"/>
        </w:rPr>
      </w:pPr>
      <w:r w:rsidRPr="00DD1FE1">
        <w:rPr>
          <w:rFonts w:ascii="Arial" w:hAnsi="Arial" w:cs="Arial"/>
        </w:rPr>
        <w:t xml:space="preserve">The findings indicate that attendance was associated with reading-age progress; however, the relationship was weak and negative (r = -.176), accounting for only a small proportion of the variance in outcomes. This finding challenges assumptions that attendance alone functions as a strong predictor of literacy progress and suggests that </w:t>
      </w:r>
      <w:r w:rsidRPr="00DD1FE1">
        <w:rPr>
          <w:rFonts w:ascii="Arial" w:hAnsi="Arial" w:cs="Arial"/>
        </w:rPr>
        <w:lastRenderedPageBreak/>
        <w:t>other educational, individual and contextual factors may play a more substantial role in shaping reading development. In contrast, pupils eligible for eFSM and those identified with ALN demonstrated significantly greater gains in reading age than their peers, despite remaining lower attaining overall. Gender was not found to be a significant predictor of reading-age progress.</w:t>
      </w:r>
    </w:p>
    <w:p w14:paraId="3EAA0304" w14:textId="02D4B804" w:rsidR="00DD1FE1" w:rsidRPr="00DD1FE1" w:rsidRDefault="00DD1FE1" w:rsidP="00DD1FE1">
      <w:pPr>
        <w:pStyle w:val="NormalWeb"/>
        <w:spacing w:line="360" w:lineRule="auto"/>
        <w:jc w:val="both"/>
        <w:rPr>
          <w:rFonts w:ascii="Arial" w:hAnsi="Arial" w:cs="Arial"/>
        </w:rPr>
      </w:pPr>
      <w:r w:rsidRPr="00DD1FE1">
        <w:rPr>
          <w:rFonts w:ascii="Arial" w:hAnsi="Arial" w:cs="Arial"/>
        </w:rPr>
        <w:t>A key implication of these findings is the importance of distinguishing between attainment and progress when evaluating literacy outcomes. Whilst pupils with eFSM eligibility and ALN continued to demonstrate lower overall attainment, their comparatively greater rates of improvement suggest that progress measures can reveal patterns of development that may not be apparent through attainment data alone. However, caution is required when interpreting these gains</w:t>
      </w:r>
      <w:r>
        <w:rPr>
          <w:rFonts w:ascii="Arial" w:hAnsi="Arial" w:cs="Arial"/>
        </w:rPr>
        <w:t xml:space="preserve">, </w:t>
      </w:r>
      <w:proofErr w:type="gramStart"/>
      <w:r>
        <w:rPr>
          <w:rFonts w:ascii="Arial" w:hAnsi="Arial" w:cs="Arial"/>
        </w:rPr>
        <w:t>W</w:t>
      </w:r>
      <w:r w:rsidRPr="00DD1FE1">
        <w:rPr>
          <w:rFonts w:ascii="Arial" w:hAnsi="Arial" w:cs="Arial"/>
        </w:rPr>
        <w:t>hilst</w:t>
      </w:r>
      <w:proofErr w:type="gramEnd"/>
      <w:r w:rsidRPr="00DD1FE1">
        <w:rPr>
          <w:rFonts w:ascii="Arial" w:hAnsi="Arial" w:cs="Arial"/>
        </w:rPr>
        <w:t xml:space="preserve"> targeted interventions, additional support and focused monitoring may have contributed positively to pupil outcomes, alternative explanations, including lower baseline attainment and regression-to-the-mean effects, cannot be discounted.</w:t>
      </w:r>
    </w:p>
    <w:p w14:paraId="1B429349" w14:textId="77777777" w:rsidR="00DD1FE1" w:rsidRPr="00DD1FE1" w:rsidRDefault="00DD1FE1" w:rsidP="00DD1FE1">
      <w:pPr>
        <w:pStyle w:val="NormalWeb"/>
        <w:spacing w:line="360" w:lineRule="auto"/>
        <w:jc w:val="both"/>
        <w:rPr>
          <w:rFonts w:ascii="Arial" w:hAnsi="Arial" w:cs="Arial"/>
        </w:rPr>
      </w:pPr>
      <w:r w:rsidRPr="00DD1FE1">
        <w:rPr>
          <w:rFonts w:ascii="Arial" w:hAnsi="Arial" w:cs="Arial"/>
        </w:rPr>
        <w:t>Viewed through Bronfenbrenner's (1979) ecological framework, the findings reinforce the view that literacy development is shaped by a complex interaction of factors operating across multiple levels of influence. Learner characteristics, educational provision, family circumstances and broader social contexts are likely to interact in ways that cannot be adequately explained through single-variable relationships. The absence of any strong predictor of reading-age progress within this study therefore highlights the multifaceted nature of literacy development and the limitations of attributing outcomes to individual factors in isolation.</w:t>
      </w:r>
    </w:p>
    <w:p w14:paraId="64192166" w14:textId="77777777" w:rsidR="00DD1FE1" w:rsidRPr="00DD1FE1" w:rsidRDefault="00DD1FE1" w:rsidP="00DD1FE1">
      <w:pPr>
        <w:pStyle w:val="NormalWeb"/>
        <w:spacing w:line="360" w:lineRule="auto"/>
        <w:jc w:val="both"/>
        <w:rPr>
          <w:rFonts w:ascii="Arial" w:hAnsi="Arial" w:cs="Arial"/>
        </w:rPr>
      </w:pPr>
      <w:r w:rsidRPr="00DD1FE1">
        <w:rPr>
          <w:rFonts w:ascii="Arial" w:hAnsi="Arial" w:cs="Arial"/>
        </w:rPr>
        <w:t xml:space="preserve">Given continuing concerns regarding literacy attainment in Wales, the finding that average reading-age growth did not keep pace with chronological development highlights the ongoing challenge faced by schools in accelerating reading progress sufficiently to close existing attainment gaps. Future research should utilise larger multi-school samples and employ multivariate statistical techniques, such as multiple regression, to examine the relative contribution of attendance, socioeconomic disadvantage and additional learning needs whilst controlling for baseline attainment and other potentially confounding variables. Such approaches would provide a more nuanced understanding of literacy development and support the design of evidence-informed interventions aimed at improving outcomes for all learners. Ultimately, the </w:t>
      </w:r>
      <w:r w:rsidRPr="00DD1FE1">
        <w:rPr>
          <w:rFonts w:ascii="Arial" w:hAnsi="Arial" w:cs="Arial"/>
        </w:rPr>
        <w:lastRenderedPageBreak/>
        <w:t>findings suggest that improving literacy outcomes requires attention not only to pupil characteristics and attendance patterns but also to the broader educational and social contexts within which reading development occurs.</w:t>
      </w:r>
    </w:p>
    <w:p w14:paraId="72F06122" w14:textId="77777777" w:rsidR="00191B84" w:rsidRDefault="00191B84" w:rsidP="009A34F6">
      <w:pPr>
        <w:spacing w:before="100" w:beforeAutospacing="1" w:after="100" w:afterAutospacing="1" w:line="360" w:lineRule="auto"/>
        <w:jc w:val="both"/>
        <w:outlineLvl w:val="1"/>
        <w:rPr>
          <w:rFonts w:ascii="Arial" w:hAnsi="Arial" w:cs="Arial"/>
          <w:b/>
          <w:bCs/>
        </w:rPr>
      </w:pPr>
    </w:p>
    <w:p w14:paraId="441BACA1" w14:textId="77777777" w:rsidR="006863C9" w:rsidRDefault="006863C9" w:rsidP="009A34F6">
      <w:pPr>
        <w:spacing w:before="100" w:beforeAutospacing="1" w:after="100" w:afterAutospacing="1" w:line="360" w:lineRule="auto"/>
        <w:jc w:val="both"/>
        <w:outlineLvl w:val="1"/>
        <w:rPr>
          <w:rFonts w:ascii="Arial" w:hAnsi="Arial" w:cs="Arial"/>
          <w:b/>
          <w:bCs/>
        </w:rPr>
      </w:pPr>
    </w:p>
    <w:p w14:paraId="3145FB95" w14:textId="77777777" w:rsidR="006863C9" w:rsidRDefault="006863C9" w:rsidP="009A34F6">
      <w:pPr>
        <w:spacing w:before="100" w:beforeAutospacing="1" w:after="100" w:afterAutospacing="1" w:line="360" w:lineRule="auto"/>
        <w:jc w:val="both"/>
        <w:outlineLvl w:val="1"/>
        <w:rPr>
          <w:rFonts w:ascii="Arial" w:hAnsi="Arial" w:cs="Arial"/>
          <w:b/>
          <w:bCs/>
        </w:rPr>
      </w:pPr>
    </w:p>
    <w:p w14:paraId="4FF0DBDE" w14:textId="77777777" w:rsidR="006863C9" w:rsidRDefault="006863C9" w:rsidP="009A34F6">
      <w:pPr>
        <w:spacing w:before="100" w:beforeAutospacing="1" w:after="100" w:afterAutospacing="1" w:line="360" w:lineRule="auto"/>
        <w:jc w:val="both"/>
        <w:outlineLvl w:val="1"/>
        <w:rPr>
          <w:rFonts w:ascii="Arial" w:hAnsi="Arial" w:cs="Arial"/>
          <w:b/>
          <w:bCs/>
        </w:rPr>
      </w:pPr>
    </w:p>
    <w:p w14:paraId="7D91B2E0" w14:textId="77777777" w:rsidR="00C42704" w:rsidRDefault="00C42704" w:rsidP="009A34F6">
      <w:pPr>
        <w:spacing w:before="100" w:beforeAutospacing="1" w:after="100" w:afterAutospacing="1" w:line="360" w:lineRule="auto"/>
        <w:jc w:val="both"/>
        <w:outlineLvl w:val="1"/>
        <w:rPr>
          <w:rFonts w:ascii="Arial" w:hAnsi="Arial" w:cs="Arial"/>
          <w:b/>
          <w:bCs/>
        </w:rPr>
      </w:pPr>
    </w:p>
    <w:p w14:paraId="56E196DC" w14:textId="77777777" w:rsidR="00C42704" w:rsidRDefault="00C42704" w:rsidP="009A34F6">
      <w:pPr>
        <w:spacing w:before="100" w:beforeAutospacing="1" w:after="100" w:afterAutospacing="1" w:line="360" w:lineRule="auto"/>
        <w:jc w:val="both"/>
        <w:outlineLvl w:val="1"/>
        <w:rPr>
          <w:rFonts w:ascii="Arial" w:hAnsi="Arial" w:cs="Arial"/>
          <w:b/>
          <w:bCs/>
        </w:rPr>
      </w:pPr>
    </w:p>
    <w:p w14:paraId="78A2B01D" w14:textId="77777777" w:rsidR="00C42704" w:rsidRDefault="00C42704" w:rsidP="009A34F6">
      <w:pPr>
        <w:spacing w:before="100" w:beforeAutospacing="1" w:after="100" w:afterAutospacing="1" w:line="360" w:lineRule="auto"/>
        <w:jc w:val="both"/>
        <w:outlineLvl w:val="1"/>
        <w:rPr>
          <w:rFonts w:ascii="Arial" w:hAnsi="Arial" w:cs="Arial"/>
          <w:b/>
          <w:bCs/>
        </w:rPr>
      </w:pPr>
    </w:p>
    <w:p w14:paraId="28D31995" w14:textId="77777777" w:rsidR="00C42704" w:rsidRDefault="00C42704" w:rsidP="009A34F6">
      <w:pPr>
        <w:spacing w:before="100" w:beforeAutospacing="1" w:after="100" w:afterAutospacing="1" w:line="360" w:lineRule="auto"/>
        <w:jc w:val="both"/>
        <w:outlineLvl w:val="1"/>
        <w:rPr>
          <w:rFonts w:ascii="Arial" w:hAnsi="Arial" w:cs="Arial"/>
          <w:b/>
          <w:bCs/>
        </w:rPr>
      </w:pPr>
    </w:p>
    <w:p w14:paraId="3A79BCB1" w14:textId="77777777" w:rsidR="00C42704" w:rsidRDefault="00C42704" w:rsidP="009A34F6">
      <w:pPr>
        <w:spacing w:before="100" w:beforeAutospacing="1" w:after="100" w:afterAutospacing="1" w:line="360" w:lineRule="auto"/>
        <w:jc w:val="both"/>
        <w:outlineLvl w:val="1"/>
        <w:rPr>
          <w:rFonts w:ascii="Arial" w:hAnsi="Arial" w:cs="Arial"/>
          <w:b/>
          <w:bCs/>
        </w:rPr>
      </w:pPr>
    </w:p>
    <w:p w14:paraId="5FDAFD69" w14:textId="77777777" w:rsidR="00C42704" w:rsidRDefault="00C42704" w:rsidP="009A34F6">
      <w:pPr>
        <w:spacing w:before="100" w:beforeAutospacing="1" w:after="100" w:afterAutospacing="1" w:line="360" w:lineRule="auto"/>
        <w:jc w:val="both"/>
        <w:outlineLvl w:val="1"/>
        <w:rPr>
          <w:rFonts w:ascii="Arial" w:hAnsi="Arial" w:cs="Arial"/>
          <w:b/>
          <w:bCs/>
        </w:rPr>
      </w:pPr>
    </w:p>
    <w:p w14:paraId="66F349A1" w14:textId="77777777" w:rsidR="00C42704" w:rsidRDefault="00C42704" w:rsidP="009A34F6">
      <w:pPr>
        <w:spacing w:before="100" w:beforeAutospacing="1" w:after="100" w:afterAutospacing="1" w:line="360" w:lineRule="auto"/>
        <w:jc w:val="both"/>
        <w:outlineLvl w:val="1"/>
        <w:rPr>
          <w:rFonts w:ascii="Arial" w:hAnsi="Arial" w:cs="Arial"/>
          <w:b/>
          <w:bCs/>
        </w:rPr>
      </w:pPr>
    </w:p>
    <w:p w14:paraId="5FBB3219" w14:textId="77777777" w:rsidR="00C42704" w:rsidRDefault="00C42704" w:rsidP="009A34F6">
      <w:pPr>
        <w:spacing w:before="100" w:beforeAutospacing="1" w:after="100" w:afterAutospacing="1" w:line="360" w:lineRule="auto"/>
        <w:jc w:val="both"/>
        <w:outlineLvl w:val="1"/>
        <w:rPr>
          <w:rFonts w:ascii="Arial" w:hAnsi="Arial" w:cs="Arial"/>
          <w:b/>
          <w:bCs/>
        </w:rPr>
      </w:pPr>
    </w:p>
    <w:p w14:paraId="2316399F" w14:textId="77777777" w:rsidR="00C42704" w:rsidRDefault="00C42704" w:rsidP="009A34F6">
      <w:pPr>
        <w:spacing w:before="100" w:beforeAutospacing="1" w:after="100" w:afterAutospacing="1" w:line="360" w:lineRule="auto"/>
        <w:jc w:val="both"/>
        <w:outlineLvl w:val="1"/>
        <w:rPr>
          <w:rFonts w:ascii="Arial" w:hAnsi="Arial" w:cs="Arial"/>
          <w:b/>
          <w:bCs/>
        </w:rPr>
      </w:pPr>
    </w:p>
    <w:p w14:paraId="7660022A" w14:textId="77777777" w:rsidR="00DD1FE1" w:rsidRDefault="00DD1FE1" w:rsidP="009A34F6">
      <w:pPr>
        <w:spacing w:before="100" w:beforeAutospacing="1" w:after="100" w:afterAutospacing="1" w:line="360" w:lineRule="auto"/>
        <w:jc w:val="both"/>
        <w:outlineLvl w:val="1"/>
        <w:rPr>
          <w:rFonts w:ascii="Arial" w:hAnsi="Arial" w:cs="Arial"/>
          <w:b/>
          <w:bCs/>
        </w:rPr>
      </w:pPr>
    </w:p>
    <w:p w14:paraId="1F0A3272" w14:textId="77777777" w:rsidR="00DD1FE1" w:rsidRDefault="00DD1FE1" w:rsidP="009A34F6">
      <w:pPr>
        <w:spacing w:before="100" w:beforeAutospacing="1" w:after="100" w:afterAutospacing="1" w:line="360" w:lineRule="auto"/>
        <w:jc w:val="both"/>
        <w:outlineLvl w:val="1"/>
        <w:rPr>
          <w:rFonts w:ascii="Arial" w:hAnsi="Arial" w:cs="Arial"/>
          <w:b/>
          <w:bCs/>
        </w:rPr>
      </w:pPr>
    </w:p>
    <w:p w14:paraId="18DD557D" w14:textId="77777777" w:rsidR="00DD1FE1" w:rsidRDefault="00DD1FE1" w:rsidP="009A34F6">
      <w:pPr>
        <w:spacing w:before="100" w:beforeAutospacing="1" w:after="100" w:afterAutospacing="1" w:line="360" w:lineRule="auto"/>
        <w:jc w:val="both"/>
        <w:outlineLvl w:val="1"/>
        <w:rPr>
          <w:rFonts w:ascii="Arial" w:hAnsi="Arial" w:cs="Arial"/>
          <w:b/>
          <w:bCs/>
        </w:rPr>
      </w:pPr>
    </w:p>
    <w:p w14:paraId="3A014A88" w14:textId="77777777" w:rsidR="002A0C5B" w:rsidRPr="00CD4560" w:rsidRDefault="002A0C5B" w:rsidP="002A0C5B">
      <w:pPr>
        <w:pStyle w:val="Heading1"/>
        <w:spacing w:line="360" w:lineRule="auto"/>
        <w:jc w:val="both"/>
        <w:rPr>
          <w:rFonts w:ascii="Arial" w:hAnsi="Arial" w:cs="Arial"/>
          <w:b/>
          <w:bCs/>
          <w:color w:val="000000" w:themeColor="text1"/>
          <w:sz w:val="24"/>
          <w:szCs w:val="24"/>
        </w:rPr>
      </w:pPr>
      <w:r w:rsidRPr="00CD4560">
        <w:rPr>
          <w:rFonts w:ascii="Arial" w:hAnsi="Arial" w:cs="Arial"/>
          <w:b/>
          <w:bCs/>
          <w:color w:val="000000" w:themeColor="text1"/>
          <w:sz w:val="24"/>
          <w:szCs w:val="24"/>
        </w:rPr>
        <w:lastRenderedPageBreak/>
        <w:t>References</w:t>
      </w:r>
    </w:p>
    <w:p w14:paraId="5E951B38" w14:textId="0F16F5BF"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Balfanz, R., &amp; Byrnes, V. (2018). </w:t>
      </w:r>
      <w:r w:rsidRPr="002A0C5B">
        <w:rPr>
          <w:rStyle w:val="Emphasis"/>
          <w:rFonts w:ascii="Arial" w:hAnsi="Arial" w:cs="Arial"/>
          <w:color w:val="000000" w:themeColor="text1"/>
        </w:rPr>
        <w:t>Using data and the human touch: Evaluating the NYC inter-agency campaign to reduce chronic absenteeism</w:t>
      </w:r>
      <w:r w:rsidRPr="002A0C5B">
        <w:rPr>
          <w:rFonts w:ascii="Arial" w:hAnsi="Arial" w:cs="Arial"/>
          <w:color w:val="000000" w:themeColor="text1"/>
        </w:rPr>
        <w:t xml:space="preserve">. Everyone Graduates </w:t>
      </w:r>
      <w:proofErr w:type="spellStart"/>
      <w:r w:rsidRPr="002A0C5B">
        <w:rPr>
          <w:rFonts w:ascii="Arial" w:hAnsi="Arial" w:cs="Arial"/>
          <w:color w:val="000000" w:themeColor="text1"/>
        </w:rPr>
        <w:t>Center</w:t>
      </w:r>
      <w:proofErr w:type="spellEnd"/>
      <w:r w:rsidRPr="002A0C5B">
        <w:rPr>
          <w:rFonts w:ascii="Arial" w:hAnsi="Arial" w:cs="Arial"/>
          <w:color w:val="000000" w:themeColor="text1"/>
        </w:rPr>
        <w:t>, Johns Hopkins University.</w:t>
      </w:r>
      <w:r w:rsidR="00C7291C" w:rsidRPr="00C7291C">
        <w:t xml:space="preserve"> </w:t>
      </w:r>
      <w:hyperlink r:id="rId19" w:history="1">
        <w:r w:rsidR="00C7291C" w:rsidRPr="00C7291C">
          <w:rPr>
            <w:rStyle w:val="Hyperlink"/>
            <w:rFonts w:ascii="Arial" w:hAnsi="Arial" w:cs="Arial"/>
          </w:rPr>
          <w:t>https://eric.ed.gov/?id=EJ1174347</w:t>
        </w:r>
      </w:hyperlink>
      <w:r w:rsidR="00C7291C">
        <w:t xml:space="preserve"> </w:t>
      </w:r>
    </w:p>
    <w:p w14:paraId="19422F0E" w14:textId="18DE8613"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Bronfenbrenner, U. (1979). </w:t>
      </w:r>
      <w:r w:rsidRPr="002A0C5B">
        <w:rPr>
          <w:rStyle w:val="Emphasis"/>
          <w:rFonts w:ascii="Arial" w:hAnsi="Arial" w:cs="Arial"/>
          <w:color w:val="000000" w:themeColor="text1"/>
        </w:rPr>
        <w:t>The ecology of human development: Experiments by nature and design</w:t>
      </w:r>
      <w:r w:rsidRPr="002A0C5B">
        <w:rPr>
          <w:rFonts w:ascii="Arial" w:hAnsi="Arial" w:cs="Arial"/>
          <w:color w:val="000000" w:themeColor="text1"/>
        </w:rPr>
        <w:t>. Harvard University Press.</w:t>
      </w:r>
      <w:r w:rsidRPr="002A0C5B">
        <w:t xml:space="preserve"> </w:t>
      </w:r>
      <w:hyperlink r:id="rId20" w:history="1">
        <w:r w:rsidRPr="00C807ED">
          <w:rPr>
            <w:rStyle w:val="Hyperlink"/>
            <w:rFonts w:ascii="Arial" w:hAnsi="Arial" w:cs="Arial"/>
          </w:rPr>
          <w:t>https://archive.org/details/ecologyofhumande00urie/page/n5/mode/1up</w:t>
        </w:r>
      </w:hyperlink>
      <w:r>
        <w:rPr>
          <w:rFonts w:ascii="Arial" w:hAnsi="Arial" w:cs="Arial"/>
          <w:color w:val="000000" w:themeColor="text1"/>
        </w:rPr>
        <w:t xml:space="preserve"> </w:t>
      </w:r>
    </w:p>
    <w:p w14:paraId="1B13DB4B" w14:textId="054017A3"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Brooks, G. (201</w:t>
      </w:r>
      <w:r w:rsidR="00D55D63">
        <w:rPr>
          <w:rFonts w:ascii="Arial" w:hAnsi="Arial" w:cs="Arial"/>
          <w:color w:val="000000" w:themeColor="text1"/>
        </w:rPr>
        <w:t>6</w:t>
      </w:r>
      <w:r w:rsidRPr="002A0C5B">
        <w:rPr>
          <w:rFonts w:ascii="Arial" w:hAnsi="Arial" w:cs="Arial"/>
          <w:color w:val="000000" w:themeColor="text1"/>
        </w:rPr>
        <w:t xml:space="preserve">). </w:t>
      </w:r>
      <w:r w:rsidRPr="002A0C5B">
        <w:rPr>
          <w:rStyle w:val="Emphasis"/>
          <w:rFonts w:ascii="Arial" w:hAnsi="Arial" w:cs="Arial"/>
          <w:color w:val="000000" w:themeColor="text1"/>
        </w:rPr>
        <w:t>What works for children and young people with literacy difficulties? The effectiveness of intervention schemes</w:t>
      </w:r>
      <w:r w:rsidRPr="002A0C5B">
        <w:rPr>
          <w:rFonts w:ascii="Arial" w:hAnsi="Arial" w:cs="Arial"/>
          <w:color w:val="000000" w:themeColor="text1"/>
        </w:rPr>
        <w:t xml:space="preserve"> (5th ed.). Dyslexia-</w:t>
      </w:r>
      <w:proofErr w:type="spellStart"/>
      <w:r w:rsidRPr="002A0C5B">
        <w:rPr>
          <w:rFonts w:ascii="Arial" w:hAnsi="Arial" w:cs="Arial"/>
          <w:color w:val="000000" w:themeColor="text1"/>
        </w:rPr>
        <w:t>SpLD</w:t>
      </w:r>
      <w:proofErr w:type="spellEnd"/>
      <w:r w:rsidRPr="002A0C5B">
        <w:rPr>
          <w:rFonts w:ascii="Arial" w:hAnsi="Arial" w:cs="Arial"/>
          <w:color w:val="000000" w:themeColor="text1"/>
        </w:rPr>
        <w:t xml:space="preserve"> Trust.</w:t>
      </w:r>
      <w:r w:rsidRPr="002A0C5B">
        <w:t xml:space="preserve"> </w:t>
      </w:r>
      <w:hyperlink r:id="rId21" w:history="1">
        <w:r w:rsidRPr="00C807ED">
          <w:rPr>
            <w:rStyle w:val="Hyperlink"/>
            <w:rFonts w:ascii="Arial" w:hAnsi="Arial" w:cs="Arial"/>
          </w:rPr>
          <w:t>https://www.theschoolpsychologyservice.com/wp-content/uploads/2020/09/What-Works-for-Literacy-5th-Edition-2016.pdf</w:t>
        </w:r>
      </w:hyperlink>
      <w:r>
        <w:rPr>
          <w:rFonts w:ascii="Arial" w:hAnsi="Arial" w:cs="Arial"/>
          <w:color w:val="000000" w:themeColor="text1"/>
        </w:rPr>
        <w:t xml:space="preserve"> </w:t>
      </w:r>
    </w:p>
    <w:p w14:paraId="63D0905B" w14:textId="55EB6732"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Clark, C., &amp; Teravainen-Goff, A. (20</w:t>
      </w:r>
      <w:r>
        <w:rPr>
          <w:rFonts w:ascii="Arial" w:hAnsi="Arial" w:cs="Arial"/>
          <w:color w:val="000000" w:themeColor="text1"/>
        </w:rPr>
        <w:t>19</w:t>
      </w:r>
      <w:r w:rsidRPr="002A0C5B">
        <w:rPr>
          <w:rFonts w:ascii="Arial" w:hAnsi="Arial" w:cs="Arial"/>
          <w:color w:val="000000" w:themeColor="text1"/>
        </w:rPr>
        <w:t xml:space="preserve">). </w:t>
      </w:r>
      <w:r w:rsidRPr="002A0C5B">
        <w:rPr>
          <w:rStyle w:val="Emphasis"/>
          <w:rFonts w:ascii="Arial" w:hAnsi="Arial" w:cs="Arial"/>
          <w:color w:val="000000" w:themeColor="text1"/>
        </w:rPr>
        <w:t>Children and young people's reading engagement in 2019</w:t>
      </w:r>
      <w:r w:rsidRPr="002A0C5B">
        <w:rPr>
          <w:rFonts w:ascii="Arial" w:hAnsi="Arial" w:cs="Arial"/>
          <w:color w:val="000000" w:themeColor="text1"/>
        </w:rPr>
        <w:t>. National Literacy Trust.</w:t>
      </w:r>
      <w:r>
        <w:rPr>
          <w:rFonts w:ascii="Arial" w:hAnsi="Arial" w:cs="Arial"/>
          <w:color w:val="000000" w:themeColor="text1"/>
        </w:rPr>
        <w:t xml:space="preserve"> </w:t>
      </w:r>
      <w:hyperlink r:id="rId22" w:history="1">
        <w:r w:rsidRPr="00C807ED">
          <w:rPr>
            <w:rStyle w:val="Hyperlink"/>
            <w:rFonts w:ascii="Arial" w:hAnsi="Arial" w:cs="Arial"/>
          </w:rPr>
          <w:t>https://nlt.hacdn.org/media/documents/Reading_trends_in_2019_-_Final.pdf</w:t>
        </w:r>
      </w:hyperlink>
      <w:r>
        <w:rPr>
          <w:rFonts w:ascii="Arial" w:hAnsi="Arial" w:cs="Arial"/>
          <w:color w:val="000000" w:themeColor="text1"/>
        </w:rPr>
        <w:t xml:space="preserve"> </w:t>
      </w:r>
    </w:p>
    <w:p w14:paraId="533ED12B" w14:textId="760809B2"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Cohen, L., Manion, L., &amp; Morrison, K. (2018). </w:t>
      </w:r>
      <w:r w:rsidRPr="002A0C5B">
        <w:rPr>
          <w:rStyle w:val="Emphasis"/>
          <w:rFonts w:ascii="Arial" w:hAnsi="Arial" w:cs="Arial"/>
          <w:color w:val="000000" w:themeColor="text1"/>
        </w:rPr>
        <w:t>Research methods in education</w:t>
      </w:r>
      <w:r w:rsidRPr="002A0C5B">
        <w:rPr>
          <w:rFonts w:ascii="Arial" w:hAnsi="Arial" w:cs="Arial"/>
          <w:color w:val="000000" w:themeColor="text1"/>
        </w:rPr>
        <w:t xml:space="preserve"> (8th ed.). Routledge.</w:t>
      </w:r>
      <w:r w:rsidRPr="002A0C5B">
        <w:t xml:space="preserve"> </w:t>
      </w:r>
      <w:hyperlink r:id="rId23" w:history="1">
        <w:r w:rsidRPr="00C807ED">
          <w:rPr>
            <w:rStyle w:val="Hyperlink"/>
          </w:rPr>
          <w:t>https://www.researchgate.net/publication/44824604_Research_Methods_in_Education</w:t>
        </w:r>
      </w:hyperlink>
      <w:r>
        <w:t xml:space="preserve"> </w:t>
      </w:r>
      <w:hyperlink r:id="rId24" w:tgtFrame="_blank" w:history="1"/>
    </w:p>
    <w:p w14:paraId="2BEB3DDB" w14:textId="653795E2"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Creswell, J. W., &amp; Creswell, J. D. (2018). </w:t>
      </w:r>
      <w:r w:rsidRPr="002A0C5B">
        <w:rPr>
          <w:rStyle w:val="Emphasis"/>
          <w:rFonts w:ascii="Arial" w:hAnsi="Arial" w:cs="Arial"/>
          <w:color w:val="000000" w:themeColor="text1"/>
        </w:rPr>
        <w:t>Research design: Qualitative, quantitative, and mixed methods approaches</w:t>
      </w:r>
      <w:r w:rsidRPr="002A0C5B">
        <w:rPr>
          <w:rFonts w:ascii="Arial" w:hAnsi="Arial" w:cs="Arial"/>
          <w:color w:val="000000" w:themeColor="text1"/>
        </w:rPr>
        <w:t xml:space="preserve"> (5th ed.). Sage.</w:t>
      </w:r>
      <w:r w:rsidRPr="002A0C5B">
        <w:t xml:space="preserve"> </w:t>
      </w:r>
      <w:hyperlink r:id="rId25" w:anchor="v=onepage&amp;q&amp;f=false" w:history="1">
        <w:r w:rsidRPr="00C807ED">
          <w:rPr>
            <w:rStyle w:val="Hyperlink"/>
            <w:rFonts w:ascii="Arial" w:hAnsi="Arial" w:cs="Arial"/>
          </w:rPr>
          <w:t>https://books.google.co.uk/books?hl=en&amp;lr=&amp;id=335ZDwAAQBAJ&amp;oi=fnd&amp;pg=PT16&amp;dq=Creswell,+J.+W.,+%26+Creswell,+J.+D.+(2018).+Research+design:+Qualitative,+quantitative,+and+mixed+methods+approaches+(5th+ed.).+Sage.&amp;ots=YEAWILxqmJ&amp;sig=RZRLQh1CpGigsoxYAi_lH01fFwM#v=onepage&amp;q&amp;f=false</w:t>
        </w:r>
      </w:hyperlink>
      <w:r>
        <w:rPr>
          <w:rFonts w:ascii="Arial" w:hAnsi="Arial" w:cs="Arial"/>
          <w:color w:val="000000" w:themeColor="text1"/>
        </w:rPr>
        <w:t xml:space="preserve"> </w:t>
      </w:r>
    </w:p>
    <w:p w14:paraId="7AB0CF39" w14:textId="59D424E2"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Duncan, G. J., &amp; Magnuson, K. (2012). Socioeconomic status and cognitive functioning: Moving from correlation to causation. </w:t>
      </w:r>
      <w:r w:rsidRPr="002A0C5B">
        <w:rPr>
          <w:rStyle w:val="Emphasis"/>
          <w:rFonts w:ascii="Arial" w:hAnsi="Arial" w:cs="Arial"/>
          <w:color w:val="000000" w:themeColor="text1"/>
        </w:rPr>
        <w:t>Wiley Interdisciplinary Reviews: Cognitive Science, 3</w:t>
      </w:r>
      <w:r w:rsidRPr="002A0C5B">
        <w:rPr>
          <w:rFonts w:ascii="Arial" w:hAnsi="Arial" w:cs="Arial"/>
          <w:color w:val="000000" w:themeColor="text1"/>
        </w:rPr>
        <w:t xml:space="preserve">(3), 377-386. </w:t>
      </w:r>
      <w:hyperlink r:id="rId26" w:history="1">
        <w:r w:rsidRPr="00C807ED">
          <w:rPr>
            <w:rStyle w:val="Hyperlink"/>
            <w:rFonts w:ascii="Arial" w:hAnsi="Arial" w:cs="Arial"/>
          </w:rPr>
          <w:t>https://doi.org/10.1002/wcs.1176</w:t>
        </w:r>
      </w:hyperlink>
      <w:r>
        <w:rPr>
          <w:rFonts w:ascii="Arial" w:hAnsi="Arial" w:cs="Arial"/>
          <w:color w:val="000000" w:themeColor="text1"/>
        </w:rPr>
        <w:t xml:space="preserve"> </w:t>
      </w:r>
    </w:p>
    <w:p w14:paraId="6C0AC7A6" w14:textId="3984C8FE"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lastRenderedPageBreak/>
        <w:t xml:space="preserve">Estyn. (2025). </w:t>
      </w:r>
      <w:r w:rsidRPr="002A0C5B">
        <w:rPr>
          <w:rStyle w:val="Emphasis"/>
          <w:rFonts w:ascii="Arial" w:hAnsi="Arial" w:cs="Arial"/>
          <w:color w:val="000000" w:themeColor="text1"/>
        </w:rPr>
        <w:t>Attendance in schools in Wales</w:t>
      </w:r>
      <w:r w:rsidRPr="002A0C5B">
        <w:rPr>
          <w:rFonts w:ascii="Arial" w:hAnsi="Arial" w:cs="Arial"/>
          <w:color w:val="000000" w:themeColor="text1"/>
        </w:rPr>
        <w:t>. Estyn.</w:t>
      </w:r>
      <w:r w:rsidRPr="002A0C5B">
        <w:t xml:space="preserve"> </w:t>
      </w:r>
      <w:hyperlink r:id="rId27" w:history="1">
        <w:r w:rsidRPr="00C807ED">
          <w:rPr>
            <w:rStyle w:val="Hyperlink"/>
            <w:rFonts w:ascii="Arial" w:hAnsi="Arial" w:cs="Arial"/>
          </w:rPr>
          <w:t>https://estyn.gov.wales/app/uploads/2025/05/Improving-attendance-in-secondary-schools-an-update-on-progress-1.pdf</w:t>
        </w:r>
      </w:hyperlink>
      <w:r>
        <w:rPr>
          <w:rFonts w:ascii="Arial" w:hAnsi="Arial" w:cs="Arial"/>
          <w:color w:val="000000" w:themeColor="text1"/>
        </w:rPr>
        <w:t xml:space="preserve"> </w:t>
      </w:r>
    </w:p>
    <w:p w14:paraId="5614538C" w14:textId="3FC63EC4"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Mullis, I. V. S., Martin, M. O., Foy, P., Kelly, D. L., &amp; Fishbein, B. (2023). </w:t>
      </w:r>
      <w:r w:rsidRPr="002A0C5B">
        <w:rPr>
          <w:rStyle w:val="Emphasis"/>
          <w:rFonts w:ascii="Arial" w:hAnsi="Arial" w:cs="Arial"/>
          <w:color w:val="000000" w:themeColor="text1"/>
        </w:rPr>
        <w:t>PIRLS 2021 international results in reading</w:t>
      </w:r>
      <w:r w:rsidRPr="002A0C5B">
        <w:rPr>
          <w:rFonts w:ascii="Arial" w:hAnsi="Arial" w:cs="Arial"/>
          <w:color w:val="000000" w:themeColor="text1"/>
        </w:rPr>
        <w:t xml:space="preserve">. TIMSS &amp; PIRLS International Study </w:t>
      </w:r>
      <w:proofErr w:type="spellStart"/>
      <w:r w:rsidRPr="002A0C5B">
        <w:rPr>
          <w:rFonts w:ascii="Arial" w:hAnsi="Arial" w:cs="Arial"/>
          <w:color w:val="000000" w:themeColor="text1"/>
        </w:rPr>
        <w:t>Center</w:t>
      </w:r>
      <w:proofErr w:type="spellEnd"/>
      <w:r w:rsidRPr="002A0C5B">
        <w:rPr>
          <w:rFonts w:ascii="Arial" w:hAnsi="Arial" w:cs="Arial"/>
          <w:color w:val="000000" w:themeColor="text1"/>
        </w:rPr>
        <w:t>, Boston College.</w:t>
      </w:r>
      <w:r>
        <w:rPr>
          <w:rFonts w:ascii="Arial" w:hAnsi="Arial" w:cs="Arial"/>
          <w:color w:val="000000" w:themeColor="text1"/>
        </w:rPr>
        <w:t xml:space="preserve"> </w:t>
      </w:r>
      <w:hyperlink r:id="rId28" w:history="1">
        <w:r w:rsidRPr="00C807ED">
          <w:rPr>
            <w:rStyle w:val="Hyperlink"/>
            <w:rFonts w:ascii="Arial" w:hAnsi="Arial" w:cs="Arial"/>
          </w:rPr>
          <w:t>https://catalog.boekman.nl/pub/P23-0239.pdf</w:t>
        </w:r>
      </w:hyperlink>
      <w:r>
        <w:rPr>
          <w:rFonts w:ascii="Arial" w:hAnsi="Arial" w:cs="Arial"/>
          <w:color w:val="000000" w:themeColor="text1"/>
        </w:rPr>
        <w:t xml:space="preserve"> </w:t>
      </w:r>
    </w:p>
    <w:p w14:paraId="64D5FD58" w14:textId="3023ABF3" w:rsid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Organisation for Economic Co-operation and Development. (2023). </w:t>
      </w:r>
      <w:r w:rsidRPr="002A0C5B">
        <w:rPr>
          <w:rStyle w:val="Emphasis"/>
          <w:rFonts w:ascii="Arial" w:hAnsi="Arial" w:cs="Arial"/>
          <w:color w:val="000000" w:themeColor="text1"/>
        </w:rPr>
        <w:t>PISA 2022 results (Volume I): The state of learning and equity in education</w:t>
      </w:r>
      <w:r w:rsidRPr="002A0C5B">
        <w:rPr>
          <w:rFonts w:ascii="Arial" w:hAnsi="Arial" w:cs="Arial"/>
          <w:color w:val="000000" w:themeColor="text1"/>
        </w:rPr>
        <w:t xml:space="preserve">. OECD Publishing. </w:t>
      </w:r>
      <w:hyperlink r:id="rId29" w:history="1">
        <w:r w:rsidRPr="00C807ED">
          <w:rPr>
            <w:rStyle w:val="Hyperlink"/>
            <w:rFonts w:ascii="Arial" w:hAnsi="Arial" w:cs="Arial"/>
          </w:rPr>
          <w:t>https://doi.org/10.1787/53f23881-en</w:t>
        </w:r>
      </w:hyperlink>
      <w:r>
        <w:rPr>
          <w:rFonts w:ascii="Arial" w:hAnsi="Arial" w:cs="Arial"/>
          <w:color w:val="000000" w:themeColor="text1"/>
        </w:rPr>
        <w:t xml:space="preserve"> </w:t>
      </w:r>
      <w:hyperlink r:id="rId30" w:history="1">
        <w:r w:rsidRPr="00C807ED">
          <w:rPr>
            <w:rStyle w:val="Hyperlink"/>
            <w:rFonts w:ascii="Arial" w:hAnsi="Arial" w:cs="Arial"/>
          </w:rPr>
          <w:t>https://www.oecd.org/content/dam/oecd/en/publications/reports/2023/12/pisa-2022-results-volume-i_76772a36/53f23881-en.pdf</w:t>
        </w:r>
      </w:hyperlink>
      <w:r>
        <w:rPr>
          <w:rFonts w:ascii="Arial" w:hAnsi="Arial" w:cs="Arial"/>
          <w:color w:val="000000" w:themeColor="text1"/>
        </w:rPr>
        <w:t xml:space="preserve"> </w:t>
      </w:r>
    </w:p>
    <w:p w14:paraId="57013D9B" w14:textId="09B51A39" w:rsidR="00C7291C" w:rsidRDefault="00C7291C" w:rsidP="002A0C5B">
      <w:pPr>
        <w:pStyle w:val="NormalWeb"/>
        <w:spacing w:line="360" w:lineRule="auto"/>
        <w:jc w:val="both"/>
        <w:rPr>
          <w:rFonts w:ascii="Arial" w:hAnsi="Arial" w:cs="Arial"/>
          <w:color w:val="0432FF"/>
          <w:shd w:val="clear" w:color="auto" w:fill="FFFFFF"/>
        </w:rPr>
      </w:pPr>
      <w:r w:rsidRPr="00C7291C">
        <w:rPr>
          <w:rFonts w:ascii="Arial" w:hAnsi="Arial" w:cs="Arial"/>
          <w:color w:val="000000" w:themeColor="text1"/>
          <w:shd w:val="clear" w:color="auto" w:fill="FFFFFF"/>
        </w:rPr>
        <w:t>OECD (2010), </w:t>
      </w:r>
      <w:r w:rsidRPr="00C7291C">
        <w:rPr>
          <w:rFonts w:ascii="Arial" w:hAnsi="Arial" w:cs="Arial"/>
          <w:i/>
          <w:iCs/>
          <w:color w:val="000000" w:themeColor="text1"/>
          <w:bdr w:val="none" w:sz="0" w:space="0" w:color="auto" w:frame="1"/>
          <w:shd w:val="clear" w:color="auto" w:fill="FFFFFF"/>
        </w:rPr>
        <w:t>PISA 2009 Results: Learning to Learn: Student Engagement, Strategies and Practices (Volume III)</w:t>
      </w:r>
      <w:r w:rsidRPr="00C7291C">
        <w:rPr>
          <w:rFonts w:ascii="Arial" w:hAnsi="Arial" w:cs="Arial"/>
          <w:color w:val="000000" w:themeColor="text1"/>
          <w:shd w:val="clear" w:color="auto" w:fill="FFFFFF"/>
        </w:rPr>
        <w:t>, PISA, OECD Publishing, Paris, </w:t>
      </w:r>
      <w:hyperlink r:id="rId31" w:history="1">
        <w:r w:rsidRPr="00C7291C">
          <w:rPr>
            <w:rFonts w:ascii="Arial" w:hAnsi="Arial" w:cs="Arial"/>
            <w:color w:val="0432FF"/>
            <w:u w:val="single"/>
            <w:bdr w:val="none" w:sz="0" w:space="0" w:color="auto" w:frame="1"/>
            <w:shd w:val="clear" w:color="auto" w:fill="FFFFFF"/>
          </w:rPr>
          <w:t>https://doi.org/10.1787/9789264083943-en</w:t>
        </w:r>
      </w:hyperlink>
      <w:r w:rsidRPr="00C7291C">
        <w:rPr>
          <w:rFonts w:ascii="Arial" w:hAnsi="Arial" w:cs="Arial"/>
          <w:color w:val="0432FF"/>
        </w:rPr>
        <w:t xml:space="preserve">  </w:t>
      </w:r>
      <w:r w:rsidRPr="00C7291C">
        <w:rPr>
          <w:rFonts w:ascii="Arial" w:hAnsi="Arial" w:cs="Arial"/>
          <w:color w:val="0432FF"/>
          <w:shd w:val="clear" w:color="auto" w:fill="FFFFFF"/>
        </w:rPr>
        <w:t xml:space="preserve">  </w:t>
      </w:r>
    </w:p>
    <w:p w14:paraId="359DFA55" w14:textId="781E45A4" w:rsidR="00191B84" w:rsidRPr="00191B84" w:rsidRDefault="00191B84" w:rsidP="00191B84">
      <w:pPr>
        <w:spacing w:line="360" w:lineRule="auto"/>
        <w:jc w:val="both"/>
        <w:rPr>
          <w:rFonts w:ascii="Arial" w:hAnsi="Arial" w:cs="Arial"/>
        </w:rPr>
      </w:pPr>
      <w:r w:rsidRPr="00191B84">
        <w:rPr>
          <w:rFonts w:ascii="Arial" w:hAnsi="Arial" w:cs="Arial"/>
        </w:rPr>
        <w:t xml:space="preserve">Pearson Assessments. (n.d.). Interpretation problems of age and grade equivalents. Pearson Assessments. </w:t>
      </w:r>
      <w:hyperlink r:id="rId32" w:history="1">
        <w:r w:rsidRPr="00CB6CDB">
          <w:rPr>
            <w:rStyle w:val="Hyperlink"/>
            <w:rFonts w:ascii="Arial" w:hAnsi="Arial" w:cs="Arial"/>
          </w:rPr>
          <w:t>https://www.pearsonassessments.com/campaign/interpretation-problems-of-age-and-grade-equivalents.html</w:t>
        </w:r>
      </w:hyperlink>
      <w:r>
        <w:rPr>
          <w:rFonts w:ascii="Arial" w:hAnsi="Arial" w:cs="Arial"/>
        </w:rPr>
        <w:t xml:space="preserve"> </w:t>
      </w:r>
    </w:p>
    <w:p w14:paraId="006510DC" w14:textId="110F11BD"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Sirin, S. R. (2005). Socioeconomic status and academic achievement: A meta-analytic review of research. </w:t>
      </w:r>
      <w:r w:rsidRPr="002A0C5B">
        <w:rPr>
          <w:rStyle w:val="Emphasis"/>
          <w:rFonts w:ascii="Arial" w:hAnsi="Arial" w:cs="Arial"/>
          <w:color w:val="000000" w:themeColor="text1"/>
        </w:rPr>
        <w:t>Review of Educational Research, 75</w:t>
      </w:r>
      <w:r w:rsidRPr="002A0C5B">
        <w:rPr>
          <w:rFonts w:ascii="Arial" w:hAnsi="Arial" w:cs="Arial"/>
          <w:color w:val="000000" w:themeColor="text1"/>
        </w:rPr>
        <w:t xml:space="preserve">(3), 417-453. </w:t>
      </w:r>
      <w:hyperlink r:id="rId33" w:history="1">
        <w:r w:rsidRPr="00C807ED">
          <w:rPr>
            <w:rStyle w:val="Hyperlink"/>
            <w:rFonts w:ascii="Arial" w:hAnsi="Arial" w:cs="Arial"/>
          </w:rPr>
          <w:t>https://doi.org/10.3102/00346543075003417</w:t>
        </w:r>
      </w:hyperlink>
      <w:r>
        <w:rPr>
          <w:rFonts w:ascii="Arial" w:hAnsi="Arial" w:cs="Arial"/>
          <w:color w:val="000000" w:themeColor="text1"/>
        </w:rPr>
        <w:t xml:space="preserve"> </w:t>
      </w:r>
    </w:p>
    <w:p w14:paraId="40446D03" w14:textId="2BBDFE10" w:rsidR="002A0C5B" w:rsidRPr="00C7291C" w:rsidRDefault="00C7291C" w:rsidP="002A0C5B">
      <w:pPr>
        <w:pStyle w:val="NormalWeb"/>
        <w:spacing w:line="360" w:lineRule="auto"/>
        <w:jc w:val="both"/>
        <w:rPr>
          <w:rFonts w:ascii="Arial" w:hAnsi="Arial" w:cs="Arial"/>
          <w:color w:val="000000" w:themeColor="text1"/>
        </w:rPr>
      </w:pPr>
      <w:proofErr w:type="spellStart"/>
      <w:r w:rsidRPr="00C7291C">
        <w:rPr>
          <w:rFonts w:ascii="Arial" w:hAnsi="Arial" w:cs="Arial"/>
          <w:color w:val="000000"/>
        </w:rPr>
        <w:t>Snowling</w:t>
      </w:r>
      <w:proofErr w:type="spellEnd"/>
      <w:r w:rsidRPr="00C7291C">
        <w:rPr>
          <w:rFonts w:ascii="Arial" w:hAnsi="Arial" w:cs="Arial"/>
          <w:color w:val="000000"/>
        </w:rPr>
        <w:t>, M. J., Hulme, C., &amp; Nation, K. (Eds.). (2022).</w:t>
      </w:r>
      <w:r w:rsidRPr="00C7291C">
        <w:rPr>
          <w:rStyle w:val="apple-converted-space"/>
          <w:rFonts w:ascii="Arial" w:hAnsi="Arial" w:cs="Arial"/>
          <w:color w:val="000000"/>
        </w:rPr>
        <w:t> </w:t>
      </w:r>
      <w:r w:rsidRPr="00C7291C">
        <w:rPr>
          <w:rStyle w:val="inqyif"/>
          <w:rFonts w:ascii="Arial" w:hAnsi="Arial" w:cs="Arial"/>
          <w:i/>
          <w:iCs/>
          <w:color w:val="000000"/>
        </w:rPr>
        <w:t>The science of reading: A handbook</w:t>
      </w:r>
      <w:r w:rsidRPr="00C7291C">
        <w:rPr>
          <w:rStyle w:val="apple-converted-space"/>
          <w:rFonts w:ascii="Arial" w:hAnsi="Arial" w:cs="Arial"/>
          <w:color w:val="000000"/>
        </w:rPr>
        <w:t> </w:t>
      </w:r>
      <w:r w:rsidRPr="00C7291C">
        <w:rPr>
          <w:rStyle w:val="inqyif"/>
          <w:rFonts w:ascii="Arial" w:hAnsi="Arial" w:cs="Arial"/>
          <w:color w:val="000000"/>
        </w:rPr>
        <w:t>(2nd ed.). Wiley-Blackwell.</w:t>
      </w:r>
      <w:r w:rsidRPr="00C7291C">
        <w:rPr>
          <w:rStyle w:val="apple-converted-space"/>
          <w:rFonts w:ascii="Arial" w:hAnsi="Arial" w:cs="Arial"/>
          <w:color w:val="000000"/>
        </w:rPr>
        <w:t> </w:t>
      </w:r>
      <w:hyperlink r:id="rId34" w:history="1">
        <w:r w:rsidRPr="00C7291C">
          <w:rPr>
            <w:rStyle w:val="Hyperlink"/>
            <w:rFonts w:ascii="Arial" w:hAnsi="Arial" w:cs="Arial"/>
          </w:rPr>
          <w:t>https://psycnet.apa.org/record/2023-08297-000</w:t>
        </w:r>
      </w:hyperlink>
      <w:r w:rsidRPr="00C7291C">
        <w:rPr>
          <w:rStyle w:val="inqyif"/>
          <w:rFonts w:ascii="Arial" w:hAnsi="Arial" w:cs="Arial"/>
          <w:color w:val="000000"/>
        </w:rPr>
        <w:t xml:space="preserve"> </w:t>
      </w:r>
    </w:p>
    <w:p w14:paraId="34FE6157" w14:textId="47CFEEFA"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Van Steensel, R. (2006). Relations between socio-cultural factors, the home literacy environment and children's literacy development in the first years of primary education. </w:t>
      </w:r>
      <w:r w:rsidRPr="002A0C5B">
        <w:rPr>
          <w:rStyle w:val="Emphasis"/>
          <w:rFonts w:ascii="Arial" w:hAnsi="Arial" w:cs="Arial"/>
          <w:color w:val="000000" w:themeColor="text1"/>
        </w:rPr>
        <w:t>Journal of Research in Reading, 29</w:t>
      </w:r>
      <w:r w:rsidRPr="002A0C5B">
        <w:rPr>
          <w:rFonts w:ascii="Arial" w:hAnsi="Arial" w:cs="Arial"/>
          <w:color w:val="000000" w:themeColor="text1"/>
        </w:rPr>
        <w:t xml:space="preserve">(4), 367-382. </w:t>
      </w:r>
      <w:hyperlink r:id="rId35" w:history="1">
        <w:r w:rsidRPr="00C807ED">
          <w:rPr>
            <w:rStyle w:val="Hyperlink"/>
            <w:rFonts w:ascii="Arial" w:hAnsi="Arial" w:cs="Arial"/>
          </w:rPr>
          <w:t>https://doi.org/10.1111/j.1467-9817.2006.00301.x</w:t>
        </w:r>
      </w:hyperlink>
      <w:r>
        <w:rPr>
          <w:rFonts w:ascii="Arial" w:hAnsi="Arial" w:cs="Arial"/>
          <w:color w:val="000000" w:themeColor="text1"/>
        </w:rPr>
        <w:t xml:space="preserve"> </w:t>
      </w:r>
    </w:p>
    <w:p w14:paraId="1DE914D5" w14:textId="77777777"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lastRenderedPageBreak/>
        <w:t xml:space="preserve">Vincent, D., &amp; de la Mare, M. (2008). </w:t>
      </w:r>
      <w:r w:rsidRPr="002A0C5B">
        <w:rPr>
          <w:rStyle w:val="Emphasis"/>
          <w:rFonts w:ascii="Arial" w:hAnsi="Arial" w:cs="Arial"/>
          <w:color w:val="000000" w:themeColor="text1"/>
        </w:rPr>
        <w:t>Salford Sentence Reading Test: Revised edition manual</w:t>
      </w:r>
      <w:r w:rsidRPr="002A0C5B">
        <w:rPr>
          <w:rFonts w:ascii="Arial" w:hAnsi="Arial" w:cs="Arial"/>
          <w:color w:val="000000" w:themeColor="text1"/>
        </w:rPr>
        <w:t>. Hodder Education.</w:t>
      </w:r>
    </w:p>
    <w:p w14:paraId="11D0FB22" w14:textId="23AA4ECE"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Welsh Government. (2021). </w:t>
      </w:r>
      <w:r w:rsidRPr="002A0C5B">
        <w:rPr>
          <w:rStyle w:val="Emphasis"/>
          <w:rFonts w:ascii="Arial" w:hAnsi="Arial" w:cs="Arial"/>
          <w:color w:val="000000" w:themeColor="text1"/>
        </w:rPr>
        <w:t>Additional Learning Needs and Education Tribunal (Wales) Act 2018: Guidance for schools</w:t>
      </w:r>
      <w:r w:rsidRPr="002A0C5B">
        <w:rPr>
          <w:rFonts w:ascii="Arial" w:hAnsi="Arial" w:cs="Arial"/>
          <w:color w:val="000000" w:themeColor="text1"/>
        </w:rPr>
        <w:t>. Welsh Government.</w:t>
      </w:r>
      <w:r w:rsidR="00C7291C">
        <w:rPr>
          <w:rFonts w:ascii="Arial" w:hAnsi="Arial" w:cs="Arial"/>
          <w:color w:val="000000" w:themeColor="text1"/>
        </w:rPr>
        <w:t xml:space="preserve"> </w:t>
      </w:r>
      <w:hyperlink r:id="rId36" w:history="1">
        <w:r w:rsidR="00C7291C" w:rsidRPr="00C807ED">
          <w:rPr>
            <w:rStyle w:val="Hyperlink"/>
            <w:rFonts w:ascii="Arial" w:hAnsi="Arial" w:cs="Arial"/>
          </w:rPr>
          <w:t>https://www.gov.wales/additional-learning-needs-and-education-tribunal-wales-act-2018</w:t>
        </w:r>
      </w:hyperlink>
      <w:r w:rsidR="00C7291C">
        <w:rPr>
          <w:rFonts w:ascii="Arial" w:hAnsi="Arial" w:cs="Arial"/>
          <w:color w:val="000000" w:themeColor="text1"/>
        </w:rPr>
        <w:t xml:space="preserve"> </w:t>
      </w:r>
    </w:p>
    <w:p w14:paraId="193F1355" w14:textId="26274715" w:rsidR="002A0C5B" w:rsidRPr="00C7291C" w:rsidRDefault="00C7291C" w:rsidP="002A0C5B">
      <w:pPr>
        <w:pStyle w:val="NormalWeb"/>
        <w:spacing w:line="360" w:lineRule="auto"/>
        <w:jc w:val="both"/>
        <w:rPr>
          <w:rFonts w:ascii="Arial" w:hAnsi="Arial" w:cs="Arial"/>
          <w:color w:val="000000" w:themeColor="text1"/>
        </w:rPr>
      </w:pPr>
      <w:r w:rsidRPr="00C7291C">
        <w:rPr>
          <w:rFonts w:ascii="Arial" w:hAnsi="Arial" w:cs="Arial"/>
          <w:color w:val="000000"/>
        </w:rPr>
        <w:t>Welsh Government. (2023).</w:t>
      </w:r>
      <w:r w:rsidRPr="00C7291C">
        <w:rPr>
          <w:rStyle w:val="apple-converted-space"/>
          <w:rFonts w:ascii="Arial" w:hAnsi="Arial" w:cs="Arial"/>
          <w:color w:val="000000"/>
        </w:rPr>
        <w:t> </w:t>
      </w:r>
      <w:r w:rsidRPr="00C7291C">
        <w:rPr>
          <w:rStyle w:val="Emphasis"/>
          <w:rFonts w:ascii="Arial" w:hAnsi="Arial" w:cs="Arial"/>
          <w:color w:val="000000"/>
        </w:rPr>
        <w:t>PISA 2022 national report for Wales</w:t>
      </w:r>
      <w:r w:rsidRPr="00C7291C">
        <w:rPr>
          <w:rStyle w:val="inqyif"/>
          <w:rFonts w:ascii="Arial" w:hAnsi="Arial" w:cs="Arial"/>
          <w:color w:val="000000"/>
        </w:rPr>
        <w:t>. Welsh Government.</w:t>
      </w:r>
      <w:r w:rsidRPr="00C7291C">
        <w:rPr>
          <w:rStyle w:val="apple-converted-space"/>
          <w:rFonts w:ascii="Arial" w:hAnsi="Arial" w:cs="Arial"/>
          <w:color w:val="000000"/>
        </w:rPr>
        <w:t> </w:t>
      </w:r>
      <w:hyperlink r:id="rId37" w:history="1">
        <w:r w:rsidRPr="00C807ED">
          <w:rPr>
            <w:rStyle w:val="Hyperlink"/>
            <w:rFonts w:ascii="Arial" w:hAnsi="Arial" w:cs="Arial"/>
          </w:rPr>
          <w:t>https://www.gov.wales/achievement-15-year-olds-program-international-student-assessment-pisa-national-report-2022</w:t>
        </w:r>
      </w:hyperlink>
      <w:r>
        <w:rPr>
          <w:rStyle w:val="inqyif"/>
          <w:rFonts w:ascii="Arial" w:hAnsi="Arial" w:cs="Arial"/>
          <w:color w:val="000000"/>
        </w:rPr>
        <w:t xml:space="preserve"> </w:t>
      </w:r>
    </w:p>
    <w:p w14:paraId="23D55E66" w14:textId="41835A52" w:rsidR="002A0C5B" w:rsidRPr="002A0C5B" w:rsidRDefault="002A0C5B" w:rsidP="002A0C5B">
      <w:pPr>
        <w:pStyle w:val="NormalWeb"/>
        <w:spacing w:line="360" w:lineRule="auto"/>
        <w:jc w:val="both"/>
        <w:rPr>
          <w:rFonts w:ascii="Arial" w:hAnsi="Arial" w:cs="Arial"/>
          <w:color w:val="000000" w:themeColor="text1"/>
        </w:rPr>
      </w:pPr>
      <w:r w:rsidRPr="002A0C5B">
        <w:rPr>
          <w:rFonts w:ascii="Arial" w:hAnsi="Arial" w:cs="Arial"/>
          <w:color w:val="000000" w:themeColor="text1"/>
        </w:rPr>
        <w:t xml:space="preserve">Welsh Government. (2024a). </w:t>
      </w:r>
      <w:r w:rsidRPr="002A0C5B">
        <w:rPr>
          <w:rStyle w:val="Emphasis"/>
          <w:rFonts w:ascii="Arial" w:hAnsi="Arial" w:cs="Arial"/>
          <w:color w:val="000000" w:themeColor="text1"/>
        </w:rPr>
        <w:t>Education in Wales: Literacy, numeracy and assessment arrangements</w:t>
      </w:r>
      <w:r w:rsidRPr="002A0C5B">
        <w:rPr>
          <w:rFonts w:ascii="Arial" w:hAnsi="Arial" w:cs="Arial"/>
          <w:color w:val="000000" w:themeColor="text1"/>
        </w:rPr>
        <w:t>. Welsh Government.</w:t>
      </w:r>
      <w:r w:rsidR="00C7291C">
        <w:rPr>
          <w:rFonts w:ascii="Arial" w:hAnsi="Arial" w:cs="Arial"/>
          <w:color w:val="000000" w:themeColor="text1"/>
        </w:rPr>
        <w:t xml:space="preserve"> </w:t>
      </w:r>
      <w:hyperlink r:id="rId38" w:history="1">
        <w:r w:rsidR="00C7291C" w:rsidRPr="00C807ED">
          <w:rPr>
            <w:rStyle w:val="Hyperlink"/>
            <w:rFonts w:ascii="Arial" w:hAnsi="Arial" w:cs="Arial"/>
          </w:rPr>
          <w:t>https://hwb.gov.wales/curriculum-for-wales/reading-and-numeracy-assessments</w:t>
        </w:r>
      </w:hyperlink>
      <w:r w:rsidR="00C7291C">
        <w:rPr>
          <w:rFonts w:ascii="Arial" w:hAnsi="Arial" w:cs="Arial"/>
          <w:color w:val="000000" w:themeColor="text1"/>
        </w:rPr>
        <w:t xml:space="preserve"> </w:t>
      </w:r>
    </w:p>
    <w:p w14:paraId="4B934393" w14:textId="236576D0" w:rsidR="002A0C5B" w:rsidRDefault="002A0C5B" w:rsidP="002A0C5B">
      <w:pPr>
        <w:spacing w:line="300" w:lineRule="atLeast"/>
        <w:rPr>
          <w:rFonts w:ascii="Segoe UI" w:hAnsi="Segoe UI" w:cs="Segoe UI"/>
          <w:sz w:val="21"/>
          <w:szCs w:val="21"/>
        </w:rPr>
      </w:pPr>
    </w:p>
    <w:p w14:paraId="18C75E5F" w14:textId="68D28F9C" w:rsidR="00462784" w:rsidRPr="00462784" w:rsidRDefault="00462784" w:rsidP="00462784">
      <w:pPr>
        <w:spacing w:line="360" w:lineRule="auto"/>
        <w:jc w:val="both"/>
        <w:rPr>
          <w:rFonts w:ascii="Arial" w:hAnsi="Arial" w:cs="Arial"/>
        </w:rPr>
      </w:pPr>
    </w:p>
    <w:sectPr w:rsidR="00462784" w:rsidRPr="00462784" w:rsidSect="003D33A9">
      <w:footerReference w:type="even" r:id="rId39"/>
      <w:footerReference w:type="default" r:id="rId4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20DE9E4" w14:textId="77777777" w:rsidR="00D61C38" w:rsidRDefault="00D61C38" w:rsidP="003D33A9">
      <w:r>
        <w:separator/>
      </w:r>
    </w:p>
  </w:endnote>
  <w:endnote w:type="continuationSeparator" w:id="0">
    <w:p w14:paraId="25190DEE" w14:textId="77777777" w:rsidR="00D61C38" w:rsidRDefault="00D61C38" w:rsidP="003D33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933129032"/>
      <w:docPartObj>
        <w:docPartGallery w:val="Page Numbers (Bottom of Page)"/>
        <w:docPartUnique/>
      </w:docPartObj>
    </w:sdtPr>
    <w:sdtContent>
      <w:p w14:paraId="13BD8583" w14:textId="67D81271" w:rsidR="003D33A9" w:rsidRDefault="003D33A9" w:rsidP="00CB6C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F127FCC" w14:textId="77777777" w:rsidR="003D33A9" w:rsidRDefault="003D33A9" w:rsidP="003D33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23619177"/>
      <w:docPartObj>
        <w:docPartGallery w:val="Page Numbers (Bottom of Page)"/>
        <w:docPartUnique/>
      </w:docPartObj>
    </w:sdtPr>
    <w:sdtContent>
      <w:p w14:paraId="4D22A6CB" w14:textId="35592DA5" w:rsidR="003D33A9" w:rsidRDefault="003D33A9" w:rsidP="00CB6C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13D062B" w14:textId="77777777" w:rsidR="003D33A9" w:rsidRDefault="003D33A9" w:rsidP="003D33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52F8FA7" w14:textId="77777777" w:rsidR="00D61C38" w:rsidRDefault="00D61C38" w:rsidP="003D33A9">
      <w:r>
        <w:separator/>
      </w:r>
    </w:p>
  </w:footnote>
  <w:footnote w:type="continuationSeparator" w:id="0">
    <w:p w14:paraId="46DEF5F8" w14:textId="77777777" w:rsidR="00D61C38" w:rsidRDefault="00D61C38" w:rsidP="003D33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0DD2DFA"/>
    <w:multiLevelType w:val="multilevel"/>
    <w:tmpl w:val="F89E5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BC4572F"/>
    <w:multiLevelType w:val="multilevel"/>
    <w:tmpl w:val="DF740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5482187">
    <w:abstractNumId w:val="1"/>
  </w:num>
  <w:num w:numId="2" w16cid:durableId="109432452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4F6"/>
    <w:rsid w:val="00060975"/>
    <w:rsid w:val="000C6928"/>
    <w:rsid w:val="000C6C89"/>
    <w:rsid w:val="00191B84"/>
    <w:rsid w:val="001B74A3"/>
    <w:rsid w:val="001C7187"/>
    <w:rsid w:val="001D3267"/>
    <w:rsid w:val="001D59BB"/>
    <w:rsid w:val="001E071E"/>
    <w:rsid w:val="001F28DB"/>
    <w:rsid w:val="00237620"/>
    <w:rsid w:val="002A0C5B"/>
    <w:rsid w:val="00366D58"/>
    <w:rsid w:val="003B435C"/>
    <w:rsid w:val="003D33A9"/>
    <w:rsid w:val="003E12B5"/>
    <w:rsid w:val="004455BC"/>
    <w:rsid w:val="00462784"/>
    <w:rsid w:val="00477144"/>
    <w:rsid w:val="004E4484"/>
    <w:rsid w:val="00584C3D"/>
    <w:rsid w:val="00597624"/>
    <w:rsid w:val="005F5BB5"/>
    <w:rsid w:val="006405E7"/>
    <w:rsid w:val="006565E3"/>
    <w:rsid w:val="006863C9"/>
    <w:rsid w:val="006C4F9A"/>
    <w:rsid w:val="0071649C"/>
    <w:rsid w:val="00741885"/>
    <w:rsid w:val="0075291C"/>
    <w:rsid w:val="007910C6"/>
    <w:rsid w:val="007E642C"/>
    <w:rsid w:val="007F0FC0"/>
    <w:rsid w:val="0084687A"/>
    <w:rsid w:val="008F392C"/>
    <w:rsid w:val="008F4EFB"/>
    <w:rsid w:val="00907F5C"/>
    <w:rsid w:val="00981F6E"/>
    <w:rsid w:val="00983942"/>
    <w:rsid w:val="009A34F6"/>
    <w:rsid w:val="009B0D67"/>
    <w:rsid w:val="009E33B6"/>
    <w:rsid w:val="00AF3FBD"/>
    <w:rsid w:val="00B266AE"/>
    <w:rsid w:val="00C22E45"/>
    <w:rsid w:val="00C35723"/>
    <w:rsid w:val="00C42704"/>
    <w:rsid w:val="00C7291C"/>
    <w:rsid w:val="00C97FB9"/>
    <w:rsid w:val="00CD4560"/>
    <w:rsid w:val="00CE74E1"/>
    <w:rsid w:val="00D55D63"/>
    <w:rsid w:val="00D61C38"/>
    <w:rsid w:val="00D87F6E"/>
    <w:rsid w:val="00D97249"/>
    <w:rsid w:val="00DD1FE1"/>
    <w:rsid w:val="00E25716"/>
    <w:rsid w:val="00E25F85"/>
    <w:rsid w:val="00EB2B44"/>
    <w:rsid w:val="00F35E25"/>
    <w:rsid w:val="00F90377"/>
    <w:rsid w:val="00FD7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28E03"/>
  <w15:chartTrackingRefBased/>
  <w15:docId w15:val="{E1D98005-0C97-E244-BD5D-C84AACB07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42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A34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34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A34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34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34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34F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34F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34F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34F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4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34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A34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34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34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34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34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34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34F6"/>
    <w:rPr>
      <w:rFonts w:eastAsiaTheme="majorEastAsia" w:cstheme="majorBidi"/>
      <w:color w:val="272727" w:themeColor="text1" w:themeTint="D8"/>
    </w:rPr>
  </w:style>
  <w:style w:type="paragraph" w:styleId="Title">
    <w:name w:val="Title"/>
    <w:basedOn w:val="Normal"/>
    <w:next w:val="Normal"/>
    <w:link w:val="TitleChar"/>
    <w:uiPriority w:val="10"/>
    <w:qFormat/>
    <w:rsid w:val="009A34F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34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34F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34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34F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A34F6"/>
    <w:rPr>
      <w:i/>
      <w:iCs/>
      <w:color w:val="404040" w:themeColor="text1" w:themeTint="BF"/>
    </w:rPr>
  </w:style>
  <w:style w:type="paragraph" w:styleId="ListParagraph">
    <w:name w:val="List Paragraph"/>
    <w:basedOn w:val="Normal"/>
    <w:uiPriority w:val="34"/>
    <w:qFormat/>
    <w:rsid w:val="009A34F6"/>
    <w:pPr>
      <w:ind w:left="720"/>
      <w:contextualSpacing/>
    </w:pPr>
  </w:style>
  <w:style w:type="character" w:styleId="IntenseEmphasis">
    <w:name w:val="Intense Emphasis"/>
    <w:basedOn w:val="DefaultParagraphFont"/>
    <w:uiPriority w:val="21"/>
    <w:qFormat/>
    <w:rsid w:val="009A34F6"/>
    <w:rPr>
      <w:i/>
      <w:iCs/>
      <w:color w:val="0F4761" w:themeColor="accent1" w:themeShade="BF"/>
    </w:rPr>
  </w:style>
  <w:style w:type="paragraph" w:styleId="IntenseQuote">
    <w:name w:val="Intense Quote"/>
    <w:basedOn w:val="Normal"/>
    <w:next w:val="Normal"/>
    <w:link w:val="IntenseQuoteChar"/>
    <w:uiPriority w:val="30"/>
    <w:qFormat/>
    <w:rsid w:val="009A34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34F6"/>
    <w:rPr>
      <w:i/>
      <w:iCs/>
      <w:color w:val="0F4761" w:themeColor="accent1" w:themeShade="BF"/>
    </w:rPr>
  </w:style>
  <w:style w:type="character" w:styleId="IntenseReference">
    <w:name w:val="Intense Reference"/>
    <w:basedOn w:val="DefaultParagraphFont"/>
    <w:uiPriority w:val="32"/>
    <w:qFormat/>
    <w:rsid w:val="009A34F6"/>
    <w:rPr>
      <w:b/>
      <w:bCs/>
      <w:smallCaps/>
      <w:color w:val="0F4761" w:themeColor="accent1" w:themeShade="BF"/>
      <w:spacing w:val="5"/>
    </w:rPr>
  </w:style>
  <w:style w:type="paragraph" w:styleId="NormalWeb">
    <w:name w:val="Normal (Web)"/>
    <w:basedOn w:val="Normal"/>
    <w:uiPriority w:val="99"/>
    <w:unhideWhenUsed/>
    <w:rsid w:val="009A34F6"/>
    <w:pPr>
      <w:spacing w:before="100" w:beforeAutospacing="1" w:after="100" w:afterAutospacing="1"/>
    </w:pPr>
  </w:style>
  <w:style w:type="character" w:styleId="Strong">
    <w:name w:val="Strong"/>
    <w:basedOn w:val="DefaultParagraphFont"/>
    <w:uiPriority w:val="22"/>
    <w:qFormat/>
    <w:rsid w:val="009A34F6"/>
    <w:rPr>
      <w:b/>
      <w:bCs/>
    </w:rPr>
  </w:style>
  <w:style w:type="character" w:styleId="Emphasis">
    <w:name w:val="Emphasis"/>
    <w:basedOn w:val="DefaultParagraphFont"/>
    <w:uiPriority w:val="20"/>
    <w:qFormat/>
    <w:rsid w:val="009A34F6"/>
    <w:rPr>
      <w:i/>
      <w:iCs/>
    </w:rPr>
  </w:style>
  <w:style w:type="character" w:styleId="Hyperlink">
    <w:name w:val="Hyperlink"/>
    <w:basedOn w:val="DefaultParagraphFont"/>
    <w:uiPriority w:val="99"/>
    <w:unhideWhenUsed/>
    <w:rsid w:val="00462784"/>
    <w:rPr>
      <w:strike w:val="0"/>
      <w:dstrike w:val="0"/>
      <w:color w:val="464FEB"/>
      <w:u w:val="none"/>
      <w:effect w:val="none"/>
    </w:rPr>
  </w:style>
  <w:style w:type="table" w:styleId="TableGrid">
    <w:name w:val="Table Grid"/>
    <w:basedOn w:val="TableNormal"/>
    <w:uiPriority w:val="39"/>
    <w:rsid w:val="004627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A0C5B"/>
    <w:rPr>
      <w:color w:val="605E5C"/>
      <w:shd w:val="clear" w:color="auto" w:fill="E1DFDD"/>
    </w:rPr>
  </w:style>
  <w:style w:type="character" w:styleId="FollowedHyperlink">
    <w:name w:val="FollowedHyperlink"/>
    <w:basedOn w:val="DefaultParagraphFont"/>
    <w:uiPriority w:val="99"/>
    <w:semiHidden/>
    <w:unhideWhenUsed/>
    <w:rsid w:val="00C7291C"/>
    <w:rPr>
      <w:color w:val="96607D" w:themeColor="followedHyperlink"/>
      <w:u w:val="single"/>
    </w:rPr>
  </w:style>
  <w:style w:type="character" w:customStyle="1" w:styleId="apple-converted-space">
    <w:name w:val="apple-converted-space"/>
    <w:basedOn w:val="DefaultParagraphFont"/>
    <w:rsid w:val="00C7291C"/>
  </w:style>
  <w:style w:type="character" w:customStyle="1" w:styleId="inqyif">
    <w:name w:val="inqyif"/>
    <w:basedOn w:val="DefaultParagraphFont"/>
    <w:rsid w:val="00C7291C"/>
  </w:style>
  <w:style w:type="paragraph" w:styleId="Footer">
    <w:name w:val="footer"/>
    <w:basedOn w:val="Normal"/>
    <w:link w:val="FooterChar"/>
    <w:uiPriority w:val="99"/>
    <w:unhideWhenUsed/>
    <w:rsid w:val="003D33A9"/>
    <w:pPr>
      <w:tabs>
        <w:tab w:val="center" w:pos="4513"/>
        <w:tab w:val="right" w:pos="9026"/>
      </w:tabs>
    </w:pPr>
  </w:style>
  <w:style w:type="character" w:customStyle="1" w:styleId="FooterChar">
    <w:name w:val="Footer Char"/>
    <w:basedOn w:val="DefaultParagraphFont"/>
    <w:link w:val="Footer"/>
    <w:uiPriority w:val="99"/>
    <w:rsid w:val="003D33A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D33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hyperlink" Target="https://hwbwave15-my.sharepoint.com/personal/haggetts1_hwbcymru_net/_layouts/15/Doc.aspx?sourcedoc=%7BCE2E79C6-42F9-4F86-8365-EF29BAFE91D7%7D&amp;file=Roisin%20version%20again%20new.docx&amp;action=default&amp;mobileredirect=true" TargetMode="External"/><Relationship Id="rId26" Type="http://schemas.openxmlformats.org/officeDocument/2006/relationships/hyperlink" Target="https://doi.org/10.1002/wcs.1176" TargetMode="External"/><Relationship Id="rId39" Type="http://schemas.openxmlformats.org/officeDocument/2006/relationships/footer" Target="footer1.xml"/><Relationship Id="rId21" Type="http://schemas.openxmlformats.org/officeDocument/2006/relationships/hyperlink" Target="https://www.theschoolpsychologyservice.com/wp-content/uploads/2020/09/What-Works-for-Literacy-5th-Edition-2016.pdf" TargetMode="External"/><Relationship Id="rId34" Type="http://schemas.openxmlformats.org/officeDocument/2006/relationships/hyperlink" Target="https://psycnet.apa.org/record/2023-08297-000"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hwbwave15-my.sharepoint.com/personal/haggetts1_hwbcymru_net/_layouts/15/Doc.aspx?sourcedoc=%7B7884F2AC-E41B-4A92-B1F0-13A4AFD99B49%7D&amp;file=LEVEL%207%20ASSESSMENT%20SPECIFICATION.docx&amp;action=default&amp;mobileredirect=true" TargetMode="External"/><Relationship Id="rId20" Type="http://schemas.openxmlformats.org/officeDocument/2006/relationships/hyperlink" Target="https://archive.org/details/ecologyofhumande00urie/page/n5/mode/1up" TargetMode="External"/><Relationship Id="rId29" Type="http://schemas.openxmlformats.org/officeDocument/2006/relationships/hyperlink" Target="https://doi.org/10.1787/53f23881-en"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doi.org/10.4324/9781315456539" TargetMode="External"/><Relationship Id="rId32" Type="http://schemas.openxmlformats.org/officeDocument/2006/relationships/hyperlink" Target="https://www.pearsonassessments.com/campaign/interpretation-problems-of-age-and-grade-equivalents.html" TargetMode="External"/><Relationship Id="rId37" Type="http://schemas.openxmlformats.org/officeDocument/2006/relationships/hyperlink" Target="https://www.gov.wales/achievement-15-year-olds-program-international-student-assessment-pisa-national-report-2022"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hyperlink" Target="https://www.researchgate.net/publication/44824604_Research_Methods_in_Education" TargetMode="External"/><Relationship Id="rId28" Type="http://schemas.openxmlformats.org/officeDocument/2006/relationships/hyperlink" Target="https://catalog.boekman.nl/pub/P23-0239.pdf" TargetMode="External"/><Relationship Id="rId36" Type="http://schemas.openxmlformats.org/officeDocument/2006/relationships/hyperlink" Target="https://www.gov.wales/additional-learning-needs-and-education-tribunal-wales-act-2018" TargetMode="External"/><Relationship Id="rId10" Type="http://schemas.microsoft.com/office/2014/relationships/chartEx" Target="charts/chartEx1.xml"/><Relationship Id="rId19" Type="http://schemas.openxmlformats.org/officeDocument/2006/relationships/hyperlink" Target="https://eric.ed.gov/?id=EJ1174347" TargetMode="External"/><Relationship Id="rId31" Type="http://schemas.openxmlformats.org/officeDocument/2006/relationships/hyperlink" Target="https://doi.org/10.1787/9789264083943-en"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hart" Target="charts/chart3.xml"/><Relationship Id="rId22" Type="http://schemas.openxmlformats.org/officeDocument/2006/relationships/hyperlink" Target="https://nlt.hacdn.org/media/documents/Reading_trends_in_2019_-_Final.pdf" TargetMode="External"/><Relationship Id="rId27" Type="http://schemas.openxmlformats.org/officeDocument/2006/relationships/hyperlink" Target="https://estyn.gov.wales/app/uploads/2025/05/Improving-attendance-in-secondary-schools-an-update-on-progress-1.pdf" TargetMode="External"/><Relationship Id="rId30" Type="http://schemas.openxmlformats.org/officeDocument/2006/relationships/hyperlink" Target="https://www.oecd.org/content/dam/oecd/en/publications/reports/2023/12/pisa-2022-results-volume-i_76772a36/53f23881-en.pdf" TargetMode="External"/><Relationship Id="rId35" Type="http://schemas.openxmlformats.org/officeDocument/2006/relationships/hyperlink" Target="https://doi.org/10.1111/j.1467-9817.2006.00301.x"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hyperlink" Target="https://hwbwave15-my.sharepoint.com/personal/haggetts1_hwbcymru_net/_layouts/15/Doc.aspx?sourcedoc=%7BCE2E79C6-42F9-4F86-8365-EF29BAFE91D7%7D&amp;file=Roisin%20version%20again%20new.docx&amp;action=default&amp;mobileredirect=true" TargetMode="External"/><Relationship Id="rId25" Type="http://schemas.openxmlformats.org/officeDocument/2006/relationships/hyperlink" Target="https://books.google.co.uk/books?hl=en&amp;lr=&amp;id=335ZDwAAQBAJ&amp;oi=fnd&amp;pg=PT16&amp;dq=Creswell,+J.+W.,+%26+Creswell,+J.+D.+(2018).+Research+design:+Qualitative,+quantitative,+and+mixed+methods+approaches+(5th+ed.).+Sage.&amp;ots=YEAWILxqmJ&amp;sig=RZRLQh1CpGigsoxYAi_lH01fFwM" TargetMode="External"/><Relationship Id="rId33" Type="http://schemas.openxmlformats.org/officeDocument/2006/relationships/hyperlink" Target="https://doi.org/10.3102/00346543075003417" TargetMode="External"/><Relationship Id="rId38" Type="http://schemas.openxmlformats.org/officeDocument/2006/relationships/hyperlink" Target="https://hwb.gov.wales/curriculum-for-wales/reading-and-numeracy-assessment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sarahhaggett/Documents/New%20Excel%20document%20.xlsx" TargetMode="External"/><Relationship Id="rId2" Type="http://schemas.microsoft.com/office/2011/relationships/chartColorStyle" Target="colors2.xml"/><Relationship Id="rId1" Type="http://schemas.microsoft.com/office/2011/relationships/chartStyle" Target="style2.xml"/></Relationships>
</file>

<file path=word/charts/_rels/chart2.xml.rels><?xml version="1.0" encoding="UTF-8" standalone="yes"?>
<Relationships xmlns="http://schemas.openxmlformats.org/package/2006/relationships"><Relationship Id="rId3" Type="http://schemas.openxmlformats.org/officeDocument/2006/relationships/oleObject" Target="file:////Users/sarahhaggett/Documents/Year%206%20Pupils%20Salford%20Data.xlsx" TargetMode="External"/><Relationship Id="rId2" Type="http://schemas.microsoft.com/office/2011/relationships/chartColorStyle" Target="colors3.xml"/><Relationship Id="rId1" Type="http://schemas.microsoft.com/office/2011/relationships/chartStyle" Target="style3.xml"/></Relationships>
</file>

<file path=word/charts/_rels/chart3.xml.rels><?xml version="1.0" encoding="UTF-8" standalone="yes"?>
<Relationships xmlns="http://schemas.openxmlformats.org/package/2006/relationships"><Relationship Id="rId3" Type="http://schemas.openxmlformats.org/officeDocument/2006/relationships/oleObject" Target="file:////Users/sarahhaggett/Documents/New%20Excel%20document%20.xlsx" TargetMode="External"/><Relationship Id="rId2" Type="http://schemas.microsoft.com/office/2011/relationships/chartColorStyle" Target="colors4.xml"/><Relationship Id="rId1" Type="http://schemas.microsoft.com/office/2011/relationships/chartStyle" Target="style4.xml"/></Relationships>
</file>

<file path=word/charts/_rels/chart4.xml.rels><?xml version="1.0" encoding="UTF-8" standalone="yes"?>
<Relationships xmlns="http://schemas.openxmlformats.org/package/2006/relationships"><Relationship Id="rId3" Type="http://schemas.openxmlformats.org/officeDocument/2006/relationships/oleObject" Target="file:////Users/sarahhaggett/Documents/Year%206%20Pupils%20Salford%20Data%20ROISIN.xlsx" TargetMode="External"/><Relationship Id="rId2" Type="http://schemas.microsoft.com/office/2011/relationships/chartColorStyle" Target="colors5.xml"/><Relationship Id="rId1" Type="http://schemas.microsoft.com/office/2011/relationships/chartStyle" Target="style5.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Users/sarahhaggett/Documents/New%20Excel%20document%20.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Relationship</a:t>
            </a:r>
            <a:r>
              <a:rPr lang="en-US" baseline="0"/>
              <a:t> between Attendance and Reading-Age Progress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Attendance!$J$2</c:f>
              <c:strCache>
                <c:ptCount val="1"/>
                <c:pt idx="0">
                  <c:v>Progress in Months</c:v>
                </c:pt>
              </c:strCache>
            </c:strRef>
          </c:tx>
          <c:spPr>
            <a:ln w="381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Attendance!$I$3:$I$179</c:f>
              <c:numCache>
                <c:formatCode>0%</c:formatCode>
                <c:ptCount val="177"/>
                <c:pt idx="0">
                  <c:v>0.28000000000000003</c:v>
                </c:pt>
                <c:pt idx="1">
                  <c:v>0.52</c:v>
                </c:pt>
                <c:pt idx="2">
                  <c:v>0.91</c:v>
                </c:pt>
                <c:pt idx="3">
                  <c:v>0.68</c:v>
                </c:pt>
                <c:pt idx="4">
                  <c:v>0.98</c:v>
                </c:pt>
                <c:pt idx="5">
                  <c:v>0.96</c:v>
                </c:pt>
                <c:pt idx="6">
                  <c:v>0.54</c:v>
                </c:pt>
                <c:pt idx="7">
                  <c:v>0.95</c:v>
                </c:pt>
                <c:pt idx="8">
                  <c:v>0.67</c:v>
                </c:pt>
                <c:pt idx="9">
                  <c:v>0.97</c:v>
                </c:pt>
                <c:pt idx="10">
                  <c:v>0.89</c:v>
                </c:pt>
                <c:pt idx="11">
                  <c:v>0.89</c:v>
                </c:pt>
                <c:pt idx="12">
                  <c:v>0.91</c:v>
                </c:pt>
                <c:pt idx="13">
                  <c:v>0.89</c:v>
                </c:pt>
                <c:pt idx="14">
                  <c:v>0.95</c:v>
                </c:pt>
                <c:pt idx="15">
                  <c:v>0.97</c:v>
                </c:pt>
                <c:pt idx="16">
                  <c:v>0.86</c:v>
                </c:pt>
                <c:pt idx="17">
                  <c:v>0.84</c:v>
                </c:pt>
                <c:pt idx="18">
                  <c:v>0.88</c:v>
                </c:pt>
                <c:pt idx="19">
                  <c:v>0.91</c:v>
                </c:pt>
                <c:pt idx="20">
                  <c:v>0.94</c:v>
                </c:pt>
                <c:pt idx="21">
                  <c:v>0.91</c:v>
                </c:pt>
                <c:pt idx="22">
                  <c:v>0.94</c:v>
                </c:pt>
                <c:pt idx="23">
                  <c:v>0.87</c:v>
                </c:pt>
                <c:pt idx="24">
                  <c:v>0.95</c:v>
                </c:pt>
                <c:pt idx="25">
                  <c:v>0.97</c:v>
                </c:pt>
                <c:pt idx="26">
                  <c:v>0.96</c:v>
                </c:pt>
                <c:pt idx="27">
                  <c:v>0.88</c:v>
                </c:pt>
                <c:pt idx="28">
                  <c:v>0.93</c:v>
                </c:pt>
                <c:pt idx="29">
                  <c:v>0.89</c:v>
                </c:pt>
                <c:pt idx="30">
                  <c:v>0.93</c:v>
                </c:pt>
                <c:pt idx="31">
                  <c:v>0.89</c:v>
                </c:pt>
                <c:pt idx="32">
                  <c:v>0.91</c:v>
                </c:pt>
                <c:pt idx="33">
                  <c:v>0.88</c:v>
                </c:pt>
                <c:pt idx="34">
                  <c:v>0.91</c:v>
                </c:pt>
                <c:pt idx="35">
                  <c:v>0.94</c:v>
                </c:pt>
                <c:pt idx="36">
                  <c:v>0.86</c:v>
                </c:pt>
                <c:pt idx="37">
                  <c:v>0.89</c:v>
                </c:pt>
                <c:pt idx="38">
                  <c:v>0.88</c:v>
                </c:pt>
                <c:pt idx="39">
                  <c:v>0.92</c:v>
                </c:pt>
                <c:pt idx="40">
                  <c:v>0.95</c:v>
                </c:pt>
                <c:pt idx="41">
                  <c:v>0.78</c:v>
                </c:pt>
                <c:pt idx="42">
                  <c:v>0.77</c:v>
                </c:pt>
                <c:pt idx="43">
                  <c:v>0.86</c:v>
                </c:pt>
                <c:pt idx="44">
                  <c:v>0.78</c:v>
                </c:pt>
                <c:pt idx="45">
                  <c:v>0.56000000000000005</c:v>
                </c:pt>
                <c:pt idx="46">
                  <c:v>0.89</c:v>
                </c:pt>
                <c:pt idx="47">
                  <c:v>0.92</c:v>
                </c:pt>
                <c:pt idx="48">
                  <c:v>0.91</c:v>
                </c:pt>
                <c:pt idx="49">
                  <c:v>0.86</c:v>
                </c:pt>
                <c:pt idx="50">
                  <c:v>0.71</c:v>
                </c:pt>
                <c:pt idx="51">
                  <c:v>0.84</c:v>
                </c:pt>
                <c:pt idx="52">
                  <c:v>0.75</c:v>
                </c:pt>
                <c:pt idx="53">
                  <c:v>0.98</c:v>
                </c:pt>
                <c:pt idx="54">
                  <c:v>0.78</c:v>
                </c:pt>
                <c:pt idx="55">
                  <c:v>0.88</c:v>
                </c:pt>
                <c:pt idx="56">
                  <c:v>0.91</c:v>
                </c:pt>
                <c:pt idx="57">
                  <c:v>0.64</c:v>
                </c:pt>
                <c:pt idx="58">
                  <c:v>0.9</c:v>
                </c:pt>
                <c:pt idx="59">
                  <c:v>0.88</c:v>
                </c:pt>
                <c:pt idx="60">
                  <c:v>0.76</c:v>
                </c:pt>
                <c:pt idx="61">
                  <c:v>0.62</c:v>
                </c:pt>
                <c:pt idx="62">
                  <c:v>0.86</c:v>
                </c:pt>
                <c:pt idx="63">
                  <c:v>0.88</c:v>
                </c:pt>
                <c:pt idx="64">
                  <c:v>0.87</c:v>
                </c:pt>
                <c:pt idx="65">
                  <c:v>0.62</c:v>
                </c:pt>
                <c:pt idx="66">
                  <c:v>0.91</c:v>
                </c:pt>
                <c:pt idx="67">
                  <c:v>0.93</c:v>
                </c:pt>
                <c:pt idx="68">
                  <c:v>0.65</c:v>
                </c:pt>
                <c:pt idx="69">
                  <c:v>0.45</c:v>
                </c:pt>
                <c:pt idx="70">
                  <c:v>0.88</c:v>
                </c:pt>
                <c:pt idx="71">
                  <c:v>0.76</c:v>
                </c:pt>
                <c:pt idx="72">
                  <c:v>0.88</c:v>
                </c:pt>
                <c:pt idx="73">
                  <c:v>0.9</c:v>
                </c:pt>
                <c:pt idx="74">
                  <c:v>0.9</c:v>
                </c:pt>
                <c:pt idx="75">
                  <c:v>0.99</c:v>
                </c:pt>
                <c:pt idx="76">
                  <c:v>0.43</c:v>
                </c:pt>
                <c:pt idx="77">
                  <c:v>0.91</c:v>
                </c:pt>
                <c:pt idx="78">
                  <c:v>0.85</c:v>
                </c:pt>
                <c:pt idx="79">
                  <c:v>0.89</c:v>
                </c:pt>
                <c:pt idx="80">
                  <c:v>0.94</c:v>
                </c:pt>
                <c:pt idx="81">
                  <c:v>0.78</c:v>
                </c:pt>
                <c:pt idx="82">
                  <c:v>0.96</c:v>
                </c:pt>
                <c:pt idx="83">
                  <c:v>0.9</c:v>
                </c:pt>
                <c:pt idx="84">
                  <c:v>0.89</c:v>
                </c:pt>
                <c:pt idx="85">
                  <c:v>0.86</c:v>
                </c:pt>
                <c:pt idx="86">
                  <c:v>0.9</c:v>
                </c:pt>
                <c:pt idx="87">
                  <c:v>0.96</c:v>
                </c:pt>
                <c:pt idx="88">
                  <c:v>0.97</c:v>
                </c:pt>
                <c:pt idx="89">
                  <c:v>0.94</c:v>
                </c:pt>
                <c:pt idx="90">
                  <c:v>0.91</c:v>
                </c:pt>
                <c:pt idx="91">
                  <c:v>0.89</c:v>
                </c:pt>
                <c:pt idx="92">
                  <c:v>0.96</c:v>
                </c:pt>
                <c:pt idx="93">
                  <c:v>0.97</c:v>
                </c:pt>
                <c:pt idx="94">
                  <c:v>0.75</c:v>
                </c:pt>
                <c:pt idx="95">
                  <c:v>0.81</c:v>
                </c:pt>
                <c:pt idx="96">
                  <c:v>0.56000000000000005</c:v>
                </c:pt>
                <c:pt idx="97">
                  <c:v>0.97</c:v>
                </c:pt>
                <c:pt idx="98">
                  <c:v>0.89</c:v>
                </c:pt>
                <c:pt idx="99">
                  <c:v>0.91</c:v>
                </c:pt>
                <c:pt idx="100">
                  <c:v>0.77</c:v>
                </c:pt>
                <c:pt idx="101">
                  <c:v>0.8</c:v>
                </c:pt>
                <c:pt idx="102">
                  <c:v>0.92</c:v>
                </c:pt>
                <c:pt idx="103">
                  <c:v>0.89</c:v>
                </c:pt>
                <c:pt idx="104">
                  <c:v>0.91</c:v>
                </c:pt>
                <c:pt idx="105">
                  <c:v>0.93</c:v>
                </c:pt>
                <c:pt idx="106">
                  <c:v>0.96</c:v>
                </c:pt>
                <c:pt idx="107">
                  <c:v>0.96</c:v>
                </c:pt>
                <c:pt idx="108">
                  <c:v>0.93</c:v>
                </c:pt>
                <c:pt idx="109">
                  <c:v>0.96</c:v>
                </c:pt>
                <c:pt idx="110">
                  <c:v>0.83</c:v>
                </c:pt>
                <c:pt idx="111">
                  <c:v>0.91</c:v>
                </c:pt>
                <c:pt idx="112">
                  <c:v>0.88</c:v>
                </c:pt>
                <c:pt idx="113">
                  <c:v>0.96</c:v>
                </c:pt>
                <c:pt idx="114">
                  <c:v>0.93</c:v>
                </c:pt>
                <c:pt idx="115">
                  <c:v>0.78</c:v>
                </c:pt>
                <c:pt idx="116">
                  <c:v>0.84</c:v>
                </c:pt>
                <c:pt idx="117">
                  <c:v>0.43</c:v>
                </c:pt>
                <c:pt idx="118">
                  <c:v>0.67</c:v>
                </c:pt>
                <c:pt idx="119">
                  <c:v>0.72</c:v>
                </c:pt>
                <c:pt idx="120">
                  <c:v>0.86</c:v>
                </c:pt>
                <c:pt idx="121">
                  <c:v>0.72</c:v>
                </c:pt>
                <c:pt idx="122">
                  <c:v>0.92</c:v>
                </c:pt>
                <c:pt idx="123">
                  <c:v>0.9</c:v>
                </c:pt>
                <c:pt idx="124">
                  <c:v>0.9</c:v>
                </c:pt>
                <c:pt idx="125">
                  <c:v>0.93</c:v>
                </c:pt>
                <c:pt idx="126">
                  <c:v>0.96</c:v>
                </c:pt>
                <c:pt idx="127">
                  <c:v>0.89</c:v>
                </c:pt>
                <c:pt idx="128">
                  <c:v>0.76</c:v>
                </c:pt>
                <c:pt idx="129">
                  <c:v>0.74</c:v>
                </c:pt>
                <c:pt idx="130">
                  <c:v>0.88</c:v>
                </c:pt>
                <c:pt idx="131">
                  <c:v>0.78</c:v>
                </c:pt>
                <c:pt idx="132">
                  <c:v>0.72</c:v>
                </c:pt>
                <c:pt idx="133">
                  <c:v>0.98</c:v>
                </c:pt>
                <c:pt idx="134">
                  <c:v>0.96</c:v>
                </c:pt>
                <c:pt idx="135">
                  <c:v>0.87</c:v>
                </c:pt>
                <c:pt idx="136">
                  <c:v>0.91</c:v>
                </c:pt>
                <c:pt idx="137">
                  <c:v>0.74</c:v>
                </c:pt>
                <c:pt idx="138">
                  <c:v>0.62</c:v>
                </c:pt>
                <c:pt idx="139">
                  <c:v>0.57999999999999996</c:v>
                </c:pt>
                <c:pt idx="140">
                  <c:v>0.9</c:v>
                </c:pt>
                <c:pt idx="141">
                  <c:v>0.96</c:v>
                </c:pt>
                <c:pt idx="142">
                  <c:v>0.94</c:v>
                </c:pt>
                <c:pt idx="143">
                  <c:v>0.86</c:v>
                </c:pt>
                <c:pt idx="144">
                  <c:v>0.72</c:v>
                </c:pt>
                <c:pt idx="145">
                  <c:v>0.89</c:v>
                </c:pt>
                <c:pt idx="146">
                  <c:v>0.78</c:v>
                </c:pt>
                <c:pt idx="147">
                  <c:v>0.92</c:v>
                </c:pt>
                <c:pt idx="148">
                  <c:v>0.93</c:v>
                </c:pt>
                <c:pt idx="149">
                  <c:v>0.89</c:v>
                </c:pt>
                <c:pt idx="150">
                  <c:v>0.91</c:v>
                </c:pt>
                <c:pt idx="151">
                  <c:v>0.98</c:v>
                </c:pt>
                <c:pt idx="152">
                  <c:v>0.87</c:v>
                </c:pt>
                <c:pt idx="153">
                  <c:v>0.88</c:v>
                </c:pt>
                <c:pt idx="154">
                  <c:v>0.91</c:v>
                </c:pt>
                <c:pt idx="155">
                  <c:v>0.9</c:v>
                </c:pt>
                <c:pt idx="156">
                  <c:v>0.94</c:v>
                </c:pt>
                <c:pt idx="157">
                  <c:v>0.54</c:v>
                </c:pt>
                <c:pt idx="158">
                  <c:v>0.92</c:v>
                </c:pt>
                <c:pt idx="159">
                  <c:v>0.91</c:v>
                </c:pt>
                <c:pt idx="160">
                  <c:v>0.89</c:v>
                </c:pt>
                <c:pt idx="161">
                  <c:v>0.78</c:v>
                </c:pt>
                <c:pt idx="162">
                  <c:v>0.94</c:v>
                </c:pt>
                <c:pt idx="163">
                  <c:v>0.95</c:v>
                </c:pt>
                <c:pt idx="164">
                  <c:v>0.89</c:v>
                </c:pt>
                <c:pt idx="165">
                  <c:v>0.76</c:v>
                </c:pt>
                <c:pt idx="166">
                  <c:v>0.88</c:v>
                </c:pt>
                <c:pt idx="167">
                  <c:v>0.93</c:v>
                </c:pt>
                <c:pt idx="168">
                  <c:v>0.91</c:v>
                </c:pt>
                <c:pt idx="169">
                  <c:v>0.89</c:v>
                </c:pt>
                <c:pt idx="170">
                  <c:v>0.94</c:v>
                </c:pt>
                <c:pt idx="171">
                  <c:v>0.86</c:v>
                </c:pt>
                <c:pt idx="172">
                  <c:v>0.81</c:v>
                </c:pt>
                <c:pt idx="173">
                  <c:v>0.86</c:v>
                </c:pt>
                <c:pt idx="174">
                  <c:v>0.81</c:v>
                </c:pt>
                <c:pt idx="175">
                  <c:v>0.92</c:v>
                </c:pt>
                <c:pt idx="176">
                  <c:v>0.74</c:v>
                </c:pt>
              </c:numCache>
            </c:numRef>
          </c:xVal>
          <c:yVal>
            <c:numRef>
              <c:f>Attendance!$J$3:$J$179</c:f>
              <c:numCache>
                <c:formatCode>General</c:formatCode>
                <c:ptCount val="177"/>
                <c:pt idx="0">
                  <c:v>8</c:v>
                </c:pt>
                <c:pt idx="1">
                  <c:v>3</c:v>
                </c:pt>
                <c:pt idx="2">
                  <c:v>8</c:v>
                </c:pt>
                <c:pt idx="3">
                  <c:v>7</c:v>
                </c:pt>
                <c:pt idx="4">
                  <c:v>8</c:v>
                </c:pt>
                <c:pt idx="5">
                  <c:v>7</c:v>
                </c:pt>
                <c:pt idx="6">
                  <c:v>6</c:v>
                </c:pt>
                <c:pt idx="7">
                  <c:v>2</c:v>
                </c:pt>
                <c:pt idx="8">
                  <c:v>6</c:v>
                </c:pt>
                <c:pt idx="9">
                  <c:v>6</c:v>
                </c:pt>
                <c:pt idx="10">
                  <c:v>6</c:v>
                </c:pt>
                <c:pt idx="11">
                  <c:v>1</c:v>
                </c:pt>
                <c:pt idx="12">
                  <c:v>5</c:v>
                </c:pt>
                <c:pt idx="13">
                  <c:v>6</c:v>
                </c:pt>
                <c:pt idx="14">
                  <c:v>8</c:v>
                </c:pt>
                <c:pt idx="15">
                  <c:v>6</c:v>
                </c:pt>
                <c:pt idx="16">
                  <c:v>4</c:v>
                </c:pt>
                <c:pt idx="17">
                  <c:v>9</c:v>
                </c:pt>
                <c:pt idx="18">
                  <c:v>3</c:v>
                </c:pt>
                <c:pt idx="19">
                  <c:v>6</c:v>
                </c:pt>
                <c:pt idx="20">
                  <c:v>1</c:v>
                </c:pt>
                <c:pt idx="21">
                  <c:v>7</c:v>
                </c:pt>
                <c:pt idx="22">
                  <c:v>3</c:v>
                </c:pt>
                <c:pt idx="23">
                  <c:v>8</c:v>
                </c:pt>
                <c:pt idx="24">
                  <c:v>1</c:v>
                </c:pt>
                <c:pt idx="25">
                  <c:v>0</c:v>
                </c:pt>
                <c:pt idx="26">
                  <c:v>6</c:v>
                </c:pt>
                <c:pt idx="27">
                  <c:v>5</c:v>
                </c:pt>
                <c:pt idx="28">
                  <c:v>2</c:v>
                </c:pt>
                <c:pt idx="29">
                  <c:v>4</c:v>
                </c:pt>
                <c:pt idx="30">
                  <c:v>4</c:v>
                </c:pt>
                <c:pt idx="31">
                  <c:v>0</c:v>
                </c:pt>
                <c:pt idx="32">
                  <c:v>2</c:v>
                </c:pt>
                <c:pt idx="33">
                  <c:v>5</c:v>
                </c:pt>
                <c:pt idx="34">
                  <c:v>6</c:v>
                </c:pt>
                <c:pt idx="35">
                  <c:v>1</c:v>
                </c:pt>
                <c:pt idx="36">
                  <c:v>5</c:v>
                </c:pt>
                <c:pt idx="37">
                  <c:v>1</c:v>
                </c:pt>
                <c:pt idx="38">
                  <c:v>7</c:v>
                </c:pt>
                <c:pt idx="39">
                  <c:v>7</c:v>
                </c:pt>
                <c:pt idx="40">
                  <c:v>7</c:v>
                </c:pt>
                <c:pt idx="41">
                  <c:v>7</c:v>
                </c:pt>
                <c:pt idx="42">
                  <c:v>7</c:v>
                </c:pt>
                <c:pt idx="43">
                  <c:v>1</c:v>
                </c:pt>
                <c:pt idx="44">
                  <c:v>0</c:v>
                </c:pt>
                <c:pt idx="45">
                  <c:v>4</c:v>
                </c:pt>
                <c:pt idx="46">
                  <c:v>1</c:v>
                </c:pt>
                <c:pt idx="47">
                  <c:v>5</c:v>
                </c:pt>
                <c:pt idx="48">
                  <c:v>5</c:v>
                </c:pt>
                <c:pt idx="49">
                  <c:v>5</c:v>
                </c:pt>
                <c:pt idx="50">
                  <c:v>4</c:v>
                </c:pt>
                <c:pt idx="51">
                  <c:v>3</c:v>
                </c:pt>
                <c:pt idx="52">
                  <c:v>5</c:v>
                </c:pt>
                <c:pt idx="53">
                  <c:v>1</c:v>
                </c:pt>
                <c:pt idx="54">
                  <c:v>4</c:v>
                </c:pt>
                <c:pt idx="55">
                  <c:v>6</c:v>
                </c:pt>
                <c:pt idx="56">
                  <c:v>6</c:v>
                </c:pt>
                <c:pt idx="57">
                  <c:v>3</c:v>
                </c:pt>
                <c:pt idx="58">
                  <c:v>5</c:v>
                </c:pt>
                <c:pt idx="59">
                  <c:v>7</c:v>
                </c:pt>
                <c:pt idx="60">
                  <c:v>2</c:v>
                </c:pt>
                <c:pt idx="61">
                  <c:v>5</c:v>
                </c:pt>
                <c:pt idx="62">
                  <c:v>-2</c:v>
                </c:pt>
                <c:pt idx="63">
                  <c:v>1</c:v>
                </c:pt>
                <c:pt idx="64">
                  <c:v>5</c:v>
                </c:pt>
                <c:pt idx="65">
                  <c:v>6</c:v>
                </c:pt>
                <c:pt idx="66">
                  <c:v>4</c:v>
                </c:pt>
                <c:pt idx="67">
                  <c:v>3</c:v>
                </c:pt>
                <c:pt idx="68">
                  <c:v>5</c:v>
                </c:pt>
                <c:pt idx="69">
                  <c:v>4</c:v>
                </c:pt>
                <c:pt idx="70">
                  <c:v>7</c:v>
                </c:pt>
                <c:pt idx="71">
                  <c:v>4</c:v>
                </c:pt>
                <c:pt idx="72">
                  <c:v>-2</c:v>
                </c:pt>
                <c:pt idx="73">
                  <c:v>6</c:v>
                </c:pt>
                <c:pt idx="74">
                  <c:v>5</c:v>
                </c:pt>
                <c:pt idx="75">
                  <c:v>5</c:v>
                </c:pt>
                <c:pt idx="76">
                  <c:v>7</c:v>
                </c:pt>
                <c:pt idx="77">
                  <c:v>0</c:v>
                </c:pt>
                <c:pt idx="78">
                  <c:v>4</c:v>
                </c:pt>
                <c:pt idx="79">
                  <c:v>5</c:v>
                </c:pt>
                <c:pt idx="80">
                  <c:v>4</c:v>
                </c:pt>
                <c:pt idx="81">
                  <c:v>6</c:v>
                </c:pt>
                <c:pt idx="82">
                  <c:v>0</c:v>
                </c:pt>
                <c:pt idx="83">
                  <c:v>6</c:v>
                </c:pt>
                <c:pt idx="84">
                  <c:v>7</c:v>
                </c:pt>
                <c:pt idx="85">
                  <c:v>7</c:v>
                </c:pt>
                <c:pt idx="86">
                  <c:v>1</c:v>
                </c:pt>
                <c:pt idx="87">
                  <c:v>4</c:v>
                </c:pt>
                <c:pt idx="88">
                  <c:v>-2</c:v>
                </c:pt>
                <c:pt idx="89">
                  <c:v>-4</c:v>
                </c:pt>
                <c:pt idx="90">
                  <c:v>0</c:v>
                </c:pt>
                <c:pt idx="91">
                  <c:v>-3</c:v>
                </c:pt>
                <c:pt idx="92">
                  <c:v>1</c:v>
                </c:pt>
                <c:pt idx="93">
                  <c:v>0</c:v>
                </c:pt>
                <c:pt idx="94">
                  <c:v>5</c:v>
                </c:pt>
                <c:pt idx="95">
                  <c:v>4</c:v>
                </c:pt>
                <c:pt idx="96">
                  <c:v>6</c:v>
                </c:pt>
                <c:pt idx="97">
                  <c:v>1</c:v>
                </c:pt>
                <c:pt idx="98">
                  <c:v>7</c:v>
                </c:pt>
                <c:pt idx="99">
                  <c:v>6</c:v>
                </c:pt>
                <c:pt idx="100">
                  <c:v>7</c:v>
                </c:pt>
                <c:pt idx="101">
                  <c:v>3</c:v>
                </c:pt>
                <c:pt idx="102">
                  <c:v>6</c:v>
                </c:pt>
                <c:pt idx="103">
                  <c:v>1</c:v>
                </c:pt>
                <c:pt idx="104">
                  <c:v>4</c:v>
                </c:pt>
                <c:pt idx="105">
                  <c:v>6</c:v>
                </c:pt>
                <c:pt idx="106">
                  <c:v>5</c:v>
                </c:pt>
                <c:pt idx="107">
                  <c:v>4</c:v>
                </c:pt>
                <c:pt idx="108">
                  <c:v>1</c:v>
                </c:pt>
                <c:pt idx="109">
                  <c:v>7</c:v>
                </c:pt>
                <c:pt idx="110">
                  <c:v>4</c:v>
                </c:pt>
                <c:pt idx="111">
                  <c:v>-2</c:v>
                </c:pt>
                <c:pt idx="112">
                  <c:v>1</c:v>
                </c:pt>
                <c:pt idx="113">
                  <c:v>7</c:v>
                </c:pt>
                <c:pt idx="114">
                  <c:v>1</c:v>
                </c:pt>
                <c:pt idx="115">
                  <c:v>6</c:v>
                </c:pt>
                <c:pt idx="116">
                  <c:v>7</c:v>
                </c:pt>
                <c:pt idx="117">
                  <c:v>9</c:v>
                </c:pt>
                <c:pt idx="118">
                  <c:v>5</c:v>
                </c:pt>
                <c:pt idx="119">
                  <c:v>8</c:v>
                </c:pt>
                <c:pt idx="120">
                  <c:v>5</c:v>
                </c:pt>
                <c:pt idx="121">
                  <c:v>6</c:v>
                </c:pt>
                <c:pt idx="122">
                  <c:v>7</c:v>
                </c:pt>
                <c:pt idx="123">
                  <c:v>5</c:v>
                </c:pt>
                <c:pt idx="124">
                  <c:v>7</c:v>
                </c:pt>
                <c:pt idx="125">
                  <c:v>7</c:v>
                </c:pt>
                <c:pt idx="126">
                  <c:v>6</c:v>
                </c:pt>
                <c:pt idx="127">
                  <c:v>5</c:v>
                </c:pt>
                <c:pt idx="128">
                  <c:v>7</c:v>
                </c:pt>
                <c:pt idx="129">
                  <c:v>-5</c:v>
                </c:pt>
                <c:pt idx="130">
                  <c:v>7</c:v>
                </c:pt>
                <c:pt idx="131">
                  <c:v>-3</c:v>
                </c:pt>
                <c:pt idx="132">
                  <c:v>6</c:v>
                </c:pt>
                <c:pt idx="133">
                  <c:v>6</c:v>
                </c:pt>
                <c:pt idx="134">
                  <c:v>9</c:v>
                </c:pt>
                <c:pt idx="135">
                  <c:v>-4</c:v>
                </c:pt>
                <c:pt idx="136">
                  <c:v>5</c:v>
                </c:pt>
                <c:pt idx="137">
                  <c:v>7</c:v>
                </c:pt>
                <c:pt idx="138">
                  <c:v>6</c:v>
                </c:pt>
                <c:pt idx="139">
                  <c:v>7</c:v>
                </c:pt>
                <c:pt idx="140">
                  <c:v>7</c:v>
                </c:pt>
                <c:pt idx="141">
                  <c:v>6</c:v>
                </c:pt>
                <c:pt idx="142">
                  <c:v>4</c:v>
                </c:pt>
                <c:pt idx="143">
                  <c:v>5</c:v>
                </c:pt>
                <c:pt idx="144">
                  <c:v>7</c:v>
                </c:pt>
                <c:pt idx="145">
                  <c:v>5</c:v>
                </c:pt>
                <c:pt idx="146">
                  <c:v>5</c:v>
                </c:pt>
                <c:pt idx="147">
                  <c:v>6</c:v>
                </c:pt>
                <c:pt idx="148">
                  <c:v>6</c:v>
                </c:pt>
                <c:pt idx="149">
                  <c:v>7</c:v>
                </c:pt>
                <c:pt idx="150">
                  <c:v>6</c:v>
                </c:pt>
                <c:pt idx="151">
                  <c:v>8</c:v>
                </c:pt>
                <c:pt idx="152">
                  <c:v>4</c:v>
                </c:pt>
                <c:pt idx="153">
                  <c:v>7</c:v>
                </c:pt>
                <c:pt idx="154">
                  <c:v>6</c:v>
                </c:pt>
                <c:pt idx="155">
                  <c:v>4</c:v>
                </c:pt>
                <c:pt idx="156">
                  <c:v>5</c:v>
                </c:pt>
                <c:pt idx="157">
                  <c:v>5</c:v>
                </c:pt>
                <c:pt idx="158">
                  <c:v>5</c:v>
                </c:pt>
                <c:pt idx="159">
                  <c:v>-3</c:v>
                </c:pt>
                <c:pt idx="160">
                  <c:v>7</c:v>
                </c:pt>
                <c:pt idx="161">
                  <c:v>7</c:v>
                </c:pt>
                <c:pt idx="162">
                  <c:v>6</c:v>
                </c:pt>
                <c:pt idx="163">
                  <c:v>4</c:v>
                </c:pt>
                <c:pt idx="164">
                  <c:v>5</c:v>
                </c:pt>
                <c:pt idx="165">
                  <c:v>7</c:v>
                </c:pt>
                <c:pt idx="166">
                  <c:v>6</c:v>
                </c:pt>
                <c:pt idx="167">
                  <c:v>6</c:v>
                </c:pt>
                <c:pt idx="168">
                  <c:v>4</c:v>
                </c:pt>
                <c:pt idx="169">
                  <c:v>-2</c:v>
                </c:pt>
                <c:pt idx="170">
                  <c:v>5</c:v>
                </c:pt>
                <c:pt idx="171">
                  <c:v>6</c:v>
                </c:pt>
                <c:pt idx="172">
                  <c:v>8</c:v>
                </c:pt>
                <c:pt idx="173">
                  <c:v>6</c:v>
                </c:pt>
                <c:pt idx="174">
                  <c:v>1</c:v>
                </c:pt>
                <c:pt idx="175">
                  <c:v>-3</c:v>
                </c:pt>
                <c:pt idx="176">
                  <c:v>5</c:v>
                </c:pt>
              </c:numCache>
            </c:numRef>
          </c:yVal>
          <c:smooth val="0"/>
          <c:extLst>
            <c:ext xmlns:c16="http://schemas.microsoft.com/office/drawing/2014/chart" uri="{C3380CC4-5D6E-409C-BE32-E72D297353CC}">
              <c16:uniqueId val="{00000001-966A-2440-B149-B27BAB59CEC8}"/>
            </c:ext>
          </c:extLst>
        </c:ser>
        <c:dLbls>
          <c:showLegendKey val="0"/>
          <c:showVal val="0"/>
          <c:showCatName val="0"/>
          <c:showSerName val="0"/>
          <c:showPercent val="0"/>
          <c:showBubbleSize val="0"/>
        </c:dLbls>
        <c:axId val="1086797824"/>
        <c:axId val="1086790656"/>
      </c:scatterChart>
      <c:valAx>
        <c:axId val="108679782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6790656"/>
        <c:crosses val="autoZero"/>
        <c:crossBetween val="midCat"/>
      </c:valAx>
      <c:valAx>
        <c:axId val="10867906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6797824"/>
        <c:crossesAt val="0"/>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200">
                <a:latin typeface="Arial" panose="020B0604020202020204" pitchFamily="34" charset="0"/>
                <a:cs typeface="Arial" panose="020B0604020202020204" pitchFamily="34" charset="0"/>
              </a:rPr>
              <a:t>Mean progress of Non e-FSM Pupils</a:t>
            </a:r>
            <a:r>
              <a:rPr lang="en-GB" sz="1200" baseline="0">
                <a:latin typeface="Arial" panose="020B0604020202020204" pitchFamily="34" charset="0"/>
                <a:cs typeface="Arial" panose="020B0604020202020204" pitchFamily="34" charset="0"/>
              </a:rPr>
              <a:t> V's. </a:t>
            </a:r>
            <a:r>
              <a:rPr lang="en-GB" sz="1200">
                <a:latin typeface="Arial" panose="020B0604020202020204" pitchFamily="34" charset="0"/>
                <a:cs typeface="Arial" panose="020B0604020202020204" pitchFamily="34" charset="0"/>
              </a:rPr>
              <a:t>e-FSM Pupils</a:t>
            </a:r>
            <a:r>
              <a:rPr lang="en-GB" sz="1200" baseline="0">
                <a:latin typeface="Arial" panose="020B0604020202020204" pitchFamily="34" charset="0"/>
                <a:cs typeface="Arial" panose="020B0604020202020204" pitchFamily="34" charset="0"/>
              </a:rPr>
              <a:t> </a:t>
            </a:r>
            <a:endParaRPr lang="en-GB" sz="1200">
              <a:latin typeface="Arial" panose="020B0604020202020204" pitchFamily="34" charset="0"/>
              <a:cs typeface="Arial" panose="020B0604020202020204" pitchFamily="34" charset="0"/>
            </a:endParaRPr>
          </a:p>
        </c:rich>
      </c:tx>
      <c:layout>
        <c:manualLayout>
          <c:xMode val="edge"/>
          <c:yMode val="edge"/>
          <c:x val="0.14302895322939865"/>
          <c:y val="3.2407407407407406E-2"/>
        </c:manualLayout>
      </c:layout>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GB"/>
        </a:p>
      </c:txPr>
    </c:title>
    <c:autoTitleDeleted val="0"/>
    <c:plotArea>
      <c:layout/>
      <c:barChart>
        <c:barDir val="col"/>
        <c:grouping val="clustered"/>
        <c:varyColors val="0"/>
        <c:ser>
          <c:idx val="0"/>
          <c:order val="0"/>
          <c:tx>
            <c:strRef>
              <c:f>Sheet8!$B$1</c:f>
              <c:strCache>
                <c:ptCount val="1"/>
                <c:pt idx="0">
                  <c:v>Mean progress</c:v>
                </c:pt>
              </c:strCache>
            </c:strRef>
          </c:tx>
          <c:spPr>
            <a:solidFill>
              <a:schemeClr val="accent4">
                <a:lumMod val="75000"/>
              </a:schemeClr>
            </a:solidFill>
            <a:ln>
              <a:noFill/>
            </a:ln>
            <a:effectLst/>
          </c:spPr>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1-1D8C-E147-A8D3-4276BF1103B4}"/>
              </c:ext>
            </c:extLst>
          </c:dPt>
          <c:dPt>
            <c:idx val="1"/>
            <c:invertIfNegative val="0"/>
            <c:bubble3D val="0"/>
            <c:spPr>
              <a:solidFill>
                <a:schemeClr val="accent1"/>
              </a:solidFill>
              <a:ln>
                <a:noFill/>
              </a:ln>
              <a:effectLst/>
            </c:spPr>
            <c:extLst>
              <c:ext xmlns:c16="http://schemas.microsoft.com/office/drawing/2014/chart" uri="{C3380CC4-5D6E-409C-BE32-E72D297353CC}">
                <c16:uniqueId val="{00000002-1D8C-E147-A8D3-4276BF1103B4}"/>
              </c:ext>
            </c:extLst>
          </c:dPt>
          <c:cat>
            <c:strRef>
              <c:f>Sheet8!$A$2:$A$3</c:f>
              <c:strCache>
                <c:ptCount val="2"/>
                <c:pt idx="0">
                  <c:v>eFSM</c:v>
                </c:pt>
                <c:pt idx="1">
                  <c:v>Non-eFSM</c:v>
                </c:pt>
              </c:strCache>
            </c:strRef>
          </c:cat>
          <c:val>
            <c:numRef>
              <c:f>Sheet8!$B$2:$B$3</c:f>
              <c:numCache>
                <c:formatCode>General</c:formatCode>
                <c:ptCount val="2"/>
                <c:pt idx="0">
                  <c:v>4.75</c:v>
                </c:pt>
                <c:pt idx="1">
                  <c:v>3.79</c:v>
                </c:pt>
              </c:numCache>
            </c:numRef>
          </c:val>
          <c:extLst>
            <c:ext xmlns:c16="http://schemas.microsoft.com/office/drawing/2014/chart" uri="{C3380CC4-5D6E-409C-BE32-E72D297353CC}">
              <c16:uniqueId val="{00000000-1D8C-E147-A8D3-4276BF1103B4}"/>
            </c:ext>
          </c:extLst>
        </c:ser>
        <c:dLbls>
          <c:showLegendKey val="0"/>
          <c:showVal val="0"/>
          <c:showCatName val="0"/>
          <c:showSerName val="0"/>
          <c:showPercent val="0"/>
          <c:showBubbleSize val="0"/>
        </c:dLbls>
        <c:gapWidth val="219"/>
        <c:overlap val="-27"/>
        <c:axId val="1160422592"/>
        <c:axId val="1160426624"/>
      </c:barChart>
      <c:catAx>
        <c:axId val="1160422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0426624"/>
        <c:crosses val="autoZero"/>
        <c:auto val="1"/>
        <c:lblAlgn val="ctr"/>
        <c:lblOffset val="100"/>
        <c:noMultiLvlLbl val="0"/>
      </c:catAx>
      <c:valAx>
        <c:axId val="1160426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04225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 Reading-Age Progress by ALN status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Sheet4!$E$21</c:f>
              <c:strCache>
                <c:ptCount val="1"/>
                <c:pt idx="0">
                  <c:v>Mean Progress</c:v>
                </c:pt>
              </c:strCache>
            </c:strRef>
          </c:tx>
          <c:spPr>
            <a:solidFill>
              <a:schemeClr val="accent1"/>
            </a:solidFill>
            <a:ln>
              <a:noFill/>
            </a:ln>
            <a:effectLst/>
          </c:spPr>
          <c:invertIfNegative val="0"/>
          <c:cat>
            <c:strRef>
              <c:f>Sheet4!$D$22:$D$23</c:f>
              <c:strCache>
                <c:ptCount val="2"/>
                <c:pt idx="0">
                  <c:v>ALN</c:v>
                </c:pt>
                <c:pt idx="1">
                  <c:v>Non-ALN</c:v>
                </c:pt>
              </c:strCache>
            </c:strRef>
          </c:cat>
          <c:val>
            <c:numRef>
              <c:f>Sheet4!$E$22:$E$23</c:f>
              <c:numCache>
                <c:formatCode>General</c:formatCode>
                <c:ptCount val="2"/>
                <c:pt idx="0">
                  <c:v>5.09</c:v>
                </c:pt>
                <c:pt idx="1">
                  <c:v>3.68</c:v>
                </c:pt>
              </c:numCache>
            </c:numRef>
          </c:val>
          <c:extLst>
            <c:ext xmlns:c16="http://schemas.microsoft.com/office/drawing/2014/chart" uri="{C3380CC4-5D6E-409C-BE32-E72D297353CC}">
              <c16:uniqueId val="{00000000-99A2-804E-ABE3-F502C3BF3138}"/>
            </c:ext>
          </c:extLst>
        </c:ser>
        <c:dLbls>
          <c:showLegendKey val="0"/>
          <c:showVal val="0"/>
          <c:showCatName val="0"/>
          <c:showSerName val="0"/>
          <c:showPercent val="0"/>
          <c:showBubbleSize val="0"/>
        </c:dLbls>
        <c:gapWidth val="219"/>
        <c:overlap val="-27"/>
        <c:axId val="1092021184"/>
        <c:axId val="1085580928"/>
      </c:barChart>
      <c:catAx>
        <c:axId val="1092021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5580928"/>
        <c:crosses val="autoZero"/>
        <c:auto val="1"/>
        <c:lblAlgn val="ctr"/>
        <c:lblOffset val="100"/>
        <c:noMultiLvlLbl val="0"/>
      </c:catAx>
      <c:valAx>
        <c:axId val="10855809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Reading-Age Progress Months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202118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a:t>
            </a:r>
            <a:r>
              <a:rPr lang="en-GB" baseline="0"/>
              <a:t> Reading-Age Progress by Gender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'Boys '!$H$12:$I$12</c:f>
              <c:strCache>
                <c:ptCount val="2"/>
                <c:pt idx="0">
                  <c:v>Boys Mean</c:v>
                </c:pt>
                <c:pt idx="1">
                  <c:v>Girls Mean</c:v>
                </c:pt>
              </c:strCache>
            </c:strRef>
          </c:cat>
          <c:val>
            <c:numRef>
              <c:f>'Boys '!$H$13:$I$13</c:f>
              <c:numCache>
                <c:formatCode>General</c:formatCode>
                <c:ptCount val="2"/>
                <c:pt idx="0">
                  <c:v>4</c:v>
                </c:pt>
                <c:pt idx="1">
                  <c:v>4.3</c:v>
                </c:pt>
              </c:numCache>
            </c:numRef>
          </c:val>
          <c:extLst>
            <c:ext xmlns:c16="http://schemas.microsoft.com/office/drawing/2014/chart" uri="{C3380CC4-5D6E-409C-BE32-E72D297353CC}">
              <c16:uniqueId val="{00000000-443C-4B41-BE3C-AE9CB8A140BE}"/>
            </c:ext>
          </c:extLst>
        </c:ser>
        <c:dLbls>
          <c:showLegendKey val="0"/>
          <c:showVal val="0"/>
          <c:showCatName val="0"/>
          <c:showSerName val="0"/>
          <c:showPercent val="0"/>
          <c:showBubbleSize val="0"/>
        </c:dLbls>
        <c:gapWidth val="219"/>
        <c:overlap val="-27"/>
        <c:axId val="1542259136"/>
        <c:axId val="1581510464"/>
      </c:barChart>
      <c:catAx>
        <c:axId val="15422591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1510464"/>
        <c:crosses val="autoZero"/>
        <c:auto val="1"/>
        <c:lblAlgn val="ctr"/>
        <c:lblOffset val="100"/>
        <c:noMultiLvlLbl val="0"/>
      </c:catAx>
      <c:valAx>
        <c:axId val="1581510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Progress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225913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Sheet1!$V$3:$V$179</cx:f>
        <cx:lvl ptCount="177" formatCode="General">
          <cx:pt idx="0">8</cx:pt>
          <cx:pt idx="1">3</cx:pt>
          <cx:pt idx="2">8</cx:pt>
          <cx:pt idx="3">7</cx:pt>
          <cx:pt idx="4">8</cx:pt>
          <cx:pt idx="5">7</cx:pt>
          <cx:pt idx="6">6</cx:pt>
          <cx:pt idx="7">2</cx:pt>
          <cx:pt idx="8">6</cx:pt>
          <cx:pt idx="9">6</cx:pt>
          <cx:pt idx="10">6</cx:pt>
          <cx:pt idx="11">1</cx:pt>
          <cx:pt idx="12">5</cx:pt>
          <cx:pt idx="13">6</cx:pt>
          <cx:pt idx="14">8</cx:pt>
          <cx:pt idx="15">6</cx:pt>
          <cx:pt idx="16">4</cx:pt>
          <cx:pt idx="17">9</cx:pt>
          <cx:pt idx="18">3</cx:pt>
          <cx:pt idx="19">6</cx:pt>
          <cx:pt idx="20">1</cx:pt>
          <cx:pt idx="21">7</cx:pt>
          <cx:pt idx="22">3</cx:pt>
          <cx:pt idx="23">8</cx:pt>
          <cx:pt idx="24">1</cx:pt>
          <cx:pt idx="25">0</cx:pt>
          <cx:pt idx="26">6</cx:pt>
          <cx:pt idx="27">5</cx:pt>
          <cx:pt idx="28">2</cx:pt>
          <cx:pt idx="29">4</cx:pt>
          <cx:pt idx="30">4</cx:pt>
          <cx:pt idx="31">0</cx:pt>
          <cx:pt idx="32">2</cx:pt>
          <cx:pt idx="33">5</cx:pt>
          <cx:pt idx="34">6</cx:pt>
          <cx:pt idx="35">1</cx:pt>
          <cx:pt idx="36">5</cx:pt>
          <cx:pt idx="37">1</cx:pt>
          <cx:pt idx="38">7</cx:pt>
          <cx:pt idx="39">7</cx:pt>
          <cx:pt idx="40">7</cx:pt>
          <cx:pt idx="41">7</cx:pt>
          <cx:pt idx="42">7</cx:pt>
          <cx:pt idx="43">1</cx:pt>
          <cx:pt idx="44">0</cx:pt>
          <cx:pt idx="45">4</cx:pt>
          <cx:pt idx="46">1</cx:pt>
          <cx:pt idx="47">5</cx:pt>
          <cx:pt idx="48">5</cx:pt>
          <cx:pt idx="49">5</cx:pt>
          <cx:pt idx="50">4</cx:pt>
          <cx:pt idx="51">3</cx:pt>
          <cx:pt idx="52">5</cx:pt>
          <cx:pt idx="53">1</cx:pt>
          <cx:pt idx="54">4</cx:pt>
          <cx:pt idx="55">6</cx:pt>
          <cx:pt idx="56">6</cx:pt>
          <cx:pt idx="57">3</cx:pt>
          <cx:pt idx="58">5</cx:pt>
          <cx:pt idx="59">7</cx:pt>
          <cx:pt idx="60">2</cx:pt>
          <cx:pt idx="61">5</cx:pt>
          <cx:pt idx="62">-2</cx:pt>
          <cx:pt idx="63">1</cx:pt>
          <cx:pt idx="64">5</cx:pt>
          <cx:pt idx="65">6</cx:pt>
          <cx:pt idx="66">4</cx:pt>
          <cx:pt idx="67">3</cx:pt>
          <cx:pt idx="68">5</cx:pt>
          <cx:pt idx="69">4</cx:pt>
          <cx:pt idx="70">7</cx:pt>
          <cx:pt idx="71">4</cx:pt>
          <cx:pt idx="72">-2</cx:pt>
          <cx:pt idx="73">6</cx:pt>
          <cx:pt idx="74">5</cx:pt>
          <cx:pt idx="75">5</cx:pt>
          <cx:pt idx="76">7</cx:pt>
          <cx:pt idx="77">0</cx:pt>
          <cx:pt idx="78">4</cx:pt>
          <cx:pt idx="79">5</cx:pt>
          <cx:pt idx="80">4</cx:pt>
          <cx:pt idx="81">6</cx:pt>
          <cx:pt idx="82">0</cx:pt>
          <cx:pt idx="83">6</cx:pt>
          <cx:pt idx="84">7</cx:pt>
          <cx:pt idx="85">7</cx:pt>
          <cx:pt idx="86">1</cx:pt>
          <cx:pt idx="87">4</cx:pt>
          <cx:pt idx="88">-2</cx:pt>
          <cx:pt idx="89">-4</cx:pt>
          <cx:pt idx="90">0</cx:pt>
          <cx:pt idx="91">-3</cx:pt>
          <cx:pt idx="92">1</cx:pt>
          <cx:pt idx="93">0</cx:pt>
          <cx:pt idx="94">5</cx:pt>
          <cx:pt idx="95">4</cx:pt>
          <cx:pt idx="96">6</cx:pt>
          <cx:pt idx="97">1</cx:pt>
          <cx:pt idx="98">7</cx:pt>
          <cx:pt idx="99">6</cx:pt>
          <cx:pt idx="100">7</cx:pt>
          <cx:pt idx="101">3</cx:pt>
          <cx:pt idx="102">6</cx:pt>
          <cx:pt idx="103">1</cx:pt>
          <cx:pt idx="104">4</cx:pt>
          <cx:pt idx="105">6</cx:pt>
          <cx:pt idx="106">5</cx:pt>
          <cx:pt idx="107">4</cx:pt>
          <cx:pt idx="108">1</cx:pt>
          <cx:pt idx="109">7</cx:pt>
          <cx:pt idx="110">4</cx:pt>
          <cx:pt idx="111">-2</cx:pt>
          <cx:pt idx="112">1</cx:pt>
          <cx:pt idx="113">7</cx:pt>
          <cx:pt idx="114">1</cx:pt>
          <cx:pt idx="115">6</cx:pt>
          <cx:pt idx="116">7</cx:pt>
          <cx:pt idx="117">9</cx:pt>
          <cx:pt idx="118">5</cx:pt>
          <cx:pt idx="119">8</cx:pt>
          <cx:pt idx="120">5</cx:pt>
          <cx:pt idx="121">6</cx:pt>
          <cx:pt idx="122">7</cx:pt>
          <cx:pt idx="123">5</cx:pt>
          <cx:pt idx="124">7</cx:pt>
          <cx:pt idx="125">7</cx:pt>
          <cx:pt idx="126">6</cx:pt>
          <cx:pt idx="127">5</cx:pt>
          <cx:pt idx="128">7</cx:pt>
          <cx:pt idx="129">-5</cx:pt>
          <cx:pt idx="130">7</cx:pt>
          <cx:pt idx="131">-3</cx:pt>
          <cx:pt idx="132">6</cx:pt>
          <cx:pt idx="133">6</cx:pt>
          <cx:pt idx="134">9</cx:pt>
          <cx:pt idx="135">-4</cx:pt>
          <cx:pt idx="136">5</cx:pt>
          <cx:pt idx="137">7</cx:pt>
          <cx:pt idx="138">6</cx:pt>
          <cx:pt idx="139">7</cx:pt>
          <cx:pt idx="140">7</cx:pt>
          <cx:pt idx="141">6</cx:pt>
          <cx:pt idx="142">4</cx:pt>
          <cx:pt idx="143">5</cx:pt>
          <cx:pt idx="144">7</cx:pt>
          <cx:pt idx="145">5</cx:pt>
          <cx:pt idx="146">5</cx:pt>
          <cx:pt idx="147">6</cx:pt>
          <cx:pt idx="148">6</cx:pt>
          <cx:pt idx="149">7</cx:pt>
          <cx:pt idx="150">6</cx:pt>
          <cx:pt idx="151">8</cx:pt>
          <cx:pt idx="152">4</cx:pt>
          <cx:pt idx="153">7</cx:pt>
          <cx:pt idx="154">6</cx:pt>
          <cx:pt idx="155">4</cx:pt>
          <cx:pt idx="156">5</cx:pt>
          <cx:pt idx="157">5</cx:pt>
          <cx:pt idx="158">5</cx:pt>
          <cx:pt idx="159">-3</cx:pt>
          <cx:pt idx="160">7</cx:pt>
          <cx:pt idx="161">7</cx:pt>
          <cx:pt idx="162">6</cx:pt>
          <cx:pt idx="163">4</cx:pt>
          <cx:pt idx="164">5</cx:pt>
          <cx:pt idx="165">7</cx:pt>
          <cx:pt idx="166">6</cx:pt>
          <cx:pt idx="167">6</cx:pt>
          <cx:pt idx="168">4</cx:pt>
          <cx:pt idx="169">-2</cx:pt>
          <cx:pt idx="170">5</cx:pt>
          <cx:pt idx="171">6</cx:pt>
          <cx:pt idx="172">8</cx:pt>
          <cx:pt idx="173">6</cx:pt>
          <cx:pt idx="174">1</cx:pt>
          <cx:pt idx="175">-3</cx:pt>
          <cx:pt idx="176">5</cx:pt>
        </cx:lvl>
      </cx:numDim>
    </cx:data>
  </cx:chartData>
  <cx:chart>
    <cx:title pos="t" align="ctr" overlay="0">
      <cx:tx>
        <cx:txData>
          <cx:v>Distribution of Reading Age Progress</cx:v>
        </cx:txData>
      </cx:tx>
      <cx:txPr>
        <a:bodyPr spcFirstLastPara="1" vertOverflow="ellipsis" horzOverflow="overflow" wrap="square" lIns="0" tIns="0" rIns="0" bIns="0" anchor="ctr" anchorCtr="1"/>
        <a:lstStyle/>
        <a:p>
          <a:pPr algn="ctr" rtl="0">
            <a:defRPr/>
          </a:pPr>
          <a:r>
            <a:rPr lang="en-GB" sz="1400" b="0" i="0" u="none" strike="noStrike" baseline="0">
              <a:solidFill>
                <a:sysClr val="windowText" lastClr="000000">
                  <a:lumMod val="65000"/>
                  <a:lumOff val="35000"/>
                </a:sysClr>
              </a:solidFill>
              <a:latin typeface="Aptos Narrow" panose="02110004020202020204"/>
            </a:rPr>
            <a:t>Distribution of Reading Age Progress</a:t>
          </a:r>
        </a:p>
      </cx:txPr>
    </cx:title>
    <cx:plotArea>
      <cx:plotAreaRegion>
        <cx:series layoutId="clusteredColumn" uniqueId="{00000000-D44F-C04B-AE5C-17AAFA6A1D63}">
          <cx:tx>
            <cx:txData>
              <cx:f>Sheet1!$V$2</cx:f>
              <cx:v>Progress in Months</cx:v>
            </cx:txData>
          </cx:tx>
          <cx:spPr>
            <a:solidFill>
              <a:schemeClr val="accent1"/>
            </a:solidFill>
          </cx:spPr>
          <cx:dataId val="0"/>
          <cx:layoutPr>
            <cx:binning intervalClosed="r"/>
          </cx:layoutPr>
        </cx:series>
      </cx:plotAreaRegion>
      <cx:axis id="0">
        <cx:catScaling gapWidth="0"/>
        <cx:tickLabels/>
      </cx:axis>
      <cx:axis id="1">
        <cx:valScaling/>
        <cx:majorGridlines/>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8">
  <a:schemeClr val="accent5"/>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8C1C86-7903-F94F-9759-AD5DAD389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32</Pages>
  <Words>8629</Words>
  <Characters>49188</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Haggett (Craig Yr Hesg Primary School)</dc:creator>
  <cp:keywords/>
  <dc:description/>
  <cp:lastModifiedBy>S Haggett (Craig Yr Hesg Primary School)</cp:lastModifiedBy>
  <cp:revision>3</cp:revision>
  <dcterms:created xsi:type="dcterms:W3CDTF">2026-09-16T18:01:00Z</dcterms:created>
  <dcterms:modified xsi:type="dcterms:W3CDTF">2026-09-16T18:06:00Z</dcterms:modified>
</cp:coreProperties>
</file>