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Arial" w:hAnsi="Times New Roman" w:cs="Arial"/>
          <w:color w:val="4472C4" w:themeColor="accent1"/>
          <w:sz w:val="24"/>
          <w:lang w:val="en-GB"/>
        </w:rPr>
        <w:id w:val="1203749272"/>
        <w:docPartObj>
          <w:docPartGallery w:val="Cover Pages"/>
          <w:docPartUnique/>
        </w:docPartObj>
      </w:sdtPr>
      <w:sdtEndPr>
        <w:rPr>
          <w:rFonts w:ascii="Arial" w:hAnsi="Arial"/>
          <w:b/>
          <w:iCs/>
          <w:color w:val="auto"/>
        </w:rPr>
      </w:sdtEndPr>
      <w:sdtContent>
        <w:p w14:paraId="73B0AC12" w14:textId="6E4D3B11" w:rsidR="00E229C8" w:rsidRDefault="00E229C8">
          <w:pPr>
            <w:pStyle w:val="NoSpacing"/>
            <w:spacing w:before="1540" w:after="240"/>
            <w:jc w:val="center"/>
            <w:rPr>
              <w:color w:val="4472C4" w:themeColor="accent1"/>
            </w:rPr>
          </w:pPr>
          <w:r>
            <w:rPr>
              <w:noProof/>
              <w:color w:val="4472C4" w:themeColor="accent1"/>
            </w:rPr>
            <w:drawing>
              <wp:inline distT="0" distB="0" distL="0" distR="0" wp14:anchorId="4EDF5323" wp14:editId="68854BE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HAnsi" w:hAnsi="Arial" w:cs="Arial"/>
              <w:b/>
              <w:iCs/>
              <w:sz w:val="36"/>
              <w:szCs w:val="36"/>
              <w:lang w:val="en-GB" w:bidi="bn-BD"/>
            </w:rPr>
            <w:alias w:val="Title"/>
            <w:tag w:val=""/>
            <w:id w:val="1735040861"/>
            <w:placeholder>
              <w:docPart w:val="8681A3FB547F49B89C0FD0F918A9CA83"/>
            </w:placeholder>
            <w:dataBinding w:prefixMappings="xmlns:ns0='http://purl.org/dc/elements/1.1/' xmlns:ns1='http://schemas.openxmlformats.org/package/2006/metadata/core-properties' " w:xpath="/ns1:coreProperties[1]/ns0:title[1]" w:storeItemID="{6C3C8BC8-F283-45AE-878A-BAB7291924A1}"/>
            <w:text/>
          </w:sdtPr>
          <w:sdtContent>
            <w:p w14:paraId="5BC614E4" w14:textId="1A7DB599" w:rsidR="00E229C8" w:rsidRDefault="006B5CD5" w:rsidP="006B5CD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327C3E">
                <w:rPr>
                  <w:rFonts w:ascii="Arial" w:eastAsiaTheme="minorHAnsi" w:hAnsi="Arial" w:cs="Arial"/>
                  <w:b/>
                  <w:iCs/>
                  <w:sz w:val="36"/>
                  <w:szCs w:val="36"/>
                  <w:lang w:val="en-GB" w:bidi="bn-BD"/>
                </w:rPr>
                <w:t xml:space="preserve">How to retain and engage employees throughout the employee life cycle </w:t>
              </w:r>
              <w:r w:rsidR="00327C3E" w:rsidRPr="00327C3E">
                <w:rPr>
                  <w:rFonts w:ascii="Arial" w:eastAsiaTheme="minorHAnsi" w:hAnsi="Arial" w:cs="Arial"/>
                  <w:b/>
                  <w:iCs/>
                  <w:sz w:val="36"/>
                  <w:szCs w:val="36"/>
                  <w:lang w:val="en-GB" w:bidi="bn-BD"/>
                </w:rPr>
                <w:t>e</w:t>
              </w:r>
              <w:r w:rsidRPr="00327C3E">
                <w:rPr>
                  <w:rFonts w:ascii="Arial" w:eastAsiaTheme="minorHAnsi" w:hAnsi="Arial" w:cs="Arial"/>
                  <w:b/>
                  <w:iCs/>
                  <w:sz w:val="36"/>
                  <w:szCs w:val="36"/>
                  <w:lang w:val="en-GB" w:bidi="bn-BD"/>
                </w:rPr>
                <w:t xml:space="preserve">mployee </w:t>
              </w:r>
              <w:r w:rsidR="00327C3E" w:rsidRPr="00327C3E">
                <w:rPr>
                  <w:rFonts w:ascii="Arial" w:eastAsiaTheme="minorHAnsi" w:hAnsi="Arial" w:cs="Arial"/>
                  <w:b/>
                  <w:iCs/>
                  <w:sz w:val="36"/>
                  <w:szCs w:val="36"/>
                  <w:lang w:val="en-GB" w:bidi="bn-BD"/>
                </w:rPr>
                <w:t>e</w:t>
              </w:r>
              <w:r w:rsidRPr="00327C3E">
                <w:rPr>
                  <w:rFonts w:ascii="Arial" w:eastAsiaTheme="minorHAnsi" w:hAnsi="Arial" w:cs="Arial"/>
                  <w:b/>
                  <w:iCs/>
                  <w:sz w:val="36"/>
                  <w:szCs w:val="36"/>
                  <w:lang w:val="en-GB" w:bidi="bn-BD"/>
                </w:rPr>
                <w:t>ngagement</w:t>
              </w:r>
            </w:p>
          </w:sdtContent>
        </w:sdt>
        <w:sdt>
          <w:sdtPr>
            <w:rPr>
              <w:rFonts w:ascii="Arial" w:hAnsi="Arial"/>
              <w:sz w:val="32"/>
              <w:szCs w:val="32"/>
            </w:rPr>
            <w:alias w:val="Subtitle"/>
            <w:tag w:val=""/>
            <w:id w:val="328029620"/>
            <w:placeholder>
              <w:docPart w:val="5869BCC55B214FC6A6BE3A3932391AEA"/>
            </w:placeholder>
            <w:dataBinding w:prefixMappings="xmlns:ns0='http://purl.org/dc/elements/1.1/' xmlns:ns1='http://schemas.openxmlformats.org/package/2006/metadata/core-properties' " w:xpath="/ns1:coreProperties[1]/ns0:subject[1]" w:storeItemID="{6C3C8BC8-F283-45AE-878A-BAB7291924A1}"/>
            <w:text/>
          </w:sdtPr>
          <w:sdtContent>
            <w:p w14:paraId="591C4D76" w14:textId="770F9D1F" w:rsidR="00E229C8" w:rsidRDefault="006D1DC7">
              <w:pPr>
                <w:pStyle w:val="NoSpacing"/>
                <w:jc w:val="center"/>
                <w:rPr>
                  <w:color w:val="4472C4" w:themeColor="accent1"/>
                  <w:sz w:val="28"/>
                  <w:szCs w:val="28"/>
                </w:rPr>
              </w:pPr>
              <w:r w:rsidRPr="00327C3E">
                <w:rPr>
                  <w:rFonts w:ascii="Arial" w:hAnsi="Arial"/>
                  <w:sz w:val="32"/>
                  <w:szCs w:val="32"/>
                </w:rPr>
                <w:t>Module Name and code: Personnel Resourcing and Development (BMIH5005)</w:t>
              </w:r>
            </w:p>
          </w:sdtContent>
        </w:sdt>
        <w:p w14:paraId="2DD49184" w14:textId="5581D4C6" w:rsidR="00E229C8" w:rsidRDefault="00E229C8">
          <w:pPr>
            <w:pStyle w:val="NoSpacing"/>
            <w:spacing w:before="480"/>
            <w:jc w:val="center"/>
            <w:rPr>
              <w:color w:val="4472C4" w:themeColor="accent1"/>
            </w:rPr>
          </w:pPr>
          <w:r>
            <w:rPr>
              <w:noProof/>
              <w:color w:val="4472C4" w:themeColor="accent1"/>
            </w:rPr>
            <w:drawing>
              <wp:inline distT="0" distB="0" distL="0" distR="0" wp14:anchorId="24A81AD5" wp14:editId="70CC8DD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A42CF4" w14:textId="77777777" w:rsidR="006D1DC7" w:rsidRDefault="006D1DC7" w:rsidP="006D1DC7">
          <w:pPr>
            <w:jc w:val="center"/>
            <w:rPr>
              <w:rFonts w:ascii="Arial" w:hAnsi="Arial"/>
              <w:b/>
              <w:iCs/>
            </w:rPr>
          </w:pPr>
        </w:p>
        <w:p w14:paraId="76474855" w14:textId="77777777" w:rsidR="006D1DC7" w:rsidRPr="006D1DC7" w:rsidRDefault="006D1DC7" w:rsidP="006D1DC7">
          <w:pPr>
            <w:rPr>
              <w:rFonts w:ascii="Arial" w:hAnsi="Arial"/>
            </w:rPr>
          </w:pPr>
        </w:p>
        <w:p w14:paraId="7B498BCA" w14:textId="77777777" w:rsidR="006D1DC7" w:rsidRPr="006D1DC7" w:rsidRDefault="006D1DC7" w:rsidP="006D1DC7">
          <w:pPr>
            <w:rPr>
              <w:rFonts w:ascii="Arial" w:hAnsi="Arial"/>
            </w:rPr>
          </w:pPr>
        </w:p>
        <w:p w14:paraId="32D2A7B0" w14:textId="77777777" w:rsidR="006D1DC7" w:rsidRPr="006D1DC7" w:rsidRDefault="006D1DC7" w:rsidP="006D1DC7">
          <w:pPr>
            <w:rPr>
              <w:rFonts w:ascii="Arial" w:hAnsi="Arial"/>
            </w:rPr>
          </w:pPr>
        </w:p>
        <w:p w14:paraId="4D8B3AC1" w14:textId="77777777" w:rsidR="006D1DC7" w:rsidRDefault="006D1DC7" w:rsidP="006D1DC7">
          <w:pPr>
            <w:jc w:val="center"/>
            <w:rPr>
              <w:rFonts w:ascii="Arial" w:hAnsi="Arial"/>
              <w:b/>
              <w:iCs/>
            </w:rPr>
          </w:pPr>
        </w:p>
        <w:p w14:paraId="1E14E4F2" w14:textId="77777777" w:rsidR="006D1DC7" w:rsidRDefault="006D1DC7" w:rsidP="006D1DC7">
          <w:pPr>
            <w:jc w:val="center"/>
            <w:rPr>
              <w:rFonts w:ascii="Arial" w:hAnsi="Arial"/>
              <w:b/>
              <w:iCs/>
            </w:rPr>
          </w:pPr>
        </w:p>
        <w:p w14:paraId="10459006" w14:textId="77777777" w:rsidR="006D1DC7" w:rsidRPr="00327C3E" w:rsidRDefault="006D1DC7" w:rsidP="006D1DC7">
          <w:pPr>
            <w:jc w:val="center"/>
            <w:rPr>
              <w:rFonts w:ascii="Arial" w:hAnsi="Arial"/>
              <w:sz w:val="40"/>
              <w:szCs w:val="40"/>
            </w:rPr>
          </w:pPr>
          <w:r w:rsidRPr="00327C3E">
            <w:rPr>
              <w:rFonts w:ascii="Arial" w:hAnsi="Arial"/>
              <w:sz w:val="40"/>
              <w:szCs w:val="40"/>
            </w:rPr>
            <w:t>Lecturer Name: Helen Evan</w:t>
          </w:r>
        </w:p>
        <w:p w14:paraId="57B2F69E" w14:textId="77777777" w:rsidR="006D1DC7" w:rsidRPr="00327C3E" w:rsidRDefault="006D1DC7" w:rsidP="006D1DC7">
          <w:pPr>
            <w:jc w:val="center"/>
            <w:rPr>
              <w:rFonts w:ascii="Arial" w:hAnsi="Arial"/>
              <w:sz w:val="40"/>
              <w:szCs w:val="40"/>
            </w:rPr>
          </w:pPr>
          <w:r w:rsidRPr="00327C3E">
            <w:rPr>
              <w:rFonts w:ascii="Arial" w:hAnsi="Arial"/>
              <w:sz w:val="40"/>
              <w:szCs w:val="40"/>
            </w:rPr>
            <w:t>Student Name: Sadia Odud</w:t>
          </w:r>
        </w:p>
        <w:p w14:paraId="07ABED55" w14:textId="77777777" w:rsidR="006D1DC7" w:rsidRPr="00775170" w:rsidRDefault="006D1DC7" w:rsidP="006D1DC7">
          <w:pPr>
            <w:jc w:val="center"/>
            <w:rPr>
              <w:rFonts w:ascii="Arial" w:hAnsi="Arial"/>
              <w:sz w:val="28"/>
              <w:szCs w:val="28"/>
            </w:rPr>
          </w:pPr>
          <w:r w:rsidRPr="00327C3E">
            <w:rPr>
              <w:rFonts w:ascii="Arial" w:hAnsi="Arial"/>
              <w:sz w:val="40"/>
              <w:szCs w:val="40"/>
            </w:rPr>
            <w:t>Student ID: 2130037</w:t>
          </w:r>
        </w:p>
        <w:p w14:paraId="692D7745" w14:textId="77777777" w:rsidR="006D1DC7" w:rsidRDefault="006D1DC7" w:rsidP="006D1DC7">
          <w:pPr>
            <w:jc w:val="center"/>
            <w:rPr>
              <w:rFonts w:ascii="Arial" w:hAnsi="Arial"/>
              <w:b/>
              <w:iCs/>
            </w:rPr>
          </w:pPr>
        </w:p>
        <w:p w14:paraId="20D4AA7C" w14:textId="77777777" w:rsidR="002B1C7D" w:rsidRDefault="00E229C8" w:rsidP="00327C3E">
          <w:pPr>
            <w:rPr>
              <w:rFonts w:ascii="Arial" w:hAnsi="Arial"/>
              <w:b/>
              <w:iCs/>
            </w:rPr>
          </w:pPr>
          <w:r w:rsidRPr="006D1DC7">
            <w:rPr>
              <w:rFonts w:ascii="Arial" w:hAnsi="Arial"/>
            </w:rPr>
            <w:br w:type="page"/>
          </w:r>
        </w:p>
      </w:sdtContent>
    </w:sdt>
    <w:p w14:paraId="60A21A98" w14:textId="27354EF2" w:rsidR="00327C3E" w:rsidRPr="00327C3E" w:rsidRDefault="00327C3E" w:rsidP="00327C3E">
      <w:pPr>
        <w:rPr>
          <w:rFonts w:ascii="Arial" w:hAnsi="Arial"/>
          <w:sz w:val="28"/>
          <w:szCs w:val="28"/>
        </w:rPr>
        <w:sectPr w:rsidR="00327C3E" w:rsidRPr="00327C3E" w:rsidSect="00E229C8">
          <w:footerReference w:type="default" r:id="rId8"/>
          <w:pgSz w:w="12240" w:h="15840"/>
          <w:pgMar w:top="1440" w:right="1440" w:bottom="1440" w:left="1440" w:header="720" w:footer="720" w:gutter="0"/>
          <w:pgNumType w:fmt="lowerRoman" w:start="0"/>
          <w:cols w:space="720"/>
          <w:titlePg/>
          <w:docGrid w:linePitch="360"/>
        </w:sectPr>
      </w:pPr>
    </w:p>
    <w:p w14:paraId="383E96FF" w14:textId="77777777" w:rsidR="002B1C7D" w:rsidRPr="003E1139" w:rsidRDefault="002B1C7D" w:rsidP="002B1C7D">
      <w:pPr>
        <w:rPr>
          <w:rFonts w:ascii="Arial" w:hAnsi="Arial"/>
        </w:rPr>
      </w:pPr>
      <w:r w:rsidRPr="003E1139">
        <w:rPr>
          <w:rFonts w:ascii="Arial" w:hAnsi="Arial"/>
        </w:rPr>
        <w:lastRenderedPageBreak/>
        <w:t>Over 100 countries are served by TUI Group. TUI Group, an industry leader, understands the significance of employee retention and engagement for competitive advantage. In a seasonal, high-turnover sector, maintaining great people may be difficult. TUI Group uses personnel management and engagement tactics across the employment lifecycle to manage their employees. Attraction, recruiting, onboarding, career development, and offboarding. These initiatives recruit, retain, and develop qualified individuals who share the company's values. "Employee lifecycle" and "talent management" are important concepts in this article. "Engagement" is building a pleasant work culture that inspires individuals to perform well.</w:t>
      </w:r>
    </w:p>
    <w:p w14:paraId="5433937F" w14:textId="77777777" w:rsidR="002B1C7D" w:rsidRPr="003E1139" w:rsidRDefault="002B1C7D" w:rsidP="002B1C7D">
      <w:pPr>
        <w:rPr>
          <w:rFonts w:ascii="Arial" w:hAnsi="Arial"/>
        </w:rPr>
      </w:pPr>
      <w:r w:rsidRPr="003E1139">
        <w:rPr>
          <w:rFonts w:ascii="Arial" w:hAnsi="Arial"/>
        </w:rPr>
        <w:t>This article examines TUI Group's personnel management and engagement activities across the employment lifetime. It will also evaluate TUI Group's plans against industry best practices. The article emphasizes the advantages of engaging and keeping tourism personnel while connecting people management methods with business objectives and values.</w:t>
      </w:r>
    </w:p>
    <w:p w14:paraId="59AE4753" w14:textId="77777777" w:rsidR="002B1C7D" w:rsidRPr="003E1139" w:rsidRDefault="002B1C7D" w:rsidP="002B1C7D">
      <w:pPr>
        <w:rPr>
          <w:rFonts w:ascii="Arial" w:hAnsi="Arial"/>
        </w:rPr>
      </w:pPr>
      <w:r w:rsidRPr="003E1139">
        <w:rPr>
          <w:rFonts w:ascii="Arial" w:hAnsi="Arial"/>
        </w:rPr>
        <w:t>In the tourist business, where talented and motivated personnel can make all the difference in offering exceptional client experiences, the role of human resources in talent management is vital (Mooney, 2020). Managers of human resources are accountable for locating and cultivating high-potential workers inside a business, as well as providing those workers with the resources they need to thrive in their positions.</w:t>
      </w:r>
      <w:r>
        <w:rPr>
          <w:rFonts w:ascii="Arial" w:hAnsi="Arial"/>
        </w:rPr>
        <w:t xml:space="preserve"> </w:t>
      </w:r>
      <w:r w:rsidRPr="003E1139">
        <w:rPr>
          <w:rFonts w:ascii="Arial" w:hAnsi="Arial"/>
        </w:rPr>
        <w:t xml:space="preserve">Enhanced productivity is one of the main outcomes of well-executed personnel management. Companies </w:t>
      </w:r>
      <w:r>
        <w:rPr>
          <w:rFonts w:ascii="Arial" w:hAnsi="Arial"/>
        </w:rPr>
        <w:t>that</w:t>
      </w:r>
      <w:r w:rsidRPr="003E1139">
        <w:rPr>
          <w:rFonts w:ascii="Arial" w:hAnsi="Arial"/>
        </w:rPr>
        <w:t xml:space="preserve"> invest in their </w:t>
      </w:r>
      <w:r>
        <w:rPr>
          <w:rFonts w:ascii="Arial" w:hAnsi="Arial"/>
        </w:rPr>
        <w:t>employee’s</w:t>
      </w:r>
      <w:r w:rsidRPr="003E1139">
        <w:rPr>
          <w:rFonts w:ascii="Arial" w:hAnsi="Arial"/>
        </w:rPr>
        <w:t xml:space="preserve"> professional growth and development see gains in productivity, mistake rates, and customer satisfaction (Oviedo-García, González-Rodríguez and Vega-Vázquez, 2018). More than that, it may aid in lowering employee turnover, which is especially useful in sectors like the tourist industry where keeping a talented workforce is crucial to success.</w:t>
      </w:r>
    </w:p>
    <w:p w14:paraId="0DF33357" w14:textId="77777777" w:rsidR="002B1C7D" w:rsidRPr="003E1139" w:rsidRDefault="002B1C7D" w:rsidP="002B1C7D">
      <w:pPr>
        <w:rPr>
          <w:rFonts w:ascii="Arial" w:hAnsi="Arial"/>
        </w:rPr>
      </w:pPr>
      <w:r w:rsidRPr="003E1139">
        <w:rPr>
          <w:rFonts w:ascii="Arial" w:hAnsi="Arial"/>
        </w:rPr>
        <w:t xml:space="preserve">The company's values and objectives should inform the company's approach to talent management. Human resource managers, therefore, need to collaborate closely with other teams to ensure that their efforts further the company's overarching goals. TUI Group's people management program, for instance, should place a premium on identifying and cultivating individuals who share the company's value of sustainable </w:t>
      </w:r>
      <w:r w:rsidRPr="003E1139">
        <w:rPr>
          <w:rFonts w:ascii="Arial" w:hAnsi="Arial"/>
        </w:rPr>
        <w:lastRenderedPageBreak/>
        <w:t>tourism and who possess the necessary skills and expertise to help the company achieve its stated goals.</w:t>
      </w:r>
    </w:p>
    <w:p w14:paraId="46055191" w14:textId="77777777" w:rsidR="002B1C7D" w:rsidRPr="003E1139" w:rsidRDefault="002B1C7D" w:rsidP="002B1C7D">
      <w:pPr>
        <w:rPr>
          <w:rFonts w:ascii="Arial" w:hAnsi="Arial"/>
        </w:rPr>
      </w:pPr>
      <w:r w:rsidRPr="003E1139">
        <w:rPr>
          <w:rFonts w:ascii="Arial" w:hAnsi="Arial"/>
        </w:rPr>
        <w:t>TUI Group prioritizes HR. Training and development programs ensure that employees have the skills and information needed for success (Oviedo-García, González-Rodríguez and Vega-Vázquez, 2018). TUI Group's "Talent Factory" program offers a choice of career paths and ongoing training to help employees attain their full potential.</w:t>
      </w:r>
    </w:p>
    <w:p w14:paraId="55171405" w14:textId="77777777" w:rsidR="002B1C7D" w:rsidRPr="003E1139" w:rsidRDefault="002B1C7D" w:rsidP="002B1C7D">
      <w:pPr>
        <w:rPr>
          <w:rFonts w:ascii="Arial" w:hAnsi="Arial"/>
        </w:rPr>
      </w:pPr>
      <w:r w:rsidRPr="003E1139">
        <w:rPr>
          <w:rFonts w:ascii="Arial" w:hAnsi="Arial"/>
        </w:rPr>
        <w:t>Better employee management may enhance morale and productivity. Appreciation and a sense of ownership make employees more inclined to remain and perform well. The company's bottom line and customer happiness may increase.</w:t>
      </w:r>
    </w:p>
    <w:p w14:paraId="7167F6AE" w14:textId="77777777" w:rsidR="002B1C7D" w:rsidRPr="003E1139" w:rsidRDefault="002B1C7D" w:rsidP="002B1C7D">
      <w:pPr>
        <w:rPr>
          <w:rFonts w:ascii="Arial" w:hAnsi="Arial"/>
        </w:rPr>
      </w:pPr>
      <w:r w:rsidRPr="003E1139">
        <w:rPr>
          <w:rFonts w:ascii="Arial" w:hAnsi="Arial"/>
        </w:rPr>
        <w:t>Finally, talent management is crucial to tourism HR management (</w:t>
      </w:r>
      <w:proofErr w:type="spellStart"/>
      <w:r w:rsidRPr="003E1139">
        <w:rPr>
          <w:rFonts w:ascii="Arial" w:hAnsi="Arial"/>
        </w:rPr>
        <w:t>Ramseook-Munhurrun</w:t>
      </w:r>
      <w:proofErr w:type="spellEnd"/>
      <w:r w:rsidRPr="003E1139">
        <w:rPr>
          <w:rFonts w:ascii="Arial" w:hAnsi="Arial"/>
        </w:rPr>
        <w:t xml:space="preserve">, </w:t>
      </w:r>
      <w:proofErr w:type="spellStart"/>
      <w:r w:rsidRPr="003E1139">
        <w:rPr>
          <w:rFonts w:ascii="Arial" w:hAnsi="Arial"/>
        </w:rPr>
        <w:t>Seebaluck</w:t>
      </w:r>
      <w:proofErr w:type="spellEnd"/>
      <w:r w:rsidRPr="003E1139">
        <w:rPr>
          <w:rFonts w:ascii="Arial" w:hAnsi="Arial"/>
        </w:rPr>
        <w:t xml:space="preserve"> and Naidoo, 2015). By developing and retaining its finest employees, the TUI Group boosts productivity, reduces turnover, and creates a pleasant environment. Talent management must match the company's values and objectives to ensure everyone is working toward the same goal.</w:t>
      </w:r>
    </w:p>
    <w:p w14:paraId="3C6F5C82" w14:textId="77777777" w:rsidR="002B1C7D" w:rsidRPr="006F0F68" w:rsidRDefault="002B1C7D" w:rsidP="002B1C7D">
      <w:pPr>
        <w:spacing w:after="160"/>
        <w:jc w:val="left"/>
        <w:rPr>
          <w:rFonts w:ascii="Arial" w:hAnsi="Arial"/>
          <w:b/>
          <w:color w:val="44546A" w:themeColor="text2"/>
          <w:sz w:val="32"/>
          <w:szCs w:val="40"/>
        </w:rPr>
      </w:pPr>
      <w:r w:rsidRPr="003E1139">
        <w:rPr>
          <w:rFonts w:ascii="Arial" w:hAnsi="Arial"/>
        </w:rPr>
        <w:t>TUI Group, like many other companies in the travel sector, recognizes the importance of attracting and retaining talented employees. TUI Group uses a number of methods aimed at recruiting and choosing the most qualified people to build a strong talent pool.</w:t>
      </w:r>
    </w:p>
    <w:p w14:paraId="173CC544" w14:textId="77777777" w:rsidR="002B1C7D" w:rsidRPr="006F0F68" w:rsidRDefault="002B1C7D" w:rsidP="002B1C7D">
      <w:pPr>
        <w:rPr>
          <w:rFonts w:ascii="Arial" w:hAnsi="Arial"/>
        </w:rPr>
      </w:pPr>
      <w:r w:rsidRPr="003E1139">
        <w:rPr>
          <w:rFonts w:ascii="Arial" w:hAnsi="Arial"/>
        </w:rPr>
        <w:t>Employer branding is one method of attracting and retaining top talent since it emphasizes the good aspects of an organization's culture, values, and working conditions. TUI Group's employer branding campaigns highlight the company's dedication to diversity and inclusion, employee development and training, and environmental responsibility (</w:t>
      </w:r>
      <w:proofErr w:type="spellStart"/>
      <w:r w:rsidRPr="003E1139">
        <w:rPr>
          <w:rFonts w:ascii="Arial" w:hAnsi="Arial"/>
        </w:rPr>
        <w:t>Shalbafian</w:t>
      </w:r>
      <w:proofErr w:type="spellEnd"/>
      <w:r w:rsidRPr="003E1139">
        <w:rPr>
          <w:rFonts w:ascii="Arial" w:hAnsi="Arial"/>
        </w:rPr>
        <w:t xml:space="preserve"> and </w:t>
      </w:r>
      <w:proofErr w:type="spellStart"/>
      <w:r w:rsidRPr="003E1139">
        <w:rPr>
          <w:rFonts w:ascii="Arial" w:hAnsi="Arial"/>
        </w:rPr>
        <w:t>Zarandian</w:t>
      </w:r>
      <w:proofErr w:type="spellEnd"/>
      <w:r w:rsidRPr="003E1139">
        <w:rPr>
          <w:rFonts w:ascii="Arial" w:hAnsi="Arial"/>
        </w:rPr>
        <w:t>, 2019). TUI Group hopes to recruit the best and brightest people who believe in the same things and have the same vision for the firm by emphasizing these distinctive features.</w:t>
      </w:r>
      <w:r>
        <w:rPr>
          <w:rFonts w:ascii="Arial" w:hAnsi="Arial"/>
        </w:rPr>
        <w:t xml:space="preserve"> </w:t>
      </w:r>
      <w:r w:rsidRPr="003E1139">
        <w:rPr>
          <w:rFonts w:ascii="Arial" w:hAnsi="Arial"/>
        </w:rPr>
        <w:t>Making the application process enjoyable for potential employees is also critical. TUI Group places a premium on this by giving candidates regular updates and making job descriptions as straightforward as possible (</w:t>
      </w:r>
      <w:proofErr w:type="spellStart"/>
      <w:r w:rsidRPr="003E1139">
        <w:rPr>
          <w:rFonts w:ascii="Arial" w:hAnsi="Arial"/>
        </w:rPr>
        <w:t>Thompsen</w:t>
      </w:r>
      <w:proofErr w:type="spellEnd"/>
      <w:r w:rsidRPr="003E1139">
        <w:rPr>
          <w:rFonts w:ascii="Arial" w:hAnsi="Arial"/>
        </w:rPr>
        <w:t>, 2019). Applicants may now easily check the progress of their applications and get timely information thanks to the Applicant Tracking System recently established by the organization. TUI Group hopes to stand out from other tourism-related companies as an employer of choice by providing an exceptional applicant experience.</w:t>
      </w:r>
    </w:p>
    <w:p w14:paraId="1168739C" w14:textId="77777777" w:rsidR="002B1C7D" w:rsidRDefault="002B1C7D" w:rsidP="002B1C7D">
      <w:pPr>
        <w:rPr>
          <w:rFonts w:ascii="Arial" w:hAnsi="Arial"/>
        </w:rPr>
      </w:pPr>
      <w:r w:rsidRPr="003E1139">
        <w:rPr>
          <w:rFonts w:ascii="Arial" w:hAnsi="Arial"/>
        </w:rPr>
        <w:lastRenderedPageBreak/>
        <w:t>New hires have a far better chance of assimilating into the company's culture and succeeding in their jobs if they get the guidance and information they need throughout the onboarding process (</w:t>
      </w:r>
      <w:proofErr w:type="spellStart"/>
      <w:r w:rsidRPr="003E1139">
        <w:rPr>
          <w:rFonts w:ascii="Arial" w:hAnsi="Arial"/>
        </w:rPr>
        <w:t>Thompsen</w:t>
      </w:r>
      <w:proofErr w:type="spellEnd"/>
      <w:r w:rsidRPr="003E1139">
        <w:rPr>
          <w:rFonts w:ascii="Arial" w:hAnsi="Arial"/>
        </w:rPr>
        <w:t xml:space="preserve">, 2019). TUI Group has developed a thorough onboarding approach to ensure that all new employees have a </w:t>
      </w:r>
      <w:r>
        <w:rPr>
          <w:rFonts w:ascii="Arial" w:hAnsi="Arial"/>
        </w:rPr>
        <w:t>favourable</w:t>
      </w:r>
      <w:r w:rsidRPr="003E1139">
        <w:rPr>
          <w:rFonts w:ascii="Arial" w:hAnsi="Arial"/>
        </w:rPr>
        <w:t xml:space="preserve"> first impression and are prepared for long-term success with the company.</w:t>
      </w:r>
      <w:r>
        <w:rPr>
          <w:rFonts w:ascii="Arial" w:hAnsi="Arial"/>
        </w:rPr>
        <w:t xml:space="preserve"> </w:t>
      </w:r>
      <w:r w:rsidRPr="003E1139">
        <w:rPr>
          <w:rFonts w:ascii="Arial" w:hAnsi="Arial"/>
        </w:rPr>
        <w:t xml:space="preserve">TUI Group's onboarding program introduces new employees to the company's culture, values, and mission statement, among other essential elements (Sharpley, 2020). Information regarding the company's goods and services, as well as its structure, policies, and processes, are all covered in depth throughout the course. We also provide customized training and development to assist our new </w:t>
      </w:r>
      <w:r>
        <w:rPr>
          <w:rFonts w:ascii="Arial" w:hAnsi="Arial"/>
        </w:rPr>
        <w:t>hires’</w:t>
      </w:r>
      <w:r w:rsidRPr="003E1139">
        <w:rPr>
          <w:rFonts w:ascii="Arial" w:hAnsi="Arial"/>
        </w:rPr>
        <w:t xml:space="preserve"> </w:t>
      </w:r>
      <w:r>
        <w:rPr>
          <w:rFonts w:ascii="Arial" w:hAnsi="Arial"/>
        </w:rPr>
        <w:t>success</w:t>
      </w:r>
      <w:r w:rsidRPr="003E1139">
        <w:rPr>
          <w:rFonts w:ascii="Arial" w:hAnsi="Arial"/>
        </w:rPr>
        <w:t>.</w:t>
      </w:r>
      <w:r>
        <w:rPr>
          <w:rFonts w:ascii="Arial" w:hAnsi="Arial"/>
        </w:rPr>
        <w:t xml:space="preserve"> </w:t>
      </w:r>
      <w:r w:rsidRPr="003E1139">
        <w:rPr>
          <w:rFonts w:ascii="Arial" w:hAnsi="Arial"/>
        </w:rPr>
        <w:t xml:space="preserve">TUI Group also pairs new hires with mentors to aid them through onboarding. This ensures that new recruits have a familiar face to meet them and contact for early concerns. To make sure new recruits are adjusting smoothly and their requirements are being addressed, the onboarding program also involves frequent check-ins and feedback </w:t>
      </w:r>
      <w:proofErr w:type="spellStart"/>
      <w:r w:rsidRPr="003E1139">
        <w:rPr>
          <w:rFonts w:ascii="Arial" w:hAnsi="Arial"/>
        </w:rPr>
        <w:t>sessions.TUI</w:t>
      </w:r>
      <w:proofErr w:type="spellEnd"/>
      <w:r w:rsidRPr="003E1139">
        <w:rPr>
          <w:rFonts w:ascii="Arial" w:hAnsi="Arial"/>
        </w:rPr>
        <w:t xml:space="preserve"> Group's onboarding approach places a premium on these factors to guarantee that all new hires feel appreciated and supported from day one (Sharpley, 2020). As a result, productivity and employee satisfaction rise, and the workplace becomes a more pleasant place to be.</w:t>
      </w:r>
    </w:p>
    <w:p w14:paraId="6F27DA19" w14:textId="77777777" w:rsidR="002B1C7D" w:rsidRPr="003E1139" w:rsidRDefault="002B1C7D" w:rsidP="002B1C7D">
      <w:pPr>
        <w:rPr>
          <w:rFonts w:ascii="Arial" w:hAnsi="Arial"/>
        </w:rPr>
      </w:pPr>
      <w:r w:rsidRPr="00237D93">
        <w:rPr>
          <w:rFonts w:ascii="Arial" w:hAnsi="Arial"/>
        </w:rPr>
        <w:t>TUI Group invests in its workers' professional and personal growth to maintain its position as a market leader in the tourism business. This helps them succeed and contribute to the company's growth.</w:t>
      </w:r>
      <w:r>
        <w:rPr>
          <w:rFonts w:ascii="Arial" w:hAnsi="Arial"/>
        </w:rPr>
        <w:t xml:space="preserve"> </w:t>
      </w:r>
      <w:r w:rsidRPr="003E1139">
        <w:rPr>
          <w:rFonts w:ascii="Arial" w:hAnsi="Arial"/>
        </w:rPr>
        <w:t xml:space="preserve">Providing workers with continuing training and development opportunities is one way TUI Group strives to help them learn and advance in their careers (Vanegas, Gartner and </w:t>
      </w:r>
      <w:proofErr w:type="spellStart"/>
      <w:r w:rsidRPr="003E1139">
        <w:rPr>
          <w:rFonts w:ascii="Arial" w:hAnsi="Arial"/>
        </w:rPr>
        <w:t>Senauer</w:t>
      </w:r>
      <w:proofErr w:type="spellEnd"/>
      <w:r w:rsidRPr="003E1139">
        <w:rPr>
          <w:rFonts w:ascii="Arial" w:hAnsi="Arial"/>
        </w:rPr>
        <w:t xml:space="preserve">, 2015). </w:t>
      </w:r>
      <w:r w:rsidRPr="00237D93">
        <w:rPr>
          <w:rFonts w:ascii="Arial" w:hAnsi="Arial"/>
        </w:rPr>
        <w:t>TUI Group provides staff with a variety of training opportunities to help them learn new skills and improve their existing ones.</w:t>
      </w:r>
      <w:r w:rsidRPr="003E1139">
        <w:rPr>
          <w:rFonts w:ascii="Arial" w:hAnsi="Arial"/>
        </w:rPr>
        <w:t xml:space="preserve">. Another program that helps workers achieve their full potential is called "Talent Factory," and it's offered by TUI Group (Vanegas, Gartner and </w:t>
      </w:r>
      <w:proofErr w:type="spellStart"/>
      <w:r w:rsidRPr="003E1139">
        <w:rPr>
          <w:rFonts w:ascii="Arial" w:hAnsi="Arial"/>
        </w:rPr>
        <w:t>Senauer</w:t>
      </w:r>
      <w:proofErr w:type="spellEnd"/>
      <w:r w:rsidRPr="003E1139">
        <w:rPr>
          <w:rFonts w:ascii="Arial" w:hAnsi="Arial"/>
        </w:rPr>
        <w:t>, 2015).</w:t>
      </w:r>
      <w:r>
        <w:rPr>
          <w:rFonts w:ascii="Arial" w:hAnsi="Arial"/>
        </w:rPr>
        <w:t xml:space="preserve"> </w:t>
      </w:r>
      <w:r w:rsidRPr="003E1139">
        <w:rPr>
          <w:rFonts w:ascii="Arial" w:hAnsi="Arial"/>
        </w:rPr>
        <w:t xml:space="preserve">TUI Group also promotes overseas assignments and employment rotation to increase cross-departmental communication and cultural understanding. These types of programs provide workers </w:t>
      </w:r>
      <w:r>
        <w:rPr>
          <w:rFonts w:ascii="Arial" w:hAnsi="Arial"/>
        </w:rPr>
        <w:t xml:space="preserve">with </w:t>
      </w:r>
      <w:r w:rsidRPr="003E1139">
        <w:rPr>
          <w:rFonts w:ascii="Arial" w:hAnsi="Arial"/>
        </w:rPr>
        <w:t>a chance to learn about new sectors of the company and obtain practical experience.</w:t>
      </w:r>
      <w:r>
        <w:rPr>
          <w:rFonts w:ascii="Arial" w:hAnsi="Arial"/>
        </w:rPr>
        <w:t xml:space="preserve"> </w:t>
      </w:r>
      <w:r w:rsidRPr="003E1139">
        <w:rPr>
          <w:rFonts w:ascii="Arial" w:hAnsi="Arial"/>
        </w:rPr>
        <w:t xml:space="preserve">In addition to these initiatives, TUI Group places a premium on conducting regular performance evaluations and feedback sessions with workers to provide them with </w:t>
      </w:r>
      <w:r>
        <w:rPr>
          <w:rFonts w:ascii="Arial" w:hAnsi="Arial"/>
        </w:rPr>
        <w:t xml:space="preserve">the </w:t>
      </w:r>
      <w:r w:rsidRPr="003E1139">
        <w:rPr>
          <w:rFonts w:ascii="Arial" w:hAnsi="Arial"/>
        </w:rPr>
        <w:t xml:space="preserve">opportunity to discuss their professional development with their supervisors and get </w:t>
      </w:r>
      <w:r w:rsidRPr="003E1139">
        <w:rPr>
          <w:rFonts w:ascii="Arial" w:hAnsi="Arial"/>
        </w:rPr>
        <w:lastRenderedPageBreak/>
        <w:t xml:space="preserve">constructive feedback on their work (Wolf </w:t>
      </w:r>
      <w:r w:rsidRPr="006F0F68">
        <w:rPr>
          <w:rFonts w:ascii="Arial" w:hAnsi="Arial"/>
          <w:i/>
          <w:iCs/>
        </w:rPr>
        <w:t>et al.,</w:t>
      </w:r>
      <w:r w:rsidRPr="003E1139">
        <w:rPr>
          <w:rFonts w:ascii="Arial" w:hAnsi="Arial"/>
        </w:rPr>
        <w:t xml:space="preserve"> 2019).</w:t>
      </w:r>
      <w:r>
        <w:rPr>
          <w:rFonts w:ascii="Arial" w:hAnsi="Arial"/>
        </w:rPr>
        <w:t xml:space="preserve"> </w:t>
      </w:r>
      <w:r w:rsidRPr="003E1139">
        <w:rPr>
          <w:rFonts w:ascii="Arial" w:hAnsi="Arial"/>
        </w:rPr>
        <w:t xml:space="preserve">TUI Group shows it cares about its employees' future success by providing such training and development opportunities. As a result, the firm is able to keep its best employees and stay ahead of the competition by investing in the growth of </w:t>
      </w:r>
      <w:r>
        <w:rPr>
          <w:rFonts w:ascii="Arial" w:hAnsi="Arial"/>
        </w:rPr>
        <w:t>its</w:t>
      </w:r>
      <w:r w:rsidRPr="003E1139">
        <w:rPr>
          <w:rFonts w:ascii="Arial" w:hAnsi="Arial"/>
        </w:rPr>
        <w:t xml:space="preserve"> skills and expertise.</w:t>
      </w:r>
    </w:p>
    <w:p w14:paraId="66E6D449" w14:textId="77777777" w:rsidR="002B1C7D" w:rsidRPr="003E1139" w:rsidRDefault="002B1C7D" w:rsidP="002B1C7D">
      <w:pPr>
        <w:rPr>
          <w:rFonts w:ascii="Arial" w:hAnsi="Arial"/>
        </w:rPr>
      </w:pPr>
      <w:r w:rsidRPr="003E1139">
        <w:rPr>
          <w:rFonts w:ascii="Arial" w:hAnsi="Arial"/>
        </w:rPr>
        <w:t>Employees in the tourist business experience long hours, high stress, and seasonal work, all of which contribute to the industry's retention problem. However, TUI Group has adopted a number of measures to address the difficulty of keeping qualified and engaged employees.</w:t>
      </w:r>
      <w:r>
        <w:rPr>
          <w:rFonts w:ascii="Arial" w:hAnsi="Arial"/>
        </w:rPr>
        <w:t xml:space="preserve"> </w:t>
      </w:r>
      <w:r w:rsidRPr="003E1139">
        <w:rPr>
          <w:rFonts w:ascii="Arial" w:hAnsi="Arial"/>
        </w:rPr>
        <w:t xml:space="preserve">Building a pleasant workplace culture that encourages and supports employees' health and happiness is a powerful retention tactic (Woo, Kim and </w:t>
      </w:r>
      <w:proofErr w:type="spellStart"/>
      <w:r w:rsidRPr="003E1139">
        <w:rPr>
          <w:rFonts w:ascii="Arial" w:hAnsi="Arial"/>
        </w:rPr>
        <w:t>Uysal</w:t>
      </w:r>
      <w:proofErr w:type="spellEnd"/>
      <w:r w:rsidRPr="003E1139">
        <w:rPr>
          <w:rFonts w:ascii="Arial" w:hAnsi="Arial"/>
        </w:rPr>
        <w:t>, 2015). The TUI Group is committed to fostering a healthy work-life balance by facilitating a variety of work-from-home options, supporting employee wellness programs, and encouraging group bonding events. Equally important to the organization is making sure that all of its workers feel like they belong there, no matter who they are or where they come from.</w:t>
      </w:r>
      <w:r>
        <w:rPr>
          <w:rFonts w:ascii="Arial" w:hAnsi="Arial"/>
        </w:rPr>
        <w:t xml:space="preserve"> </w:t>
      </w:r>
      <w:r w:rsidRPr="003E1139">
        <w:rPr>
          <w:rFonts w:ascii="Arial" w:hAnsi="Arial"/>
        </w:rPr>
        <w:t xml:space="preserve">TUI Group also hosts frequent town hall meetings, suggestion initiatives, and social events to encourage participation from its staff. According to the company's employee engagement survey, these changes have increased job satisfaction and reduced turnover (Woo, Kim and </w:t>
      </w:r>
      <w:proofErr w:type="spellStart"/>
      <w:r w:rsidRPr="003E1139">
        <w:rPr>
          <w:rFonts w:ascii="Arial" w:hAnsi="Arial"/>
        </w:rPr>
        <w:t>Uysal</w:t>
      </w:r>
      <w:proofErr w:type="spellEnd"/>
      <w:r w:rsidRPr="003E1139">
        <w:rPr>
          <w:rFonts w:ascii="Arial" w:hAnsi="Arial"/>
        </w:rPr>
        <w:t>, 2015).</w:t>
      </w:r>
      <w:r>
        <w:rPr>
          <w:rFonts w:ascii="Arial" w:hAnsi="Arial"/>
        </w:rPr>
        <w:t xml:space="preserve"> </w:t>
      </w:r>
      <w:r w:rsidRPr="003E1139">
        <w:rPr>
          <w:rFonts w:ascii="Arial" w:hAnsi="Arial"/>
        </w:rPr>
        <w:t>TUI Group also shows its dedication to its employees by providing them with extensive career development programs and performance-based rewards (</w:t>
      </w:r>
      <w:proofErr w:type="spellStart"/>
      <w:r w:rsidRPr="003E1139">
        <w:rPr>
          <w:rFonts w:ascii="Arial" w:hAnsi="Arial"/>
        </w:rPr>
        <w:t>Alarcón</w:t>
      </w:r>
      <w:proofErr w:type="spellEnd"/>
      <w:r w:rsidRPr="003E1139">
        <w:rPr>
          <w:rFonts w:ascii="Arial" w:hAnsi="Arial"/>
        </w:rPr>
        <w:t xml:space="preserve"> and Cole, 2019). The corporation provides its employees with generous benefits and pay, and it consistently acknowledges and rewards superior work.</w:t>
      </w:r>
      <w:r>
        <w:rPr>
          <w:rFonts w:ascii="Arial" w:hAnsi="Arial"/>
        </w:rPr>
        <w:t xml:space="preserve"> </w:t>
      </w:r>
      <w:r w:rsidRPr="003E1139">
        <w:rPr>
          <w:rFonts w:ascii="Arial" w:hAnsi="Arial"/>
        </w:rPr>
        <w:t>TUI Group has been successful in maintaining top personnel by meeting the difficulties of retention via the provision of a conducive work environment and culture and the provision of competitive remuneration and benefits packages (Bloch, 2017). Furthermore, TUI group guarantees that its workers are both motivated and dedicated to contribute to the success of the company by giving chances for employee involvement and progress.</w:t>
      </w:r>
    </w:p>
    <w:p w14:paraId="406AE13E" w14:textId="77777777" w:rsidR="002B1C7D" w:rsidRPr="003E1139" w:rsidRDefault="002B1C7D" w:rsidP="002B1C7D">
      <w:pPr>
        <w:rPr>
          <w:rFonts w:ascii="Arial" w:hAnsi="Arial"/>
        </w:rPr>
      </w:pPr>
      <w:r w:rsidRPr="003E1139">
        <w:rPr>
          <w:rFonts w:ascii="Arial" w:hAnsi="Arial"/>
        </w:rPr>
        <w:t>Careful management is required throughout the offboarding or separation process since it is an integral part of the employment lifecycle (Brown and Osman, 2017). TUI Group understands that offboarding may have an effect on present workers, potential hires, and the company's image. To ensure a smooth transition for all parties, the organization has implemented best practices for offboarding workers.</w:t>
      </w:r>
    </w:p>
    <w:p w14:paraId="5F4FD081" w14:textId="77777777" w:rsidR="002B1C7D" w:rsidRPr="003E1139" w:rsidRDefault="002B1C7D" w:rsidP="002B1C7D">
      <w:pPr>
        <w:rPr>
          <w:rFonts w:ascii="Arial" w:hAnsi="Arial"/>
        </w:rPr>
      </w:pPr>
      <w:r w:rsidRPr="003E1139">
        <w:rPr>
          <w:rFonts w:ascii="Arial" w:hAnsi="Arial"/>
        </w:rPr>
        <w:lastRenderedPageBreak/>
        <w:t>During offboarding, it is important to keep departing workers informed about the next stages in the process, as well as any necessary documentation or deadlines (CHRISTIAN, 2015). When an employee leaves TUI Group, they are provided with comprehensive information on their benefits, last payment, and any other matters pertaining to their employment.</w:t>
      </w:r>
    </w:p>
    <w:p w14:paraId="13FEBB8F" w14:textId="77777777" w:rsidR="002B1C7D" w:rsidRPr="003E1139" w:rsidRDefault="002B1C7D" w:rsidP="002B1C7D">
      <w:pPr>
        <w:rPr>
          <w:rFonts w:ascii="Arial" w:hAnsi="Arial"/>
        </w:rPr>
      </w:pPr>
      <w:r w:rsidRPr="003E1139">
        <w:rPr>
          <w:rFonts w:ascii="Arial" w:hAnsi="Arial"/>
        </w:rPr>
        <w:t>TUI Group also uses exit interviews to learn more about why workers are leaving and how they felt they were treated while they were there (</w:t>
      </w:r>
      <w:proofErr w:type="spellStart"/>
      <w:r w:rsidRPr="003E1139">
        <w:rPr>
          <w:rFonts w:ascii="Arial" w:hAnsi="Arial"/>
        </w:rPr>
        <w:t>Dashper</w:t>
      </w:r>
      <w:proofErr w:type="spellEnd"/>
      <w:r w:rsidRPr="003E1139">
        <w:rPr>
          <w:rFonts w:ascii="Arial" w:hAnsi="Arial"/>
        </w:rPr>
        <w:t xml:space="preserve">, 2018). </w:t>
      </w:r>
      <w:r w:rsidRPr="00237D93">
        <w:rPr>
          <w:rFonts w:ascii="Arial" w:hAnsi="Arial"/>
        </w:rPr>
        <w:t>TUI Group uses data to improve its rules, processes, culture, and management practices. When an employee leaves, they are given access to career transition options to facilitate a smooth transition and demonstrate the company's commitment to their professional development.</w:t>
      </w:r>
      <w:r>
        <w:rPr>
          <w:rFonts w:ascii="Arial" w:hAnsi="Arial"/>
        </w:rPr>
        <w:t xml:space="preserve"> </w:t>
      </w:r>
      <w:r w:rsidRPr="003E1139">
        <w:rPr>
          <w:rFonts w:ascii="Arial" w:hAnsi="Arial"/>
        </w:rPr>
        <w:t>TUI Group's offboarding process exemplifies the company's dedication to these core principles throughout the entire employment relationship (</w:t>
      </w:r>
      <w:proofErr w:type="spellStart"/>
      <w:r w:rsidRPr="003E1139">
        <w:rPr>
          <w:rFonts w:ascii="Arial" w:hAnsi="Arial"/>
        </w:rPr>
        <w:t>Dashper</w:t>
      </w:r>
      <w:proofErr w:type="spellEnd"/>
      <w:r w:rsidRPr="003E1139">
        <w:rPr>
          <w:rFonts w:ascii="Arial" w:hAnsi="Arial"/>
        </w:rPr>
        <w:t>, 2018). TUI Group takes offboarding seriously and uses best practices to make sure leaving workers are treated with respect and gratitude for their time and effort. When it comes to present staff, potential new hires, and the company's image, this method may assist lessen the blow of a leave.</w:t>
      </w:r>
    </w:p>
    <w:p w14:paraId="2E6E167F" w14:textId="77777777" w:rsidR="002B1C7D" w:rsidRPr="003E1139" w:rsidRDefault="002B1C7D" w:rsidP="002B1C7D">
      <w:pPr>
        <w:rPr>
          <w:rFonts w:ascii="Arial" w:hAnsi="Arial"/>
        </w:rPr>
      </w:pPr>
      <w:r w:rsidRPr="003E1139">
        <w:rPr>
          <w:rFonts w:ascii="Arial" w:hAnsi="Arial"/>
        </w:rPr>
        <w:t>Talent management and engagement may boost TUI Group team and organizational performance. TUI Group improved numerous indicators by investing in staff development and retention.</w:t>
      </w:r>
      <w:r>
        <w:rPr>
          <w:rFonts w:ascii="Arial" w:hAnsi="Arial"/>
        </w:rPr>
        <w:t xml:space="preserve"> </w:t>
      </w:r>
      <w:r w:rsidRPr="003E1139">
        <w:rPr>
          <w:rFonts w:ascii="Arial" w:hAnsi="Arial"/>
        </w:rPr>
        <w:t xml:space="preserve">First, talent management and engagement have improved productivity (Ferguson and </w:t>
      </w:r>
      <w:proofErr w:type="spellStart"/>
      <w:r w:rsidRPr="003E1139">
        <w:rPr>
          <w:rFonts w:ascii="Arial" w:hAnsi="Arial"/>
        </w:rPr>
        <w:t>Alarcón</w:t>
      </w:r>
      <w:proofErr w:type="spellEnd"/>
      <w:r w:rsidRPr="003E1139">
        <w:rPr>
          <w:rFonts w:ascii="Arial" w:hAnsi="Arial"/>
        </w:rPr>
        <w:t>, 2014). Employees gain confidence and expertise through continuing training and development. This boosts organization-wide efficiency and production.</w:t>
      </w:r>
      <w:r>
        <w:rPr>
          <w:rFonts w:ascii="Arial" w:hAnsi="Arial"/>
        </w:rPr>
        <w:t xml:space="preserve"> </w:t>
      </w:r>
      <w:r w:rsidRPr="003E1139">
        <w:rPr>
          <w:rFonts w:ascii="Arial" w:hAnsi="Arial"/>
        </w:rPr>
        <w:t xml:space="preserve">Second, TUI Group's talent management has increased profitability. Retaining competent and experienced workers decreases recruiting expenses and company disruption (Jovanović and </w:t>
      </w:r>
      <w:proofErr w:type="spellStart"/>
      <w:r w:rsidRPr="003E1139">
        <w:rPr>
          <w:rFonts w:ascii="Arial" w:hAnsi="Arial"/>
        </w:rPr>
        <w:t>Ilić</w:t>
      </w:r>
      <w:proofErr w:type="spellEnd"/>
      <w:r w:rsidRPr="003E1139">
        <w:rPr>
          <w:rFonts w:ascii="Arial" w:hAnsi="Arial"/>
        </w:rPr>
        <w:t>, 2016). TUI Group can also boost sales and profitability by fostering a good workplace.</w:t>
      </w:r>
      <w:r>
        <w:rPr>
          <w:rFonts w:ascii="Arial" w:hAnsi="Arial"/>
        </w:rPr>
        <w:t xml:space="preserve"> </w:t>
      </w:r>
      <w:r w:rsidRPr="003E1139">
        <w:rPr>
          <w:rFonts w:ascii="Arial" w:hAnsi="Arial"/>
        </w:rPr>
        <w:t xml:space="preserve">Third, talent management and engagement improve customer happiness. TUI Group understands that staff engagement drives consumer satisfaction. Satisfied and engaged staff are more inclined to go above and beyond to serve consumers, which increases loyalty and </w:t>
      </w:r>
      <w:proofErr w:type="spellStart"/>
      <w:r w:rsidRPr="003E1139">
        <w:rPr>
          <w:rFonts w:ascii="Arial" w:hAnsi="Arial"/>
        </w:rPr>
        <w:t>favorable</w:t>
      </w:r>
      <w:proofErr w:type="spellEnd"/>
      <w:r w:rsidRPr="003E1139">
        <w:rPr>
          <w:rFonts w:ascii="Arial" w:hAnsi="Arial"/>
        </w:rPr>
        <w:t xml:space="preserve"> word-of-mouth marketing.</w:t>
      </w:r>
      <w:r>
        <w:rPr>
          <w:rFonts w:ascii="Arial" w:hAnsi="Arial"/>
        </w:rPr>
        <w:t xml:space="preserve"> </w:t>
      </w:r>
      <w:r w:rsidRPr="003E1139">
        <w:rPr>
          <w:rFonts w:ascii="Arial" w:hAnsi="Arial"/>
        </w:rPr>
        <w:t>Finally, these methods may strengthen company teams. Talent management may develop a culture of cooperation and teamwork and increase departmental communication. This improves problem-solving, inventiveness, and performance.</w:t>
      </w:r>
    </w:p>
    <w:p w14:paraId="5061CCCB" w14:textId="77777777" w:rsidR="002B1C7D" w:rsidRPr="003E1139" w:rsidRDefault="002B1C7D" w:rsidP="002B1C7D">
      <w:pPr>
        <w:rPr>
          <w:rFonts w:ascii="Arial" w:hAnsi="Arial"/>
        </w:rPr>
      </w:pPr>
      <w:r w:rsidRPr="003E1139">
        <w:rPr>
          <w:rFonts w:ascii="Arial" w:hAnsi="Arial"/>
        </w:rPr>
        <w:lastRenderedPageBreak/>
        <w:t>In conclusion, effective personnel management and engagement initiatives improve team and organizational performance at TUI Group (Figueroa-Domecq et al., 2015). TUI Group boosted efficiency, profitability, and customer pleasure by emphasizing staff development and retention. Any company wanting long-term success should prioritize people management.</w:t>
      </w:r>
    </w:p>
    <w:p w14:paraId="52FA6C99" w14:textId="77777777" w:rsidR="002B1C7D" w:rsidRPr="003E1139" w:rsidRDefault="002B1C7D" w:rsidP="002B1C7D">
      <w:pPr>
        <w:rPr>
          <w:rFonts w:ascii="Arial" w:hAnsi="Arial"/>
        </w:rPr>
      </w:pPr>
      <w:r w:rsidRPr="003E1139">
        <w:rPr>
          <w:rFonts w:ascii="Arial" w:hAnsi="Arial"/>
        </w:rPr>
        <w:t>Tourism organizations have embraced personnel management and engagement best practices to boost employee happiness, retention, and performance. Some examples</w:t>
      </w:r>
      <w:r>
        <w:rPr>
          <w:rFonts w:ascii="Arial" w:hAnsi="Arial"/>
        </w:rPr>
        <w:t xml:space="preserve"> Like </w:t>
      </w:r>
    </w:p>
    <w:p w14:paraId="6C251627" w14:textId="77777777" w:rsidR="002B1C7D" w:rsidRPr="006948B9" w:rsidRDefault="002B1C7D" w:rsidP="002B1C7D">
      <w:pPr>
        <w:rPr>
          <w:rFonts w:ascii="Arial" w:hAnsi="Arial"/>
        </w:rPr>
      </w:pPr>
      <w:r w:rsidRPr="006948B9">
        <w:rPr>
          <w:rFonts w:ascii="Arial" w:hAnsi="Arial"/>
        </w:rPr>
        <w:t>Marriott International</w:t>
      </w:r>
      <w:r>
        <w:rPr>
          <w:rFonts w:ascii="Arial" w:hAnsi="Arial"/>
        </w:rPr>
        <w:t>,</w:t>
      </w:r>
      <w:r w:rsidRPr="006948B9">
        <w:rPr>
          <w:rFonts w:ascii="Arial" w:hAnsi="Arial"/>
        </w:rPr>
        <w:t xml:space="preserve"> </w:t>
      </w:r>
      <w:r>
        <w:rPr>
          <w:rFonts w:ascii="Arial" w:hAnsi="Arial"/>
        </w:rPr>
        <w:t>t</w:t>
      </w:r>
      <w:r w:rsidRPr="006948B9">
        <w:rPr>
          <w:rFonts w:ascii="Arial" w:hAnsi="Arial"/>
        </w:rPr>
        <w:t>he corporation offers leadership and online learning programs to its workers. Data analytics helps them measure employee engagement and improve.</w:t>
      </w:r>
    </w:p>
    <w:p w14:paraId="65CFB793" w14:textId="77777777" w:rsidR="002B1C7D" w:rsidRPr="003E1139" w:rsidRDefault="002B1C7D" w:rsidP="002B1C7D">
      <w:pPr>
        <w:rPr>
          <w:rFonts w:ascii="Arial" w:hAnsi="Arial"/>
        </w:rPr>
      </w:pPr>
      <w:r w:rsidRPr="006948B9">
        <w:rPr>
          <w:rFonts w:ascii="Arial" w:hAnsi="Arial"/>
        </w:rPr>
        <w:t>Hilton Worldwide</w:t>
      </w:r>
      <w:r>
        <w:rPr>
          <w:rFonts w:ascii="Arial" w:hAnsi="Arial"/>
        </w:rPr>
        <w:t>,</w:t>
      </w:r>
      <w:r w:rsidRPr="006948B9">
        <w:rPr>
          <w:rFonts w:ascii="Arial" w:hAnsi="Arial"/>
        </w:rPr>
        <w:t xml:space="preserve"> </w:t>
      </w:r>
      <w:r>
        <w:rPr>
          <w:rFonts w:ascii="Arial" w:hAnsi="Arial"/>
        </w:rPr>
        <w:t>b</w:t>
      </w:r>
      <w:r w:rsidRPr="006948B9">
        <w:rPr>
          <w:rFonts w:ascii="Arial" w:hAnsi="Arial"/>
        </w:rPr>
        <w:t>enefits include health and wellness, retirement, and tuition reimbursement. Their unconscious bias training and Women's Leadership Program promote diversity and inclusion.</w:t>
      </w:r>
      <w:r>
        <w:rPr>
          <w:rFonts w:ascii="Arial" w:hAnsi="Arial"/>
        </w:rPr>
        <w:t xml:space="preserve"> </w:t>
      </w:r>
      <w:r w:rsidRPr="006948B9">
        <w:rPr>
          <w:rFonts w:ascii="Arial" w:hAnsi="Arial"/>
        </w:rPr>
        <w:t xml:space="preserve">Four Seasons Hotel and </w:t>
      </w:r>
      <w:proofErr w:type="spellStart"/>
      <w:r w:rsidRPr="006948B9">
        <w:rPr>
          <w:rFonts w:ascii="Arial" w:hAnsi="Arial"/>
        </w:rPr>
        <w:t>Resorts</w:t>
      </w:r>
      <w:r>
        <w:rPr>
          <w:rFonts w:ascii="Arial" w:hAnsi="Arial"/>
        </w:rPr>
        <w:t>,t</w:t>
      </w:r>
      <w:r w:rsidRPr="006948B9">
        <w:rPr>
          <w:rFonts w:ascii="Arial" w:hAnsi="Arial"/>
        </w:rPr>
        <w:t>he</w:t>
      </w:r>
      <w:proofErr w:type="spellEnd"/>
      <w:r w:rsidRPr="006948B9">
        <w:rPr>
          <w:rFonts w:ascii="Arial" w:hAnsi="Arial"/>
        </w:rPr>
        <w:t xml:space="preserve"> organization uses surveys and feedback to boost employee engagement. Their "Pathways" program offers professional growth and excellent pay and benefits.</w:t>
      </w:r>
      <w:r>
        <w:rPr>
          <w:rFonts w:ascii="Arial" w:hAnsi="Arial"/>
        </w:rPr>
        <w:t xml:space="preserve"> </w:t>
      </w:r>
      <w:r w:rsidRPr="003E1139">
        <w:rPr>
          <w:rFonts w:ascii="Arial" w:hAnsi="Arial"/>
        </w:rPr>
        <w:t>TUI Group outperforms them in various categories. TUI Group's "Talent Factory" program offers customized career development and promotes work rotation and foreign assignments. "Better Holidays, Better World" promotes sustainable tourism at the firm (</w:t>
      </w:r>
      <w:proofErr w:type="spellStart"/>
      <w:r w:rsidRPr="003E1139">
        <w:rPr>
          <w:rFonts w:ascii="Arial" w:hAnsi="Arial"/>
        </w:rPr>
        <w:t>Khoshkhoo</w:t>
      </w:r>
      <w:proofErr w:type="spellEnd"/>
      <w:r w:rsidRPr="003E1139">
        <w:rPr>
          <w:rFonts w:ascii="Arial" w:hAnsi="Arial"/>
        </w:rPr>
        <w:t xml:space="preserve"> and Rasool, 2020). TUI Group supports employee well-being via flexible work options and work-life balance.</w:t>
      </w:r>
    </w:p>
    <w:p w14:paraId="6CC26156" w14:textId="77777777" w:rsidR="002B1C7D" w:rsidRPr="003E1139" w:rsidRDefault="002B1C7D" w:rsidP="002B1C7D">
      <w:pPr>
        <w:rPr>
          <w:rFonts w:ascii="Arial" w:hAnsi="Arial"/>
        </w:rPr>
      </w:pPr>
      <w:r w:rsidRPr="003E1139">
        <w:rPr>
          <w:rFonts w:ascii="Arial" w:hAnsi="Arial"/>
        </w:rPr>
        <w:t xml:space="preserve">TUI Group can also enhance talent management and engagement. Hilton </w:t>
      </w:r>
      <w:proofErr w:type="spellStart"/>
      <w:r w:rsidRPr="003E1139">
        <w:rPr>
          <w:rFonts w:ascii="Arial" w:hAnsi="Arial"/>
        </w:rPr>
        <w:t>Worldwide's</w:t>
      </w:r>
      <w:proofErr w:type="spellEnd"/>
      <w:r w:rsidRPr="003E1139">
        <w:rPr>
          <w:rFonts w:ascii="Arial" w:hAnsi="Arial"/>
        </w:rPr>
        <w:t xml:space="preserve"> extensive and comprehensive benefits packages may benefit TUI Group. Like Four Seasons Hotel and Resorts, TUI Group might boost employee engagement through frequent surveys and feedback.</w:t>
      </w:r>
    </w:p>
    <w:p w14:paraId="781CFF66" w14:textId="77777777" w:rsidR="002B1C7D" w:rsidRPr="003E1139" w:rsidRDefault="002B1C7D" w:rsidP="002B1C7D">
      <w:pPr>
        <w:rPr>
          <w:rFonts w:ascii="Arial" w:hAnsi="Arial"/>
        </w:rPr>
      </w:pPr>
      <w:r w:rsidRPr="003E1139">
        <w:rPr>
          <w:rFonts w:ascii="Arial" w:hAnsi="Arial"/>
        </w:rPr>
        <w:t>Performance management is another people management strategy TUI Group can enhance (</w:t>
      </w:r>
      <w:proofErr w:type="spellStart"/>
      <w:r w:rsidRPr="003E1139">
        <w:rPr>
          <w:rFonts w:ascii="Arial" w:hAnsi="Arial"/>
        </w:rPr>
        <w:t>Khoshkhoo</w:t>
      </w:r>
      <w:proofErr w:type="spellEnd"/>
      <w:r w:rsidRPr="003E1139">
        <w:rPr>
          <w:rFonts w:ascii="Arial" w:hAnsi="Arial"/>
        </w:rPr>
        <w:t xml:space="preserve"> and Rasool, 2020). TUI Group values continuing training and development, but it might enhance employee performance monitoring by using data.</w:t>
      </w:r>
    </w:p>
    <w:p w14:paraId="0B7EE046" w14:textId="77777777" w:rsidR="002B1C7D" w:rsidRPr="003E1139" w:rsidRDefault="002B1C7D" w:rsidP="002B1C7D">
      <w:pPr>
        <w:rPr>
          <w:rFonts w:ascii="Arial" w:hAnsi="Arial"/>
        </w:rPr>
      </w:pPr>
      <w:r w:rsidRPr="003E1139">
        <w:rPr>
          <w:rFonts w:ascii="Arial" w:hAnsi="Arial"/>
        </w:rPr>
        <w:t>Finally, TUI Group may learn personnel management and engagement best practices from other tourist organizations. The firm has made tremendous progress in these areas, but it can always improve. TUI Group can retain great people and expand sustainably by emphasizing employee development, engagement, and well-being.</w:t>
      </w:r>
    </w:p>
    <w:p w14:paraId="1D6E866B" w14:textId="77777777" w:rsidR="002B1C7D" w:rsidRPr="006948B9" w:rsidRDefault="002B1C7D" w:rsidP="002B1C7D">
      <w:pPr>
        <w:spacing w:after="160" w:line="259" w:lineRule="auto"/>
        <w:jc w:val="left"/>
        <w:rPr>
          <w:rFonts w:ascii="Arial" w:hAnsi="Arial"/>
          <w:b/>
          <w:color w:val="44546A" w:themeColor="text2"/>
          <w:sz w:val="32"/>
          <w:szCs w:val="40"/>
        </w:rPr>
      </w:pPr>
      <w:r w:rsidRPr="003E1139">
        <w:rPr>
          <w:rFonts w:ascii="Arial" w:hAnsi="Arial"/>
        </w:rPr>
        <w:t xml:space="preserve">In conclusion, TUI Group's personnel management and engagement practices have increased employee happiness, retention, and performance. Employer branding, applicant experience, onboarding, career development, and offboarding are corporate </w:t>
      </w:r>
      <w:r w:rsidRPr="003E1139">
        <w:rPr>
          <w:rFonts w:ascii="Arial" w:hAnsi="Arial"/>
        </w:rPr>
        <w:lastRenderedPageBreak/>
        <w:t>efforts. Tourism firms gain efficiency, profitability, and customer happiness via personnel management and engagement methods. Positive work cultures encourage cooperation, creativity, and lower turnover. Organizations must integrate talent management with objectives and values. This makes workers feel appreciated, respected, and driven to help the company succeed. Talent development and retention are essential for long-term success. TUI Group may learn from other industry leaders to strengthen people management and engagement methods. Tourism organizations can retain great talent and expand sustainably by addressing employee development, engagement, and well-being.</w:t>
      </w:r>
    </w:p>
    <w:p w14:paraId="3427780F" w14:textId="77777777" w:rsidR="002B1C7D" w:rsidRPr="003E1139" w:rsidRDefault="002B1C7D" w:rsidP="002B1C7D">
      <w:pPr>
        <w:spacing w:after="160" w:line="259" w:lineRule="auto"/>
        <w:jc w:val="left"/>
        <w:rPr>
          <w:rFonts w:ascii="Arial" w:hAnsi="Arial"/>
        </w:rPr>
      </w:pPr>
      <w:r w:rsidRPr="003E1139">
        <w:rPr>
          <w:rFonts w:ascii="Arial" w:hAnsi="Arial"/>
        </w:rPr>
        <w:br w:type="page"/>
      </w:r>
    </w:p>
    <w:p w14:paraId="6935B256" w14:textId="77777777" w:rsidR="002B1C7D" w:rsidRPr="003E1139" w:rsidRDefault="002B1C7D" w:rsidP="002B1C7D">
      <w:pPr>
        <w:pStyle w:val="Heading1"/>
        <w:rPr>
          <w:rFonts w:ascii="Arial" w:hAnsi="Arial"/>
          <w:lang w:val="en-US"/>
        </w:rPr>
      </w:pPr>
      <w:bookmarkStart w:id="0" w:name="_Toc137111456"/>
      <w:r w:rsidRPr="003E1139">
        <w:rPr>
          <w:rFonts w:ascii="Arial" w:hAnsi="Arial"/>
        </w:rPr>
        <w:lastRenderedPageBreak/>
        <w:t>Reference list</w:t>
      </w:r>
      <w:bookmarkEnd w:id="0"/>
    </w:p>
    <w:p w14:paraId="4C0773BE"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t>Alarcón</w:t>
      </w:r>
      <w:proofErr w:type="spellEnd"/>
      <w:r w:rsidRPr="003E1139">
        <w:rPr>
          <w:rFonts w:ascii="Arial" w:hAnsi="Arial" w:cs="Arial"/>
        </w:rPr>
        <w:t xml:space="preserve">, D.M. and Cole, S. (2019). No sustainability for tourism without gender equality. </w:t>
      </w:r>
      <w:r w:rsidRPr="003E1139">
        <w:rPr>
          <w:rFonts w:ascii="Arial" w:hAnsi="Arial" w:cs="Arial"/>
          <w:i/>
          <w:iCs/>
        </w:rPr>
        <w:t>Journal of Sustainable Tourism</w:t>
      </w:r>
      <w:r w:rsidRPr="003E1139">
        <w:rPr>
          <w:rFonts w:ascii="Arial" w:hAnsi="Arial" w:cs="Arial"/>
        </w:rPr>
        <w:t xml:space="preserve">, 27(7), pp.903–919. </w:t>
      </w:r>
      <w:proofErr w:type="spellStart"/>
      <w:r w:rsidRPr="003E1139">
        <w:rPr>
          <w:rFonts w:ascii="Arial" w:hAnsi="Arial" w:cs="Arial"/>
        </w:rPr>
        <w:t>doi:https</w:t>
      </w:r>
      <w:proofErr w:type="spellEnd"/>
      <w:r w:rsidRPr="003E1139">
        <w:rPr>
          <w:rFonts w:ascii="Arial" w:hAnsi="Arial" w:cs="Arial"/>
        </w:rPr>
        <w:t>://doi.org/10.1080/09669582.2019.1588283.</w:t>
      </w:r>
    </w:p>
    <w:p w14:paraId="54F02C72"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Bloch, N. (2017). Barbarians in India. Tourism as moral contamination. </w:t>
      </w:r>
      <w:r w:rsidRPr="003E1139">
        <w:rPr>
          <w:rFonts w:ascii="Arial" w:hAnsi="Arial" w:cs="Arial"/>
          <w:i/>
          <w:iCs/>
        </w:rPr>
        <w:t>Annals of Tourism Research</w:t>
      </w:r>
      <w:r w:rsidRPr="003E1139">
        <w:rPr>
          <w:rFonts w:ascii="Arial" w:hAnsi="Arial" w:cs="Arial"/>
        </w:rPr>
        <w:t xml:space="preserve">, 62, pp.64–77. </w:t>
      </w:r>
      <w:proofErr w:type="spellStart"/>
      <w:r w:rsidRPr="003E1139">
        <w:rPr>
          <w:rFonts w:ascii="Arial" w:hAnsi="Arial" w:cs="Arial"/>
        </w:rPr>
        <w:t>doi:https</w:t>
      </w:r>
      <w:proofErr w:type="spellEnd"/>
      <w:r w:rsidRPr="003E1139">
        <w:rPr>
          <w:rFonts w:ascii="Arial" w:hAnsi="Arial" w:cs="Arial"/>
        </w:rPr>
        <w:t>://doi.org/10.1016/j.annals.2016.12.001.</w:t>
      </w:r>
    </w:p>
    <w:p w14:paraId="1CE5E4E3"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Brown, L. and Osman, H. (2017). The female tourist experience in Egypt as an Islamic destination. </w:t>
      </w:r>
      <w:r w:rsidRPr="003E1139">
        <w:rPr>
          <w:rFonts w:ascii="Arial" w:hAnsi="Arial" w:cs="Arial"/>
          <w:i/>
          <w:iCs/>
        </w:rPr>
        <w:t>Annals of Tourism Research</w:t>
      </w:r>
      <w:r w:rsidRPr="003E1139">
        <w:rPr>
          <w:rFonts w:ascii="Arial" w:hAnsi="Arial" w:cs="Arial"/>
        </w:rPr>
        <w:t xml:space="preserve">, 63, pp.12–22. </w:t>
      </w:r>
      <w:proofErr w:type="spellStart"/>
      <w:r w:rsidRPr="003E1139">
        <w:rPr>
          <w:rFonts w:ascii="Arial" w:hAnsi="Arial" w:cs="Arial"/>
        </w:rPr>
        <w:t>doi:https</w:t>
      </w:r>
      <w:proofErr w:type="spellEnd"/>
      <w:r w:rsidRPr="003E1139">
        <w:rPr>
          <w:rFonts w:ascii="Arial" w:hAnsi="Arial" w:cs="Arial"/>
        </w:rPr>
        <w:t>://doi.org/10.1016/j.annals.2016.12.005.</w:t>
      </w:r>
    </w:p>
    <w:p w14:paraId="3A8A9947"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CHRISTIAN, M. (2015). Kenya’s tourist industry and global production networks: gender, race and inequality. </w:t>
      </w:r>
      <w:r w:rsidRPr="003E1139">
        <w:rPr>
          <w:rFonts w:ascii="Arial" w:hAnsi="Arial" w:cs="Arial"/>
          <w:i/>
          <w:iCs/>
        </w:rPr>
        <w:t>Global Networks</w:t>
      </w:r>
      <w:r w:rsidRPr="003E1139">
        <w:rPr>
          <w:rFonts w:ascii="Arial" w:hAnsi="Arial" w:cs="Arial"/>
        </w:rPr>
        <w:t xml:space="preserve">, 16(1), pp.25–44. </w:t>
      </w:r>
      <w:proofErr w:type="spellStart"/>
      <w:r w:rsidRPr="003E1139">
        <w:rPr>
          <w:rFonts w:ascii="Arial" w:hAnsi="Arial" w:cs="Arial"/>
        </w:rPr>
        <w:t>doi:https</w:t>
      </w:r>
      <w:proofErr w:type="spellEnd"/>
      <w:r w:rsidRPr="003E1139">
        <w:rPr>
          <w:rFonts w:ascii="Arial" w:hAnsi="Arial" w:cs="Arial"/>
        </w:rPr>
        <w:t>://doi.org/10.1111/glob.12094.</w:t>
      </w:r>
    </w:p>
    <w:p w14:paraId="72271733"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t>Dashper</w:t>
      </w:r>
      <w:proofErr w:type="spellEnd"/>
      <w:r w:rsidRPr="003E1139">
        <w:rPr>
          <w:rFonts w:ascii="Arial" w:hAnsi="Arial" w:cs="Arial"/>
        </w:rPr>
        <w:t>, K. (2018). Challenging the gendered rhetoric of success? The limitations of women</w:t>
      </w:r>
      <w:r w:rsidRPr="003E1139">
        <w:rPr>
          <w:rFonts w:ascii="Cambria Math" w:hAnsi="Cambria Math" w:cs="Cambria Math"/>
        </w:rPr>
        <w:t>‐</w:t>
      </w:r>
      <w:r w:rsidRPr="003E1139">
        <w:rPr>
          <w:rFonts w:ascii="Arial" w:hAnsi="Arial" w:cs="Arial"/>
        </w:rPr>
        <w:t xml:space="preserve">only mentoring for tackling gender inequality in the workplace. </w:t>
      </w:r>
      <w:r w:rsidRPr="003E1139">
        <w:rPr>
          <w:rFonts w:ascii="Arial" w:hAnsi="Arial" w:cs="Arial"/>
          <w:i/>
          <w:iCs/>
        </w:rPr>
        <w:t>Gender, Work &amp; Organization</w:t>
      </w:r>
      <w:r w:rsidRPr="003E1139">
        <w:rPr>
          <w:rFonts w:ascii="Arial" w:hAnsi="Arial" w:cs="Arial"/>
        </w:rPr>
        <w:t xml:space="preserve">, 26(4), pp.541–557. </w:t>
      </w:r>
      <w:proofErr w:type="spellStart"/>
      <w:r w:rsidRPr="003E1139">
        <w:rPr>
          <w:rFonts w:ascii="Arial" w:hAnsi="Arial" w:cs="Arial"/>
        </w:rPr>
        <w:t>doi:https</w:t>
      </w:r>
      <w:proofErr w:type="spellEnd"/>
      <w:r w:rsidRPr="003E1139">
        <w:rPr>
          <w:rFonts w:ascii="Arial" w:hAnsi="Arial" w:cs="Arial"/>
        </w:rPr>
        <w:t>://doi.org/10.1111/gwao.12262.</w:t>
      </w:r>
    </w:p>
    <w:p w14:paraId="60B1FAA2"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Ferguson, L. and </w:t>
      </w:r>
      <w:proofErr w:type="spellStart"/>
      <w:r w:rsidRPr="003E1139">
        <w:rPr>
          <w:rFonts w:ascii="Arial" w:hAnsi="Arial" w:cs="Arial"/>
        </w:rPr>
        <w:t>Alarcón</w:t>
      </w:r>
      <w:proofErr w:type="spellEnd"/>
      <w:r w:rsidRPr="003E1139">
        <w:rPr>
          <w:rFonts w:ascii="Arial" w:hAnsi="Arial" w:cs="Arial"/>
        </w:rPr>
        <w:t xml:space="preserve">, D.M. (2014). Gender and sustainable tourism: reflections on theory and practice. </w:t>
      </w:r>
      <w:r w:rsidRPr="003E1139">
        <w:rPr>
          <w:rFonts w:ascii="Arial" w:hAnsi="Arial" w:cs="Arial"/>
          <w:i/>
          <w:iCs/>
        </w:rPr>
        <w:t>Journal of Sustainable Tourism</w:t>
      </w:r>
      <w:r w:rsidRPr="003E1139">
        <w:rPr>
          <w:rFonts w:ascii="Arial" w:hAnsi="Arial" w:cs="Arial"/>
        </w:rPr>
        <w:t xml:space="preserve">, 23(3), pp.401–416. </w:t>
      </w:r>
      <w:proofErr w:type="spellStart"/>
      <w:r w:rsidRPr="003E1139">
        <w:rPr>
          <w:rFonts w:ascii="Arial" w:hAnsi="Arial" w:cs="Arial"/>
        </w:rPr>
        <w:t>doi:https</w:t>
      </w:r>
      <w:proofErr w:type="spellEnd"/>
      <w:r w:rsidRPr="003E1139">
        <w:rPr>
          <w:rFonts w:ascii="Arial" w:hAnsi="Arial" w:cs="Arial"/>
        </w:rPr>
        <w:t>://doi.org/10.1080/09669582.2014.957208.</w:t>
      </w:r>
    </w:p>
    <w:p w14:paraId="26E9037A"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Figueroa-Domecq, C., Pritchard, A., Segovia-Pérez, M., Morgan, N. and </w:t>
      </w:r>
      <w:proofErr w:type="spellStart"/>
      <w:r w:rsidRPr="003E1139">
        <w:rPr>
          <w:rFonts w:ascii="Arial" w:hAnsi="Arial" w:cs="Arial"/>
        </w:rPr>
        <w:t>Villacé-Molinero</w:t>
      </w:r>
      <w:proofErr w:type="spellEnd"/>
      <w:r w:rsidRPr="003E1139">
        <w:rPr>
          <w:rFonts w:ascii="Arial" w:hAnsi="Arial" w:cs="Arial"/>
        </w:rPr>
        <w:t xml:space="preserve">, T. (2015). Tourism gender research: A critical accounting. </w:t>
      </w:r>
      <w:r w:rsidRPr="003E1139">
        <w:rPr>
          <w:rFonts w:ascii="Arial" w:hAnsi="Arial" w:cs="Arial"/>
          <w:i/>
          <w:iCs/>
        </w:rPr>
        <w:t>Annals of Tourism Research</w:t>
      </w:r>
      <w:r w:rsidRPr="003E1139">
        <w:rPr>
          <w:rFonts w:ascii="Arial" w:hAnsi="Arial" w:cs="Arial"/>
        </w:rPr>
        <w:t xml:space="preserve">, 52, pp.87–103. </w:t>
      </w:r>
      <w:proofErr w:type="spellStart"/>
      <w:r w:rsidRPr="003E1139">
        <w:rPr>
          <w:rFonts w:ascii="Arial" w:hAnsi="Arial" w:cs="Arial"/>
        </w:rPr>
        <w:t>doi:https</w:t>
      </w:r>
      <w:proofErr w:type="spellEnd"/>
      <w:r w:rsidRPr="003E1139">
        <w:rPr>
          <w:rFonts w:ascii="Arial" w:hAnsi="Arial" w:cs="Arial"/>
        </w:rPr>
        <w:t>://doi.org/10.1016/j.annals.2015.02.001.</w:t>
      </w:r>
    </w:p>
    <w:p w14:paraId="54372501"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Jovanović, S. and </w:t>
      </w:r>
      <w:proofErr w:type="spellStart"/>
      <w:r w:rsidRPr="003E1139">
        <w:rPr>
          <w:rFonts w:ascii="Arial" w:hAnsi="Arial" w:cs="Arial"/>
        </w:rPr>
        <w:t>Ilić</w:t>
      </w:r>
      <w:proofErr w:type="spellEnd"/>
      <w:r w:rsidRPr="003E1139">
        <w:rPr>
          <w:rFonts w:ascii="Arial" w:hAnsi="Arial" w:cs="Arial"/>
        </w:rPr>
        <w:t xml:space="preserve">, I. (2016). INFRASTRUCTURE AS IMPORTANT DETERMINANT OF TOURISM DEVELOPMENT IN THE COUNTRIES OF SOUTHEAST EUROPE. </w:t>
      </w:r>
      <w:proofErr w:type="spellStart"/>
      <w:r w:rsidRPr="003E1139">
        <w:rPr>
          <w:rFonts w:ascii="Arial" w:hAnsi="Arial" w:cs="Arial"/>
          <w:i/>
          <w:iCs/>
        </w:rPr>
        <w:t>Ecoforum</w:t>
      </w:r>
      <w:proofErr w:type="spellEnd"/>
      <w:r w:rsidRPr="003E1139">
        <w:rPr>
          <w:rFonts w:ascii="Arial" w:hAnsi="Arial" w:cs="Arial"/>
          <w:i/>
          <w:iCs/>
        </w:rPr>
        <w:t xml:space="preserve"> Journal</w:t>
      </w:r>
      <w:r w:rsidRPr="003E1139">
        <w:rPr>
          <w:rFonts w:ascii="Arial" w:hAnsi="Arial" w:cs="Arial"/>
        </w:rPr>
        <w:t>, [online] 5(1). Available at: http://www.ecoforumjournal.ro/index.php/eco/article/view/329.</w:t>
      </w:r>
    </w:p>
    <w:p w14:paraId="62936E5A"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lastRenderedPageBreak/>
        <w:t>Khoshkhoo</w:t>
      </w:r>
      <w:proofErr w:type="spellEnd"/>
      <w:r w:rsidRPr="003E1139">
        <w:rPr>
          <w:rFonts w:ascii="Arial" w:hAnsi="Arial" w:cs="Arial"/>
        </w:rPr>
        <w:t xml:space="preserve">, I. and Rasool, M. (2020). Tourism and Escaping Quotidian Interactions; A Philosophical Analysis Based on the Islamic Mystical Vision of Human Nature. </w:t>
      </w:r>
      <w:r w:rsidRPr="003E1139">
        <w:rPr>
          <w:rFonts w:ascii="Arial" w:hAnsi="Arial" w:cs="Arial"/>
          <w:i/>
          <w:iCs/>
        </w:rPr>
        <w:t>International journal of Tourism, Culture &amp; Spirituality</w:t>
      </w:r>
      <w:r w:rsidRPr="003E1139">
        <w:rPr>
          <w:rFonts w:ascii="Arial" w:hAnsi="Arial" w:cs="Arial"/>
        </w:rPr>
        <w:t xml:space="preserve">, [online] 4(2), pp.149–163. </w:t>
      </w:r>
      <w:proofErr w:type="spellStart"/>
      <w:r w:rsidRPr="003E1139">
        <w:rPr>
          <w:rFonts w:ascii="Arial" w:hAnsi="Arial" w:cs="Arial"/>
        </w:rPr>
        <w:t>doi:https</w:t>
      </w:r>
      <w:proofErr w:type="spellEnd"/>
      <w:r w:rsidRPr="003E1139">
        <w:rPr>
          <w:rFonts w:ascii="Arial" w:hAnsi="Arial" w:cs="Arial"/>
        </w:rPr>
        <w:t>://doi.org/10.22133/ijts.2019.207129.1042.</w:t>
      </w:r>
    </w:p>
    <w:p w14:paraId="4CFD6E7A"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t>Leonidou</w:t>
      </w:r>
      <w:proofErr w:type="spellEnd"/>
      <w:r w:rsidRPr="003E1139">
        <w:rPr>
          <w:rFonts w:ascii="Arial" w:hAnsi="Arial" w:cs="Arial"/>
        </w:rPr>
        <w:t xml:space="preserve">, L.C., </w:t>
      </w:r>
      <w:proofErr w:type="spellStart"/>
      <w:r w:rsidRPr="003E1139">
        <w:rPr>
          <w:rFonts w:ascii="Arial" w:hAnsi="Arial" w:cs="Arial"/>
        </w:rPr>
        <w:t>Coudounaris</w:t>
      </w:r>
      <w:proofErr w:type="spellEnd"/>
      <w:r w:rsidRPr="003E1139">
        <w:rPr>
          <w:rFonts w:ascii="Arial" w:hAnsi="Arial" w:cs="Arial"/>
        </w:rPr>
        <w:t xml:space="preserve">, D.N., </w:t>
      </w:r>
      <w:proofErr w:type="spellStart"/>
      <w:r w:rsidRPr="003E1139">
        <w:rPr>
          <w:rFonts w:ascii="Arial" w:hAnsi="Arial" w:cs="Arial"/>
        </w:rPr>
        <w:t>Kvasova</w:t>
      </w:r>
      <w:proofErr w:type="spellEnd"/>
      <w:r w:rsidRPr="003E1139">
        <w:rPr>
          <w:rFonts w:ascii="Arial" w:hAnsi="Arial" w:cs="Arial"/>
        </w:rPr>
        <w:t xml:space="preserve">, O. and Christodoulides, P. (2015). Drivers and Outcomes of Green Tourist Attitudes and Behavior: Sociodemographic Moderating Effects. </w:t>
      </w:r>
      <w:r w:rsidRPr="003E1139">
        <w:rPr>
          <w:rFonts w:ascii="Arial" w:hAnsi="Arial" w:cs="Arial"/>
          <w:i/>
          <w:iCs/>
        </w:rPr>
        <w:t>Psychology &amp; Marketing</w:t>
      </w:r>
      <w:r w:rsidRPr="003E1139">
        <w:rPr>
          <w:rFonts w:ascii="Arial" w:hAnsi="Arial" w:cs="Arial"/>
        </w:rPr>
        <w:t xml:space="preserve">, 32(6), pp.635–650. </w:t>
      </w:r>
      <w:proofErr w:type="spellStart"/>
      <w:r w:rsidRPr="003E1139">
        <w:rPr>
          <w:rFonts w:ascii="Arial" w:hAnsi="Arial" w:cs="Arial"/>
        </w:rPr>
        <w:t>doi:https</w:t>
      </w:r>
      <w:proofErr w:type="spellEnd"/>
      <w:r w:rsidRPr="003E1139">
        <w:rPr>
          <w:rFonts w:ascii="Arial" w:hAnsi="Arial" w:cs="Arial"/>
        </w:rPr>
        <w:t>://doi.org/10.1002/mar.20806.</w:t>
      </w:r>
    </w:p>
    <w:p w14:paraId="31841ADC"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Lowenstein, M.W. (2017). </w:t>
      </w:r>
      <w:r w:rsidRPr="003E1139">
        <w:rPr>
          <w:rFonts w:ascii="Arial" w:hAnsi="Arial" w:cs="Arial"/>
          <w:i/>
          <w:iCs/>
        </w:rPr>
        <w:t>Employee ambassadorship : optimizing customer-centric behavior from the inside-out and outside-in</w:t>
      </w:r>
      <w:r w:rsidRPr="003E1139">
        <w:rPr>
          <w:rFonts w:ascii="Arial" w:hAnsi="Arial" w:cs="Arial"/>
        </w:rPr>
        <w:t>. New York, NY: Business Expert Press.</w:t>
      </w:r>
    </w:p>
    <w:p w14:paraId="340729E9"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Mooney, S.K. (2020). Gender research in hospitality and tourism management: time to change the guard. </w:t>
      </w:r>
      <w:r w:rsidRPr="003E1139">
        <w:rPr>
          <w:rFonts w:ascii="Arial" w:hAnsi="Arial" w:cs="Arial"/>
          <w:i/>
          <w:iCs/>
        </w:rPr>
        <w:t>International Journal of Contemporary Hospitality Management</w:t>
      </w:r>
      <w:r w:rsidRPr="003E1139">
        <w:rPr>
          <w:rFonts w:ascii="Arial" w:hAnsi="Arial" w:cs="Arial"/>
        </w:rPr>
        <w:t xml:space="preserve">, ahead-of-print(ahead-of-print). </w:t>
      </w:r>
      <w:proofErr w:type="spellStart"/>
      <w:r w:rsidRPr="003E1139">
        <w:rPr>
          <w:rFonts w:ascii="Arial" w:hAnsi="Arial" w:cs="Arial"/>
        </w:rPr>
        <w:t>doi:https</w:t>
      </w:r>
      <w:proofErr w:type="spellEnd"/>
      <w:r w:rsidRPr="003E1139">
        <w:rPr>
          <w:rFonts w:ascii="Arial" w:hAnsi="Arial" w:cs="Arial"/>
        </w:rPr>
        <w:t>://doi.org/10.1108/ijchm-09-2019-0780.</w:t>
      </w:r>
    </w:p>
    <w:p w14:paraId="11DFAE22"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Oviedo-García, M.Á., González-Rodríguez, M.R. and Vega-Vázquez, M. (2018). Does Sun-and-Sea All-Inclusive Tourism Contribute to Poverty Alleviation and/or Income Inequality Reduction? The Case of the Dominican Republic. </w:t>
      </w:r>
      <w:r w:rsidRPr="003E1139">
        <w:rPr>
          <w:rFonts w:ascii="Arial" w:hAnsi="Arial" w:cs="Arial"/>
          <w:i/>
          <w:iCs/>
        </w:rPr>
        <w:t>Journal of Travel Research</w:t>
      </w:r>
      <w:r w:rsidRPr="003E1139">
        <w:rPr>
          <w:rFonts w:ascii="Arial" w:hAnsi="Arial" w:cs="Arial"/>
        </w:rPr>
        <w:t xml:space="preserve">, 58(6), pp.995–1013. </w:t>
      </w:r>
      <w:proofErr w:type="spellStart"/>
      <w:r w:rsidRPr="003E1139">
        <w:rPr>
          <w:rFonts w:ascii="Arial" w:hAnsi="Arial" w:cs="Arial"/>
        </w:rPr>
        <w:t>doi:https</w:t>
      </w:r>
      <w:proofErr w:type="spellEnd"/>
      <w:r w:rsidRPr="003E1139">
        <w:rPr>
          <w:rFonts w:ascii="Arial" w:hAnsi="Arial" w:cs="Arial"/>
        </w:rPr>
        <w:t>://doi.org/10.1177/0047287518789272.</w:t>
      </w:r>
    </w:p>
    <w:p w14:paraId="4D2803B3"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t>Ramseook-Munhurrun</w:t>
      </w:r>
      <w:proofErr w:type="spellEnd"/>
      <w:r w:rsidRPr="003E1139">
        <w:rPr>
          <w:rFonts w:ascii="Arial" w:hAnsi="Arial" w:cs="Arial"/>
        </w:rPr>
        <w:t xml:space="preserve">, P., </w:t>
      </w:r>
      <w:proofErr w:type="spellStart"/>
      <w:r w:rsidRPr="003E1139">
        <w:rPr>
          <w:rFonts w:ascii="Arial" w:hAnsi="Arial" w:cs="Arial"/>
        </w:rPr>
        <w:t>Seebaluck</w:t>
      </w:r>
      <w:proofErr w:type="spellEnd"/>
      <w:r w:rsidRPr="003E1139">
        <w:rPr>
          <w:rFonts w:ascii="Arial" w:hAnsi="Arial" w:cs="Arial"/>
        </w:rPr>
        <w:t xml:space="preserve">, V.N. and Naidoo, P. (2015). Examining the Structural Relationships of Destination Image, Perceived Value, Tourist Satisfaction and Loyalty: Case of Mauritius. </w:t>
      </w:r>
      <w:r w:rsidRPr="003E1139">
        <w:rPr>
          <w:rFonts w:ascii="Arial" w:hAnsi="Arial" w:cs="Arial"/>
          <w:i/>
          <w:iCs/>
        </w:rPr>
        <w:t>Procedia - Social and Behavioral Sciences</w:t>
      </w:r>
      <w:r w:rsidRPr="003E1139">
        <w:rPr>
          <w:rFonts w:ascii="Arial" w:hAnsi="Arial" w:cs="Arial"/>
        </w:rPr>
        <w:t xml:space="preserve">, 175, pp.252–259. </w:t>
      </w:r>
      <w:proofErr w:type="spellStart"/>
      <w:r w:rsidRPr="003E1139">
        <w:rPr>
          <w:rFonts w:ascii="Arial" w:hAnsi="Arial" w:cs="Arial"/>
        </w:rPr>
        <w:t>doi:https</w:t>
      </w:r>
      <w:proofErr w:type="spellEnd"/>
      <w:r w:rsidRPr="003E1139">
        <w:rPr>
          <w:rFonts w:ascii="Arial" w:hAnsi="Arial" w:cs="Arial"/>
        </w:rPr>
        <w:t>://doi.org/10.1016/j.sbspro.2015.01.1198.</w:t>
      </w:r>
    </w:p>
    <w:p w14:paraId="1322D075"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t>Shalbafian</w:t>
      </w:r>
      <w:proofErr w:type="spellEnd"/>
      <w:r w:rsidRPr="003E1139">
        <w:rPr>
          <w:rFonts w:ascii="Arial" w:hAnsi="Arial" w:cs="Arial"/>
        </w:rPr>
        <w:t xml:space="preserve">, A.A. and </w:t>
      </w:r>
      <w:proofErr w:type="spellStart"/>
      <w:r w:rsidRPr="003E1139">
        <w:rPr>
          <w:rFonts w:ascii="Arial" w:hAnsi="Arial" w:cs="Arial"/>
        </w:rPr>
        <w:t>Zarandian</w:t>
      </w:r>
      <w:proofErr w:type="spellEnd"/>
      <w:r w:rsidRPr="003E1139">
        <w:rPr>
          <w:rFonts w:ascii="Arial" w:hAnsi="Arial" w:cs="Arial"/>
        </w:rPr>
        <w:t xml:space="preserve">, N. (2019). Volunteer Tourism; an Approach to Realize Spirituality (A New Look of Iranian Pro-Poor Tourism). </w:t>
      </w:r>
      <w:r w:rsidRPr="003E1139">
        <w:rPr>
          <w:rFonts w:ascii="Arial" w:hAnsi="Arial" w:cs="Arial"/>
          <w:i/>
          <w:iCs/>
        </w:rPr>
        <w:t>International journal of Tourism, Culture &amp; Spirituality</w:t>
      </w:r>
      <w:r w:rsidRPr="003E1139">
        <w:rPr>
          <w:rFonts w:ascii="Arial" w:hAnsi="Arial" w:cs="Arial"/>
        </w:rPr>
        <w:t xml:space="preserve">, [online] 4(1), pp.9–31. </w:t>
      </w:r>
      <w:proofErr w:type="spellStart"/>
      <w:r w:rsidRPr="003E1139">
        <w:rPr>
          <w:rFonts w:ascii="Arial" w:hAnsi="Arial" w:cs="Arial"/>
        </w:rPr>
        <w:t>doi:https</w:t>
      </w:r>
      <w:proofErr w:type="spellEnd"/>
      <w:r w:rsidRPr="003E1139">
        <w:rPr>
          <w:rFonts w:ascii="Arial" w:hAnsi="Arial" w:cs="Arial"/>
        </w:rPr>
        <w:t>://doi.org/10.22133/ijts.2019.95828.</w:t>
      </w:r>
    </w:p>
    <w:p w14:paraId="39A3D798"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Sharpley, R. (2020). Tourism, sustainable development and the theoretical divide: 20 years on. </w:t>
      </w:r>
      <w:r w:rsidRPr="003E1139">
        <w:rPr>
          <w:rFonts w:ascii="Arial" w:hAnsi="Arial" w:cs="Arial"/>
          <w:i/>
          <w:iCs/>
        </w:rPr>
        <w:t>Journal of Sustainable Tourism</w:t>
      </w:r>
      <w:r w:rsidRPr="003E1139">
        <w:rPr>
          <w:rFonts w:ascii="Arial" w:hAnsi="Arial" w:cs="Arial"/>
        </w:rPr>
        <w:t xml:space="preserve">, 28(11), pp.1932–1946. </w:t>
      </w:r>
      <w:proofErr w:type="spellStart"/>
      <w:r w:rsidRPr="003E1139">
        <w:rPr>
          <w:rFonts w:ascii="Arial" w:hAnsi="Arial" w:cs="Arial"/>
        </w:rPr>
        <w:t>doi:https</w:t>
      </w:r>
      <w:proofErr w:type="spellEnd"/>
      <w:r w:rsidRPr="003E1139">
        <w:rPr>
          <w:rFonts w:ascii="Arial" w:hAnsi="Arial" w:cs="Arial"/>
        </w:rPr>
        <w:t>://doi.org/10.1080/09669582.2020.1779732.</w:t>
      </w:r>
    </w:p>
    <w:p w14:paraId="5D92B9CF" w14:textId="77777777" w:rsidR="002B1C7D" w:rsidRPr="003E1139" w:rsidRDefault="002B1C7D" w:rsidP="002B1C7D">
      <w:pPr>
        <w:pStyle w:val="NormalWeb"/>
        <w:spacing w:before="0" w:beforeAutospacing="0" w:after="240" w:afterAutospacing="0" w:line="360" w:lineRule="auto"/>
        <w:jc w:val="both"/>
        <w:rPr>
          <w:rFonts w:ascii="Arial" w:hAnsi="Arial" w:cs="Arial"/>
        </w:rPr>
      </w:pPr>
      <w:proofErr w:type="spellStart"/>
      <w:r w:rsidRPr="003E1139">
        <w:rPr>
          <w:rFonts w:ascii="Arial" w:hAnsi="Arial" w:cs="Arial"/>
        </w:rPr>
        <w:lastRenderedPageBreak/>
        <w:t>Thompsen</w:t>
      </w:r>
      <w:proofErr w:type="spellEnd"/>
      <w:r w:rsidRPr="003E1139">
        <w:rPr>
          <w:rFonts w:ascii="Arial" w:hAnsi="Arial" w:cs="Arial"/>
        </w:rPr>
        <w:t xml:space="preserve">, J.A. (2019). </w:t>
      </w:r>
      <w:r w:rsidRPr="003E1139">
        <w:rPr>
          <w:rFonts w:ascii="Arial" w:hAnsi="Arial" w:cs="Arial"/>
          <w:i/>
          <w:iCs/>
        </w:rPr>
        <w:t>Managing the employee lifecycle</w:t>
      </w:r>
      <w:r w:rsidRPr="003E1139">
        <w:rPr>
          <w:rFonts w:ascii="Arial" w:hAnsi="Arial" w:cs="Arial"/>
        </w:rPr>
        <w:t>. London: Routledge.</w:t>
      </w:r>
    </w:p>
    <w:p w14:paraId="60EF2100"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Vanegas, M., Gartner, W. and </w:t>
      </w:r>
      <w:proofErr w:type="spellStart"/>
      <w:r w:rsidRPr="003E1139">
        <w:rPr>
          <w:rFonts w:ascii="Arial" w:hAnsi="Arial" w:cs="Arial"/>
        </w:rPr>
        <w:t>Senauer</w:t>
      </w:r>
      <w:proofErr w:type="spellEnd"/>
      <w:r w:rsidRPr="003E1139">
        <w:rPr>
          <w:rFonts w:ascii="Arial" w:hAnsi="Arial" w:cs="Arial"/>
        </w:rPr>
        <w:t xml:space="preserve">, B. (2015). Tourism and Poverty Reduction: An Economic Sector Analysis for Costa Rica and Nicaragua. </w:t>
      </w:r>
      <w:r w:rsidRPr="003E1139">
        <w:rPr>
          <w:rFonts w:ascii="Arial" w:hAnsi="Arial" w:cs="Arial"/>
          <w:i/>
          <w:iCs/>
        </w:rPr>
        <w:t>Tourism Economics</w:t>
      </w:r>
      <w:r w:rsidRPr="003E1139">
        <w:rPr>
          <w:rFonts w:ascii="Arial" w:hAnsi="Arial" w:cs="Arial"/>
        </w:rPr>
        <w:t xml:space="preserve">, 21(1), pp.159–182. </w:t>
      </w:r>
      <w:proofErr w:type="spellStart"/>
      <w:r w:rsidRPr="003E1139">
        <w:rPr>
          <w:rFonts w:ascii="Arial" w:hAnsi="Arial" w:cs="Arial"/>
        </w:rPr>
        <w:t>doi:https</w:t>
      </w:r>
      <w:proofErr w:type="spellEnd"/>
      <w:r w:rsidRPr="003E1139">
        <w:rPr>
          <w:rFonts w:ascii="Arial" w:hAnsi="Arial" w:cs="Arial"/>
        </w:rPr>
        <w:t>://doi.org/10.5367/te.2014.0442.</w:t>
      </w:r>
    </w:p>
    <w:p w14:paraId="50D1DEEE"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Wolf, L.A., </w:t>
      </w:r>
      <w:proofErr w:type="spellStart"/>
      <w:r w:rsidRPr="003E1139">
        <w:rPr>
          <w:rFonts w:ascii="Arial" w:hAnsi="Arial" w:cs="Arial"/>
        </w:rPr>
        <w:t>Perhats</w:t>
      </w:r>
      <w:proofErr w:type="spellEnd"/>
      <w:r w:rsidRPr="003E1139">
        <w:rPr>
          <w:rFonts w:ascii="Arial" w:hAnsi="Arial" w:cs="Arial"/>
        </w:rPr>
        <w:t xml:space="preserve">, C., Clark, P.R., </w:t>
      </w:r>
      <w:proofErr w:type="spellStart"/>
      <w:r w:rsidRPr="003E1139">
        <w:rPr>
          <w:rFonts w:ascii="Arial" w:hAnsi="Arial" w:cs="Arial"/>
        </w:rPr>
        <w:t>Frankenberger</w:t>
      </w:r>
      <w:proofErr w:type="spellEnd"/>
      <w:r w:rsidRPr="003E1139">
        <w:rPr>
          <w:rFonts w:ascii="Arial" w:hAnsi="Arial" w:cs="Arial"/>
        </w:rPr>
        <w:t xml:space="preserve">, W.D. and Moon, M.D. (2019). The perceived impact of legalized cannabis on nursing workload in adult and pediatric emergency department visits: A qualitative exploratory study. </w:t>
      </w:r>
      <w:r w:rsidRPr="003E1139">
        <w:rPr>
          <w:rFonts w:ascii="Arial" w:hAnsi="Arial" w:cs="Arial"/>
          <w:i/>
          <w:iCs/>
        </w:rPr>
        <w:t>Public Health Nursing</w:t>
      </w:r>
      <w:r w:rsidRPr="003E1139">
        <w:rPr>
          <w:rFonts w:ascii="Arial" w:hAnsi="Arial" w:cs="Arial"/>
        </w:rPr>
        <w:t xml:space="preserve">. </w:t>
      </w:r>
      <w:proofErr w:type="spellStart"/>
      <w:r w:rsidRPr="003E1139">
        <w:rPr>
          <w:rFonts w:ascii="Arial" w:hAnsi="Arial" w:cs="Arial"/>
        </w:rPr>
        <w:t>doi:https</w:t>
      </w:r>
      <w:proofErr w:type="spellEnd"/>
      <w:r w:rsidRPr="003E1139">
        <w:rPr>
          <w:rFonts w:ascii="Arial" w:hAnsi="Arial" w:cs="Arial"/>
        </w:rPr>
        <w:t>://doi.org/10.1111/phn.12653.</w:t>
      </w:r>
    </w:p>
    <w:p w14:paraId="1E6239D0" w14:textId="77777777" w:rsidR="002B1C7D" w:rsidRPr="003E1139" w:rsidRDefault="002B1C7D" w:rsidP="002B1C7D">
      <w:pPr>
        <w:pStyle w:val="NormalWeb"/>
        <w:spacing w:before="0" w:beforeAutospacing="0" w:after="240" w:afterAutospacing="0" w:line="360" w:lineRule="auto"/>
        <w:jc w:val="both"/>
        <w:rPr>
          <w:rFonts w:ascii="Arial" w:hAnsi="Arial" w:cs="Arial"/>
        </w:rPr>
      </w:pPr>
      <w:r w:rsidRPr="003E1139">
        <w:rPr>
          <w:rFonts w:ascii="Arial" w:hAnsi="Arial" w:cs="Arial"/>
        </w:rPr>
        <w:t xml:space="preserve">Woo, E., Kim, H. and </w:t>
      </w:r>
      <w:proofErr w:type="spellStart"/>
      <w:r w:rsidRPr="003E1139">
        <w:rPr>
          <w:rFonts w:ascii="Arial" w:hAnsi="Arial" w:cs="Arial"/>
        </w:rPr>
        <w:t>Uysal</w:t>
      </w:r>
      <w:proofErr w:type="spellEnd"/>
      <w:r w:rsidRPr="003E1139">
        <w:rPr>
          <w:rFonts w:ascii="Arial" w:hAnsi="Arial" w:cs="Arial"/>
        </w:rPr>
        <w:t xml:space="preserve">, M. (2015). Life satisfaction and support for tourism development. </w:t>
      </w:r>
      <w:r w:rsidRPr="003E1139">
        <w:rPr>
          <w:rFonts w:ascii="Arial" w:hAnsi="Arial" w:cs="Arial"/>
          <w:i/>
          <w:iCs/>
        </w:rPr>
        <w:t>Annals of Tourism Research</w:t>
      </w:r>
      <w:r w:rsidRPr="003E1139">
        <w:rPr>
          <w:rFonts w:ascii="Arial" w:hAnsi="Arial" w:cs="Arial"/>
        </w:rPr>
        <w:t xml:space="preserve">, [online] 50, pp.84–97. </w:t>
      </w:r>
      <w:proofErr w:type="spellStart"/>
      <w:r w:rsidRPr="003E1139">
        <w:rPr>
          <w:rFonts w:ascii="Arial" w:hAnsi="Arial" w:cs="Arial"/>
        </w:rPr>
        <w:t>doi:https</w:t>
      </w:r>
      <w:proofErr w:type="spellEnd"/>
      <w:r w:rsidRPr="003E1139">
        <w:rPr>
          <w:rFonts w:ascii="Arial" w:hAnsi="Arial" w:cs="Arial"/>
        </w:rPr>
        <w:t>://doi.org/10.1016/j.annals.2014.11.001.</w:t>
      </w:r>
    </w:p>
    <w:p w14:paraId="3950A2E0" w14:textId="77777777" w:rsidR="002B1C7D" w:rsidRPr="003E1139" w:rsidRDefault="002B1C7D" w:rsidP="002B1C7D">
      <w:pPr>
        <w:rPr>
          <w:rFonts w:ascii="Arial" w:hAnsi="Arial"/>
        </w:rPr>
      </w:pPr>
    </w:p>
    <w:p w14:paraId="16E1746B" w14:textId="77777777" w:rsidR="006C0E40" w:rsidRDefault="006C0E40"/>
    <w:sectPr w:rsidR="006C0E40" w:rsidSect="00355EA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91485" w14:textId="77777777" w:rsidR="00CF3A92" w:rsidRDefault="00CF3A92" w:rsidP="006D1DC7">
      <w:pPr>
        <w:spacing w:line="240" w:lineRule="auto"/>
      </w:pPr>
      <w:r>
        <w:separator/>
      </w:r>
    </w:p>
  </w:endnote>
  <w:endnote w:type="continuationSeparator" w:id="0">
    <w:p w14:paraId="1F9A471B" w14:textId="77777777" w:rsidR="00CF3A92" w:rsidRDefault="00CF3A92" w:rsidP="006D1D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35095"/>
      <w:docPartObj>
        <w:docPartGallery w:val="Page Numbers (Bottom of Page)"/>
        <w:docPartUnique/>
      </w:docPartObj>
    </w:sdtPr>
    <w:sdtEndPr>
      <w:rPr>
        <w:noProof/>
      </w:rPr>
    </w:sdtEndPr>
    <w:sdtContent>
      <w:p w14:paraId="65853BB2" w14:textId="77777777" w:rsidR="00355EAA" w:rsidRDefault="00C96E2D">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43501114" w14:textId="77777777" w:rsidR="00355EA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BA90C" w14:textId="77777777" w:rsidR="00CF3A92" w:rsidRDefault="00CF3A92" w:rsidP="006D1DC7">
      <w:pPr>
        <w:spacing w:line="240" w:lineRule="auto"/>
      </w:pPr>
      <w:r>
        <w:separator/>
      </w:r>
    </w:p>
  </w:footnote>
  <w:footnote w:type="continuationSeparator" w:id="0">
    <w:p w14:paraId="4665EF82" w14:textId="77777777" w:rsidR="00CF3A92" w:rsidRDefault="00CF3A92" w:rsidP="006D1DC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C7D"/>
    <w:rsid w:val="002B1C7D"/>
    <w:rsid w:val="00327C3E"/>
    <w:rsid w:val="006B5CD5"/>
    <w:rsid w:val="006C0E40"/>
    <w:rsid w:val="006D1DC7"/>
    <w:rsid w:val="00C96E2D"/>
    <w:rsid w:val="00CF3A92"/>
    <w:rsid w:val="00E229C8"/>
    <w:rsid w:val="00F309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7247"/>
  <w15:chartTrackingRefBased/>
  <w15:docId w15:val="{DE4D44FD-E544-4B85-92B4-20526508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CD5"/>
    <w:pPr>
      <w:spacing w:after="0" w:line="360" w:lineRule="auto"/>
      <w:jc w:val="both"/>
    </w:pPr>
    <w:rPr>
      <w:rFonts w:ascii="Times New Roman" w:eastAsia="Arial" w:hAnsi="Times New Roman" w:cs="Arial"/>
      <w:kern w:val="0"/>
      <w:sz w:val="24"/>
      <w14:ligatures w14:val="none"/>
    </w:rPr>
  </w:style>
  <w:style w:type="paragraph" w:styleId="Heading1">
    <w:name w:val="heading 1"/>
    <w:basedOn w:val="Normal"/>
    <w:next w:val="Normal"/>
    <w:link w:val="Heading1Char"/>
    <w:uiPriority w:val="9"/>
    <w:qFormat/>
    <w:rsid w:val="002B1C7D"/>
    <w:pPr>
      <w:keepNext/>
      <w:keepLines/>
      <w:spacing w:before="400" w:after="120"/>
      <w:jc w:val="left"/>
      <w:outlineLvl w:val="0"/>
    </w:pPr>
    <w:rPr>
      <w:b/>
      <w:color w:val="44546A" w:themeColor="text2"/>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C7D"/>
    <w:rPr>
      <w:rFonts w:ascii="Times New Roman" w:eastAsia="Arial" w:hAnsi="Times New Roman" w:cs="Arial"/>
      <w:b/>
      <w:color w:val="44546A" w:themeColor="text2"/>
      <w:kern w:val="0"/>
      <w:sz w:val="32"/>
      <w:szCs w:val="40"/>
      <w14:ligatures w14:val="none"/>
    </w:rPr>
  </w:style>
  <w:style w:type="paragraph" w:styleId="NormalWeb">
    <w:name w:val="Normal (Web)"/>
    <w:basedOn w:val="Normal"/>
    <w:uiPriority w:val="99"/>
    <w:semiHidden/>
    <w:unhideWhenUsed/>
    <w:rsid w:val="002B1C7D"/>
    <w:pPr>
      <w:spacing w:before="100" w:beforeAutospacing="1" w:after="100" w:afterAutospacing="1" w:line="240" w:lineRule="auto"/>
      <w:jc w:val="left"/>
    </w:pPr>
    <w:rPr>
      <w:rFonts w:eastAsia="Times New Roman" w:cs="Times New Roman"/>
      <w:szCs w:val="24"/>
      <w:lang w:val="en-US"/>
    </w:rPr>
  </w:style>
  <w:style w:type="paragraph" w:styleId="Footer">
    <w:name w:val="footer"/>
    <w:basedOn w:val="Normal"/>
    <w:link w:val="FooterChar"/>
    <w:uiPriority w:val="99"/>
    <w:unhideWhenUsed/>
    <w:rsid w:val="002B1C7D"/>
    <w:pPr>
      <w:tabs>
        <w:tab w:val="center" w:pos="4680"/>
        <w:tab w:val="right" w:pos="9360"/>
      </w:tabs>
      <w:spacing w:line="240" w:lineRule="auto"/>
    </w:pPr>
  </w:style>
  <w:style w:type="character" w:customStyle="1" w:styleId="FooterChar">
    <w:name w:val="Footer Char"/>
    <w:basedOn w:val="DefaultParagraphFont"/>
    <w:link w:val="Footer"/>
    <w:uiPriority w:val="99"/>
    <w:rsid w:val="002B1C7D"/>
    <w:rPr>
      <w:rFonts w:ascii="Times New Roman" w:eastAsia="Arial" w:hAnsi="Times New Roman" w:cs="Arial"/>
      <w:kern w:val="0"/>
      <w:sz w:val="24"/>
      <w14:ligatures w14:val="none"/>
    </w:rPr>
  </w:style>
  <w:style w:type="paragraph" w:styleId="Title">
    <w:name w:val="Title"/>
    <w:basedOn w:val="Normal"/>
    <w:next w:val="Normal"/>
    <w:link w:val="TitleChar"/>
    <w:uiPriority w:val="10"/>
    <w:qFormat/>
    <w:rsid w:val="002B1C7D"/>
    <w:pPr>
      <w:pBdr>
        <w:bottom w:val="single" w:sz="4" w:space="1" w:color="auto"/>
      </w:pBdr>
      <w:spacing w:after="200"/>
      <w:jc w:val="center"/>
    </w:pPr>
    <w:rPr>
      <w:rFonts w:eastAsiaTheme="minorHAnsi" w:cstheme="minorBidi"/>
      <w:b/>
      <w:iCs/>
      <w:sz w:val="32"/>
      <w:lang w:bidi="bn-BD"/>
    </w:rPr>
  </w:style>
  <w:style w:type="character" w:customStyle="1" w:styleId="TitleChar">
    <w:name w:val="Title Char"/>
    <w:basedOn w:val="DefaultParagraphFont"/>
    <w:link w:val="Title"/>
    <w:uiPriority w:val="10"/>
    <w:rsid w:val="002B1C7D"/>
    <w:rPr>
      <w:rFonts w:ascii="Times New Roman" w:hAnsi="Times New Roman"/>
      <w:b/>
      <w:iCs/>
      <w:kern w:val="0"/>
      <w:sz w:val="32"/>
      <w:lang w:bidi="bn-BD"/>
      <w14:ligatures w14:val="none"/>
    </w:rPr>
  </w:style>
  <w:style w:type="paragraph" w:styleId="NoSpacing">
    <w:name w:val="No Spacing"/>
    <w:link w:val="NoSpacingChar"/>
    <w:uiPriority w:val="1"/>
    <w:qFormat/>
    <w:rsid w:val="00E229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229C8"/>
    <w:rPr>
      <w:rFonts w:eastAsiaTheme="minorEastAsia"/>
      <w:kern w:val="0"/>
      <w:lang w:val="en-US"/>
      <w14:ligatures w14:val="none"/>
    </w:rPr>
  </w:style>
  <w:style w:type="paragraph" w:styleId="Header">
    <w:name w:val="header"/>
    <w:basedOn w:val="Normal"/>
    <w:link w:val="HeaderChar"/>
    <w:uiPriority w:val="99"/>
    <w:unhideWhenUsed/>
    <w:rsid w:val="006D1DC7"/>
    <w:pPr>
      <w:tabs>
        <w:tab w:val="center" w:pos="4513"/>
        <w:tab w:val="right" w:pos="9026"/>
      </w:tabs>
      <w:spacing w:line="240" w:lineRule="auto"/>
    </w:pPr>
  </w:style>
  <w:style w:type="character" w:customStyle="1" w:styleId="HeaderChar">
    <w:name w:val="Header Char"/>
    <w:basedOn w:val="DefaultParagraphFont"/>
    <w:link w:val="Header"/>
    <w:uiPriority w:val="99"/>
    <w:rsid w:val="006D1DC7"/>
    <w:rPr>
      <w:rFonts w:ascii="Times New Roman" w:eastAsia="Arial" w:hAnsi="Times New Roman" w:cs="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81A3FB547F49B89C0FD0F918A9CA83"/>
        <w:category>
          <w:name w:val="General"/>
          <w:gallery w:val="placeholder"/>
        </w:category>
        <w:types>
          <w:type w:val="bbPlcHdr"/>
        </w:types>
        <w:behaviors>
          <w:behavior w:val="content"/>
        </w:behaviors>
        <w:guid w:val="{BEC81D5F-7800-4FA0-89A2-39643E70F2C2}"/>
      </w:docPartPr>
      <w:docPartBody>
        <w:p w:rsidR="00FD7826" w:rsidRDefault="00064A05" w:rsidP="00064A05">
          <w:pPr>
            <w:pStyle w:val="8681A3FB547F49B89C0FD0F918A9CA83"/>
          </w:pPr>
          <w:r>
            <w:rPr>
              <w:rFonts w:asciiTheme="majorHAnsi" w:eastAsiaTheme="majorEastAsia" w:hAnsiTheme="majorHAnsi" w:cstheme="majorBidi"/>
              <w:caps/>
              <w:color w:val="4472C4" w:themeColor="accent1"/>
              <w:sz w:val="80"/>
              <w:szCs w:val="80"/>
            </w:rPr>
            <w:t>[Document title]</w:t>
          </w:r>
        </w:p>
      </w:docPartBody>
    </w:docPart>
    <w:docPart>
      <w:docPartPr>
        <w:name w:val="5869BCC55B214FC6A6BE3A3932391AEA"/>
        <w:category>
          <w:name w:val="General"/>
          <w:gallery w:val="placeholder"/>
        </w:category>
        <w:types>
          <w:type w:val="bbPlcHdr"/>
        </w:types>
        <w:behaviors>
          <w:behavior w:val="content"/>
        </w:behaviors>
        <w:guid w:val="{BBDB4B07-F19E-42BC-8E2E-6C7CBA8F2A7E}"/>
      </w:docPartPr>
      <w:docPartBody>
        <w:p w:rsidR="00FD7826" w:rsidRDefault="00064A05" w:rsidP="00064A05">
          <w:pPr>
            <w:pStyle w:val="5869BCC55B214FC6A6BE3A3932391AE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A05"/>
    <w:rsid w:val="00064A05"/>
    <w:rsid w:val="00A51DFC"/>
    <w:rsid w:val="00FD78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81A3FB547F49B89C0FD0F918A9CA83">
    <w:name w:val="8681A3FB547F49B89C0FD0F918A9CA83"/>
    <w:rsid w:val="00064A05"/>
  </w:style>
  <w:style w:type="paragraph" w:customStyle="1" w:styleId="5869BCC55B214FC6A6BE3A3932391AEA">
    <w:name w:val="5869BCC55B214FC6A6BE3A3932391AEA"/>
    <w:rsid w:val="00064A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3020</Words>
  <Characters>17216</Characters>
  <Application>Microsoft Office Word</Application>
  <DocSecurity>0</DocSecurity>
  <Lines>143</Lines>
  <Paragraphs>40</Paragraphs>
  <ScaleCrop>false</ScaleCrop>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retain and engage employees throughout the employee life cycle employee engagement</dc:title>
  <dc:subject>Module Name and code: Personnel Resourcing and Development (BMIH5005)</dc:subject>
  <dc:creator>Sadia Odud</dc:creator>
  <cp:keywords/>
  <dc:description/>
  <cp:lastModifiedBy>Sadia Odud</cp:lastModifiedBy>
  <cp:revision>7</cp:revision>
  <dcterms:created xsi:type="dcterms:W3CDTF">2023-06-12T18:01:00Z</dcterms:created>
  <dcterms:modified xsi:type="dcterms:W3CDTF">2023-06-12T18:35:00Z</dcterms:modified>
</cp:coreProperties>
</file>