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08099" w14:textId="592169DC" w:rsidR="00367DE4" w:rsidRPr="00E96F90" w:rsidRDefault="00144275" w:rsidP="00144275">
      <w:pPr>
        <w:pStyle w:val="Heading1"/>
        <w:rPr>
          <w:rFonts w:ascii="Arial" w:hAnsi="Arial" w:cs="Arial"/>
          <w:u w:val="single"/>
        </w:rPr>
      </w:pPr>
      <w:r w:rsidRPr="00E96F90">
        <w:rPr>
          <w:rFonts w:ascii="Arial" w:hAnsi="Arial" w:cs="Arial"/>
          <w:u w:val="single"/>
        </w:rPr>
        <w:t>Designing, Delivering and Evaluating Learning and Development.</w:t>
      </w:r>
    </w:p>
    <w:p w14:paraId="49D2E8E6" w14:textId="77777777" w:rsidR="00F75B4E" w:rsidRDefault="00144275" w:rsidP="00F063DB">
      <w:pPr>
        <w:pStyle w:val="Heading1"/>
        <w:rPr>
          <w:rFonts w:ascii="Arial" w:hAnsi="Arial" w:cs="Arial"/>
          <w:u w:val="single"/>
        </w:rPr>
      </w:pPr>
      <w:r w:rsidRPr="00E96F90">
        <w:rPr>
          <w:rFonts w:ascii="Arial" w:hAnsi="Arial" w:cs="Arial"/>
          <w:u w:val="single"/>
        </w:rPr>
        <w:t>Assignment 1. “Resources not Courses.”</w:t>
      </w:r>
    </w:p>
    <w:p w14:paraId="77B6BFE1" w14:textId="1AE477C1" w:rsidR="00F063DB" w:rsidRPr="00F063DB" w:rsidRDefault="00F063DB" w:rsidP="00F063DB">
      <w:pPr>
        <w:pStyle w:val="Heading1"/>
        <w:rPr>
          <w:rFonts w:ascii="Arial" w:hAnsi="Arial" w:cs="Arial"/>
          <w:u w:val="single"/>
        </w:rPr>
      </w:pPr>
      <w:r>
        <w:rPr>
          <w:rFonts w:ascii="Arial" w:hAnsi="Arial" w:cs="Arial"/>
          <w:u w:val="single"/>
        </w:rPr>
        <w:t>Sarah Lewis, 1910109.</w:t>
      </w:r>
    </w:p>
    <w:p w14:paraId="7CDFD3B8" w14:textId="31CA412A" w:rsidR="00144275" w:rsidRDefault="00144275" w:rsidP="00144275"/>
    <w:p w14:paraId="3732C3E5" w14:textId="1BE9F369" w:rsidR="00144275" w:rsidRDefault="00144275" w:rsidP="00AB12E3">
      <w:pPr>
        <w:jc w:val="both"/>
        <w:rPr>
          <w:rFonts w:ascii="Arial" w:hAnsi="Arial" w:cs="Arial"/>
          <w:sz w:val="24"/>
          <w:szCs w:val="24"/>
        </w:rPr>
      </w:pPr>
      <w:r>
        <w:rPr>
          <w:rFonts w:ascii="Arial" w:hAnsi="Arial" w:cs="Arial"/>
          <w:sz w:val="24"/>
          <w:szCs w:val="24"/>
        </w:rPr>
        <w:t>The ‘Think 25’ policy forms the basis of Sainsbury’s legal obligations as a licen</w:t>
      </w:r>
      <w:r w:rsidR="00AB12E3">
        <w:rPr>
          <w:rFonts w:ascii="Arial" w:hAnsi="Arial" w:cs="Arial"/>
          <w:sz w:val="24"/>
          <w:szCs w:val="24"/>
        </w:rPr>
        <w:t>c</w:t>
      </w:r>
      <w:r>
        <w:rPr>
          <w:rFonts w:ascii="Arial" w:hAnsi="Arial" w:cs="Arial"/>
          <w:sz w:val="24"/>
          <w:szCs w:val="24"/>
        </w:rPr>
        <w:t xml:space="preserve">e holder. </w:t>
      </w:r>
      <w:r w:rsidR="00AB12E3">
        <w:rPr>
          <w:rFonts w:ascii="Arial" w:hAnsi="Arial" w:cs="Arial"/>
          <w:sz w:val="24"/>
          <w:szCs w:val="24"/>
        </w:rPr>
        <w:t>Having employees with an up-to-date training compliance is part of the due diligence and ultimately the licence could be revoked if the training is not maintained.</w:t>
      </w:r>
    </w:p>
    <w:p w14:paraId="792BC3CE" w14:textId="5C03B618" w:rsidR="00AB12E3" w:rsidRDefault="003D19FF" w:rsidP="00AB12E3">
      <w:pPr>
        <w:jc w:val="both"/>
        <w:rPr>
          <w:rFonts w:ascii="Arial" w:hAnsi="Arial" w:cs="Arial"/>
          <w:sz w:val="24"/>
          <w:szCs w:val="24"/>
        </w:rPr>
      </w:pPr>
      <w:r>
        <w:rPr>
          <w:rFonts w:ascii="Arial" w:hAnsi="Arial" w:cs="Arial"/>
          <w:sz w:val="24"/>
          <w:szCs w:val="24"/>
        </w:rPr>
        <w:t xml:space="preserve">In the Bridgend store there are 220 </w:t>
      </w:r>
      <w:proofErr w:type="gramStart"/>
      <w:r>
        <w:rPr>
          <w:rFonts w:ascii="Arial" w:hAnsi="Arial" w:cs="Arial"/>
          <w:sz w:val="24"/>
          <w:szCs w:val="24"/>
        </w:rPr>
        <w:t>colleagues</w:t>
      </w:r>
      <w:proofErr w:type="gramEnd"/>
      <w:r>
        <w:rPr>
          <w:rFonts w:ascii="Arial" w:hAnsi="Arial" w:cs="Arial"/>
          <w:sz w:val="24"/>
          <w:szCs w:val="24"/>
        </w:rPr>
        <w:t xml:space="preserve"> and the Think 25 training must be updated every six months so on any given day, someone is attempting the associated quiz. The knowledge is essential and in practise every colleague works within the legal parameters. Currently, completion of the quiz </w:t>
      </w:r>
      <w:r w:rsidR="00FA7AE8">
        <w:rPr>
          <w:rFonts w:ascii="Arial" w:hAnsi="Arial" w:cs="Arial"/>
          <w:sz w:val="24"/>
          <w:szCs w:val="24"/>
        </w:rPr>
        <w:t xml:space="preserve">often </w:t>
      </w:r>
      <w:r>
        <w:rPr>
          <w:rFonts w:ascii="Arial" w:hAnsi="Arial" w:cs="Arial"/>
          <w:sz w:val="24"/>
          <w:szCs w:val="24"/>
        </w:rPr>
        <w:t>revolves around people trying it and failing resulting in a red alert for poor compliance; or enrolling a second person (often a manager) to support therefore reducing vital cover elsewhere.</w:t>
      </w:r>
    </w:p>
    <w:p w14:paraId="6331DD72" w14:textId="1BC612B9" w:rsidR="003D19FF" w:rsidRDefault="003D19FF" w:rsidP="00AB12E3">
      <w:pPr>
        <w:jc w:val="both"/>
        <w:rPr>
          <w:rFonts w:ascii="Arial" w:hAnsi="Arial" w:cs="Arial"/>
          <w:sz w:val="24"/>
          <w:szCs w:val="24"/>
        </w:rPr>
      </w:pPr>
      <w:r>
        <w:rPr>
          <w:rFonts w:ascii="Arial" w:hAnsi="Arial" w:cs="Arial"/>
          <w:sz w:val="24"/>
          <w:szCs w:val="24"/>
        </w:rPr>
        <w:t>This infographic covers all the responses needed to pass the quiz</w:t>
      </w:r>
      <w:r w:rsidR="007C785D">
        <w:rPr>
          <w:rFonts w:ascii="Arial" w:hAnsi="Arial" w:cs="Arial"/>
          <w:sz w:val="24"/>
          <w:szCs w:val="24"/>
        </w:rPr>
        <w:t xml:space="preserve"> </w:t>
      </w:r>
      <w:proofErr w:type="gramStart"/>
      <w:r w:rsidR="007C785D">
        <w:rPr>
          <w:rFonts w:ascii="Arial" w:hAnsi="Arial" w:cs="Arial"/>
          <w:sz w:val="24"/>
          <w:szCs w:val="24"/>
        </w:rPr>
        <w:t>( please</w:t>
      </w:r>
      <w:proofErr w:type="gramEnd"/>
      <w:r w:rsidR="007C785D">
        <w:rPr>
          <w:rFonts w:ascii="Arial" w:hAnsi="Arial" w:cs="Arial"/>
          <w:sz w:val="24"/>
          <w:szCs w:val="24"/>
        </w:rPr>
        <w:t xml:space="preserve"> follow link below</w:t>
      </w:r>
      <w:r w:rsidR="00EC63B2">
        <w:rPr>
          <w:rFonts w:ascii="Arial" w:hAnsi="Arial" w:cs="Arial"/>
          <w:sz w:val="24"/>
          <w:szCs w:val="24"/>
        </w:rPr>
        <w:t>).</w:t>
      </w:r>
    </w:p>
    <w:p w14:paraId="764E1B65" w14:textId="4F960133" w:rsidR="00E323E3" w:rsidRDefault="00C165C5" w:rsidP="00AB12E3">
      <w:pPr>
        <w:jc w:val="both"/>
        <w:rPr>
          <w:rFonts w:ascii="Arial" w:hAnsi="Arial" w:cs="Arial"/>
          <w:sz w:val="24"/>
          <w:szCs w:val="24"/>
        </w:rPr>
      </w:pPr>
      <w:r>
        <w:rPr>
          <w:rFonts w:ascii="Arial" w:hAnsi="Arial" w:cs="Arial"/>
          <w:sz w:val="24"/>
          <w:szCs w:val="24"/>
        </w:rPr>
        <w:t xml:space="preserve">The </w:t>
      </w:r>
      <w:r w:rsidR="00461E77">
        <w:rPr>
          <w:rFonts w:ascii="Arial" w:hAnsi="Arial" w:cs="Arial"/>
          <w:sz w:val="24"/>
          <w:szCs w:val="24"/>
        </w:rPr>
        <w:t>evaluation of the success of the resource will be linked to less red results from failed quizzes and colleagues completing the training unaided.</w:t>
      </w:r>
      <w:r w:rsidR="001E06DE">
        <w:rPr>
          <w:rFonts w:ascii="Arial" w:hAnsi="Arial" w:cs="Arial"/>
          <w:sz w:val="24"/>
          <w:szCs w:val="24"/>
        </w:rPr>
        <w:t xml:space="preserve"> </w:t>
      </w:r>
    </w:p>
    <w:p w14:paraId="0C816A33" w14:textId="584AB770" w:rsidR="00E96F90" w:rsidRDefault="00A6258D" w:rsidP="00AB12E3">
      <w:pPr>
        <w:jc w:val="both"/>
        <w:rPr>
          <w:rFonts w:ascii="Arial" w:hAnsi="Arial" w:cs="Arial"/>
          <w:sz w:val="24"/>
          <w:szCs w:val="24"/>
        </w:rPr>
      </w:pPr>
      <w:hyperlink r:id="rId5" w:history="1">
        <w:r w:rsidR="00815532" w:rsidRPr="00A6258D">
          <w:rPr>
            <w:rStyle w:val="Hyperlink"/>
            <w:rFonts w:ascii="Arial" w:hAnsi="Arial" w:cs="Arial"/>
            <w:sz w:val="24"/>
            <w:szCs w:val="24"/>
          </w:rPr>
          <w:t>https://www.canva.com/design/DAEXo6Uz5m8/share/preview?token=ibOpQIfP70yW7K6rqXxipw&amp;role=EDITOR&amp;utm_content=DAEXo6Uz5m8&amp;utm_campaign=designshare&amp;utm_medium=link&amp;utm_source=sharebutton.</w:t>
        </w:r>
      </w:hyperlink>
    </w:p>
    <w:p w14:paraId="68A7324F" w14:textId="77777777" w:rsidR="00E96F90" w:rsidRDefault="00E96F90" w:rsidP="00AB12E3">
      <w:pPr>
        <w:jc w:val="both"/>
        <w:rPr>
          <w:rFonts w:ascii="Arial" w:hAnsi="Arial" w:cs="Arial"/>
          <w:sz w:val="24"/>
          <w:szCs w:val="24"/>
        </w:rPr>
      </w:pPr>
    </w:p>
    <w:sdt>
      <w:sdtPr>
        <w:rPr>
          <w:rFonts w:asciiTheme="minorHAnsi" w:eastAsiaTheme="minorHAnsi" w:hAnsiTheme="minorHAnsi" w:cstheme="minorBidi"/>
          <w:color w:val="auto"/>
          <w:sz w:val="22"/>
          <w:szCs w:val="22"/>
        </w:rPr>
        <w:id w:val="-58797381"/>
        <w:docPartObj>
          <w:docPartGallery w:val="Bibliographies"/>
          <w:docPartUnique/>
        </w:docPartObj>
      </w:sdtPr>
      <w:sdtEndPr>
        <w:rPr>
          <w:rFonts w:ascii="Arial" w:hAnsi="Arial" w:cs="Arial"/>
          <w:sz w:val="24"/>
          <w:szCs w:val="24"/>
        </w:rPr>
      </w:sdtEndPr>
      <w:sdtContent>
        <w:p w14:paraId="625794F8" w14:textId="31DEFFAC" w:rsidR="00E96F90" w:rsidRPr="00E96F90" w:rsidRDefault="00DE48ED" w:rsidP="00E96F90">
          <w:pPr>
            <w:pStyle w:val="Heading1"/>
            <w:rPr>
              <w:rFonts w:ascii="Arial" w:hAnsi="Arial" w:cs="Arial"/>
              <w:color w:val="auto"/>
              <w:sz w:val="28"/>
              <w:szCs w:val="28"/>
            </w:rPr>
          </w:pPr>
          <w:r w:rsidRPr="00E96F90">
            <w:rPr>
              <w:rFonts w:ascii="Arial" w:hAnsi="Arial" w:cs="Arial"/>
              <w:color w:val="auto"/>
              <w:sz w:val="28"/>
              <w:szCs w:val="28"/>
            </w:rPr>
            <w:t>Bibliography</w:t>
          </w:r>
          <w:r w:rsidR="00E96F90" w:rsidRPr="00E96F90">
            <w:rPr>
              <w:rFonts w:ascii="Arial" w:hAnsi="Arial" w:cs="Arial"/>
              <w:color w:val="auto"/>
              <w:sz w:val="28"/>
              <w:szCs w:val="28"/>
            </w:rPr>
            <w:t>.</w:t>
          </w:r>
        </w:p>
        <w:sdt>
          <w:sdtPr>
            <w:id w:val="111145805"/>
            <w:bibliography/>
          </w:sdtPr>
          <w:sdtEndPr>
            <w:rPr>
              <w:rFonts w:ascii="Arial" w:hAnsi="Arial" w:cs="Arial"/>
              <w:sz w:val="24"/>
              <w:szCs w:val="24"/>
            </w:rPr>
          </w:sdtEndPr>
          <w:sdtContent>
            <w:p w14:paraId="376856EA" w14:textId="77777777" w:rsidR="003A2531" w:rsidRDefault="00DE48ED" w:rsidP="003A2531">
              <w:pPr>
                <w:pStyle w:val="Bibliography"/>
                <w:rPr>
                  <w:noProof/>
                  <w:sz w:val="24"/>
                  <w:szCs w:val="24"/>
                </w:rPr>
              </w:pPr>
              <w:r w:rsidRPr="00E96F90">
                <w:rPr>
                  <w:rFonts w:ascii="Arial" w:hAnsi="Arial" w:cs="Arial"/>
                  <w:sz w:val="24"/>
                  <w:szCs w:val="24"/>
                </w:rPr>
                <w:fldChar w:fldCharType="begin"/>
              </w:r>
              <w:r w:rsidRPr="00E96F90">
                <w:rPr>
                  <w:rFonts w:ascii="Arial" w:hAnsi="Arial" w:cs="Arial"/>
                  <w:sz w:val="24"/>
                  <w:szCs w:val="24"/>
                </w:rPr>
                <w:instrText xml:space="preserve"> BIBLIOGRAPHY </w:instrText>
              </w:r>
              <w:r w:rsidRPr="00E96F90">
                <w:rPr>
                  <w:rFonts w:ascii="Arial" w:hAnsi="Arial" w:cs="Arial"/>
                  <w:sz w:val="24"/>
                  <w:szCs w:val="24"/>
                </w:rPr>
                <w:fldChar w:fldCharType="separate"/>
              </w:r>
              <w:r w:rsidR="003A2531">
                <w:rPr>
                  <w:noProof/>
                </w:rPr>
                <w:t xml:space="preserve">Baker, M., 2014. Tech Tools for Training. </w:t>
              </w:r>
              <w:r w:rsidR="003A2531">
                <w:rPr>
                  <w:i/>
                  <w:iCs/>
                  <w:noProof/>
                </w:rPr>
                <w:t xml:space="preserve">T&amp;D, </w:t>
              </w:r>
              <w:r w:rsidR="003A2531">
                <w:rPr>
                  <w:noProof/>
                </w:rPr>
                <w:t>July, 68(7), pp. 28-31.</w:t>
              </w:r>
            </w:p>
            <w:p w14:paraId="38DB0F13" w14:textId="77777777" w:rsidR="003A2531" w:rsidRDefault="003A2531" w:rsidP="003A2531">
              <w:pPr>
                <w:pStyle w:val="Bibliography"/>
                <w:rPr>
                  <w:noProof/>
                </w:rPr>
              </w:pPr>
              <w:r>
                <w:rPr>
                  <w:noProof/>
                </w:rPr>
                <w:t xml:space="preserve">Bean, C., 2014. Six </w:t>
              </w:r>
              <w:r w:rsidRPr="00EB1818">
                <w:rPr>
                  <w:rFonts w:ascii="Arial" w:hAnsi="Arial" w:cs="Arial"/>
                  <w:noProof/>
                  <w:sz w:val="24"/>
                  <w:szCs w:val="24"/>
                </w:rPr>
                <w:t>Tips</w:t>
              </w:r>
              <w:r>
                <w:rPr>
                  <w:noProof/>
                </w:rPr>
                <w:t xml:space="preserve"> for Writing Better E Learning Scripts. </w:t>
              </w:r>
              <w:r>
                <w:rPr>
                  <w:i/>
                  <w:iCs/>
                  <w:noProof/>
                </w:rPr>
                <w:t xml:space="preserve">T&amp;D, </w:t>
              </w:r>
              <w:r>
                <w:rPr>
                  <w:noProof/>
                </w:rPr>
                <w:t>Jun, 68(6), pp. 34-39.</w:t>
              </w:r>
            </w:p>
            <w:p w14:paraId="46DE0AFE" w14:textId="77777777" w:rsidR="003A2531" w:rsidRDefault="003A2531" w:rsidP="003A2531">
              <w:pPr>
                <w:pStyle w:val="Bibliography"/>
                <w:rPr>
                  <w:noProof/>
                </w:rPr>
              </w:pPr>
              <w:r>
                <w:rPr>
                  <w:noProof/>
                </w:rPr>
                <w:t xml:space="preserve">Betof, E., Owens, L. &amp; Todd, S., 2014. The Key to success in a VUCA World.. </w:t>
              </w:r>
              <w:r>
                <w:rPr>
                  <w:i/>
                  <w:iCs/>
                  <w:noProof/>
                </w:rPr>
                <w:t xml:space="preserve">T&amp;D, </w:t>
              </w:r>
              <w:r>
                <w:rPr>
                  <w:noProof/>
                </w:rPr>
                <w:t>July, 68(7), pp. 38-43.</w:t>
              </w:r>
            </w:p>
            <w:p w14:paraId="4F5889DD" w14:textId="77777777" w:rsidR="003A2531" w:rsidRDefault="003A2531" w:rsidP="003A2531">
              <w:pPr>
                <w:pStyle w:val="Bibliography"/>
                <w:rPr>
                  <w:noProof/>
                </w:rPr>
              </w:pPr>
              <w:r>
                <w:rPr>
                  <w:noProof/>
                </w:rPr>
                <w:t xml:space="preserve">CIPD, 2020a. </w:t>
              </w:r>
              <w:r>
                <w:rPr>
                  <w:i/>
                  <w:iCs/>
                  <w:noProof/>
                </w:rPr>
                <w:t xml:space="preserve">Learning Methods. </w:t>
              </w:r>
              <w:r>
                <w:rPr>
                  <w:noProof/>
                </w:rPr>
                <w:t xml:space="preserve">[Online] </w:t>
              </w:r>
              <w:r>
                <w:rPr>
                  <w:noProof/>
                </w:rPr>
                <w:br/>
                <w:t xml:space="preserve">Available at: </w:t>
              </w:r>
              <w:r>
                <w:rPr>
                  <w:noProof/>
                  <w:u w:val="single"/>
                </w:rPr>
                <w:t>https://www.cipd.co.uk/knowledge/fundamentals/people/development/learning-methods-factsheet</w:t>
              </w:r>
              <w:r>
                <w:rPr>
                  <w:noProof/>
                </w:rPr>
                <w:br/>
                <w:t>[Accessed 3 March 2021].</w:t>
              </w:r>
            </w:p>
            <w:p w14:paraId="12ADCA17" w14:textId="77777777" w:rsidR="003A2531" w:rsidRDefault="003A2531" w:rsidP="003A2531">
              <w:pPr>
                <w:pStyle w:val="Bibliography"/>
                <w:rPr>
                  <w:noProof/>
                </w:rPr>
              </w:pPr>
              <w:r>
                <w:rPr>
                  <w:noProof/>
                </w:rPr>
                <w:t xml:space="preserve">CIPD, 2020b. </w:t>
              </w:r>
              <w:r>
                <w:rPr>
                  <w:i/>
                  <w:iCs/>
                  <w:noProof/>
                </w:rPr>
                <w:t xml:space="preserve">Line Manager's Role in Supporting the People Profession. </w:t>
              </w:r>
              <w:r>
                <w:rPr>
                  <w:noProof/>
                </w:rPr>
                <w:t xml:space="preserve">[Online] </w:t>
              </w:r>
              <w:r>
                <w:rPr>
                  <w:noProof/>
                </w:rPr>
                <w:br/>
                <w:t xml:space="preserve">Available at: </w:t>
              </w:r>
              <w:r>
                <w:rPr>
                  <w:noProof/>
                  <w:u w:val="single"/>
                </w:rPr>
                <w:t>https://www.cipd.co.uk/knowledge/fundamentals/people/hr/line-managers-factsheet</w:t>
              </w:r>
              <w:r>
                <w:rPr>
                  <w:noProof/>
                </w:rPr>
                <w:br/>
                <w:t>[Accessed 21 March 2021].</w:t>
              </w:r>
            </w:p>
            <w:p w14:paraId="302E8FED" w14:textId="77777777" w:rsidR="003A2531" w:rsidRDefault="003A2531" w:rsidP="003A2531">
              <w:pPr>
                <w:pStyle w:val="Bibliography"/>
                <w:rPr>
                  <w:noProof/>
                </w:rPr>
              </w:pPr>
              <w:r>
                <w:rPr>
                  <w:noProof/>
                </w:rPr>
                <w:t xml:space="preserve">CIPD, 2020c. </w:t>
              </w:r>
              <w:r>
                <w:rPr>
                  <w:i/>
                  <w:iCs/>
                  <w:noProof/>
                </w:rPr>
                <w:t xml:space="preserve">Evaluating Learning and Development. </w:t>
              </w:r>
              <w:r>
                <w:rPr>
                  <w:noProof/>
                </w:rPr>
                <w:t xml:space="preserve">[Online] </w:t>
              </w:r>
              <w:r>
                <w:rPr>
                  <w:noProof/>
                </w:rPr>
                <w:br/>
              </w:r>
              <w:r w:rsidRPr="004B3290">
                <w:rPr>
                  <w:rFonts w:ascii="Arial" w:hAnsi="Arial" w:cs="Arial"/>
                  <w:noProof/>
                  <w:sz w:val="24"/>
                  <w:szCs w:val="24"/>
                </w:rPr>
                <w:t>Available</w:t>
              </w:r>
              <w:r>
                <w:rPr>
                  <w:noProof/>
                </w:rPr>
                <w:t xml:space="preserve"> at: </w:t>
              </w:r>
              <w:r>
                <w:rPr>
                  <w:noProof/>
                  <w:u w:val="single"/>
                </w:rPr>
                <w:t>https://www.cipd.co.uk/knowledge/fundamentals/people/development/evaluating-</w:t>
              </w:r>
              <w:r>
                <w:rPr>
                  <w:noProof/>
                  <w:u w:val="single"/>
                </w:rPr>
                <w:lastRenderedPageBreak/>
                <w:t>learning-factsheet</w:t>
              </w:r>
              <w:r>
                <w:rPr>
                  <w:noProof/>
                </w:rPr>
                <w:br/>
                <w:t>[Accessed 21 March 2021].</w:t>
              </w:r>
            </w:p>
            <w:p w14:paraId="05543A16" w14:textId="77777777" w:rsidR="003A2531" w:rsidRDefault="003A2531" w:rsidP="003A2531">
              <w:pPr>
                <w:pStyle w:val="Bibliography"/>
                <w:rPr>
                  <w:noProof/>
                </w:rPr>
              </w:pPr>
              <w:r>
                <w:rPr>
                  <w:noProof/>
                </w:rPr>
                <w:t xml:space="preserve">Daly, J. &amp; Overton, L., 2017. </w:t>
              </w:r>
              <w:r>
                <w:rPr>
                  <w:i/>
                  <w:iCs/>
                  <w:noProof/>
                </w:rPr>
                <w:t xml:space="preserve">Driving the New Learning Organisation - How to unlock the potential of L&amp;D, </w:t>
              </w:r>
              <w:r>
                <w:rPr>
                  <w:noProof/>
                </w:rPr>
                <w:t>s.l.: Towards Maturity.</w:t>
              </w:r>
            </w:p>
            <w:p w14:paraId="0B45204F" w14:textId="77777777" w:rsidR="003A2531" w:rsidRDefault="003A2531" w:rsidP="003A2531">
              <w:pPr>
                <w:pStyle w:val="Bibliography"/>
                <w:rPr>
                  <w:noProof/>
                </w:rPr>
              </w:pPr>
              <w:r>
                <w:rPr>
                  <w:noProof/>
                </w:rPr>
                <w:t xml:space="preserve">Griffiths, D. &amp; Inman, M., 2017. Is it Time to Take Learning design to Task?. </w:t>
              </w:r>
              <w:r>
                <w:rPr>
                  <w:i/>
                  <w:iCs/>
                  <w:noProof/>
                </w:rPr>
                <w:t xml:space="preserve">Journal of Adult and Continuing Education, </w:t>
              </w:r>
              <w:r>
                <w:rPr>
                  <w:noProof/>
                </w:rPr>
                <w:t>September, 23(2), pp. 226-249.</w:t>
              </w:r>
            </w:p>
            <w:p w14:paraId="75F520A8" w14:textId="77777777" w:rsidR="003A2531" w:rsidRDefault="003A2531" w:rsidP="003A2531">
              <w:pPr>
                <w:pStyle w:val="Bibliography"/>
                <w:rPr>
                  <w:noProof/>
                </w:rPr>
              </w:pPr>
              <w:r>
                <w:rPr>
                  <w:noProof/>
                </w:rPr>
                <w:t xml:space="preserve">Overton, L. &amp; Dixon, G., 2014. </w:t>
              </w:r>
              <w:r>
                <w:rPr>
                  <w:i/>
                  <w:iCs/>
                  <w:noProof/>
                </w:rPr>
                <w:t xml:space="preserve">Using MOOCs to transform traditional training, </w:t>
              </w:r>
              <w:r>
                <w:rPr>
                  <w:noProof/>
                </w:rPr>
                <w:t>s.l.: Towards Maturity.</w:t>
              </w:r>
            </w:p>
            <w:p w14:paraId="57F2C271" w14:textId="35C951EE" w:rsidR="003A2531" w:rsidRDefault="003A2531" w:rsidP="003A2531">
              <w:pPr>
                <w:pStyle w:val="Bibliography"/>
                <w:rPr>
                  <w:noProof/>
                </w:rPr>
              </w:pPr>
              <w:r>
                <w:rPr>
                  <w:noProof/>
                </w:rPr>
                <w:t xml:space="preserve">Shackleton-Jones, N., 2019. </w:t>
              </w:r>
              <w:r>
                <w:rPr>
                  <w:i/>
                  <w:iCs/>
                  <w:noProof/>
                </w:rPr>
                <w:t xml:space="preserve">How People Learn. Designing education and training that works to improve performance. </w:t>
              </w:r>
              <w:r>
                <w:rPr>
                  <w:noProof/>
                </w:rPr>
                <w:t>1st ed. London: KoganPage.</w:t>
              </w:r>
            </w:p>
            <w:p w14:paraId="171A5B2B" w14:textId="0758E95D" w:rsidR="003A2531" w:rsidRDefault="003A2531" w:rsidP="003A2531">
              <w:pPr>
                <w:pStyle w:val="Bibliography"/>
                <w:rPr>
                  <w:noProof/>
                </w:rPr>
              </w:pPr>
              <w:r>
                <w:rPr>
                  <w:noProof/>
                </w:rPr>
                <w:t xml:space="preserve">Stewart, J. &amp; Cureton, P., 2014. </w:t>
              </w:r>
              <w:r>
                <w:rPr>
                  <w:i/>
                  <w:iCs/>
                  <w:noProof/>
                </w:rPr>
                <w:t xml:space="preserve">Designing, Delivering and Evaluating L&amp;D: Essentials for Practice. </w:t>
              </w:r>
              <w:r>
                <w:rPr>
                  <w:noProof/>
                </w:rPr>
                <w:t>1st ed. London: CIPD.</w:t>
              </w:r>
            </w:p>
            <w:p w14:paraId="4DDC9F56" w14:textId="59C2CF81" w:rsidR="00DE48ED" w:rsidRPr="00E96F90" w:rsidRDefault="00DE48ED" w:rsidP="003A2531">
              <w:pPr>
                <w:rPr>
                  <w:rFonts w:ascii="Arial" w:hAnsi="Arial" w:cs="Arial"/>
                  <w:sz w:val="24"/>
                  <w:szCs w:val="24"/>
                </w:rPr>
              </w:pPr>
              <w:r w:rsidRPr="00E96F90">
                <w:rPr>
                  <w:rFonts w:ascii="Arial" w:hAnsi="Arial" w:cs="Arial"/>
                  <w:b/>
                  <w:bCs/>
                  <w:noProof/>
                  <w:sz w:val="24"/>
                  <w:szCs w:val="24"/>
                </w:rPr>
                <w:fldChar w:fldCharType="end"/>
              </w:r>
            </w:p>
          </w:sdtContent>
        </w:sdt>
      </w:sdtContent>
    </w:sdt>
    <w:p w14:paraId="4D24FCC0" w14:textId="609FFE4F" w:rsidR="00443AFF" w:rsidRPr="00E96F90" w:rsidRDefault="00443AFF" w:rsidP="00AB12E3">
      <w:pPr>
        <w:jc w:val="both"/>
        <w:rPr>
          <w:rFonts w:ascii="Arial" w:hAnsi="Arial" w:cs="Arial"/>
          <w:sz w:val="24"/>
          <w:szCs w:val="24"/>
        </w:rPr>
      </w:pPr>
    </w:p>
    <w:p w14:paraId="7393B8F0" w14:textId="3A19DCC3" w:rsidR="00AB12E3" w:rsidRPr="00E96F90" w:rsidRDefault="00AB12E3" w:rsidP="00AB12E3">
      <w:pPr>
        <w:jc w:val="both"/>
        <w:rPr>
          <w:rFonts w:ascii="Arial" w:hAnsi="Arial" w:cs="Arial"/>
          <w:sz w:val="24"/>
          <w:szCs w:val="24"/>
        </w:rPr>
      </w:pPr>
    </w:p>
    <w:sectPr w:rsidR="00AB12E3" w:rsidRPr="00E96F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275"/>
    <w:rsid w:val="00144275"/>
    <w:rsid w:val="001E06DE"/>
    <w:rsid w:val="0028329D"/>
    <w:rsid w:val="003A2531"/>
    <w:rsid w:val="003D19FF"/>
    <w:rsid w:val="00443AFF"/>
    <w:rsid w:val="00461E77"/>
    <w:rsid w:val="004B3290"/>
    <w:rsid w:val="007C4458"/>
    <w:rsid w:val="007C6D37"/>
    <w:rsid w:val="007C785D"/>
    <w:rsid w:val="00815532"/>
    <w:rsid w:val="00975DEF"/>
    <w:rsid w:val="00A6258D"/>
    <w:rsid w:val="00AB12E3"/>
    <w:rsid w:val="00C165C5"/>
    <w:rsid w:val="00C2775C"/>
    <w:rsid w:val="00C54DE0"/>
    <w:rsid w:val="00C83B1E"/>
    <w:rsid w:val="00DE48ED"/>
    <w:rsid w:val="00E323E3"/>
    <w:rsid w:val="00E74B30"/>
    <w:rsid w:val="00E96F90"/>
    <w:rsid w:val="00EA16CF"/>
    <w:rsid w:val="00EA4950"/>
    <w:rsid w:val="00EB1818"/>
    <w:rsid w:val="00EC63B2"/>
    <w:rsid w:val="00F063DB"/>
    <w:rsid w:val="00F75B4E"/>
    <w:rsid w:val="00FA7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7D59"/>
  <w15:chartTrackingRefBased/>
  <w15:docId w15:val="{BE06C2E3-8FF5-40E2-90BC-18FCE64E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2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42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2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4427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E48ED"/>
  </w:style>
  <w:style w:type="character" w:styleId="Hyperlink">
    <w:name w:val="Hyperlink"/>
    <w:basedOn w:val="DefaultParagraphFont"/>
    <w:uiPriority w:val="99"/>
    <w:unhideWhenUsed/>
    <w:rsid w:val="007C785D"/>
    <w:rPr>
      <w:color w:val="0563C1" w:themeColor="hyperlink"/>
      <w:u w:val="single"/>
    </w:rPr>
  </w:style>
  <w:style w:type="character" w:styleId="UnresolvedMention">
    <w:name w:val="Unresolved Mention"/>
    <w:basedOn w:val="DefaultParagraphFont"/>
    <w:uiPriority w:val="99"/>
    <w:semiHidden/>
    <w:unhideWhenUsed/>
    <w:rsid w:val="007C7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51368">
      <w:bodyDiv w:val="1"/>
      <w:marLeft w:val="0"/>
      <w:marRight w:val="0"/>
      <w:marTop w:val="0"/>
      <w:marBottom w:val="0"/>
      <w:divBdr>
        <w:top w:val="none" w:sz="0" w:space="0" w:color="auto"/>
        <w:left w:val="none" w:sz="0" w:space="0" w:color="auto"/>
        <w:bottom w:val="none" w:sz="0" w:space="0" w:color="auto"/>
        <w:right w:val="none" w:sz="0" w:space="0" w:color="auto"/>
      </w:divBdr>
    </w:div>
    <w:div w:id="359860752">
      <w:bodyDiv w:val="1"/>
      <w:marLeft w:val="0"/>
      <w:marRight w:val="0"/>
      <w:marTop w:val="0"/>
      <w:marBottom w:val="0"/>
      <w:divBdr>
        <w:top w:val="none" w:sz="0" w:space="0" w:color="auto"/>
        <w:left w:val="none" w:sz="0" w:space="0" w:color="auto"/>
        <w:bottom w:val="none" w:sz="0" w:space="0" w:color="auto"/>
        <w:right w:val="none" w:sz="0" w:space="0" w:color="auto"/>
      </w:divBdr>
    </w:div>
    <w:div w:id="500970809">
      <w:bodyDiv w:val="1"/>
      <w:marLeft w:val="0"/>
      <w:marRight w:val="0"/>
      <w:marTop w:val="0"/>
      <w:marBottom w:val="0"/>
      <w:divBdr>
        <w:top w:val="none" w:sz="0" w:space="0" w:color="auto"/>
        <w:left w:val="none" w:sz="0" w:space="0" w:color="auto"/>
        <w:bottom w:val="none" w:sz="0" w:space="0" w:color="auto"/>
        <w:right w:val="none" w:sz="0" w:space="0" w:color="auto"/>
      </w:divBdr>
    </w:div>
    <w:div w:id="601451329">
      <w:bodyDiv w:val="1"/>
      <w:marLeft w:val="0"/>
      <w:marRight w:val="0"/>
      <w:marTop w:val="0"/>
      <w:marBottom w:val="0"/>
      <w:divBdr>
        <w:top w:val="none" w:sz="0" w:space="0" w:color="auto"/>
        <w:left w:val="none" w:sz="0" w:space="0" w:color="auto"/>
        <w:bottom w:val="none" w:sz="0" w:space="0" w:color="auto"/>
        <w:right w:val="none" w:sz="0" w:space="0" w:color="auto"/>
      </w:divBdr>
    </w:div>
    <w:div w:id="647982523">
      <w:bodyDiv w:val="1"/>
      <w:marLeft w:val="0"/>
      <w:marRight w:val="0"/>
      <w:marTop w:val="0"/>
      <w:marBottom w:val="0"/>
      <w:divBdr>
        <w:top w:val="none" w:sz="0" w:space="0" w:color="auto"/>
        <w:left w:val="none" w:sz="0" w:space="0" w:color="auto"/>
        <w:bottom w:val="none" w:sz="0" w:space="0" w:color="auto"/>
        <w:right w:val="none" w:sz="0" w:space="0" w:color="auto"/>
      </w:divBdr>
    </w:div>
    <w:div w:id="837773078">
      <w:bodyDiv w:val="1"/>
      <w:marLeft w:val="0"/>
      <w:marRight w:val="0"/>
      <w:marTop w:val="0"/>
      <w:marBottom w:val="0"/>
      <w:divBdr>
        <w:top w:val="none" w:sz="0" w:space="0" w:color="auto"/>
        <w:left w:val="none" w:sz="0" w:space="0" w:color="auto"/>
        <w:bottom w:val="none" w:sz="0" w:space="0" w:color="auto"/>
        <w:right w:val="none" w:sz="0" w:space="0" w:color="auto"/>
      </w:divBdr>
    </w:div>
    <w:div w:id="885407455">
      <w:bodyDiv w:val="1"/>
      <w:marLeft w:val="0"/>
      <w:marRight w:val="0"/>
      <w:marTop w:val="0"/>
      <w:marBottom w:val="0"/>
      <w:divBdr>
        <w:top w:val="none" w:sz="0" w:space="0" w:color="auto"/>
        <w:left w:val="none" w:sz="0" w:space="0" w:color="auto"/>
        <w:bottom w:val="none" w:sz="0" w:space="0" w:color="auto"/>
        <w:right w:val="none" w:sz="0" w:space="0" w:color="auto"/>
      </w:divBdr>
    </w:div>
    <w:div w:id="1122185188">
      <w:bodyDiv w:val="1"/>
      <w:marLeft w:val="0"/>
      <w:marRight w:val="0"/>
      <w:marTop w:val="0"/>
      <w:marBottom w:val="0"/>
      <w:divBdr>
        <w:top w:val="none" w:sz="0" w:space="0" w:color="auto"/>
        <w:left w:val="none" w:sz="0" w:space="0" w:color="auto"/>
        <w:bottom w:val="none" w:sz="0" w:space="0" w:color="auto"/>
        <w:right w:val="none" w:sz="0" w:space="0" w:color="auto"/>
      </w:divBdr>
    </w:div>
    <w:div w:id="1134833477">
      <w:bodyDiv w:val="1"/>
      <w:marLeft w:val="0"/>
      <w:marRight w:val="0"/>
      <w:marTop w:val="0"/>
      <w:marBottom w:val="0"/>
      <w:divBdr>
        <w:top w:val="none" w:sz="0" w:space="0" w:color="auto"/>
        <w:left w:val="none" w:sz="0" w:space="0" w:color="auto"/>
        <w:bottom w:val="none" w:sz="0" w:space="0" w:color="auto"/>
        <w:right w:val="none" w:sz="0" w:space="0" w:color="auto"/>
      </w:divBdr>
    </w:div>
    <w:div w:id="1349210372">
      <w:bodyDiv w:val="1"/>
      <w:marLeft w:val="0"/>
      <w:marRight w:val="0"/>
      <w:marTop w:val="0"/>
      <w:marBottom w:val="0"/>
      <w:divBdr>
        <w:top w:val="none" w:sz="0" w:space="0" w:color="auto"/>
        <w:left w:val="none" w:sz="0" w:space="0" w:color="auto"/>
        <w:bottom w:val="none" w:sz="0" w:space="0" w:color="auto"/>
        <w:right w:val="none" w:sz="0" w:space="0" w:color="auto"/>
      </w:divBdr>
    </w:div>
    <w:div w:id="1489514645">
      <w:bodyDiv w:val="1"/>
      <w:marLeft w:val="0"/>
      <w:marRight w:val="0"/>
      <w:marTop w:val="0"/>
      <w:marBottom w:val="0"/>
      <w:divBdr>
        <w:top w:val="none" w:sz="0" w:space="0" w:color="auto"/>
        <w:left w:val="none" w:sz="0" w:space="0" w:color="auto"/>
        <w:bottom w:val="none" w:sz="0" w:space="0" w:color="auto"/>
        <w:right w:val="none" w:sz="0" w:space="0" w:color="auto"/>
      </w:divBdr>
    </w:div>
    <w:div w:id="1613322569">
      <w:bodyDiv w:val="1"/>
      <w:marLeft w:val="0"/>
      <w:marRight w:val="0"/>
      <w:marTop w:val="0"/>
      <w:marBottom w:val="0"/>
      <w:divBdr>
        <w:top w:val="none" w:sz="0" w:space="0" w:color="auto"/>
        <w:left w:val="none" w:sz="0" w:space="0" w:color="auto"/>
        <w:bottom w:val="none" w:sz="0" w:space="0" w:color="auto"/>
        <w:right w:val="none" w:sz="0" w:space="0" w:color="auto"/>
      </w:divBdr>
    </w:div>
    <w:div w:id="1653751267">
      <w:bodyDiv w:val="1"/>
      <w:marLeft w:val="0"/>
      <w:marRight w:val="0"/>
      <w:marTop w:val="0"/>
      <w:marBottom w:val="0"/>
      <w:divBdr>
        <w:top w:val="none" w:sz="0" w:space="0" w:color="auto"/>
        <w:left w:val="none" w:sz="0" w:space="0" w:color="auto"/>
        <w:bottom w:val="none" w:sz="0" w:space="0" w:color="auto"/>
        <w:right w:val="none" w:sz="0" w:space="0" w:color="auto"/>
      </w:divBdr>
    </w:div>
    <w:div w:id="1791582601">
      <w:bodyDiv w:val="1"/>
      <w:marLeft w:val="0"/>
      <w:marRight w:val="0"/>
      <w:marTop w:val="0"/>
      <w:marBottom w:val="0"/>
      <w:divBdr>
        <w:top w:val="none" w:sz="0" w:space="0" w:color="auto"/>
        <w:left w:val="none" w:sz="0" w:space="0" w:color="auto"/>
        <w:bottom w:val="none" w:sz="0" w:space="0" w:color="auto"/>
        <w:right w:val="none" w:sz="0" w:space="0" w:color="auto"/>
      </w:divBdr>
    </w:div>
    <w:div w:id="1797748621">
      <w:bodyDiv w:val="1"/>
      <w:marLeft w:val="0"/>
      <w:marRight w:val="0"/>
      <w:marTop w:val="0"/>
      <w:marBottom w:val="0"/>
      <w:divBdr>
        <w:top w:val="none" w:sz="0" w:space="0" w:color="auto"/>
        <w:left w:val="none" w:sz="0" w:space="0" w:color="auto"/>
        <w:bottom w:val="none" w:sz="0" w:space="0" w:color="auto"/>
        <w:right w:val="none" w:sz="0" w:space="0" w:color="auto"/>
      </w:divBdr>
    </w:div>
    <w:div w:id="207069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anva.com/design/DAEXo6Uz5m8/share/preview?token=ibOpQIfP70yW7K6rqXxipw&amp;role=EDITOR&amp;utm_content=DAEXo6Uz5m8&amp;utm_campaign=designshare&amp;utm_medium=link&amp;utm_source=sharebutt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Nic19</b:Tag>
    <b:SourceType>Book</b:SourceType>
    <b:Guid>{808877B8-E888-49FD-B127-08DA2B8D9052}</b:Guid>
    <b:Title>How People Learn. Designing education and training that works to improve performance.</b:Title>
    <b:Year>2019</b:Year>
    <b:City>London</b:City>
    <b:Publisher>KoganPage</b:Publisher>
    <b:Edition>1st</b:Edition>
    <b:Author>
      <b:Author>
        <b:NameList>
          <b:Person>
            <b:Last>Shackleton-Jones</b:Last>
            <b:First>Nick</b:First>
          </b:Person>
        </b:NameList>
      </b:Author>
    </b:Author>
    <b:RefOrder>1</b:RefOrder>
  </b:Source>
  <b:Source>
    <b:Tag>Dal17</b:Tag>
    <b:SourceType>Report</b:SourceType>
    <b:Guid>{A29576A3-C9CF-4440-84A8-2E5BD9D7620D}</b:Guid>
    <b:Title>Driving the New Learning Organisation - How to unlock the potential of L&amp;D</b:Title>
    <b:Year>2017</b:Year>
    <b:Publisher>Towards Maturity</b:Publisher>
    <b:Author>
      <b:Author>
        <b:NameList>
          <b:Person>
            <b:Last>Daly</b:Last>
            <b:First>Jane</b:First>
          </b:Person>
          <b:Person>
            <b:Last>Overton</b:Last>
            <b:First>Laura</b:First>
          </b:Person>
        </b:NameList>
      </b:Author>
    </b:Author>
    <b:RefOrder>2</b:RefOrder>
  </b:Source>
  <b:Source>
    <b:Tag>CIP0b2</b:Tag>
    <b:SourceType>DocumentFromInternetSite</b:SourceType>
    <b:Guid>{6B76B276-99DB-426D-BE3E-59B542CD24AB}</b:Guid>
    <b:Author>
      <b:Author>
        <b:Corporate>CIPD</b:Corporate>
      </b:Author>
    </b:Author>
    <b:Title>Line Manager's Role in Supporting the People Profession</b:Title>
    <b:Year>2020b</b:Year>
    <b:Month>November</b:Month>
    <b:Day>12</b:Day>
    <b:YearAccessed>2021</b:YearAccessed>
    <b:MonthAccessed>March</b:MonthAccessed>
    <b:DayAccessed>21</b:DayAccessed>
    <b:URL>https://www.cipd.co.uk/knowledge/fundamentals/people/hr/line-managers-factsheet</b:URL>
    <b:RefOrder>3</b:RefOrder>
  </b:Source>
  <b:Source>
    <b:Tag>CIP208</b:Tag>
    <b:SourceType>DocumentFromInternetSite</b:SourceType>
    <b:Guid>{B783F001-F506-4C8F-AC6D-9195956A2DF2}</b:Guid>
    <b:Title>Learning Methods</b:Title>
    <b:Year>2020a</b:Year>
    <b:Author>
      <b:Author>
        <b:Corporate>CIPD</b:Corporate>
      </b:Author>
    </b:Author>
    <b:Month>August</b:Month>
    <b:Day>3</b:Day>
    <b:YearAccessed>2021</b:YearAccessed>
    <b:MonthAccessed>March</b:MonthAccessed>
    <b:DayAccessed>3</b:DayAccessed>
    <b:URL>https://www.cipd.co.uk/knowledge/fundamentals/people/development/learning-methods-factsheet</b:URL>
    <b:RefOrder>4</b:RefOrder>
  </b:Source>
  <b:Source>
    <b:Tag>Ove14</b:Tag>
    <b:SourceType>Report</b:SourceType>
    <b:Guid>{93204E74-3BAD-4592-A46B-CBC27BAF118F}</b:Guid>
    <b:Title>Using MOOCs to transform traditional training</b:Title>
    <b:Year>2014</b:Year>
    <b:Author>
      <b:Author>
        <b:NameList>
          <b:Person>
            <b:Last>Overton</b:Last>
            <b:First>Laura</b:First>
          </b:Person>
          <b:Person>
            <b:Last>Dixon</b:Last>
            <b:First>Genny</b:First>
          </b:Person>
        </b:NameList>
      </b:Author>
    </b:Author>
    <b:Publisher>Towards Maturity</b:Publisher>
    <b:RefOrder>5</b:RefOrder>
  </b:Source>
  <b:Source>
    <b:Tag>Ste141</b:Tag>
    <b:SourceType>Book</b:SourceType>
    <b:Guid>{E65CD0F1-96BE-45EF-986F-C8AA6A232114}</b:Guid>
    <b:Title>Designing, Delivering and Evaluating L&amp;D: Essentials for Practice.</b:Title>
    <b:Year>2014</b:Year>
    <b:Publisher>CIPD</b:Publisher>
    <b:City>London</b:City>
    <b:Edition>1st</b:Edition>
    <b:Author>
      <b:Author>
        <b:NameList>
          <b:Person>
            <b:Last>Stewart</b:Last>
            <b:First>Jim</b:First>
          </b:Person>
          <b:Person>
            <b:Last>Cureton</b:Last>
            <b:First>Peter</b:First>
          </b:Person>
        </b:NameList>
      </b:Author>
    </b:Author>
    <b:RefOrder>6</b:RefOrder>
  </b:Source>
  <b:Source>
    <b:Tag>CIP0c2</b:Tag>
    <b:SourceType>DocumentFromInternetSite</b:SourceType>
    <b:Guid>{4BC21940-43DB-4155-8416-E16E79BC8815}</b:Guid>
    <b:Title>Evaluating Learning and Development</b:Title>
    <b:Year>2020c</b:Year>
    <b:Month>August</b:Month>
    <b:Day>11</b:Day>
    <b:YearAccessed>2021</b:YearAccessed>
    <b:MonthAccessed>March</b:MonthAccessed>
    <b:DayAccessed>21</b:DayAccessed>
    <b:URL>https://www.cipd.co.uk/knowledge/fundamentals/people/development/evaluating-learning-factsheet</b:URL>
    <b:Author>
      <b:Author>
        <b:Corporate>CIPD</b:Corporate>
      </b:Author>
    </b:Author>
    <b:RefOrder>7</b:RefOrder>
  </b:Source>
  <b:Source>
    <b:Tag>Mic14</b:Tag>
    <b:SourceType>JournalArticle</b:SourceType>
    <b:Guid>{B7FE4C6B-C726-43B8-B9E0-661590D7145F}</b:Guid>
    <b:Title>Tech Tools for Training</b:Title>
    <b:Year>2014</b:Year>
    <b:Month>July</b:Month>
    <b:JournalName>T&amp;D</b:JournalName>
    <b:Pages>28-31</b:Pages>
    <b:Volume>68</b:Volume>
    <b:Issue>7</b:Issue>
    <b:Author>
      <b:Author>
        <b:NameList>
          <b:Person>
            <b:Last>Baker</b:Last>
            <b:First>Michelle</b:First>
          </b:Person>
        </b:NameList>
      </b:Author>
    </b:Author>
    <b:RefOrder>8</b:RefOrder>
  </b:Source>
  <b:Source>
    <b:Tag>Bet14</b:Tag>
    <b:SourceType>JournalArticle</b:SourceType>
    <b:Guid>{33C65219-2E1D-43FC-ABD3-E6ADAF746A8A}</b:Guid>
    <b:Title>The Key to success in a VUCA World.</b:Title>
    <b:JournalName>T&amp;D</b:JournalName>
    <b:Year>2014</b:Year>
    <b:Pages>38-43</b:Pages>
    <b:Volume>68</b:Volume>
    <b:Issue>7</b:Issue>
    <b:Author>
      <b:Author>
        <b:NameList>
          <b:Person>
            <b:Last>Betof</b:Last>
            <b:First>Ed</b:First>
          </b:Person>
          <b:Person>
            <b:Last>Owens</b:Last>
            <b:First>Lisa</b:First>
          </b:Person>
          <b:Person>
            <b:Last>Todd</b:Last>
            <b:First>Sue</b:First>
          </b:Person>
        </b:NameList>
      </b:Author>
    </b:Author>
    <b:Month>July</b:Month>
    <b:RefOrder>9</b:RefOrder>
  </b:Source>
  <b:Source>
    <b:Tag>Cam14</b:Tag>
    <b:SourceType>JournalArticle</b:SourceType>
    <b:Guid>{00BB5A58-B2B8-4892-9AE0-FD17D97ECE5C}</b:Guid>
    <b:Title>Six Tips for Writing Better E Learning Scripts</b:Title>
    <b:JournalName>T&amp;D</b:JournalName>
    <b:Year>2014</b:Year>
    <b:Pages>34-39</b:Pages>
    <b:Volume>68</b:Volume>
    <b:Issue>6</b:Issue>
    <b:Author>
      <b:Author>
        <b:NameList>
          <b:Person>
            <b:Last>Bean</b:Last>
            <b:First>Cammy</b:First>
          </b:Person>
        </b:NameList>
      </b:Author>
    </b:Author>
    <b:Month>Jun</b:Month>
    <b:RefOrder>10</b:RefOrder>
  </b:Source>
  <b:Source>
    <b:Tag>Gri17</b:Tag>
    <b:SourceType>JournalArticle</b:SourceType>
    <b:Guid>{8F5589CF-2ADD-4950-9D2A-8AD18C89F0CD}</b:Guid>
    <b:Title>Is it Time to Take Learning design to Task?</b:Title>
    <b:JournalName>Journal of Adult and Continuing Education</b:JournalName>
    <b:Year>2017</b:Year>
    <b:Pages>226-249</b:Pages>
    <b:Volume>23</b:Volume>
    <b:Issue>2</b:Issue>
    <b:Author>
      <b:Author>
        <b:NameList>
          <b:Person>
            <b:Last>Griffiths</b:Last>
            <b:First>David</b:First>
          </b:Person>
          <b:Person>
            <b:Last>Inman</b:Last>
            <b:First>Maggie</b:First>
          </b:Person>
        </b:NameList>
      </b:Author>
    </b:Author>
    <b:Month>September</b:Month>
    <b:URL>https://doi-org.ezproxy.uwtsd.ac.uk/10.1177%2F1477971417733270</b:URL>
    <b:RefOrder>11</b:RefOrder>
  </b:Source>
</b:Sources>
</file>

<file path=customXml/itemProps1.xml><?xml version="1.0" encoding="utf-8"?>
<ds:datastoreItem xmlns:ds="http://schemas.openxmlformats.org/officeDocument/2006/customXml" ds:itemID="{92F5170B-1874-4CA0-9EC6-3C888B3F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sarah lewis</cp:lastModifiedBy>
  <cp:revision>17</cp:revision>
  <dcterms:created xsi:type="dcterms:W3CDTF">2021-03-21T21:31:00Z</dcterms:created>
  <dcterms:modified xsi:type="dcterms:W3CDTF">2021-03-25T20:52:00Z</dcterms:modified>
</cp:coreProperties>
</file>