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7E6F9" w14:textId="77777777" w:rsidR="00D00ADF" w:rsidRDefault="00D00ADF">
      <w:pPr>
        <w:jc w:val="both"/>
      </w:pPr>
    </w:p>
    <w:p w14:paraId="79C4CBED" w14:textId="77777777" w:rsidR="00D00ADF" w:rsidRDefault="00000000">
      <w:pPr>
        <w:widowControl w:val="0"/>
        <w:spacing w:line="240" w:lineRule="auto"/>
        <w:ind w:right="87"/>
        <w:jc w:val="right"/>
        <w:rPr>
          <w:sz w:val="19"/>
          <w:szCs w:val="19"/>
        </w:rPr>
      </w:pPr>
      <w:r>
        <w:rPr>
          <w:sz w:val="19"/>
          <w:szCs w:val="19"/>
        </w:rPr>
        <w:t xml:space="preserve">++ </w:t>
      </w:r>
      <w:r>
        <w:rPr>
          <w:noProof/>
        </w:rPr>
        <w:drawing>
          <wp:anchor distT="19050" distB="19050" distL="19050" distR="19050" simplePos="0" relativeHeight="251658240" behindDoc="0" locked="0" layoutInCell="1" hidden="0" allowOverlap="1" wp14:anchorId="0F9CFB66" wp14:editId="146540F7">
            <wp:simplePos x="0" y="0"/>
            <wp:positionH relativeFrom="column">
              <wp:posOffset>19050</wp:posOffset>
            </wp:positionH>
            <wp:positionV relativeFrom="paragraph">
              <wp:posOffset>26670</wp:posOffset>
            </wp:positionV>
            <wp:extent cx="1809750" cy="723900"/>
            <wp:effectExtent l="0" t="0" r="0" b="0"/>
            <wp:wrapSquare wrapText="right"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1809750" cy="723900"/>
                    </a:xfrm>
                    <a:prstGeom prst="rect">
                      <a:avLst/>
                    </a:prstGeom>
                    <a:ln/>
                  </pic:spPr>
                </pic:pic>
              </a:graphicData>
            </a:graphic>
          </wp:anchor>
        </w:drawing>
      </w:r>
    </w:p>
    <w:p w14:paraId="0DD02B67" w14:textId="77777777" w:rsidR="00D00ADF" w:rsidRDefault="00000000">
      <w:pPr>
        <w:widowControl w:val="0"/>
        <w:spacing w:before="900" w:line="240" w:lineRule="auto"/>
        <w:ind w:right="91"/>
        <w:jc w:val="right"/>
        <w:rPr>
          <w:b/>
          <w:sz w:val="28"/>
          <w:szCs w:val="28"/>
        </w:rPr>
      </w:pPr>
      <w:r>
        <w:rPr>
          <w:b/>
          <w:sz w:val="28"/>
          <w:szCs w:val="28"/>
        </w:rPr>
        <w:t>APPENDIX GA36a</w:t>
      </w:r>
    </w:p>
    <w:tbl>
      <w:tblPr>
        <w:tblStyle w:val="a"/>
        <w:tblW w:w="9925" w:type="dxa"/>
        <w:tblInd w:w="5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925"/>
      </w:tblGrid>
      <w:tr w:rsidR="00D00ADF" w14:paraId="3DBE4A36" w14:textId="77777777">
        <w:trPr>
          <w:trHeight w:val="710"/>
        </w:trPr>
        <w:tc>
          <w:tcPr>
            <w:tcW w:w="9925" w:type="dxa"/>
            <w:shd w:val="clear" w:color="auto" w:fill="auto"/>
            <w:tcMar>
              <w:top w:w="100" w:type="dxa"/>
              <w:left w:w="100" w:type="dxa"/>
              <w:bottom w:w="100" w:type="dxa"/>
              <w:right w:w="100" w:type="dxa"/>
            </w:tcMar>
          </w:tcPr>
          <w:p w14:paraId="061DBBE7" w14:textId="77777777" w:rsidR="00D00ADF" w:rsidRDefault="00000000">
            <w:pPr>
              <w:widowControl w:val="0"/>
              <w:spacing w:line="240" w:lineRule="auto"/>
              <w:ind w:right="1004"/>
              <w:jc w:val="right"/>
              <w:rPr>
                <w:b/>
                <w:sz w:val="40"/>
                <w:szCs w:val="40"/>
              </w:rPr>
            </w:pPr>
            <w:r>
              <w:rPr>
                <w:b/>
                <w:sz w:val="40"/>
                <w:szCs w:val="40"/>
              </w:rPr>
              <w:t xml:space="preserve">LEVEL 4 ASSESSMENT SPECIFICATION </w:t>
            </w:r>
          </w:p>
        </w:tc>
      </w:tr>
    </w:tbl>
    <w:p w14:paraId="4831C36C" w14:textId="77777777" w:rsidR="00D00ADF" w:rsidRDefault="00D00ADF">
      <w:pPr>
        <w:widowControl w:val="0"/>
      </w:pPr>
    </w:p>
    <w:p w14:paraId="3822DCDA" w14:textId="77777777" w:rsidR="00D00ADF" w:rsidRDefault="00D00ADF">
      <w:pPr>
        <w:widowControl w:val="0"/>
      </w:pPr>
    </w:p>
    <w:tbl>
      <w:tblPr>
        <w:tblStyle w:val="a0"/>
        <w:tblW w:w="9925" w:type="dxa"/>
        <w:tblInd w:w="5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96"/>
        <w:gridCol w:w="3294"/>
        <w:gridCol w:w="2267"/>
        <w:gridCol w:w="2268"/>
      </w:tblGrid>
      <w:tr w:rsidR="00D00ADF" w14:paraId="68F01D9E" w14:textId="77777777">
        <w:trPr>
          <w:trHeight w:val="504"/>
        </w:trPr>
        <w:tc>
          <w:tcPr>
            <w:tcW w:w="2095" w:type="dxa"/>
            <w:shd w:val="clear" w:color="auto" w:fill="auto"/>
            <w:tcMar>
              <w:top w:w="100" w:type="dxa"/>
              <w:left w:w="100" w:type="dxa"/>
              <w:bottom w:w="100" w:type="dxa"/>
              <w:right w:w="100" w:type="dxa"/>
            </w:tcMar>
          </w:tcPr>
          <w:p w14:paraId="2C7F7023" w14:textId="77777777" w:rsidR="00D00ADF" w:rsidRDefault="00000000">
            <w:pPr>
              <w:widowControl w:val="0"/>
              <w:spacing w:line="240" w:lineRule="auto"/>
              <w:ind w:left="121"/>
              <w:rPr>
                <w:b/>
              </w:rPr>
            </w:pPr>
            <w:r>
              <w:rPr>
                <w:b/>
              </w:rPr>
              <w:t xml:space="preserve">Student name: </w:t>
            </w:r>
          </w:p>
        </w:tc>
        <w:tc>
          <w:tcPr>
            <w:tcW w:w="3293" w:type="dxa"/>
            <w:shd w:val="clear" w:color="auto" w:fill="auto"/>
            <w:tcMar>
              <w:top w:w="100" w:type="dxa"/>
              <w:left w:w="100" w:type="dxa"/>
              <w:bottom w:w="100" w:type="dxa"/>
              <w:right w:w="100" w:type="dxa"/>
            </w:tcMar>
          </w:tcPr>
          <w:p w14:paraId="2FFDB97F" w14:textId="77777777" w:rsidR="00D00ADF" w:rsidRDefault="00000000">
            <w:pPr>
              <w:widowControl w:val="0"/>
              <w:rPr>
                <w:b/>
              </w:rPr>
            </w:pPr>
            <w:r>
              <w:rPr>
                <w:b/>
              </w:rPr>
              <w:t xml:space="preserve">Natalie </w:t>
            </w:r>
            <w:proofErr w:type="spellStart"/>
            <w:r>
              <w:rPr>
                <w:b/>
              </w:rPr>
              <w:t>Skalosova</w:t>
            </w:r>
            <w:proofErr w:type="spellEnd"/>
          </w:p>
        </w:tc>
        <w:tc>
          <w:tcPr>
            <w:tcW w:w="2267" w:type="dxa"/>
            <w:shd w:val="clear" w:color="auto" w:fill="auto"/>
            <w:tcMar>
              <w:top w:w="100" w:type="dxa"/>
              <w:left w:w="100" w:type="dxa"/>
              <w:bottom w:w="100" w:type="dxa"/>
              <w:right w:w="100" w:type="dxa"/>
            </w:tcMar>
          </w:tcPr>
          <w:p w14:paraId="33C1FB41" w14:textId="77777777" w:rsidR="00D00ADF" w:rsidRDefault="00000000">
            <w:pPr>
              <w:widowControl w:val="0"/>
              <w:spacing w:line="240" w:lineRule="auto"/>
              <w:jc w:val="center"/>
              <w:rPr>
                <w:b/>
              </w:rPr>
            </w:pPr>
            <w:r>
              <w:rPr>
                <w:b/>
              </w:rPr>
              <w:t>Student ID number:</w:t>
            </w:r>
          </w:p>
        </w:tc>
        <w:tc>
          <w:tcPr>
            <w:tcW w:w="2268" w:type="dxa"/>
            <w:shd w:val="clear" w:color="auto" w:fill="auto"/>
            <w:tcMar>
              <w:top w:w="100" w:type="dxa"/>
              <w:left w:w="100" w:type="dxa"/>
              <w:bottom w:w="100" w:type="dxa"/>
              <w:right w:w="100" w:type="dxa"/>
            </w:tcMar>
          </w:tcPr>
          <w:p w14:paraId="33D0B658" w14:textId="77777777" w:rsidR="00D00ADF" w:rsidRDefault="00000000">
            <w:pPr>
              <w:spacing w:before="120" w:after="120" w:line="240" w:lineRule="auto"/>
              <w:jc w:val="both"/>
              <w:rPr>
                <w:b/>
              </w:rPr>
            </w:pPr>
            <w:r>
              <w:rPr>
                <w:b/>
              </w:rPr>
              <w:t>2212439</w:t>
            </w:r>
          </w:p>
        </w:tc>
      </w:tr>
      <w:tr w:rsidR="00D00ADF" w14:paraId="450A1F11" w14:textId="77777777">
        <w:trPr>
          <w:trHeight w:val="501"/>
        </w:trPr>
        <w:tc>
          <w:tcPr>
            <w:tcW w:w="2095" w:type="dxa"/>
            <w:shd w:val="clear" w:color="auto" w:fill="auto"/>
            <w:tcMar>
              <w:top w:w="100" w:type="dxa"/>
              <w:left w:w="100" w:type="dxa"/>
              <w:bottom w:w="100" w:type="dxa"/>
              <w:right w:w="100" w:type="dxa"/>
            </w:tcMar>
          </w:tcPr>
          <w:p w14:paraId="5EAD1375" w14:textId="77777777" w:rsidR="00D00ADF" w:rsidRDefault="00000000">
            <w:pPr>
              <w:widowControl w:val="0"/>
              <w:spacing w:line="240" w:lineRule="auto"/>
              <w:ind w:left="129"/>
              <w:rPr>
                <w:b/>
              </w:rPr>
            </w:pPr>
            <w:proofErr w:type="spellStart"/>
            <w:r>
              <w:rPr>
                <w:b/>
              </w:rPr>
              <w:t>Programme</w:t>
            </w:r>
            <w:proofErr w:type="spellEnd"/>
            <w:r>
              <w:rPr>
                <w:b/>
              </w:rPr>
              <w:t xml:space="preserve">: </w:t>
            </w:r>
          </w:p>
        </w:tc>
        <w:tc>
          <w:tcPr>
            <w:tcW w:w="7828" w:type="dxa"/>
            <w:gridSpan w:val="3"/>
            <w:shd w:val="clear" w:color="auto" w:fill="auto"/>
            <w:tcMar>
              <w:top w:w="100" w:type="dxa"/>
              <w:left w:w="100" w:type="dxa"/>
              <w:bottom w:w="100" w:type="dxa"/>
              <w:right w:w="100" w:type="dxa"/>
            </w:tcMar>
          </w:tcPr>
          <w:p w14:paraId="30D06046" w14:textId="77777777" w:rsidR="00D00ADF" w:rsidRDefault="00000000">
            <w:pPr>
              <w:widowControl w:val="0"/>
              <w:spacing w:line="240" w:lineRule="auto"/>
              <w:ind w:left="127"/>
              <w:rPr>
                <w:b/>
              </w:rPr>
            </w:pPr>
            <w:r>
              <w:rPr>
                <w:b/>
              </w:rPr>
              <w:t>Law and Legal Practice</w:t>
            </w:r>
          </w:p>
        </w:tc>
      </w:tr>
      <w:tr w:rsidR="00D00ADF" w14:paraId="4B240674" w14:textId="77777777">
        <w:trPr>
          <w:trHeight w:val="504"/>
        </w:trPr>
        <w:tc>
          <w:tcPr>
            <w:tcW w:w="2095" w:type="dxa"/>
            <w:shd w:val="clear" w:color="auto" w:fill="auto"/>
            <w:tcMar>
              <w:top w:w="100" w:type="dxa"/>
              <w:left w:w="100" w:type="dxa"/>
              <w:bottom w:w="100" w:type="dxa"/>
              <w:right w:w="100" w:type="dxa"/>
            </w:tcMar>
          </w:tcPr>
          <w:p w14:paraId="3056AD83" w14:textId="77777777" w:rsidR="00D00ADF" w:rsidRDefault="00000000">
            <w:pPr>
              <w:widowControl w:val="0"/>
              <w:spacing w:line="240" w:lineRule="auto"/>
              <w:ind w:left="128"/>
              <w:rPr>
                <w:b/>
              </w:rPr>
            </w:pPr>
            <w:r>
              <w:rPr>
                <w:b/>
              </w:rPr>
              <w:t xml:space="preserve">Module: </w:t>
            </w:r>
          </w:p>
        </w:tc>
        <w:tc>
          <w:tcPr>
            <w:tcW w:w="7828" w:type="dxa"/>
            <w:gridSpan w:val="3"/>
            <w:shd w:val="clear" w:color="auto" w:fill="auto"/>
            <w:tcMar>
              <w:top w:w="100" w:type="dxa"/>
              <w:left w:w="100" w:type="dxa"/>
              <w:bottom w:w="100" w:type="dxa"/>
              <w:right w:w="100" w:type="dxa"/>
            </w:tcMar>
          </w:tcPr>
          <w:p w14:paraId="084B485E" w14:textId="77777777" w:rsidR="00D00ADF" w:rsidRDefault="00000000">
            <w:pPr>
              <w:widowControl w:val="0"/>
              <w:spacing w:line="240" w:lineRule="auto"/>
              <w:ind w:left="120"/>
              <w:rPr>
                <w:b/>
              </w:rPr>
            </w:pPr>
            <w:r>
              <w:rPr>
                <w:b/>
              </w:rPr>
              <w:t>Criminal Litigation</w:t>
            </w:r>
          </w:p>
        </w:tc>
      </w:tr>
      <w:tr w:rsidR="00D00ADF" w14:paraId="4CE0CE1F" w14:textId="77777777">
        <w:trPr>
          <w:trHeight w:val="768"/>
        </w:trPr>
        <w:tc>
          <w:tcPr>
            <w:tcW w:w="2095" w:type="dxa"/>
            <w:shd w:val="clear" w:color="auto" w:fill="auto"/>
            <w:tcMar>
              <w:top w:w="100" w:type="dxa"/>
              <w:left w:w="100" w:type="dxa"/>
              <w:bottom w:w="100" w:type="dxa"/>
              <w:right w:w="100" w:type="dxa"/>
            </w:tcMar>
          </w:tcPr>
          <w:p w14:paraId="401874D8" w14:textId="77777777" w:rsidR="00D00ADF" w:rsidRDefault="00000000">
            <w:pPr>
              <w:widowControl w:val="0"/>
              <w:spacing w:line="240" w:lineRule="auto"/>
              <w:ind w:left="128"/>
              <w:rPr>
                <w:b/>
              </w:rPr>
            </w:pPr>
            <w:r>
              <w:rPr>
                <w:b/>
              </w:rPr>
              <w:t xml:space="preserve">Module code: </w:t>
            </w:r>
          </w:p>
        </w:tc>
        <w:tc>
          <w:tcPr>
            <w:tcW w:w="3293" w:type="dxa"/>
            <w:shd w:val="clear" w:color="auto" w:fill="auto"/>
            <w:tcMar>
              <w:top w:w="100" w:type="dxa"/>
              <w:left w:w="100" w:type="dxa"/>
              <w:bottom w:w="100" w:type="dxa"/>
              <w:right w:w="100" w:type="dxa"/>
            </w:tcMar>
          </w:tcPr>
          <w:p w14:paraId="0547611B" w14:textId="77777777" w:rsidR="00D00ADF" w:rsidRDefault="00000000">
            <w:pPr>
              <w:widowControl w:val="0"/>
              <w:spacing w:line="240" w:lineRule="auto"/>
              <w:ind w:left="127"/>
              <w:rPr>
                <w:b/>
              </w:rPr>
            </w:pPr>
            <w:r>
              <w:rPr>
                <w:b/>
              </w:rPr>
              <w:t>BMLW4000</w:t>
            </w:r>
          </w:p>
        </w:tc>
        <w:tc>
          <w:tcPr>
            <w:tcW w:w="2267" w:type="dxa"/>
            <w:shd w:val="clear" w:color="auto" w:fill="auto"/>
            <w:tcMar>
              <w:top w:w="100" w:type="dxa"/>
              <w:left w:w="100" w:type="dxa"/>
              <w:bottom w:w="100" w:type="dxa"/>
              <w:right w:w="100" w:type="dxa"/>
            </w:tcMar>
          </w:tcPr>
          <w:p w14:paraId="1E650C19" w14:textId="77777777" w:rsidR="00D00ADF" w:rsidRDefault="00000000">
            <w:pPr>
              <w:widowControl w:val="0"/>
              <w:spacing w:line="229" w:lineRule="auto"/>
              <w:ind w:left="117" w:right="42" w:firstLine="5"/>
              <w:jc w:val="both"/>
              <w:rPr>
                <w:b/>
                <w:shd w:val="clear" w:color="auto" w:fill="D9D9D9"/>
              </w:rPr>
            </w:pPr>
            <w:r>
              <w:rPr>
                <w:b/>
                <w:shd w:val="clear" w:color="auto" w:fill="D9D9D9"/>
              </w:rPr>
              <w:t xml:space="preserve">Contribution </w:t>
            </w:r>
            <w:proofErr w:type="gramStart"/>
            <w:r>
              <w:rPr>
                <w:b/>
                <w:shd w:val="clear" w:color="auto" w:fill="D9D9D9"/>
              </w:rPr>
              <w:t xml:space="preserve">to </w:t>
            </w:r>
            <w:r>
              <w:rPr>
                <w:b/>
              </w:rPr>
              <w:t xml:space="preserve"> </w:t>
            </w:r>
            <w:r>
              <w:rPr>
                <w:b/>
                <w:shd w:val="clear" w:color="auto" w:fill="D9D9D9"/>
              </w:rPr>
              <w:t>Overall</w:t>
            </w:r>
            <w:proofErr w:type="gramEnd"/>
            <w:r>
              <w:rPr>
                <w:b/>
                <w:shd w:val="clear" w:color="auto" w:fill="D9D9D9"/>
              </w:rPr>
              <w:t xml:space="preserve"> Module </w:t>
            </w:r>
            <w:r>
              <w:rPr>
                <w:b/>
              </w:rPr>
              <w:t xml:space="preserve"> </w:t>
            </w:r>
            <w:r>
              <w:rPr>
                <w:b/>
                <w:shd w:val="clear" w:color="auto" w:fill="D9D9D9"/>
              </w:rPr>
              <w:t>Assessment (%):</w:t>
            </w:r>
          </w:p>
        </w:tc>
        <w:tc>
          <w:tcPr>
            <w:tcW w:w="2268" w:type="dxa"/>
            <w:shd w:val="clear" w:color="auto" w:fill="auto"/>
            <w:tcMar>
              <w:top w:w="100" w:type="dxa"/>
              <w:left w:w="100" w:type="dxa"/>
              <w:bottom w:w="100" w:type="dxa"/>
              <w:right w:w="100" w:type="dxa"/>
            </w:tcMar>
          </w:tcPr>
          <w:p w14:paraId="258DD2E8" w14:textId="77777777" w:rsidR="00D00ADF" w:rsidRDefault="00000000">
            <w:pPr>
              <w:widowControl w:val="0"/>
              <w:spacing w:line="240" w:lineRule="auto"/>
              <w:ind w:left="118"/>
              <w:rPr>
                <w:b/>
              </w:rPr>
            </w:pPr>
            <w:r>
              <w:rPr>
                <w:b/>
              </w:rPr>
              <w:t>50%</w:t>
            </w:r>
          </w:p>
        </w:tc>
      </w:tr>
      <w:tr w:rsidR="00D00ADF" w14:paraId="357EED2B" w14:textId="77777777">
        <w:trPr>
          <w:trHeight w:val="504"/>
        </w:trPr>
        <w:tc>
          <w:tcPr>
            <w:tcW w:w="2095" w:type="dxa"/>
            <w:shd w:val="clear" w:color="auto" w:fill="auto"/>
            <w:tcMar>
              <w:top w:w="100" w:type="dxa"/>
              <w:left w:w="100" w:type="dxa"/>
              <w:bottom w:w="100" w:type="dxa"/>
              <w:right w:w="100" w:type="dxa"/>
            </w:tcMar>
          </w:tcPr>
          <w:p w14:paraId="67504BCF" w14:textId="77777777" w:rsidR="00D00ADF" w:rsidRDefault="00000000">
            <w:pPr>
              <w:widowControl w:val="0"/>
              <w:spacing w:line="240" w:lineRule="auto"/>
              <w:ind w:left="129"/>
              <w:rPr>
                <w:b/>
              </w:rPr>
            </w:pPr>
            <w:r>
              <w:rPr>
                <w:b/>
              </w:rPr>
              <w:t xml:space="preserve">Lecturer: </w:t>
            </w:r>
          </w:p>
        </w:tc>
        <w:tc>
          <w:tcPr>
            <w:tcW w:w="3293" w:type="dxa"/>
            <w:shd w:val="clear" w:color="auto" w:fill="auto"/>
            <w:tcMar>
              <w:top w:w="100" w:type="dxa"/>
              <w:left w:w="100" w:type="dxa"/>
              <w:bottom w:w="100" w:type="dxa"/>
              <w:right w:w="100" w:type="dxa"/>
            </w:tcMar>
          </w:tcPr>
          <w:p w14:paraId="0E792828" w14:textId="77777777" w:rsidR="00D00ADF" w:rsidRDefault="00000000">
            <w:pPr>
              <w:widowControl w:val="0"/>
              <w:spacing w:line="240" w:lineRule="auto"/>
              <w:ind w:left="120"/>
              <w:rPr>
                <w:b/>
              </w:rPr>
            </w:pPr>
            <w:r>
              <w:rPr>
                <w:b/>
              </w:rPr>
              <w:t xml:space="preserve">Cerys Davies </w:t>
            </w:r>
          </w:p>
        </w:tc>
        <w:tc>
          <w:tcPr>
            <w:tcW w:w="2267" w:type="dxa"/>
            <w:shd w:val="clear" w:color="auto" w:fill="auto"/>
            <w:tcMar>
              <w:top w:w="100" w:type="dxa"/>
              <w:left w:w="100" w:type="dxa"/>
              <w:bottom w:w="100" w:type="dxa"/>
              <w:right w:w="100" w:type="dxa"/>
            </w:tcMar>
          </w:tcPr>
          <w:p w14:paraId="590645D8" w14:textId="77777777" w:rsidR="00D00ADF" w:rsidRDefault="00000000">
            <w:pPr>
              <w:widowControl w:val="0"/>
              <w:spacing w:line="240" w:lineRule="auto"/>
              <w:ind w:left="126"/>
              <w:rPr>
                <w:b/>
              </w:rPr>
            </w:pPr>
            <w:r>
              <w:rPr>
                <w:b/>
              </w:rPr>
              <w:t xml:space="preserve">Internal Verifier: </w:t>
            </w:r>
          </w:p>
        </w:tc>
        <w:tc>
          <w:tcPr>
            <w:tcW w:w="2268" w:type="dxa"/>
            <w:shd w:val="clear" w:color="auto" w:fill="auto"/>
            <w:tcMar>
              <w:top w:w="100" w:type="dxa"/>
              <w:left w:w="100" w:type="dxa"/>
              <w:bottom w:w="100" w:type="dxa"/>
              <w:right w:w="100" w:type="dxa"/>
            </w:tcMar>
          </w:tcPr>
          <w:p w14:paraId="60B25BF7" w14:textId="77777777" w:rsidR="00D00ADF" w:rsidRDefault="00000000">
            <w:pPr>
              <w:widowControl w:val="0"/>
              <w:spacing w:line="240" w:lineRule="auto"/>
              <w:ind w:left="129"/>
              <w:rPr>
                <w:b/>
              </w:rPr>
            </w:pPr>
            <w:r>
              <w:rPr>
                <w:b/>
              </w:rPr>
              <w:t>Bronwen Williams</w:t>
            </w:r>
          </w:p>
        </w:tc>
      </w:tr>
      <w:tr w:rsidR="00D00ADF" w14:paraId="3A06477F" w14:textId="77777777">
        <w:trPr>
          <w:trHeight w:val="755"/>
        </w:trPr>
        <w:tc>
          <w:tcPr>
            <w:tcW w:w="2095" w:type="dxa"/>
            <w:shd w:val="clear" w:color="auto" w:fill="auto"/>
            <w:tcMar>
              <w:top w:w="100" w:type="dxa"/>
              <w:left w:w="100" w:type="dxa"/>
              <w:bottom w:w="100" w:type="dxa"/>
              <w:right w:w="100" w:type="dxa"/>
            </w:tcMar>
          </w:tcPr>
          <w:p w14:paraId="615D6DAD" w14:textId="77777777" w:rsidR="00D00ADF" w:rsidRDefault="00000000">
            <w:pPr>
              <w:widowControl w:val="0"/>
              <w:spacing w:line="240" w:lineRule="auto"/>
              <w:jc w:val="center"/>
              <w:rPr>
                <w:b/>
              </w:rPr>
            </w:pPr>
            <w:r>
              <w:rPr>
                <w:b/>
              </w:rPr>
              <w:t xml:space="preserve">Assignment Title: </w:t>
            </w:r>
          </w:p>
        </w:tc>
        <w:tc>
          <w:tcPr>
            <w:tcW w:w="3293" w:type="dxa"/>
            <w:shd w:val="clear" w:color="auto" w:fill="auto"/>
            <w:tcMar>
              <w:top w:w="100" w:type="dxa"/>
              <w:left w:w="100" w:type="dxa"/>
              <w:bottom w:w="100" w:type="dxa"/>
              <w:right w:w="100" w:type="dxa"/>
            </w:tcMar>
          </w:tcPr>
          <w:p w14:paraId="584564A1" w14:textId="77777777" w:rsidR="00D00ADF" w:rsidRDefault="00000000">
            <w:pPr>
              <w:widowControl w:val="0"/>
              <w:spacing w:line="230" w:lineRule="auto"/>
              <w:ind w:left="120" w:right="44" w:hanging="5"/>
              <w:rPr>
                <w:b/>
              </w:rPr>
            </w:pPr>
            <w:r>
              <w:rPr>
                <w:b/>
              </w:rPr>
              <w:t xml:space="preserve">Assignment 1 – </w:t>
            </w:r>
            <w:proofErr w:type="gramStart"/>
            <w:r>
              <w:rPr>
                <w:b/>
              </w:rPr>
              <w:t>Scenario  Question</w:t>
            </w:r>
            <w:proofErr w:type="gramEnd"/>
          </w:p>
        </w:tc>
        <w:tc>
          <w:tcPr>
            <w:tcW w:w="2267" w:type="dxa"/>
            <w:shd w:val="clear" w:color="auto" w:fill="auto"/>
            <w:tcMar>
              <w:top w:w="100" w:type="dxa"/>
              <w:left w:w="100" w:type="dxa"/>
              <w:bottom w:w="100" w:type="dxa"/>
              <w:right w:w="100" w:type="dxa"/>
            </w:tcMar>
          </w:tcPr>
          <w:p w14:paraId="79326C12" w14:textId="77777777" w:rsidR="00D00ADF" w:rsidRDefault="00000000">
            <w:pPr>
              <w:widowControl w:val="0"/>
              <w:spacing w:line="230" w:lineRule="auto"/>
              <w:ind w:left="117" w:right="42" w:hanging="1"/>
              <w:rPr>
                <w:b/>
              </w:rPr>
            </w:pPr>
            <w:r>
              <w:rPr>
                <w:b/>
              </w:rPr>
              <w:t>Word count (</w:t>
            </w:r>
            <w:proofErr w:type="gramStart"/>
            <w:r>
              <w:rPr>
                <w:b/>
              </w:rPr>
              <w:t>or  equivalent</w:t>
            </w:r>
            <w:proofErr w:type="gramEnd"/>
            <w:r>
              <w:rPr>
                <w:b/>
              </w:rPr>
              <w:t>):</w:t>
            </w:r>
          </w:p>
        </w:tc>
        <w:tc>
          <w:tcPr>
            <w:tcW w:w="2268" w:type="dxa"/>
            <w:shd w:val="clear" w:color="auto" w:fill="auto"/>
            <w:tcMar>
              <w:top w:w="100" w:type="dxa"/>
              <w:left w:w="100" w:type="dxa"/>
              <w:bottom w:w="100" w:type="dxa"/>
              <w:right w:w="100" w:type="dxa"/>
            </w:tcMar>
          </w:tcPr>
          <w:p w14:paraId="1E68EAD9" w14:textId="77777777" w:rsidR="00D00ADF" w:rsidRDefault="00000000">
            <w:pPr>
              <w:widowControl w:val="0"/>
              <w:spacing w:line="240" w:lineRule="auto"/>
              <w:ind w:left="128"/>
              <w:rPr>
                <w:b/>
              </w:rPr>
            </w:pPr>
            <w:r>
              <w:rPr>
                <w:b/>
              </w:rPr>
              <w:t>1500</w:t>
            </w:r>
          </w:p>
        </w:tc>
      </w:tr>
      <w:tr w:rsidR="00D00ADF" w14:paraId="431E0525" w14:textId="77777777">
        <w:trPr>
          <w:trHeight w:val="1008"/>
        </w:trPr>
        <w:tc>
          <w:tcPr>
            <w:tcW w:w="2095" w:type="dxa"/>
            <w:shd w:val="clear" w:color="auto" w:fill="auto"/>
            <w:tcMar>
              <w:top w:w="100" w:type="dxa"/>
              <w:left w:w="100" w:type="dxa"/>
              <w:bottom w:w="100" w:type="dxa"/>
              <w:right w:w="100" w:type="dxa"/>
            </w:tcMar>
          </w:tcPr>
          <w:p w14:paraId="1DF1A39D" w14:textId="77777777" w:rsidR="00D00ADF" w:rsidRDefault="00000000">
            <w:pPr>
              <w:widowControl w:val="0"/>
              <w:spacing w:line="240" w:lineRule="auto"/>
              <w:ind w:left="121"/>
              <w:rPr>
                <w:b/>
              </w:rPr>
            </w:pPr>
            <w:r>
              <w:rPr>
                <w:b/>
              </w:rPr>
              <w:t xml:space="preserve">Submission  </w:t>
            </w:r>
          </w:p>
          <w:p w14:paraId="5A1E74A8" w14:textId="77777777" w:rsidR="00D00ADF" w:rsidRDefault="00000000">
            <w:pPr>
              <w:widowControl w:val="0"/>
              <w:spacing w:line="240" w:lineRule="auto"/>
              <w:ind w:left="120"/>
              <w:rPr>
                <w:b/>
              </w:rPr>
            </w:pPr>
            <w:r>
              <w:rPr>
                <w:b/>
              </w:rPr>
              <w:t>deadline:</w:t>
            </w:r>
          </w:p>
        </w:tc>
        <w:tc>
          <w:tcPr>
            <w:tcW w:w="3293" w:type="dxa"/>
            <w:shd w:val="clear" w:color="auto" w:fill="auto"/>
            <w:tcMar>
              <w:top w:w="100" w:type="dxa"/>
              <w:left w:w="100" w:type="dxa"/>
              <w:bottom w:w="100" w:type="dxa"/>
              <w:right w:w="100" w:type="dxa"/>
            </w:tcMar>
          </w:tcPr>
          <w:p w14:paraId="5D6E3AD4" w14:textId="77777777" w:rsidR="00D00ADF" w:rsidRDefault="00000000">
            <w:pPr>
              <w:widowControl w:val="0"/>
              <w:spacing w:line="230" w:lineRule="auto"/>
              <w:ind w:left="116" w:right="44"/>
              <w:rPr>
                <w:b/>
              </w:rPr>
            </w:pPr>
            <w:r>
              <w:rPr>
                <w:b/>
              </w:rPr>
              <w:t>23:59 on Friday 15</w:t>
            </w:r>
            <w:r>
              <w:rPr>
                <w:b/>
                <w:sz w:val="23"/>
                <w:szCs w:val="23"/>
                <w:vertAlign w:val="superscript"/>
              </w:rPr>
              <w:t xml:space="preserve">th </w:t>
            </w:r>
            <w:proofErr w:type="gramStart"/>
            <w:r>
              <w:rPr>
                <w:b/>
              </w:rPr>
              <w:t>March  2024</w:t>
            </w:r>
            <w:proofErr w:type="gramEnd"/>
          </w:p>
        </w:tc>
        <w:tc>
          <w:tcPr>
            <w:tcW w:w="2267" w:type="dxa"/>
            <w:shd w:val="clear" w:color="auto" w:fill="auto"/>
            <w:tcMar>
              <w:top w:w="100" w:type="dxa"/>
              <w:left w:w="100" w:type="dxa"/>
              <w:bottom w:w="100" w:type="dxa"/>
              <w:right w:w="100" w:type="dxa"/>
            </w:tcMar>
          </w:tcPr>
          <w:p w14:paraId="68D3C323" w14:textId="77777777" w:rsidR="00D00ADF" w:rsidRDefault="00000000">
            <w:pPr>
              <w:widowControl w:val="0"/>
              <w:spacing w:line="229" w:lineRule="auto"/>
              <w:ind w:left="124" w:right="42" w:firstLine="4"/>
              <w:jc w:val="both"/>
              <w:rPr>
                <w:b/>
              </w:rPr>
            </w:pPr>
            <w:r>
              <w:rPr>
                <w:b/>
              </w:rPr>
              <w:t xml:space="preserve">Return date </w:t>
            </w:r>
            <w:proofErr w:type="gramStart"/>
            <w:r>
              <w:rPr>
                <w:b/>
              </w:rPr>
              <w:t xml:space="preserve">of  </w:t>
            </w:r>
            <w:r>
              <w:rPr>
                <w:b/>
                <w:shd w:val="clear" w:color="auto" w:fill="D9D9D9"/>
              </w:rPr>
              <w:t>provisional</w:t>
            </w:r>
            <w:proofErr w:type="gramEnd"/>
            <w:r>
              <w:rPr>
                <w:b/>
                <w:shd w:val="clear" w:color="auto" w:fill="D9D9D9"/>
              </w:rPr>
              <w:t xml:space="preserve"> marks </w:t>
            </w:r>
            <w:r>
              <w:rPr>
                <w:b/>
              </w:rPr>
              <w:t xml:space="preserve"> &amp; written feedback:</w:t>
            </w:r>
          </w:p>
        </w:tc>
        <w:tc>
          <w:tcPr>
            <w:tcW w:w="2268" w:type="dxa"/>
            <w:shd w:val="clear" w:color="auto" w:fill="auto"/>
            <w:tcMar>
              <w:top w:w="100" w:type="dxa"/>
              <w:left w:w="100" w:type="dxa"/>
              <w:bottom w:w="100" w:type="dxa"/>
              <w:right w:w="100" w:type="dxa"/>
            </w:tcMar>
          </w:tcPr>
          <w:p w14:paraId="1EF1F3AD" w14:textId="77777777" w:rsidR="00D00ADF" w:rsidRDefault="00000000">
            <w:pPr>
              <w:widowControl w:val="0"/>
              <w:spacing w:line="240" w:lineRule="auto"/>
              <w:jc w:val="center"/>
              <w:rPr>
                <w:b/>
              </w:rPr>
            </w:pPr>
            <w:r>
              <w:rPr>
                <w:b/>
              </w:rPr>
              <w:t>Friday 3</w:t>
            </w:r>
            <w:r>
              <w:rPr>
                <w:b/>
                <w:sz w:val="23"/>
                <w:szCs w:val="23"/>
                <w:vertAlign w:val="superscript"/>
              </w:rPr>
              <w:t xml:space="preserve">rd </w:t>
            </w:r>
            <w:r>
              <w:rPr>
                <w:b/>
              </w:rPr>
              <w:t>May 2024</w:t>
            </w:r>
          </w:p>
        </w:tc>
      </w:tr>
      <w:tr w:rsidR="00D00ADF" w14:paraId="35601D07" w14:textId="77777777">
        <w:trPr>
          <w:trHeight w:val="2647"/>
        </w:trPr>
        <w:tc>
          <w:tcPr>
            <w:tcW w:w="2095" w:type="dxa"/>
            <w:shd w:val="clear" w:color="auto" w:fill="auto"/>
            <w:tcMar>
              <w:top w:w="100" w:type="dxa"/>
              <w:left w:w="100" w:type="dxa"/>
              <w:bottom w:w="100" w:type="dxa"/>
              <w:right w:w="100" w:type="dxa"/>
            </w:tcMar>
          </w:tcPr>
          <w:p w14:paraId="71B8395A" w14:textId="77777777" w:rsidR="00D00ADF" w:rsidRDefault="00000000">
            <w:pPr>
              <w:widowControl w:val="0"/>
              <w:spacing w:line="240" w:lineRule="auto"/>
              <w:ind w:left="121"/>
              <w:rPr>
                <w:b/>
              </w:rPr>
            </w:pPr>
            <w:r>
              <w:rPr>
                <w:b/>
              </w:rPr>
              <w:t xml:space="preserve">Submission  </w:t>
            </w:r>
          </w:p>
          <w:p w14:paraId="437D1487" w14:textId="77777777" w:rsidR="00D00ADF" w:rsidRDefault="00000000">
            <w:pPr>
              <w:widowControl w:val="0"/>
              <w:spacing w:line="240" w:lineRule="auto"/>
              <w:ind w:left="126"/>
              <w:rPr>
                <w:b/>
              </w:rPr>
            </w:pPr>
            <w:r>
              <w:rPr>
                <w:b/>
              </w:rPr>
              <w:t>method:</w:t>
            </w:r>
          </w:p>
        </w:tc>
        <w:tc>
          <w:tcPr>
            <w:tcW w:w="7828" w:type="dxa"/>
            <w:gridSpan w:val="3"/>
            <w:shd w:val="clear" w:color="auto" w:fill="auto"/>
            <w:tcMar>
              <w:top w:w="100" w:type="dxa"/>
              <w:left w:w="100" w:type="dxa"/>
              <w:bottom w:w="100" w:type="dxa"/>
              <w:right w:w="100" w:type="dxa"/>
            </w:tcMar>
          </w:tcPr>
          <w:p w14:paraId="30894900" w14:textId="77777777" w:rsidR="00D00ADF" w:rsidRDefault="00000000">
            <w:pPr>
              <w:widowControl w:val="0"/>
              <w:spacing w:line="228" w:lineRule="auto"/>
              <w:ind w:left="113" w:right="128"/>
            </w:pPr>
            <w:r>
              <w:t xml:space="preserve">All written assessments, where practical and possible, must be submitted </w:t>
            </w:r>
            <w:proofErr w:type="gramStart"/>
            <w:r>
              <w:t>via  Turnitin</w:t>
            </w:r>
            <w:proofErr w:type="gramEnd"/>
            <w:r>
              <w:t xml:space="preserve"> unless otherwise instructed by the Lecturer. (Please DO NOT put </w:t>
            </w:r>
            <w:proofErr w:type="gramStart"/>
            <w:r>
              <w:t>this  assessment</w:t>
            </w:r>
            <w:proofErr w:type="gramEnd"/>
            <w:r>
              <w:t xml:space="preserve"> specification into Turnitin or it will match many similarities with  other students’ submissions.) </w:t>
            </w:r>
          </w:p>
          <w:p w14:paraId="1DC24331" w14:textId="77777777" w:rsidR="00D00ADF" w:rsidRDefault="00000000">
            <w:pPr>
              <w:widowControl w:val="0"/>
              <w:spacing w:before="124" w:line="240" w:lineRule="auto"/>
              <w:ind w:left="114"/>
              <w:rPr>
                <w:b/>
              </w:rPr>
            </w:pPr>
            <w:r>
              <w:rPr>
                <w:b/>
              </w:rPr>
              <w:t xml:space="preserve">Alternative submission method (if applicable):  </w:t>
            </w:r>
          </w:p>
          <w:p w14:paraId="40987F80" w14:textId="77777777" w:rsidR="00D00ADF" w:rsidRDefault="00000000">
            <w:pPr>
              <w:widowControl w:val="0"/>
              <w:spacing w:before="116" w:line="228" w:lineRule="auto"/>
              <w:ind w:left="118" w:right="44" w:firstLine="8"/>
              <w:jc w:val="both"/>
            </w:pPr>
            <w:r>
              <w:rPr>
                <w:b/>
              </w:rPr>
              <w:t xml:space="preserve">Late submission of the assessment will result in a late penalty mark.  </w:t>
            </w:r>
            <w:r>
              <w:t xml:space="preserve">Penalties for late submission: Up to one week late, maximum mark of 40%.  Over one week </w:t>
            </w:r>
            <w:proofErr w:type="gramStart"/>
            <w:r>
              <w:t>late</w:t>
            </w:r>
            <w:proofErr w:type="gramEnd"/>
            <w:r>
              <w:t xml:space="preserve">, 0%. Only the Extenuating Circumstances Panel </w:t>
            </w:r>
            <w:proofErr w:type="gramStart"/>
            <w:r>
              <w:t>may  approve</w:t>
            </w:r>
            <w:proofErr w:type="gramEnd"/>
            <w:r>
              <w:t xml:space="preserve"> a change to submission dates.</w:t>
            </w:r>
          </w:p>
        </w:tc>
      </w:tr>
      <w:tr w:rsidR="00D00ADF" w14:paraId="6F0E18E1" w14:textId="77777777">
        <w:trPr>
          <w:trHeight w:val="1262"/>
        </w:trPr>
        <w:tc>
          <w:tcPr>
            <w:tcW w:w="2095" w:type="dxa"/>
            <w:shd w:val="clear" w:color="auto" w:fill="auto"/>
            <w:tcMar>
              <w:top w:w="100" w:type="dxa"/>
              <w:left w:w="100" w:type="dxa"/>
              <w:bottom w:w="100" w:type="dxa"/>
              <w:right w:w="100" w:type="dxa"/>
            </w:tcMar>
          </w:tcPr>
          <w:p w14:paraId="434672FB" w14:textId="77777777" w:rsidR="00D00ADF" w:rsidRDefault="00000000">
            <w:pPr>
              <w:widowControl w:val="0"/>
              <w:spacing w:line="240" w:lineRule="auto"/>
              <w:ind w:left="117"/>
              <w:rPr>
                <w:b/>
              </w:rPr>
            </w:pPr>
            <w:r>
              <w:rPr>
                <w:b/>
              </w:rPr>
              <w:lastRenderedPageBreak/>
              <w:t xml:space="preserve">Academic  </w:t>
            </w:r>
          </w:p>
          <w:p w14:paraId="00B5CE12" w14:textId="77777777" w:rsidR="00D00ADF" w:rsidRDefault="00000000">
            <w:pPr>
              <w:widowControl w:val="0"/>
              <w:spacing w:line="240" w:lineRule="auto"/>
              <w:ind w:left="127"/>
              <w:rPr>
                <w:b/>
              </w:rPr>
            </w:pPr>
            <w:r>
              <w:rPr>
                <w:b/>
                <w:shd w:val="clear" w:color="auto" w:fill="D9D9D9"/>
              </w:rPr>
              <w:t xml:space="preserve">honesty / </w:t>
            </w:r>
            <w:r>
              <w:rPr>
                <w:b/>
              </w:rPr>
              <w:t xml:space="preserve"> </w:t>
            </w:r>
          </w:p>
          <w:p w14:paraId="59AF3592" w14:textId="77777777" w:rsidR="00D00ADF" w:rsidRDefault="00000000">
            <w:pPr>
              <w:widowControl w:val="0"/>
              <w:spacing w:line="240" w:lineRule="auto"/>
              <w:ind w:left="126"/>
              <w:rPr>
                <w:b/>
              </w:rPr>
            </w:pPr>
            <w:r>
              <w:rPr>
                <w:b/>
              </w:rPr>
              <w:t>referencing:</w:t>
            </w:r>
          </w:p>
        </w:tc>
        <w:tc>
          <w:tcPr>
            <w:tcW w:w="7828" w:type="dxa"/>
            <w:gridSpan w:val="3"/>
            <w:shd w:val="clear" w:color="auto" w:fill="auto"/>
            <w:tcMar>
              <w:top w:w="100" w:type="dxa"/>
              <w:left w:w="100" w:type="dxa"/>
              <w:bottom w:w="100" w:type="dxa"/>
              <w:right w:w="100" w:type="dxa"/>
            </w:tcMar>
          </w:tcPr>
          <w:p w14:paraId="31A70240" w14:textId="77777777" w:rsidR="00D00ADF" w:rsidRDefault="00000000">
            <w:pPr>
              <w:widowControl w:val="0"/>
              <w:spacing w:line="229" w:lineRule="auto"/>
              <w:ind w:left="112" w:right="44"/>
              <w:jc w:val="both"/>
            </w:pPr>
            <w:r>
              <w:t xml:space="preserve">Academic honesty is required. In the main body of your submission you </w:t>
            </w:r>
            <w:proofErr w:type="gramStart"/>
            <w:r>
              <w:t>must  give</w:t>
            </w:r>
            <w:proofErr w:type="gramEnd"/>
            <w:r>
              <w:t xml:space="preserve"> credit to authors on whose research and ideas your work is based. </w:t>
            </w:r>
            <w:proofErr w:type="gramStart"/>
            <w:r>
              <w:t>Append  to</w:t>
            </w:r>
            <w:proofErr w:type="gramEnd"/>
            <w:r>
              <w:t xml:space="preserve"> your submission a reference list that indicates the books, articles, etc. that  you have used, cited or quoted in order to complete this assessment. </w:t>
            </w:r>
          </w:p>
        </w:tc>
      </w:tr>
    </w:tbl>
    <w:p w14:paraId="0ADD6275" w14:textId="77777777" w:rsidR="00D00ADF" w:rsidRDefault="00000000">
      <w:pPr>
        <w:jc w:val="both"/>
      </w:pPr>
      <w:r>
        <w:br w:type="page"/>
      </w:r>
    </w:p>
    <w:p w14:paraId="6A16D993" w14:textId="77777777" w:rsidR="00D00ADF" w:rsidRDefault="00000000">
      <w:pPr>
        <w:jc w:val="both"/>
      </w:pPr>
      <w:r>
        <w:lastRenderedPageBreak/>
        <w:t>Trinity Solicitors</w:t>
      </w:r>
    </w:p>
    <w:p w14:paraId="09A5C9A7" w14:textId="77777777" w:rsidR="00D00ADF" w:rsidRDefault="00D00ADF">
      <w:pPr>
        <w:jc w:val="both"/>
      </w:pPr>
    </w:p>
    <w:p w14:paraId="3835B8B3" w14:textId="77777777" w:rsidR="00D00ADF" w:rsidRDefault="00000000">
      <w:pPr>
        <w:jc w:val="both"/>
      </w:pPr>
      <w:r>
        <w:t>Internal Memorandum</w:t>
      </w:r>
    </w:p>
    <w:p w14:paraId="7FFB8B3B" w14:textId="77777777" w:rsidR="00D00ADF" w:rsidRDefault="00D00ADF">
      <w:pPr>
        <w:jc w:val="both"/>
      </w:pPr>
    </w:p>
    <w:p w14:paraId="70195F53" w14:textId="77777777" w:rsidR="00D00ADF" w:rsidRDefault="00000000">
      <w:pPr>
        <w:jc w:val="both"/>
      </w:pPr>
      <w:r>
        <w:t>To: Ada Adebayo, Principal</w:t>
      </w:r>
    </w:p>
    <w:p w14:paraId="186AEDF6" w14:textId="77777777" w:rsidR="00D00ADF" w:rsidRDefault="00D00ADF">
      <w:pPr>
        <w:jc w:val="both"/>
      </w:pPr>
    </w:p>
    <w:p w14:paraId="5937C51E" w14:textId="77777777" w:rsidR="00D00ADF" w:rsidRDefault="00000000">
      <w:pPr>
        <w:jc w:val="both"/>
      </w:pPr>
      <w:r>
        <w:t xml:space="preserve">From: </w:t>
      </w:r>
      <w:proofErr w:type="gramStart"/>
      <w:r>
        <w:t>Natalie ,</w:t>
      </w:r>
      <w:proofErr w:type="gramEnd"/>
      <w:r>
        <w:t xml:space="preserve"> Trainee Lawyer</w:t>
      </w:r>
    </w:p>
    <w:p w14:paraId="4B91E611" w14:textId="77777777" w:rsidR="00D00ADF" w:rsidRDefault="00D00ADF">
      <w:pPr>
        <w:jc w:val="both"/>
      </w:pPr>
    </w:p>
    <w:p w14:paraId="3733EFAB" w14:textId="77777777" w:rsidR="00D00ADF" w:rsidRDefault="00000000">
      <w:pPr>
        <w:jc w:val="both"/>
      </w:pPr>
      <w:r>
        <w:t xml:space="preserve">Date: 10 </w:t>
      </w:r>
      <w:proofErr w:type="gramStart"/>
      <w:r>
        <w:t>March,</w:t>
      </w:r>
      <w:proofErr w:type="gramEnd"/>
      <w:r>
        <w:t xml:space="preserve"> 2024.</w:t>
      </w:r>
    </w:p>
    <w:p w14:paraId="5E7E56A0" w14:textId="77777777" w:rsidR="00D00ADF" w:rsidRDefault="00D00ADF">
      <w:pPr>
        <w:jc w:val="both"/>
      </w:pPr>
    </w:p>
    <w:p w14:paraId="2FCE1A5B" w14:textId="77777777" w:rsidR="00D00ADF" w:rsidRDefault="00000000">
      <w:pPr>
        <w:jc w:val="both"/>
        <w:rPr>
          <w:u w:val="single"/>
        </w:rPr>
      </w:pPr>
      <w:r>
        <w:t xml:space="preserve">Subject: </w:t>
      </w:r>
      <w:r>
        <w:rPr>
          <w:u w:val="single"/>
        </w:rPr>
        <w:t>Legal Advice for Kim Cottrell's Assault Case</w:t>
      </w:r>
    </w:p>
    <w:p w14:paraId="10D5F3EC" w14:textId="77777777" w:rsidR="00D00ADF" w:rsidRDefault="00D00ADF">
      <w:pPr>
        <w:jc w:val="both"/>
      </w:pPr>
    </w:p>
    <w:p w14:paraId="7AFB568F" w14:textId="77777777" w:rsidR="00D00ADF" w:rsidRDefault="00000000">
      <w:pPr>
        <w:jc w:val="both"/>
        <w:rPr>
          <w:b/>
        </w:rPr>
      </w:pPr>
      <w:r>
        <w:rPr>
          <w:b/>
        </w:rPr>
        <w:t>Introduction</w:t>
      </w:r>
    </w:p>
    <w:p w14:paraId="1734A423" w14:textId="77777777" w:rsidR="00D00ADF" w:rsidRDefault="00D00ADF">
      <w:pPr>
        <w:jc w:val="both"/>
      </w:pPr>
    </w:p>
    <w:p w14:paraId="598993AD" w14:textId="77777777" w:rsidR="00D00ADF" w:rsidRDefault="00000000">
      <w:pPr>
        <w:jc w:val="both"/>
      </w:pPr>
      <w:r>
        <w:t>The purpose of this memorandum is to present a detailed analysis of the legal factors and choices surrounding the case of Kim Cottrell, who is charged with assault that resulted in real bodily injury. In this analysis, substantive law, trial allocation processes, modes of trial possibilities, legal aid eligibility, and the significance of Kim's objections over her fingerprinting and lack of understanding regarding her right to contact a counsel are all taken into consideration.</w:t>
      </w:r>
    </w:p>
    <w:p w14:paraId="0DF34033" w14:textId="77777777" w:rsidR="00D00ADF" w:rsidRDefault="00D00ADF">
      <w:pPr>
        <w:jc w:val="both"/>
      </w:pPr>
    </w:p>
    <w:p w14:paraId="47F28AAA" w14:textId="77777777" w:rsidR="00D00ADF" w:rsidRDefault="00000000">
      <w:pPr>
        <w:jc w:val="both"/>
        <w:rPr>
          <w:b/>
        </w:rPr>
      </w:pPr>
      <w:r>
        <w:rPr>
          <w:b/>
        </w:rPr>
        <w:t>Substantive Law</w:t>
      </w:r>
    </w:p>
    <w:p w14:paraId="3EBE870E" w14:textId="77777777" w:rsidR="00D00ADF" w:rsidRDefault="00D00ADF">
      <w:pPr>
        <w:jc w:val="both"/>
      </w:pPr>
    </w:p>
    <w:p w14:paraId="2E50021F" w14:textId="77777777" w:rsidR="00D00ADF" w:rsidRDefault="00000000">
      <w:pPr>
        <w:jc w:val="both"/>
      </w:pPr>
      <w:r>
        <w:t xml:space="preserve">The accusation that has been brought against Kim is associated with the Offences Against the Person Act of 1861, more particularly the offence of assault that results in real bodily injury (ABH). It is necessary for the prosecution to demonstrate both the actus reus, which is the demonstration that Kim's slap caused genuine physical damage, and the </w:t>
      </w:r>
      <w:proofErr w:type="spellStart"/>
      <w:r>
        <w:t>mens</w:t>
      </w:r>
      <w:proofErr w:type="spellEnd"/>
      <w:r>
        <w:t xml:space="preserve"> rea, which is the demonstration that Kim intended to do such harm or was careless in doing so. Only then can the prosecution hope to get a conviction.</w:t>
      </w:r>
    </w:p>
    <w:p w14:paraId="4E6E3787" w14:textId="77777777" w:rsidR="00D00ADF" w:rsidRDefault="00D00ADF">
      <w:pPr>
        <w:jc w:val="both"/>
      </w:pPr>
    </w:p>
    <w:p w14:paraId="75550ED4" w14:textId="77777777" w:rsidR="00D00ADF" w:rsidRDefault="00000000">
      <w:pPr>
        <w:jc w:val="both"/>
      </w:pPr>
      <w:r>
        <w:t xml:space="preserve">In the situation that was presented, Kim's actions were a direct consequence of Bob Branning's offensive remark that he made about her aunt who had passed away. It is possible that this emotional background is essential when examining the </w:t>
      </w:r>
      <w:proofErr w:type="spellStart"/>
      <w:r>
        <w:t>mens</w:t>
      </w:r>
      <w:proofErr w:type="spellEnd"/>
      <w:r>
        <w:t xml:space="preserve"> </w:t>
      </w:r>
      <w:proofErr w:type="gramStart"/>
      <w:r>
        <w:t>rea, since</w:t>
      </w:r>
      <w:proofErr w:type="gramEnd"/>
      <w:r>
        <w:t xml:space="preserve"> her emotional condition may have an influence on whether or not she acted recklessly or intentionally.</w:t>
      </w:r>
    </w:p>
    <w:p w14:paraId="5B26E495" w14:textId="77777777" w:rsidR="00D00ADF" w:rsidRDefault="00D00ADF">
      <w:pPr>
        <w:jc w:val="both"/>
      </w:pPr>
    </w:p>
    <w:p w14:paraId="7E1C14D9" w14:textId="77777777" w:rsidR="00D00ADF" w:rsidRDefault="00000000">
      <w:pPr>
        <w:jc w:val="both"/>
      </w:pPr>
      <w:r>
        <w:t xml:space="preserve">Although the possible range of sanctions for assault and battery might vary, the most typical punishments for this offence include incarceration, community service, and fines. The fact that Kim has never been convicted of a violent crime in the past might be considered a mitigating circumstance, which could potentially affect the result of the sentence. </w:t>
      </w:r>
    </w:p>
    <w:p w14:paraId="1658B82E" w14:textId="77777777" w:rsidR="00D00ADF" w:rsidRDefault="00D00ADF">
      <w:pPr>
        <w:jc w:val="both"/>
      </w:pPr>
    </w:p>
    <w:p w14:paraId="649E6D30" w14:textId="77777777" w:rsidR="00D00ADF" w:rsidRDefault="00000000">
      <w:pPr>
        <w:jc w:val="both"/>
        <w:rPr>
          <w:b/>
        </w:rPr>
      </w:pPr>
      <w:r>
        <w:rPr>
          <w:b/>
        </w:rPr>
        <w:t>Trial Allocation Procedure</w:t>
      </w:r>
    </w:p>
    <w:p w14:paraId="2CCFB849" w14:textId="77777777" w:rsidR="00D00ADF" w:rsidRDefault="00D00ADF">
      <w:pPr>
        <w:jc w:val="both"/>
      </w:pPr>
    </w:p>
    <w:p w14:paraId="37DD86F0" w14:textId="77777777" w:rsidR="00D00ADF" w:rsidRDefault="00000000">
      <w:pPr>
        <w:jc w:val="both"/>
      </w:pPr>
      <w:r>
        <w:t xml:space="preserve">The method for trial allocation is administered in accordance with the Criminal Justice and Public Order Act of 1994. The severity of the offence will be taken into consideration by the court when </w:t>
      </w:r>
      <w:r>
        <w:lastRenderedPageBreak/>
        <w:t>determining whether the case should be tried in the Magistrates' Court for a summary trial or if it should be transferred to the Crown Court for a trial by jury.</w:t>
      </w:r>
    </w:p>
    <w:p w14:paraId="488E646D" w14:textId="77777777" w:rsidR="00D00ADF" w:rsidRDefault="00D00ADF">
      <w:pPr>
        <w:jc w:val="both"/>
      </w:pPr>
    </w:p>
    <w:p w14:paraId="19AF8F21" w14:textId="77777777" w:rsidR="00D00ADF" w:rsidRDefault="00000000">
      <w:pPr>
        <w:jc w:val="both"/>
      </w:pPr>
      <w:r>
        <w:t xml:space="preserve">When making this judgement, the nature of the charge, the probable length of the sentence, and the defendant's option are all factors that are taken into consideration. </w:t>
      </w:r>
      <w:proofErr w:type="gramStart"/>
      <w:r>
        <w:t>Considering the gravity of the charge, it</w:t>
      </w:r>
      <w:proofErr w:type="gramEnd"/>
      <w:r>
        <w:t xml:space="preserve"> is quite probable that the case might be appropriate for either a summary trial or a trial by jury proceedings. The court will take into consideration the severity of the claimed injury as well as </w:t>
      </w:r>
      <w:proofErr w:type="gramStart"/>
      <w:r>
        <w:t>whether or not</w:t>
      </w:r>
      <w:proofErr w:type="gramEnd"/>
      <w:r>
        <w:t xml:space="preserve"> a Magistrates' Court is capable of handling the matter accordingly. </w:t>
      </w:r>
    </w:p>
    <w:p w14:paraId="7F129D2E" w14:textId="77777777" w:rsidR="00D00ADF" w:rsidRDefault="00D00ADF">
      <w:pPr>
        <w:jc w:val="both"/>
      </w:pPr>
    </w:p>
    <w:p w14:paraId="0824F6C2" w14:textId="77777777" w:rsidR="00D00ADF" w:rsidRDefault="00000000">
      <w:pPr>
        <w:jc w:val="both"/>
        <w:rPr>
          <w:b/>
        </w:rPr>
      </w:pPr>
      <w:r>
        <w:rPr>
          <w:b/>
        </w:rPr>
        <w:t>Advantages/Disadvantages of Trial Modes</w:t>
      </w:r>
    </w:p>
    <w:p w14:paraId="0D1B2C7F" w14:textId="77777777" w:rsidR="00D00ADF" w:rsidRDefault="00D00ADF">
      <w:pPr>
        <w:jc w:val="both"/>
      </w:pPr>
    </w:p>
    <w:p w14:paraId="6686CA91" w14:textId="77777777" w:rsidR="00D00ADF" w:rsidRDefault="00000000">
      <w:pPr>
        <w:jc w:val="both"/>
      </w:pPr>
      <w:r>
        <w:t xml:space="preserve">A summary trial offers </w:t>
      </w:r>
      <w:proofErr w:type="gramStart"/>
      <w:r>
        <w:t>a number of</w:t>
      </w:r>
      <w:proofErr w:type="gramEnd"/>
      <w:r>
        <w:t xml:space="preserve"> benefits, including increased efficiency, less expenses, and a more expedient settlement. On the other hand, the Magistrates' Court has restricted sentencing powers, which may have an impact on the severity of the criminal punishment. A trial by jury in the Crown Court provides the benefit of a more comprehensive analysis of the evidence as well as the possibility of a more equitable hearing taking place. On the other hand, it often becomes more time-consuming and expensive.</w:t>
      </w:r>
    </w:p>
    <w:p w14:paraId="5C1612FC" w14:textId="77777777" w:rsidR="00D00ADF" w:rsidRDefault="00D00ADF">
      <w:pPr>
        <w:jc w:val="both"/>
      </w:pPr>
    </w:p>
    <w:p w14:paraId="55E3467B" w14:textId="77777777" w:rsidR="00D00ADF" w:rsidRDefault="00000000">
      <w:pPr>
        <w:jc w:val="both"/>
      </w:pPr>
      <w:proofErr w:type="gramStart"/>
      <w:r>
        <w:t>In light of</w:t>
      </w:r>
      <w:proofErr w:type="gramEnd"/>
      <w:r>
        <w:t xml:space="preserve"> the emotional circumstances that surrounded Kim's acts, a trial by jury could make it possible to get a more nuanced picture of her state of mind. On the other hand, a summary trial has the potential to speed up the legal procedure, which may be advantageous for Kim </w:t>
      </w:r>
      <w:proofErr w:type="gramStart"/>
      <w:r>
        <w:t>in light of</w:t>
      </w:r>
      <w:proofErr w:type="gramEnd"/>
      <w:r>
        <w:t xml:space="preserve"> her recent unemployment and the impending training course she is scheduled to attend. </w:t>
      </w:r>
    </w:p>
    <w:p w14:paraId="0B13BCF8" w14:textId="77777777" w:rsidR="00D00ADF" w:rsidRDefault="00D00ADF">
      <w:pPr>
        <w:jc w:val="both"/>
      </w:pPr>
    </w:p>
    <w:p w14:paraId="0F45393C" w14:textId="77777777" w:rsidR="00D00ADF" w:rsidRDefault="00000000">
      <w:pPr>
        <w:jc w:val="both"/>
        <w:rPr>
          <w:b/>
        </w:rPr>
      </w:pPr>
      <w:r>
        <w:rPr>
          <w:b/>
        </w:rPr>
        <w:t>Legal Aid Entitlement</w:t>
      </w:r>
    </w:p>
    <w:p w14:paraId="6DB15CAE" w14:textId="77777777" w:rsidR="00D00ADF" w:rsidRDefault="00D00ADF">
      <w:pPr>
        <w:jc w:val="both"/>
      </w:pPr>
    </w:p>
    <w:p w14:paraId="483D6DA8" w14:textId="77777777" w:rsidR="00D00ADF" w:rsidRDefault="00000000">
      <w:pPr>
        <w:jc w:val="both"/>
      </w:pPr>
      <w:r>
        <w:t xml:space="preserve">According to the information provided in the Legal Aid, Sentencing, and Punishment of Offenders Act 2012, Kim may be eligible for legal assistance </w:t>
      </w:r>
      <w:proofErr w:type="gramStart"/>
      <w:r>
        <w:t>due to the fact that</w:t>
      </w:r>
      <w:proofErr w:type="gramEnd"/>
      <w:r>
        <w:t xml:space="preserve"> she is now jobless and receiving benefits. With this, Kim would be guaranteed to have competent legal counsel throughout the trial, regardless of the circumstances surrounding her financial status.</w:t>
      </w:r>
    </w:p>
    <w:p w14:paraId="77A495FA" w14:textId="77777777" w:rsidR="00D00ADF" w:rsidRDefault="00D00ADF">
      <w:pPr>
        <w:jc w:val="both"/>
      </w:pPr>
    </w:p>
    <w:p w14:paraId="001A90C2" w14:textId="77777777" w:rsidR="00D00ADF" w:rsidRDefault="00000000">
      <w:pPr>
        <w:jc w:val="both"/>
        <w:rPr>
          <w:b/>
        </w:rPr>
      </w:pPr>
      <w:r>
        <w:rPr>
          <w:b/>
        </w:rPr>
        <w:t>Complaints Regarding Fingerprinting and Solicitor Consultation</w:t>
      </w:r>
    </w:p>
    <w:p w14:paraId="16301C8D" w14:textId="77777777" w:rsidR="00D00ADF" w:rsidRDefault="00D00ADF">
      <w:pPr>
        <w:jc w:val="both"/>
      </w:pPr>
    </w:p>
    <w:p w14:paraId="4EC3F7EF" w14:textId="77777777" w:rsidR="00D00ADF" w:rsidRDefault="00000000">
      <w:pPr>
        <w:jc w:val="both"/>
      </w:pPr>
      <w:r>
        <w:t xml:space="preserve">As a result of Kim's accusation that her fingerprints were obtained without her will, the Police and Criminal Evidence Act of 1984 (PACE) is being taken into consideration. The PACE law allows for the collection of fingerprints with the individual's agreement, and it also allows for the use of force </w:t>
      </w:r>
      <w:proofErr w:type="gramStart"/>
      <w:r>
        <w:t>in the event that</w:t>
      </w:r>
      <w:proofErr w:type="gramEnd"/>
      <w:r>
        <w:t xml:space="preserve"> it is required. This does not necessarily mean that Kim's reluctance to being touched renders the procedure illegitimate, provided that the force that was employed was reasonable and required.</w:t>
      </w:r>
    </w:p>
    <w:p w14:paraId="4F0B6232" w14:textId="77777777" w:rsidR="00D00ADF" w:rsidRDefault="00D00ADF">
      <w:pPr>
        <w:jc w:val="both"/>
      </w:pPr>
    </w:p>
    <w:p w14:paraId="02C30A6F" w14:textId="77777777" w:rsidR="00D00ADF" w:rsidRDefault="00000000">
      <w:pPr>
        <w:jc w:val="both"/>
      </w:pPr>
      <w:r>
        <w:t xml:space="preserve">Kim's lack of information </w:t>
      </w:r>
      <w:proofErr w:type="gramStart"/>
      <w:r>
        <w:t>of</w:t>
      </w:r>
      <w:proofErr w:type="gramEnd"/>
      <w:r>
        <w:t xml:space="preserve"> her right to see a counsel is a result of the fact that PACE expressly allows persons the right to seek legal assistance while they are in the custody of the police. </w:t>
      </w:r>
      <w:proofErr w:type="gramStart"/>
      <w:r>
        <w:t>In the event that</w:t>
      </w:r>
      <w:proofErr w:type="gramEnd"/>
      <w:r>
        <w:t xml:space="preserve"> Kim was not made aware of this entitlement, it may give rise to doubts about the fairness of the proceedings that were carried out at the police station. The possibility exists that </w:t>
      </w:r>
      <w:r>
        <w:lastRenderedPageBreak/>
        <w:t xml:space="preserve">this matter might be investigated further, which could </w:t>
      </w:r>
      <w:proofErr w:type="gramStart"/>
      <w:r>
        <w:t>have an effect on</w:t>
      </w:r>
      <w:proofErr w:type="gramEnd"/>
      <w:r>
        <w:t xml:space="preserve"> the admissibility of evidence gathered during her captivity. </w:t>
      </w:r>
    </w:p>
    <w:p w14:paraId="0F73F7E1" w14:textId="77777777" w:rsidR="00D00ADF" w:rsidRDefault="00D00ADF">
      <w:pPr>
        <w:jc w:val="both"/>
      </w:pPr>
    </w:p>
    <w:p w14:paraId="6EF92504" w14:textId="77777777" w:rsidR="00D00ADF" w:rsidRDefault="00000000">
      <w:pPr>
        <w:jc w:val="both"/>
        <w:rPr>
          <w:b/>
        </w:rPr>
      </w:pPr>
      <w:r>
        <w:rPr>
          <w:b/>
        </w:rPr>
        <w:t>Analysis of Fingerprinting Complaint</w:t>
      </w:r>
    </w:p>
    <w:p w14:paraId="670DF6B9" w14:textId="77777777" w:rsidR="00D00ADF" w:rsidRDefault="00D00ADF">
      <w:pPr>
        <w:jc w:val="both"/>
      </w:pPr>
    </w:p>
    <w:p w14:paraId="1DBF032E" w14:textId="77777777" w:rsidR="00D00ADF" w:rsidRDefault="00000000">
      <w:pPr>
        <w:jc w:val="both"/>
      </w:pPr>
      <w:r>
        <w:t xml:space="preserve">According to the Police and Criminal Evidence Act of 1984 (PACE), Kim's accusation that her fingerprints were collected without her will raises concerns. This is because Kim has a strong dislike of being touched. However, even if the subject does not provide their permission, the police are allowed to use reasonable force </w:t>
      </w:r>
      <w:proofErr w:type="gramStart"/>
      <w:r>
        <w:t>in order to</w:t>
      </w:r>
      <w:proofErr w:type="gramEnd"/>
      <w:r>
        <w:t xml:space="preserve"> take fingerprints under Section 61 of the PACE. However, the force that is used must be not only essential but also appropriate.</w:t>
      </w:r>
    </w:p>
    <w:p w14:paraId="43E9CBBC" w14:textId="77777777" w:rsidR="00D00ADF" w:rsidRDefault="00D00ADF">
      <w:pPr>
        <w:jc w:val="both"/>
      </w:pPr>
    </w:p>
    <w:p w14:paraId="7B39C4D5" w14:textId="77777777" w:rsidR="00D00ADF" w:rsidRDefault="00000000">
      <w:pPr>
        <w:jc w:val="both"/>
      </w:pPr>
      <w:r>
        <w:t xml:space="preserve">In the instance of Kim, the fact that she claims that the police officer collected her fingerprints without her permission and that she did so against her will invites an investigation into the appropriateness of the force that was used. It is of the utmost importance to </w:t>
      </w:r>
      <w:proofErr w:type="gramStart"/>
      <w:r>
        <w:t>conduct an investigation into</w:t>
      </w:r>
      <w:proofErr w:type="gramEnd"/>
      <w:r>
        <w:t xml:space="preserve"> the circumstances surrounding the fingerprinting procedure in order to ascertain whether or not the steps taken by the police officer were appropriate.</w:t>
      </w:r>
    </w:p>
    <w:p w14:paraId="724121E7" w14:textId="77777777" w:rsidR="00D00ADF" w:rsidRDefault="00D00ADF">
      <w:pPr>
        <w:jc w:val="both"/>
      </w:pPr>
    </w:p>
    <w:p w14:paraId="47BE84F1" w14:textId="77777777" w:rsidR="00D00ADF" w:rsidRDefault="00000000">
      <w:pPr>
        <w:jc w:val="both"/>
      </w:pPr>
      <w:proofErr w:type="gramStart"/>
      <w:r>
        <w:t>In the event that</w:t>
      </w:r>
      <w:proofErr w:type="gramEnd"/>
      <w:r>
        <w:t xml:space="preserve"> it is determined that the force that was used was excessive or unwarranted, this may have repercussions for the admissibility of the fingerprint evidence in the courtroom. Kim's dislike </w:t>
      </w:r>
      <w:proofErr w:type="gramStart"/>
      <w:r>
        <w:t>to</w:t>
      </w:r>
      <w:proofErr w:type="gramEnd"/>
      <w:r>
        <w:t xml:space="preserve"> being touched and her discomfort with physical contact are two factors that should be taken into serious consideration when determining </w:t>
      </w:r>
      <w:proofErr w:type="gramStart"/>
      <w:r>
        <w:t>whether or not</w:t>
      </w:r>
      <w:proofErr w:type="gramEnd"/>
      <w:r>
        <w:t xml:space="preserve"> the force used by the police was acceptable. </w:t>
      </w:r>
    </w:p>
    <w:p w14:paraId="72FEEC49" w14:textId="77777777" w:rsidR="00D00ADF" w:rsidRDefault="00D00ADF">
      <w:pPr>
        <w:jc w:val="both"/>
      </w:pPr>
    </w:p>
    <w:p w14:paraId="38BBAB73" w14:textId="77777777" w:rsidR="00D00ADF" w:rsidRDefault="00000000">
      <w:pPr>
        <w:jc w:val="both"/>
        <w:rPr>
          <w:b/>
        </w:rPr>
      </w:pPr>
      <w:r>
        <w:rPr>
          <w:b/>
        </w:rPr>
        <w:t>Analysis of Solicitor Consultation Complaint</w:t>
      </w:r>
    </w:p>
    <w:p w14:paraId="12AD293B" w14:textId="77777777" w:rsidR="00D00ADF" w:rsidRDefault="00D00ADF">
      <w:pPr>
        <w:jc w:val="both"/>
      </w:pPr>
    </w:p>
    <w:p w14:paraId="181376BB" w14:textId="77777777" w:rsidR="00D00ADF" w:rsidRDefault="00000000">
      <w:pPr>
        <w:jc w:val="both"/>
      </w:pPr>
      <w:r>
        <w:t xml:space="preserve">The fact that Kim asserts that she was not informed of her right to see a counsel while she was at the police station presents serious difficulties in accordance with the PACE legal framework. The right to legal counsel is an essential component of a legal process that is fair and just, and the denial of this right may </w:t>
      </w:r>
      <w:proofErr w:type="gramStart"/>
      <w:r>
        <w:t>have an effect on</w:t>
      </w:r>
      <w:proofErr w:type="gramEnd"/>
      <w:r>
        <w:t xml:space="preserve"> the admissibility of statements or evidence that was gathered while the individual was in custody.</w:t>
      </w:r>
    </w:p>
    <w:p w14:paraId="3DBEA38C" w14:textId="77777777" w:rsidR="00D00ADF" w:rsidRDefault="00D00ADF">
      <w:pPr>
        <w:jc w:val="both"/>
      </w:pPr>
    </w:p>
    <w:p w14:paraId="559513DD" w14:textId="77777777" w:rsidR="00D00ADF" w:rsidRDefault="00000000">
      <w:pPr>
        <w:jc w:val="both"/>
      </w:pPr>
      <w:r>
        <w:t xml:space="preserve">While they are being held by the police, </w:t>
      </w:r>
      <w:proofErr w:type="gramStart"/>
      <w:r>
        <w:t>persons</w:t>
      </w:r>
      <w:proofErr w:type="gramEnd"/>
      <w:r>
        <w:t xml:space="preserve"> have the right to speak with a counsel, as stipulated under Section 58 of the PACE. </w:t>
      </w:r>
      <w:proofErr w:type="gramStart"/>
      <w:r>
        <w:t>In the event that</w:t>
      </w:r>
      <w:proofErr w:type="gramEnd"/>
      <w:r>
        <w:t xml:space="preserve"> Kim was not made aware of this entitlement, it raises concerns about the procedural fairness of the interview at the police station. </w:t>
      </w:r>
      <w:proofErr w:type="gramStart"/>
      <w:r>
        <w:t>Due to the fact that</w:t>
      </w:r>
      <w:proofErr w:type="gramEnd"/>
      <w:r>
        <w:t xml:space="preserve"> Kim was not informed of her right to </w:t>
      </w:r>
      <w:proofErr w:type="gramStart"/>
      <w:r>
        <w:t>seeking</w:t>
      </w:r>
      <w:proofErr w:type="gramEnd"/>
      <w:r>
        <w:t xml:space="preserve"> legal counsel, it is possible that she would make remarks without fully comprehending the ramifications of such statements, which might possibly compromise her </w:t>
      </w:r>
      <w:proofErr w:type="spellStart"/>
      <w:r>
        <w:t>defence</w:t>
      </w:r>
      <w:proofErr w:type="spellEnd"/>
      <w:r>
        <w:t>.</w:t>
      </w:r>
    </w:p>
    <w:p w14:paraId="5327F59A" w14:textId="77777777" w:rsidR="00D00ADF" w:rsidRDefault="00D00ADF">
      <w:pPr>
        <w:jc w:val="both"/>
      </w:pPr>
    </w:p>
    <w:p w14:paraId="3F05F980" w14:textId="77777777" w:rsidR="00D00ADF" w:rsidRDefault="00000000">
      <w:pPr>
        <w:jc w:val="both"/>
      </w:pPr>
      <w:r>
        <w:t xml:space="preserve">It is strongly suggested that a comprehensive inquiry be carried out </w:t>
      </w:r>
      <w:proofErr w:type="gramStart"/>
      <w:r>
        <w:t>in order to</w:t>
      </w:r>
      <w:proofErr w:type="gramEnd"/>
      <w:r>
        <w:t xml:space="preserve"> ascertain whether or not Kim was adequately notified of her right to communicate with a legal representative. </w:t>
      </w:r>
      <w:proofErr w:type="gramStart"/>
      <w:r>
        <w:t>In the event that</w:t>
      </w:r>
      <w:proofErr w:type="gramEnd"/>
      <w:r>
        <w:t xml:space="preserve"> it is discovered that this right was either denied or not effectively stated, this may be grounds for disputing the admissibility of statements that were made during the interview with the police officials. </w:t>
      </w:r>
    </w:p>
    <w:p w14:paraId="63417432" w14:textId="77777777" w:rsidR="00D00ADF" w:rsidRDefault="00D00ADF">
      <w:pPr>
        <w:jc w:val="both"/>
      </w:pPr>
    </w:p>
    <w:p w14:paraId="6113940E" w14:textId="77777777" w:rsidR="00D00ADF" w:rsidRDefault="00000000">
      <w:pPr>
        <w:jc w:val="both"/>
        <w:rPr>
          <w:b/>
        </w:rPr>
      </w:pPr>
      <w:r>
        <w:rPr>
          <w:b/>
        </w:rPr>
        <w:lastRenderedPageBreak/>
        <w:t>Conclusion</w:t>
      </w:r>
    </w:p>
    <w:p w14:paraId="4723BA85" w14:textId="77777777" w:rsidR="00D00ADF" w:rsidRDefault="00D00ADF">
      <w:pPr>
        <w:jc w:val="both"/>
      </w:pPr>
    </w:p>
    <w:p w14:paraId="40B76D90" w14:textId="77777777" w:rsidR="00D00ADF" w:rsidRDefault="00000000">
      <w:pPr>
        <w:jc w:val="both"/>
      </w:pPr>
      <w:r>
        <w:t xml:space="preserve">A thorough study of both substantive law and procedural concerns is required </w:t>
      </w:r>
      <w:proofErr w:type="gramStart"/>
      <w:r>
        <w:t>in order to</w:t>
      </w:r>
      <w:proofErr w:type="gramEnd"/>
      <w:r>
        <w:t xml:space="preserve"> arrive at a judgement about the legal analysis of the case involving Kim Cottrell. It is imperative that careful consideration be given to several factors, including the possible emotional effect on Kim's state of mind, the available trial alternatives, the right to legal aid, and the concerns about fingerprinting and attorney consultation.</w:t>
      </w:r>
    </w:p>
    <w:p w14:paraId="57F300B5" w14:textId="77777777" w:rsidR="00D00ADF" w:rsidRDefault="00D00ADF">
      <w:pPr>
        <w:jc w:val="both"/>
      </w:pPr>
    </w:p>
    <w:p w14:paraId="206EFFF7" w14:textId="77777777" w:rsidR="00D00ADF" w:rsidRDefault="00000000">
      <w:pPr>
        <w:jc w:val="both"/>
      </w:pPr>
      <w:r>
        <w:t>To guarantee that the trial is conducted in a fair manner, it is essential that the concerns about the fingerprinting procedure and the consultation with the counsel be investigated. If it is established that the force that was used during the fingerprinting process was inappropriate, or if Kim was not sufficiently advised of her right to see an attorney, this might have serious consequences for the admissibility of evidence.</w:t>
      </w:r>
    </w:p>
    <w:p w14:paraId="5D5E62E5" w14:textId="77777777" w:rsidR="00D00ADF" w:rsidRDefault="00D00ADF">
      <w:pPr>
        <w:jc w:val="both"/>
      </w:pPr>
    </w:p>
    <w:p w14:paraId="0904E5ED" w14:textId="77777777" w:rsidR="00D00ADF" w:rsidRDefault="00000000">
      <w:pPr>
        <w:jc w:val="both"/>
      </w:pPr>
      <w:r>
        <w:t xml:space="preserve">It is of the utmost importance that we, as Trinity Solicitors, present Kim with the most effective </w:t>
      </w:r>
      <w:proofErr w:type="spellStart"/>
      <w:r>
        <w:t>defence</w:t>
      </w:r>
      <w:proofErr w:type="spellEnd"/>
      <w:r>
        <w:t xml:space="preserve"> that we are capable of, ensuring that her rights are protected and that the legal process is conducted in a fair and just manner. A </w:t>
      </w:r>
      <w:proofErr w:type="spellStart"/>
      <w:r>
        <w:t>favourable</w:t>
      </w:r>
      <w:proofErr w:type="spellEnd"/>
      <w:r>
        <w:t xml:space="preserve"> settlement for our client will need adequate legal counsel as well as a comprehensive grasp of both substantive and procedural law. This will be required </w:t>
      </w:r>
      <w:proofErr w:type="gramStart"/>
      <w:r>
        <w:t>in order to</w:t>
      </w:r>
      <w:proofErr w:type="gramEnd"/>
      <w:r>
        <w:t xml:space="preserve"> achieve the desired outcome. </w:t>
      </w:r>
    </w:p>
    <w:p w14:paraId="1BF57CCE" w14:textId="77777777" w:rsidR="00D00ADF" w:rsidRDefault="00D00ADF">
      <w:pPr>
        <w:jc w:val="both"/>
      </w:pPr>
    </w:p>
    <w:p w14:paraId="33C1BE28" w14:textId="77777777" w:rsidR="00D00ADF" w:rsidRDefault="00D00ADF">
      <w:pPr>
        <w:jc w:val="both"/>
      </w:pPr>
    </w:p>
    <w:p w14:paraId="2AA8DDC6" w14:textId="77777777" w:rsidR="00D00ADF" w:rsidRDefault="00000000">
      <w:pPr>
        <w:rPr>
          <w:b/>
        </w:rPr>
      </w:pPr>
      <w:r>
        <w:rPr>
          <w:b/>
        </w:rPr>
        <w:t>References</w:t>
      </w:r>
    </w:p>
    <w:p w14:paraId="2B50B538" w14:textId="77777777" w:rsidR="00D00ADF" w:rsidRDefault="00D00ADF"/>
    <w:p w14:paraId="5244F956" w14:textId="77777777" w:rsidR="00D00ADF" w:rsidRDefault="00000000">
      <w:r>
        <w:t>Offences Against the Person Act 1861</w:t>
      </w:r>
    </w:p>
    <w:p w14:paraId="3B1E49D6" w14:textId="77777777" w:rsidR="00D00ADF" w:rsidRDefault="00D00ADF"/>
    <w:p w14:paraId="1403584F" w14:textId="77777777" w:rsidR="00D00ADF" w:rsidRDefault="00000000">
      <w:r>
        <w:t>Police and Criminal Evidence Act 1984</w:t>
      </w:r>
    </w:p>
    <w:p w14:paraId="5F5F7FB3" w14:textId="77777777" w:rsidR="00D00ADF" w:rsidRDefault="00D00ADF"/>
    <w:p w14:paraId="6DB2EE49" w14:textId="77777777" w:rsidR="00D00ADF" w:rsidRDefault="00000000">
      <w:r>
        <w:t>Human Rights Act 1998</w:t>
      </w:r>
    </w:p>
    <w:p w14:paraId="046C54D1" w14:textId="77777777" w:rsidR="00D00ADF" w:rsidRDefault="00D00ADF"/>
    <w:p w14:paraId="4AFE97CA" w14:textId="77777777" w:rsidR="00D00ADF" w:rsidRDefault="00000000">
      <w:r>
        <w:t>Criminal Justice and Public Order Act 1994</w:t>
      </w:r>
    </w:p>
    <w:p w14:paraId="2411ED43" w14:textId="77777777" w:rsidR="00D00ADF" w:rsidRDefault="00D00ADF"/>
    <w:p w14:paraId="5EC7E4C0" w14:textId="77777777" w:rsidR="00D00ADF" w:rsidRDefault="00000000">
      <w:r>
        <w:t>Bail Act 1976</w:t>
      </w:r>
    </w:p>
    <w:p w14:paraId="359F898B" w14:textId="77777777" w:rsidR="00D00ADF" w:rsidRDefault="00D00ADF"/>
    <w:p w14:paraId="446C73A3" w14:textId="77777777" w:rsidR="00D00ADF" w:rsidRDefault="00000000">
      <w:r>
        <w:t>Legal Aid, Sentencing and Punishment of Offenders Act 2012</w:t>
      </w:r>
    </w:p>
    <w:sectPr w:rsidR="00D00AD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ADF"/>
    <w:rsid w:val="009155B4"/>
    <w:rsid w:val="00D00ADF"/>
    <w:rsid w:val="00D81E2E"/>
    <w:rsid w:val="00EB6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2EF40"/>
  <w15:docId w15:val="{1F6D0562-0418-40D8-805E-FC46C0ED8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1650</Words>
  <Characters>9409</Characters>
  <Application>Microsoft Office Word</Application>
  <DocSecurity>0</DocSecurity>
  <Lines>78</Lines>
  <Paragraphs>22</Paragraphs>
  <ScaleCrop>false</ScaleCrop>
  <Company/>
  <LinksUpToDate>false</LinksUpToDate>
  <CharactersWithSpaces>11037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Natalie Skalkosova</cp:lastModifiedBy>
  <cp:revision>4</cp:revision>
  <dcterms:created xsi:type="dcterms:W3CDTF">2024-03-13T13:00:00Z</dcterms:created>
  <dcterms:modified xsi:type="dcterms:W3CDTF">2024-03-13T13:02:00Z</dcterms:modified>
</cp:coreProperties>
</file>