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31561" w14:textId="66C098FE" w:rsidR="00544382" w:rsidRPr="00523517" w:rsidRDefault="00523517">
      <w:pPr>
        <w:rPr>
          <w:sz w:val="36"/>
          <w:szCs w:val="36"/>
        </w:rPr>
      </w:pPr>
      <w:r w:rsidRPr="00523517">
        <w:rPr>
          <w:sz w:val="36"/>
          <w:szCs w:val="36"/>
        </w:rPr>
        <w:t>A Report on the Gender Pain Gap</w:t>
      </w:r>
    </w:p>
    <w:p w14:paraId="4524D577" w14:textId="68CE727C" w:rsidR="00385FDA" w:rsidRDefault="00D54B2B" w:rsidP="007131E8">
      <w:r>
        <w:t>I chose to create a case study on concerns a</w:t>
      </w:r>
      <w:r w:rsidR="004D41CF">
        <w:t xml:space="preserve">bout </w:t>
      </w:r>
      <w:r>
        <w:t>women</w:t>
      </w:r>
      <w:r w:rsidR="00375CE0">
        <w:t xml:space="preserve"> – </w:t>
      </w:r>
      <w:r>
        <w:t xml:space="preserve">specifically </w:t>
      </w:r>
      <w:r w:rsidR="004D41CF">
        <w:t>on how women access and receive adequate healthcare</w:t>
      </w:r>
      <w:r w:rsidR="0070428E">
        <w:t xml:space="preserve"> to tie into the overarching theme</w:t>
      </w:r>
      <w:r w:rsidR="007F7F51">
        <w:t>s</w:t>
      </w:r>
      <w:r w:rsidR="0070428E">
        <w:t xml:space="preserve"> of this module</w:t>
      </w:r>
      <w:r w:rsidR="001D1A25">
        <w:t xml:space="preserve">. </w:t>
      </w:r>
      <w:r w:rsidR="00036CA1">
        <w:t>This stemmed from</w:t>
      </w:r>
      <w:r w:rsidR="004D41CF">
        <w:t xml:space="preserve"> reading an article</w:t>
      </w:r>
      <w:r w:rsidR="00EB01A5">
        <w:t xml:space="preserve"> from the</w:t>
      </w:r>
      <w:r w:rsidR="001D1A25">
        <w:t xml:space="preserve"> BBC</w:t>
      </w:r>
      <w:r w:rsidR="00DE0962">
        <w:t xml:space="preserve"> </w:t>
      </w:r>
      <w:r w:rsidR="00275F1F">
        <w:t>on the g</w:t>
      </w:r>
      <w:r w:rsidR="00275F1F" w:rsidRPr="00DF5CB8">
        <w:t>ender pain gap</w:t>
      </w:r>
      <w:r w:rsidR="00036CA1" w:rsidRPr="00DF5CB8">
        <w:t xml:space="preserve">, </w:t>
      </w:r>
      <w:r w:rsidR="00CF4724" w:rsidRPr="00DF5CB8">
        <w:t>which outline</w:t>
      </w:r>
      <w:r w:rsidR="001D1A25" w:rsidRPr="00DF5CB8">
        <w:t>d</w:t>
      </w:r>
      <w:r w:rsidR="00EB01A5" w:rsidRPr="00DF5CB8">
        <w:t xml:space="preserve"> t</w:t>
      </w:r>
      <w:r w:rsidR="005650F0" w:rsidRPr="00DF5CB8">
        <w:t>his issue in terms of what is currently being done to combat it</w:t>
      </w:r>
      <w:r w:rsidR="000F35A3" w:rsidRPr="00DF5CB8">
        <w:t xml:space="preserve">, </w:t>
      </w:r>
      <w:r w:rsidR="000C5314" w:rsidRPr="00DF5CB8">
        <w:t xml:space="preserve">such as </w:t>
      </w:r>
      <w:r w:rsidR="000F35A3" w:rsidRPr="00DF5CB8">
        <w:t xml:space="preserve">women </w:t>
      </w:r>
      <w:r w:rsidR="001D1A25" w:rsidRPr="00DF5CB8">
        <w:t>shar</w:t>
      </w:r>
      <w:r w:rsidR="000C5314" w:rsidRPr="00DF5CB8">
        <w:t>ing “</w:t>
      </w:r>
      <w:r w:rsidR="001D1A25" w:rsidRPr="00DF5CB8">
        <w:t>their experiences of the health system as part of a government strategy to address inequalities”</w:t>
      </w:r>
      <w:r w:rsidR="00DF5CB8" w:rsidRPr="00DF5CB8">
        <w:rPr>
          <w:rStyle w:val="FootnoteReference"/>
        </w:rPr>
        <w:footnoteReference w:id="1"/>
      </w:r>
      <w:r w:rsidR="000F35A3" w:rsidRPr="00DF5CB8">
        <w:t>. However</w:t>
      </w:r>
      <w:r w:rsidR="000F35A3">
        <w:t xml:space="preserve">, it did not </w:t>
      </w:r>
      <w:r w:rsidR="00B752DB">
        <w:t>conclusively answ</w:t>
      </w:r>
      <w:r w:rsidR="0008068C">
        <w:t xml:space="preserve">er what the gender pain gap is to those </w:t>
      </w:r>
      <w:r w:rsidR="006F5A65">
        <w:t xml:space="preserve">unaware, and </w:t>
      </w:r>
      <w:r w:rsidR="00386E19">
        <w:t>it a</w:t>
      </w:r>
      <w:r w:rsidR="000F35A3">
        <w:t xml:space="preserve">lso </w:t>
      </w:r>
      <w:r w:rsidR="006F5A65">
        <w:t>gave the impression that</w:t>
      </w:r>
      <w:r w:rsidR="000F35A3">
        <w:t xml:space="preserve"> the gender pain gap </w:t>
      </w:r>
      <w:r w:rsidR="00F340D6">
        <w:t>i</w:t>
      </w:r>
      <w:r w:rsidR="000F35A3">
        <w:t xml:space="preserve">s something </w:t>
      </w:r>
      <w:r w:rsidR="00DF04B4">
        <w:t xml:space="preserve">that is </w:t>
      </w:r>
      <w:r w:rsidR="000F35A3">
        <w:t>purely limited to reproductive issues</w:t>
      </w:r>
      <w:r w:rsidR="00DF04B4">
        <w:t>;</w:t>
      </w:r>
      <w:r w:rsidR="000F35A3">
        <w:t xml:space="preserve"> I believe it is far more</w:t>
      </w:r>
      <w:r w:rsidR="004154A5">
        <w:t xml:space="preserve"> and </w:t>
      </w:r>
      <w:r w:rsidR="00F5620A">
        <w:t xml:space="preserve">so </w:t>
      </w:r>
      <w:r w:rsidR="00DB66D1">
        <w:t xml:space="preserve">I </w:t>
      </w:r>
      <w:r w:rsidR="004154A5">
        <w:t>hope to explore</w:t>
      </w:r>
      <w:r w:rsidR="00F5620A">
        <w:t xml:space="preserve"> this</w:t>
      </w:r>
      <w:r w:rsidR="004154A5">
        <w:t xml:space="preserve"> further in my subsequent essay.</w:t>
      </w:r>
    </w:p>
    <w:p w14:paraId="66E32E02" w14:textId="5768CFBD" w:rsidR="00CC3C18" w:rsidRPr="00D61C57" w:rsidRDefault="00B07419" w:rsidP="00F97B8A">
      <w:r>
        <w:t xml:space="preserve">In this preliminary data collection </w:t>
      </w:r>
      <w:r w:rsidR="00FD2653">
        <w:t>process,</w:t>
      </w:r>
      <w:r>
        <w:t xml:space="preserve"> </w:t>
      </w:r>
      <w:r w:rsidR="00287D59">
        <w:t xml:space="preserve">I </w:t>
      </w:r>
      <w:r w:rsidR="0042045C">
        <w:t>found</w:t>
      </w:r>
      <w:r w:rsidR="0008329F">
        <w:t xml:space="preserve"> </w:t>
      </w:r>
      <w:r w:rsidR="00771FE8">
        <w:t xml:space="preserve">multiple </w:t>
      </w:r>
      <w:r w:rsidR="0008329F">
        <w:t xml:space="preserve">news </w:t>
      </w:r>
      <w:r w:rsidR="007131E8">
        <w:t xml:space="preserve">articles </w:t>
      </w:r>
      <w:r w:rsidR="0008329F">
        <w:t>that</w:t>
      </w:r>
      <w:r w:rsidR="00203A98">
        <w:t xml:space="preserve"> were published over</w:t>
      </w:r>
      <w:r w:rsidR="007131E8">
        <w:t xml:space="preserve"> several years</w:t>
      </w:r>
      <w:r w:rsidR="00771FE8">
        <w:t xml:space="preserve">, with </w:t>
      </w:r>
      <w:r w:rsidR="00975231">
        <w:t xml:space="preserve">simply </w:t>
      </w:r>
      <w:r w:rsidR="00771FE8">
        <w:t xml:space="preserve">the intent of </w:t>
      </w:r>
      <w:r w:rsidR="00975231">
        <w:t>raising awareness.</w:t>
      </w:r>
      <w:r w:rsidR="00496C10">
        <w:t xml:space="preserve"> </w:t>
      </w:r>
      <w:r w:rsidR="00FF0B13">
        <w:t xml:space="preserve">The provided </w:t>
      </w:r>
      <w:r w:rsidR="00496C10">
        <w:t xml:space="preserve">historical </w:t>
      </w:r>
      <w:r w:rsidR="00FF0B13">
        <w:t>background of this issue</w:t>
      </w:r>
      <w:r w:rsidR="00496C10">
        <w:t xml:space="preserve"> </w:t>
      </w:r>
      <w:r w:rsidR="009B00CD">
        <w:t xml:space="preserve">in the form of written </w:t>
      </w:r>
      <w:r w:rsidR="009B00CD" w:rsidRPr="006B0D2D">
        <w:t>opinion pieces</w:t>
      </w:r>
      <w:r w:rsidR="00FF0B13" w:rsidRPr="006B0D2D">
        <w:t xml:space="preserve"> was </w:t>
      </w:r>
      <w:proofErr w:type="gramStart"/>
      <w:r w:rsidR="00FF0B13" w:rsidRPr="006B0D2D">
        <w:t>surprising in itself</w:t>
      </w:r>
      <w:r w:rsidR="00823746" w:rsidRPr="006B0D2D">
        <w:t>, as</w:t>
      </w:r>
      <w:proofErr w:type="gramEnd"/>
      <w:r w:rsidR="00823746" w:rsidRPr="006B0D2D">
        <w:t xml:space="preserve"> it would something one would assume would not be brought to the fore in news</w:t>
      </w:r>
      <w:r w:rsidR="00823746">
        <w:t xml:space="preserve"> up until more recently</w:t>
      </w:r>
      <w:r w:rsidR="004177C6">
        <w:t>.</w:t>
      </w:r>
      <w:r w:rsidR="007E62B0">
        <w:t xml:space="preserve"> </w:t>
      </w:r>
      <w:proofErr w:type="gramStart"/>
      <w:r w:rsidR="007E62B0">
        <w:t>In particular, an</w:t>
      </w:r>
      <w:proofErr w:type="gramEnd"/>
      <w:r w:rsidR="00C62ACE">
        <w:t xml:space="preserve"> </w:t>
      </w:r>
      <w:r w:rsidR="007E62B0">
        <w:t xml:space="preserve">article from the Independent contained </w:t>
      </w:r>
      <w:r w:rsidR="00957F54">
        <w:t>a more in-</w:t>
      </w:r>
      <w:r w:rsidR="00957F54" w:rsidRPr="00837E48">
        <w:t xml:space="preserve">depth study, </w:t>
      </w:r>
      <w:r w:rsidR="007E62B0" w:rsidRPr="00837E48">
        <w:t>w</w:t>
      </w:r>
      <w:r w:rsidR="00622402" w:rsidRPr="00837E48">
        <w:t>hich allow</w:t>
      </w:r>
      <w:r w:rsidR="00E94CF8">
        <w:t>ed</w:t>
      </w:r>
      <w:r w:rsidR="00622402" w:rsidRPr="00837E48">
        <w:t xml:space="preserve"> readers to understand that</w:t>
      </w:r>
      <w:r w:rsidR="005A4D46" w:rsidRPr="00837E48">
        <w:t xml:space="preserve"> “gender stereotypes are particularly decisive in the estimation of patients’ pain”</w:t>
      </w:r>
      <w:r w:rsidR="00A920C9" w:rsidRPr="00837E48">
        <w:rPr>
          <w:rStyle w:val="FootnoteReference"/>
        </w:rPr>
        <w:footnoteReference w:id="2"/>
      </w:r>
      <w:r w:rsidR="005A4D46" w:rsidRPr="00837E48">
        <w:t xml:space="preserve"> and as a result, women’s pain can be more easily discount</w:t>
      </w:r>
      <w:r w:rsidR="00016816" w:rsidRPr="00837E48">
        <w:t>ed</w:t>
      </w:r>
      <w:r w:rsidR="005A4D46" w:rsidRPr="00837E48">
        <w:t xml:space="preserve"> due to “the false belief that women are oversensitive to pain, and express or exaggerate it more easily”</w:t>
      </w:r>
      <w:r w:rsidR="00837E48" w:rsidRPr="00837E48">
        <w:rPr>
          <w:rStyle w:val="FootnoteReference"/>
        </w:rPr>
        <w:footnoteReference w:id="3"/>
      </w:r>
      <w:r w:rsidR="005A4D46" w:rsidRPr="00837E48">
        <w:t>.</w:t>
      </w:r>
      <w:r w:rsidR="00B93DB0" w:rsidRPr="00837E48">
        <w:t xml:space="preserve"> Not only is this pain discounted due to the healthcare professional’s underestimation, it is often also undertreated, to the point where it is far more common for “psychological rather than analgesic treatment”</w:t>
      </w:r>
      <w:r w:rsidR="00837E48" w:rsidRPr="00837E48">
        <w:rPr>
          <w:rStyle w:val="FootnoteReference"/>
        </w:rPr>
        <w:footnoteReference w:id="4"/>
      </w:r>
      <w:r w:rsidR="00B93DB0" w:rsidRPr="00837E48">
        <w:t xml:space="preserve"> to be</w:t>
      </w:r>
      <w:r w:rsidR="00B93DB0">
        <w:t xml:space="preserve"> suggested </w:t>
      </w:r>
      <w:r w:rsidR="000A7952">
        <w:t>to female patients.</w:t>
      </w:r>
      <w:r w:rsidR="004C3FBF">
        <w:t xml:space="preserve"> This observer bias</w:t>
      </w:r>
      <w:r w:rsidR="001D16F2">
        <w:t xml:space="preserve"> </w:t>
      </w:r>
      <w:r w:rsidR="001D16F2" w:rsidRPr="00AA465A">
        <w:t>creates mistaken beliefs about a woman’s sensitivity to pain, their willingness to report this pain, and ultimately their supposed capacity to endure such pain</w:t>
      </w:r>
      <w:r w:rsidR="00213D17">
        <w:t xml:space="preserve">; </w:t>
      </w:r>
      <w:r w:rsidR="001D16F2" w:rsidRPr="00AA465A">
        <w:t xml:space="preserve">all the while being compared to men as </w:t>
      </w:r>
      <w:r w:rsidR="00AA465A" w:rsidRPr="00AA465A">
        <w:t xml:space="preserve">the </w:t>
      </w:r>
      <w:r w:rsidR="003F328B" w:rsidRPr="00AA465A">
        <w:t xml:space="preserve">norm or ideal for the correct amount and type of pain to be experiencing and </w:t>
      </w:r>
      <w:r w:rsidR="00AA465A" w:rsidRPr="00AA465A">
        <w:t xml:space="preserve">ultimately </w:t>
      </w:r>
      <w:r w:rsidR="003F328B" w:rsidRPr="00AA465A">
        <w:t>how to respond to this pain.</w:t>
      </w:r>
      <w:r w:rsidR="00AA465A" w:rsidRPr="00AA465A">
        <w:rPr>
          <w:rStyle w:val="FootnoteReference"/>
        </w:rPr>
        <w:footnoteReference w:id="5"/>
      </w:r>
      <w:r w:rsidR="00145A53" w:rsidRPr="00AA465A">
        <w:t xml:space="preserve"> However, this is somewhat flawed as men </w:t>
      </w:r>
      <w:r w:rsidR="00EB581A" w:rsidRPr="00AA465A">
        <w:t xml:space="preserve">do </w:t>
      </w:r>
      <w:r w:rsidR="00145A53" w:rsidRPr="00AA465A">
        <w:t>also suffer under these binding ideals</w:t>
      </w:r>
      <w:r w:rsidR="00393536">
        <w:t xml:space="preserve"> – </w:t>
      </w:r>
      <w:r w:rsidR="00145A53" w:rsidRPr="00AA465A">
        <w:t>as seen</w:t>
      </w:r>
      <w:r w:rsidR="00145A53">
        <w:t xml:space="preserve"> in research conducted on pain which reported that men "felt an obligation to display stoicism in response to pain”</w:t>
      </w:r>
      <w:r w:rsidR="001530D4">
        <w:rPr>
          <w:rStyle w:val="FootnoteReference"/>
        </w:rPr>
        <w:footnoteReference w:id="6"/>
      </w:r>
      <w:r w:rsidR="00315330">
        <w:t xml:space="preserve">. </w:t>
      </w:r>
      <w:r w:rsidR="00E540E9">
        <w:t xml:space="preserve">As </w:t>
      </w:r>
      <w:r w:rsidR="00E540E9" w:rsidRPr="00FF4706">
        <w:t>mentioned in</w:t>
      </w:r>
      <w:r w:rsidR="00E540E9" w:rsidRPr="00FF4706">
        <w:rPr>
          <w:i/>
          <w:iCs/>
        </w:rPr>
        <w:t xml:space="preserve"> </w:t>
      </w:r>
      <w:r w:rsidR="00E540E9" w:rsidRPr="00FF4706">
        <w:rPr>
          <w:i/>
          <w:iCs/>
        </w:rPr>
        <w:t>The Girl Who Cried Pain: A Bias against Women in the Treatment of Pain</w:t>
      </w:r>
      <w:r w:rsidR="002C6095" w:rsidRPr="00FF4706">
        <w:rPr>
          <w:i/>
          <w:iCs/>
        </w:rPr>
        <w:t xml:space="preserve">, </w:t>
      </w:r>
      <w:r w:rsidR="002C6095" w:rsidRPr="00FF4706">
        <w:t>this fascinating</w:t>
      </w:r>
      <w:r w:rsidR="00E540E9" w:rsidRPr="00FF4706">
        <w:t xml:space="preserve"> </w:t>
      </w:r>
      <w:r w:rsidR="003A0647" w:rsidRPr="00FF4706">
        <w:t>“</w:t>
      </w:r>
      <w:r w:rsidR="003A0647" w:rsidRPr="00FF4706">
        <w:t xml:space="preserve">interplay between </w:t>
      </w:r>
      <w:proofErr w:type="spellStart"/>
      <w:r w:rsidR="003A0647" w:rsidRPr="00FF4706">
        <w:t>behavio</w:t>
      </w:r>
      <w:proofErr w:type="spellEnd"/>
      <w:r w:rsidR="003A0647" w:rsidRPr="00FF4706">
        <w:t>[u]</w:t>
      </w:r>
      <w:r w:rsidR="003A0647" w:rsidRPr="00FF4706">
        <w:t>r and the value systems of a culture is complex and may influence pain perception in many ways</w:t>
      </w:r>
      <w:r w:rsidR="003A0647" w:rsidRPr="00FF4706">
        <w:t>”</w:t>
      </w:r>
      <w:r w:rsidR="00B021B8" w:rsidRPr="00FF4706">
        <w:rPr>
          <w:rStyle w:val="FootnoteReference"/>
        </w:rPr>
        <w:footnoteReference w:id="7"/>
      </w:r>
      <w:r w:rsidR="00FF4706">
        <w:t xml:space="preserve">. </w:t>
      </w:r>
      <w:r w:rsidR="00CC3C18">
        <w:t xml:space="preserve">A major component of this interplay is the fashion in which we bring up our </w:t>
      </w:r>
      <w:r w:rsidR="00CC404E">
        <w:t>children and</w:t>
      </w:r>
      <w:r w:rsidR="00CC3C18">
        <w:t xml:space="preserve"> how it can cause boys to perceive their pain differently, as highlighted by Pollack’s study</w:t>
      </w:r>
      <w:r w:rsidR="00AB2118">
        <w:rPr>
          <w:rStyle w:val="FootnoteReference"/>
        </w:rPr>
        <w:footnoteReference w:id="8"/>
      </w:r>
      <w:r w:rsidR="00CC3C18">
        <w:t xml:space="preserve"> in the </w:t>
      </w:r>
      <w:r w:rsidR="00CC3C18" w:rsidRPr="00D61C57">
        <w:t>United States</w:t>
      </w:r>
      <w:r w:rsidR="00367AC5" w:rsidRPr="00D61C57">
        <w:t xml:space="preserve">. This study goes on to report that male infants are more emotionally expressive than female infants from birth, but </w:t>
      </w:r>
      <w:r w:rsidR="00306C8A" w:rsidRPr="00D61C57">
        <w:t xml:space="preserve">lose this quality by the time they reach elementary school, which usually starts for </w:t>
      </w:r>
      <w:r w:rsidR="00986B93" w:rsidRPr="00D61C57">
        <w:t xml:space="preserve">American </w:t>
      </w:r>
      <w:r w:rsidR="00306C8A" w:rsidRPr="00D61C57">
        <w:t>children at the age of five.</w:t>
      </w:r>
      <w:r w:rsidR="00884F3B" w:rsidRPr="00D61C57">
        <w:rPr>
          <w:rStyle w:val="FootnoteReference"/>
        </w:rPr>
        <w:footnoteReference w:id="9"/>
      </w:r>
      <w:r w:rsidR="000E7C3E" w:rsidRPr="00D61C57">
        <w:t xml:space="preserve"> </w:t>
      </w:r>
      <w:r w:rsidR="009251CC" w:rsidRPr="00D61C57">
        <w:t xml:space="preserve">It is not difficult to see how we get our pain dismissed both internally and externally as a result of the </w:t>
      </w:r>
      <w:r w:rsidR="009251CC" w:rsidRPr="00A058F4">
        <w:t xml:space="preserve">environment that we are </w:t>
      </w:r>
      <w:r w:rsidR="0098489E" w:rsidRPr="00A058F4">
        <w:t>brought up in</w:t>
      </w:r>
      <w:r w:rsidR="000E7C3E" w:rsidRPr="00A058F4">
        <w:t>, and in turn how this would affect both our own perception of pain</w:t>
      </w:r>
      <w:r w:rsidR="00F51376" w:rsidRPr="00A058F4">
        <w:t>, and the doctor</w:t>
      </w:r>
      <w:r w:rsidR="00A058F4" w:rsidRPr="00A058F4">
        <w:t>’</w:t>
      </w:r>
      <w:r w:rsidR="00F51376" w:rsidRPr="00A058F4">
        <w:t xml:space="preserve">s </w:t>
      </w:r>
      <w:r w:rsidR="00A058F4" w:rsidRPr="00A058F4">
        <w:t xml:space="preserve">own </w:t>
      </w:r>
      <w:r w:rsidR="00F51376" w:rsidRPr="00A058F4">
        <w:t>perception</w:t>
      </w:r>
      <w:r w:rsidR="00A058F4" w:rsidRPr="00A058F4">
        <w:t>.</w:t>
      </w:r>
    </w:p>
    <w:p w14:paraId="659C10D0" w14:textId="0B92A1EC" w:rsidR="00527308" w:rsidRDefault="006B0036" w:rsidP="007131E8">
      <w:r w:rsidRPr="00D61C57">
        <w:t>While there is s</w:t>
      </w:r>
      <w:r w:rsidR="00BE77C1" w:rsidRPr="00D61C57">
        <w:t xml:space="preserve">ome </w:t>
      </w:r>
      <w:r w:rsidR="00FF50E2" w:rsidRPr="00D61C57">
        <w:t xml:space="preserve">discussion and variation of </w:t>
      </w:r>
      <w:r w:rsidRPr="00D61C57">
        <w:t>idea</w:t>
      </w:r>
      <w:r w:rsidR="00534D38" w:rsidRPr="00D61C57">
        <w:t xml:space="preserve">s </w:t>
      </w:r>
      <w:r w:rsidR="00FE52C7" w:rsidRPr="00D61C57">
        <w:t>contained within</w:t>
      </w:r>
      <w:r w:rsidR="00534D38" w:rsidRPr="00D61C57">
        <w:t xml:space="preserve"> this topi</w:t>
      </w:r>
      <w:r w:rsidR="00FE52C7" w:rsidRPr="00D61C57">
        <w:t>c</w:t>
      </w:r>
      <w:r w:rsidR="00D61C57" w:rsidRPr="00D61C57">
        <w:t xml:space="preserve"> </w:t>
      </w:r>
      <w:r w:rsidR="004971E8" w:rsidRPr="00D61C57">
        <w:t xml:space="preserve">in terms of </w:t>
      </w:r>
      <w:r w:rsidR="00D61C57" w:rsidRPr="00D61C57">
        <w:t xml:space="preserve">whether the gender pain gap is </w:t>
      </w:r>
      <w:r w:rsidR="004971E8" w:rsidRPr="00D61C57">
        <w:t>purely</w:t>
      </w:r>
      <w:r w:rsidR="00D61C57" w:rsidRPr="00D61C57">
        <w:t xml:space="preserve"> </w:t>
      </w:r>
      <w:r w:rsidR="008829A3" w:rsidRPr="00D61C57">
        <w:t xml:space="preserve">associated </w:t>
      </w:r>
      <w:r w:rsidR="004971E8" w:rsidRPr="00D61C57">
        <w:t xml:space="preserve">with </w:t>
      </w:r>
      <w:r w:rsidR="004971E8" w:rsidRPr="00D61C57">
        <w:t>strictl</w:t>
      </w:r>
      <w:r w:rsidR="00D61C57" w:rsidRPr="00D61C57">
        <w:t>y</w:t>
      </w:r>
      <w:r w:rsidR="004971E8" w:rsidRPr="00D61C57">
        <w:t xml:space="preserve"> women’s issues </w:t>
      </w:r>
      <w:r w:rsidR="00D61C57" w:rsidRPr="00D61C57">
        <w:t xml:space="preserve">such as </w:t>
      </w:r>
      <w:r w:rsidR="004971E8" w:rsidRPr="00D61C57">
        <w:t xml:space="preserve">fertility, </w:t>
      </w:r>
      <w:proofErr w:type="gramStart"/>
      <w:r w:rsidR="004971E8" w:rsidRPr="00D61C57">
        <w:t>pregnancy</w:t>
      </w:r>
      <w:proofErr w:type="gramEnd"/>
      <w:r w:rsidR="004971E8" w:rsidRPr="00D61C57">
        <w:t xml:space="preserve"> and </w:t>
      </w:r>
      <w:r w:rsidR="004971E8" w:rsidRPr="00D61C57">
        <w:lastRenderedPageBreak/>
        <w:t xml:space="preserve">menopause, </w:t>
      </w:r>
      <w:r w:rsidR="00FE52C7" w:rsidRPr="00D61C57">
        <w:t xml:space="preserve">it is obvious that everyone </w:t>
      </w:r>
      <w:r w:rsidR="009F7992" w:rsidRPr="00D61C57">
        <w:t>inevitably suffers when harmful stereotypes are included in the field of medicine.</w:t>
      </w:r>
    </w:p>
    <w:p w14:paraId="135A9F99" w14:textId="77777777" w:rsidR="00DA434F" w:rsidRPr="00DA434F" w:rsidRDefault="00DA434F" w:rsidP="007131E8">
      <w:pPr>
        <w:rPr>
          <w:sz w:val="28"/>
          <w:szCs w:val="28"/>
        </w:rPr>
      </w:pPr>
    </w:p>
    <w:p w14:paraId="34F36E21" w14:textId="1F1F26DE" w:rsidR="005247F5" w:rsidRDefault="00975231" w:rsidP="007131E8">
      <w:pPr>
        <w:rPr>
          <w:sz w:val="28"/>
          <w:szCs w:val="28"/>
        </w:rPr>
      </w:pPr>
      <w:r w:rsidRPr="00975231">
        <w:rPr>
          <w:sz w:val="28"/>
          <w:szCs w:val="28"/>
        </w:rPr>
        <w:t>Studies on gender bias in medicine</w:t>
      </w:r>
    </w:p>
    <w:p w14:paraId="0922D99C" w14:textId="6D9D747B" w:rsidR="0094424B" w:rsidRPr="0094424B" w:rsidRDefault="0094424B" w:rsidP="007131E8">
      <w:r w:rsidRPr="0094424B">
        <w:t>“</w:t>
      </w:r>
      <w:r w:rsidRPr="0094424B">
        <w:t>There is also evidence that women, for no apparent medical reason, are not offered the same treatment as men, a phenomenon that raises the question of gender bias. Many studies, for example, show that women are less likely than men to receive more advanced diagnostic and therapeutic interventions</w:t>
      </w:r>
      <w:r w:rsidRPr="0094424B">
        <w:t>.”</w:t>
      </w:r>
      <w:r w:rsidR="00D04B0D">
        <w:rPr>
          <w:rStyle w:val="FootnoteReference"/>
        </w:rPr>
        <w:footnoteReference w:id="10"/>
      </w:r>
    </w:p>
    <w:p w14:paraId="2B1D7F20" w14:textId="79B4CAF0" w:rsidR="004A1F29" w:rsidRDefault="00282CD8" w:rsidP="007131E8">
      <w:r w:rsidRPr="00282CD8">
        <w:t>While</w:t>
      </w:r>
      <w:r>
        <w:t xml:space="preserve"> interpretations and views on such a subject can be negotiated, research articles provide a factual base from which to work from. In the </w:t>
      </w:r>
      <w:r w:rsidR="00443675">
        <w:t xml:space="preserve">research article </w:t>
      </w:r>
      <w:r w:rsidRPr="00443675">
        <w:rPr>
          <w:i/>
          <w:iCs/>
        </w:rPr>
        <w:t>Implicit bias in healthcare professionals: a systematic review</w:t>
      </w:r>
      <w:r w:rsidR="001F4FC5">
        <w:t xml:space="preserve">, a simple question is asked – </w:t>
      </w:r>
      <w:r w:rsidR="00443675">
        <w:t xml:space="preserve">do trained healthcare professionals display implicit </w:t>
      </w:r>
      <w:r w:rsidR="00443675" w:rsidRPr="009D46DE">
        <w:t>biases towards certain types of patient?</w:t>
      </w:r>
      <w:r w:rsidR="001F4FC5" w:rsidRPr="009D46DE">
        <w:t xml:space="preserve"> </w:t>
      </w:r>
      <w:r w:rsidR="004A1F29" w:rsidRPr="009D46DE">
        <w:t xml:space="preserve">By using an empirical study that relied on </w:t>
      </w:r>
      <w:r w:rsidR="00A0154B" w:rsidRPr="009D46DE">
        <w:t xml:space="preserve">various </w:t>
      </w:r>
      <w:r w:rsidR="004A1F29" w:rsidRPr="009D46DE">
        <w:t>method</w:t>
      </w:r>
      <w:r w:rsidR="00EC3B78" w:rsidRPr="009D46DE">
        <w:t>s</w:t>
      </w:r>
      <w:r w:rsidR="004A1F29" w:rsidRPr="009D46DE">
        <w:t xml:space="preserve"> t</w:t>
      </w:r>
      <w:r w:rsidR="00EC3B78" w:rsidRPr="009D46DE">
        <w:t>o</w:t>
      </w:r>
      <w:r w:rsidR="004A1F29" w:rsidRPr="009D46DE">
        <w:t xml:space="preserve"> identif</w:t>
      </w:r>
      <w:r w:rsidR="00EC3B78" w:rsidRPr="009D46DE">
        <w:t>y</w:t>
      </w:r>
      <w:r w:rsidR="004A1F29" w:rsidRPr="009D46DE">
        <w:t xml:space="preserve"> implicit rather than explicit</w:t>
      </w:r>
      <w:r w:rsidR="00EC3B78" w:rsidRPr="009D46DE">
        <w:t xml:space="preserve"> examples of bias within a specific number of peer-reviewed studies </w:t>
      </w:r>
      <w:r w:rsidR="00A0154B" w:rsidRPr="009D46DE">
        <w:t>which were then</w:t>
      </w:r>
      <w:r w:rsidR="00EC3B78" w:rsidRPr="009D46DE">
        <w:t xml:space="preserve"> review</w:t>
      </w:r>
      <w:r w:rsidR="009D46DE" w:rsidRPr="009D46DE">
        <w:t>ed</w:t>
      </w:r>
      <w:r w:rsidR="00EC3B78" w:rsidRPr="009D46DE">
        <w:t xml:space="preserve"> and compar</w:t>
      </w:r>
      <w:r w:rsidR="009D46DE" w:rsidRPr="009D46DE">
        <w:t>ed</w:t>
      </w:r>
      <w:r w:rsidR="00EC3B78" w:rsidRPr="009D46DE">
        <w:t>.</w:t>
      </w:r>
      <w:r w:rsidR="00963A4A" w:rsidRPr="009D46DE">
        <w:t xml:space="preserve"> Researcher</w:t>
      </w:r>
      <w:r w:rsidR="00A0154B" w:rsidRPr="009D46DE">
        <w:t>s</w:t>
      </w:r>
      <w:r w:rsidR="004A1F29" w:rsidRPr="00A0154B">
        <w:t xml:space="preserve"> </w:t>
      </w:r>
      <w:r w:rsidR="003D4692" w:rsidRPr="00A0154B">
        <w:t>i</w:t>
      </w:r>
      <w:r w:rsidR="00C7657C">
        <w:t>n</w:t>
      </w:r>
      <w:r w:rsidR="003D4692" w:rsidRPr="00A0154B">
        <w:t>dependently</w:t>
      </w:r>
      <w:r w:rsidR="004A1F29">
        <w:t xml:space="preserve"> screened </w:t>
      </w:r>
      <w:r w:rsidR="004A1F29" w:rsidRPr="004A1F29">
        <w:t>3767 titles</w:t>
      </w:r>
      <w:r w:rsidR="00963A4A">
        <w:t>, which was then w</w:t>
      </w:r>
      <w:r w:rsidR="003D4692">
        <w:t xml:space="preserve">hittled down by </w:t>
      </w:r>
      <w:proofErr w:type="gramStart"/>
      <w:r w:rsidR="003D4692">
        <w:t>a number of</w:t>
      </w:r>
      <w:proofErr w:type="gramEnd"/>
      <w:r w:rsidR="003D4692">
        <w:t xml:space="preserve"> criteria to </w:t>
      </w:r>
      <w:r w:rsidR="003D4692">
        <w:t>42</w:t>
      </w:r>
      <w:r w:rsidR="00963A4A">
        <w:t xml:space="preserve"> articles and studies</w:t>
      </w:r>
      <w:r w:rsidR="003D4692">
        <w:t>.</w:t>
      </w:r>
      <w:r w:rsidR="00963A4A">
        <w:t xml:space="preserve"> These chosen </w:t>
      </w:r>
      <w:r w:rsidR="004A1F29">
        <w:t xml:space="preserve">articles </w:t>
      </w:r>
      <w:r w:rsidR="00963A4A">
        <w:t xml:space="preserve">were </w:t>
      </w:r>
      <w:r w:rsidR="004A1F29">
        <w:t xml:space="preserve">published </w:t>
      </w:r>
      <w:r w:rsidR="00963A4A">
        <w:t xml:space="preserve">over a </w:t>
      </w:r>
      <w:proofErr w:type="gramStart"/>
      <w:r w:rsidR="00963A4A">
        <w:t>ten year</w:t>
      </w:r>
      <w:proofErr w:type="gramEnd"/>
      <w:r w:rsidR="00963A4A">
        <w:t xml:space="preserve"> period, between</w:t>
      </w:r>
      <w:r w:rsidR="004A1F29">
        <w:t xml:space="preserve"> 1st March 2003 and 31st March 2013</w:t>
      </w:r>
      <w:r w:rsidR="00963A4A">
        <w:t>, and examined twelve bias</w:t>
      </w:r>
      <w:r w:rsidR="00EB6F01">
        <w:t>es</w:t>
      </w:r>
      <w:r w:rsidR="00963A4A">
        <w:t xml:space="preserve">, the most frequently examined being racial </w:t>
      </w:r>
      <w:r w:rsidR="00690A59">
        <w:t xml:space="preserve">bias </w:t>
      </w:r>
      <w:r w:rsidR="00963A4A">
        <w:t>and gender</w:t>
      </w:r>
      <w:r w:rsidR="00690A59">
        <w:t xml:space="preserve"> bias</w:t>
      </w:r>
      <w:r w:rsidR="00963A4A">
        <w:t>.</w:t>
      </w:r>
      <w:r w:rsidR="000313F9">
        <w:t xml:space="preserve"> The tables below display some of the findings from this study</w:t>
      </w:r>
      <w:r w:rsidR="002231BF">
        <w:t>.</w:t>
      </w:r>
    </w:p>
    <w:p w14:paraId="468ADE06" w14:textId="3E1AB5FB" w:rsidR="000B0F94" w:rsidRDefault="00FE40ED" w:rsidP="007131E8">
      <w:r>
        <w:t xml:space="preserve">Four of the assumption studies reviewed in this </w:t>
      </w:r>
      <w:r w:rsidR="00930D67">
        <w:t>comprehensive study compared their f</w:t>
      </w:r>
      <w:r w:rsidR="007F1904">
        <w:t xml:space="preserve">indings from multiple </w:t>
      </w:r>
      <w:r w:rsidR="00930D67">
        <w:t>countries</w:t>
      </w:r>
      <w:r w:rsidR="007F1904">
        <w:t xml:space="preserve"> so that they could best explore the differences in our healthcare systems and how this may affect the way men</w:t>
      </w:r>
      <w:r w:rsidR="00F46A1F">
        <w:t>’s</w:t>
      </w:r>
      <w:r w:rsidR="007F1904">
        <w:t xml:space="preserve"> and women’s pain are treated</w:t>
      </w:r>
      <w:r w:rsidR="00544C87">
        <w:t xml:space="preserve"> i</w:t>
      </w:r>
      <w:r w:rsidR="007F1904">
        <w:t>n terms of cultural and societal differences</w:t>
      </w:r>
      <w:r w:rsidR="00544C87">
        <w:t>, and what external influences may change</w:t>
      </w:r>
      <w:r w:rsidR="00F46A1F">
        <w:t xml:space="preserve"> our bias</w:t>
      </w:r>
      <w:r w:rsidR="00544C87">
        <w:t>.</w:t>
      </w:r>
      <w:r w:rsidR="00672AFF">
        <w:t xml:space="preserve"> Other types of studies were used, such as implicit-association test (IAT) studies</w:t>
      </w:r>
      <w:r w:rsidR="005E1EE7">
        <w:t xml:space="preserve"> </w:t>
      </w:r>
      <w:r w:rsidR="00B02435">
        <w:t>which</w:t>
      </w:r>
      <w:r w:rsidR="005E1EE7">
        <w:t xml:space="preserve"> measured both implicit prejudice and implicit stereotypes</w:t>
      </w:r>
      <w:r w:rsidR="00EC1DEF">
        <w:t>. To explain simply</w:t>
      </w:r>
      <w:r w:rsidR="0032698A">
        <w:t>, implicit prejudice is measured</w:t>
      </w:r>
      <w:r w:rsidR="00BC12E1">
        <w:t xml:space="preserve"> through an exercise where participants </w:t>
      </w:r>
      <w:proofErr w:type="gramStart"/>
      <w:r w:rsidR="00BC12E1">
        <w:t>have to</w:t>
      </w:r>
      <w:proofErr w:type="gramEnd"/>
      <w:r w:rsidR="00BC12E1">
        <w:t xml:space="preserve"> match words or images from one category with positive or negative words, and </w:t>
      </w:r>
      <w:r w:rsidR="00BC12E1" w:rsidRPr="003C781C">
        <w:t>implicit stereotypes are measured by have participated match words or images from one category with words from a conceptual category.</w:t>
      </w:r>
      <w:r w:rsidR="00EC1DEF" w:rsidRPr="003C781C">
        <w:t xml:space="preserve"> Nine IAT studies went on to combine implicit association “</w:t>
      </w:r>
      <w:r w:rsidR="000B0F94" w:rsidRPr="003C781C">
        <w:t>with a measure of physician behaviour or treatment decision to see if there were correlations between these and levels of implicit bias</w:t>
      </w:r>
      <w:r w:rsidR="00EC1DEF" w:rsidRPr="003C781C">
        <w:t>”</w:t>
      </w:r>
      <w:r w:rsidR="00E701E8" w:rsidRPr="003C781C">
        <w:rPr>
          <w:rStyle w:val="FootnoteReference"/>
        </w:rPr>
        <w:footnoteReference w:id="11"/>
      </w:r>
      <w:r w:rsidR="00EC1DEF" w:rsidRPr="003C781C">
        <w:t>.</w:t>
      </w:r>
    </w:p>
    <w:p w14:paraId="77418D26" w14:textId="15CCF1EF" w:rsidR="003A060F" w:rsidRPr="003A060F" w:rsidRDefault="003A060F" w:rsidP="003A060F">
      <w:r w:rsidRPr="005D2607">
        <w:t>In short, this overarching study found conclusive evidence of “</w:t>
      </w:r>
      <w:r w:rsidRPr="005D2607">
        <w:t xml:space="preserve">implicit biases among healthcare professionals and </w:t>
      </w:r>
      <w:r w:rsidRPr="005D2607">
        <w:t xml:space="preserve">[that] </w:t>
      </w:r>
      <w:r w:rsidRPr="005D2607">
        <w:t>a negative correlation exists between level of implicit bias and indicators of quality of care</w:t>
      </w:r>
      <w:r w:rsidRPr="005D2607">
        <w:t>”</w:t>
      </w:r>
      <w:r w:rsidR="00643B0B" w:rsidRPr="005D2607">
        <w:rPr>
          <w:rStyle w:val="FootnoteReference"/>
        </w:rPr>
        <w:footnoteReference w:id="12"/>
      </w:r>
      <w:r w:rsidRPr="005D2607">
        <w:t xml:space="preserve">. However, it does also highlight that there were multiple limitations in the way the </w:t>
      </w:r>
      <w:r w:rsidRPr="001C368B">
        <w:t>data was collected</w:t>
      </w:r>
      <w:r w:rsidR="004F6D75" w:rsidRPr="001C368B">
        <w:t>:</w:t>
      </w:r>
      <w:r w:rsidRPr="001C368B">
        <w:t xml:space="preserve"> </w:t>
      </w:r>
    </w:p>
    <w:p w14:paraId="5A33AD77" w14:textId="77777777" w:rsidR="00DA434F" w:rsidRDefault="004F6D75" w:rsidP="007131E8">
      <w:r w:rsidRPr="001C368B">
        <w:t>“</w:t>
      </w:r>
      <w:bookmarkStart w:id="4" w:name="_Hlk70279708"/>
      <w:r w:rsidR="008816FC" w:rsidRPr="001C368B">
        <w:t xml:space="preserve">Some studies failed to report response rates, or to provide full information on statistical methods or participant characteristics. Some had very small sample sizes and the majority did not mention calculating the power of their sample. Some authors explicitly informed participants of the purpose of the </w:t>
      </w:r>
      <w:proofErr w:type="gramStart"/>
      <w:r w:rsidR="008816FC" w:rsidRPr="001C368B">
        <w:t>study, or</w:t>
      </w:r>
      <w:proofErr w:type="gramEnd"/>
      <w:r w:rsidR="008816FC" w:rsidRPr="001C368B">
        <w:t xml:space="preserve"> gave participants questionnaires or other tests that indicated the subject of the study before presenting them with the vignette</w:t>
      </w:r>
      <w:bookmarkEnd w:id="4"/>
      <w:r w:rsidR="008816FC" w:rsidRPr="001C368B">
        <w:t>.</w:t>
      </w:r>
      <w:r w:rsidRPr="001C368B">
        <w:t>”</w:t>
      </w:r>
      <w:r w:rsidR="005D2607" w:rsidRPr="001C368B">
        <w:rPr>
          <w:rStyle w:val="FootnoteReference"/>
        </w:rPr>
        <w:footnoteReference w:id="13"/>
      </w:r>
    </w:p>
    <w:p w14:paraId="14146F68" w14:textId="77777777" w:rsidR="004677DA" w:rsidRDefault="004F6D75" w:rsidP="007131E8">
      <w:r>
        <w:lastRenderedPageBreak/>
        <w:t>A</w:t>
      </w:r>
      <w:r>
        <w:t xml:space="preserve">s such </w:t>
      </w:r>
      <w:r w:rsidRPr="001C368B">
        <w:t>more uniform methods of research are needed “</w:t>
      </w:r>
      <w:bookmarkStart w:id="6" w:name="_Hlk70279771"/>
      <w:r w:rsidRPr="003A060F">
        <w:t>to enable better comparison and communication between researchers interested in different forms of bias</w:t>
      </w:r>
      <w:bookmarkEnd w:id="6"/>
      <w:r w:rsidRPr="003A060F">
        <w:t>.</w:t>
      </w:r>
      <w:r w:rsidRPr="001C368B">
        <w:t>”</w:t>
      </w:r>
      <w:r w:rsidR="001C368B" w:rsidRPr="001C368B">
        <w:rPr>
          <w:rStyle w:val="FootnoteReference"/>
        </w:rPr>
        <w:footnoteReference w:id="14"/>
      </w:r>
    </w:p>
    <w:p w14:paraId="1A4F1A54" w14:textId="77777777" w:rsidR="004677DA" w:rsidRDefault="004677DA" w:rsidP="007131E8"/>
    <w:p w14:paraId="6ED983EA" w14:textId="3731ACB2" w:rsidR="004677DA" w:rsidRPr="003F7D45" w:rsidRDefault="004677DA" w:rsidP="007131E8">
      <w:pPr>
        <w:rPr>
          <w:i/>
          <w:iCs/>
        </w:rPr>
        <w:sectPr w:rsidR="004677DA" w:rsidRPr="003F7D45">
          <w:pgSz w:w="11906" w:h="16838"/>
          <w:pgMar w:top="1440" w:right="1440" w:bottom="1440" w:left="1440" w:header="708" w:footer="708" w:gutter="0"/>
          <w:cols w:space="708"/>
          <w:docGrid w:linePitch="360"/>
        </w:sectPr>
      </w:pPr>
      <w:r w:rsidRPr="003F7D45">
        <w:rPr>
          <w:i/>
          <w:iCs/>
        </w:rPr>
        <w:t xml:space="preserve">Report </w:t>
      </w:r>
      <w:proofErr w:type="gramStart"/>
      <w:r w:rsidRPr="003F7D45">
        <w:rPr>
          <w:i/>
          <w:iCs/>
        </w:rPr>
        <w:t>continues on</w:t>
      </w:r>
      <w:proofErr w:type="gramEnd"/>
      <w:r w:rsidRPr="003F7D45">
        <w:rPr>
          <w:i/>
          <w:iCs/>
        </w:rPr>
        <w:t xml:space="preserve"> next page, see below.</w:t>
      </w:r>
    </w:p>
    <w:p w14:paraId="0C3AA843" w14:textId="44C66405" w:rsidR="00D554B0" w:rsidRDefault="00DA434F" w:rsidP="007131E8">
      <w:r>
        <w:rPr>
          <w:noProof/>
        </w:rPr>
        <w:lastRenderedPageBreak/>
        <w:drawing>
          <wp:anchor distT="0" distB="0" distL="114300" distR="114300" simplePos="0" relativeHeight="251662336" behindDoc="0" locked="0" layoutInCell="1" allowOverlap="1" wp14:anchorId="2A2975D2" wp14:editId="172B5B9B">
            <wp:simplePos x="0" y="0"/>
            <wp:positionH relativeFrom="margin">
              <wp:align>center</wp:align>
            </wp:positionH>
            <wp:positionV relativeFrom="margin">
              <wp:align>center</wp:align>
            </wp:positionV>
            <wp:extent cx="8873656" cy="6345416"/>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5841" t="18023" r="13430" b="4770"/>
                    <a:stretch/>
                  </pic:blipFill>
                  <pic:spPr bwMode="auto">
                    <a:xfrm>
                      <a:off x="0" y="0"/>
                      <a:ext cx="8873656" cy="63454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9BBD5C" w14:textId="55FD33CD" w:rsidR="00DA434F" w:rsidRDefault="00DA434F" w:rsidP="007131E8">
      <w:r>
        <w:rPr>
          <w:noProof/>
        </w:rPr>
        <w:lastRenderedPageBreak/>
        <w:drawing>
          <wp:anchor distT="0" distB="0" distL="114300" distR="114300" simplePos="0" relativeHeight="251665408" behindDoc="0" locked="0" layoutInCell="1" allowOverlap="1" wp14:anchorId="49B81B8E" wp14:editId="010076F1">
            <wp:simplePos x="0" y="0"/>
            <wp:positionH relativeFrom="margin">
              <wp:align>center</wp:align>
            </wp:positionH>
            <wp:positionV relativeFrom="margin">
              <wp:align>center</wp:align>
            </wp:positionV>
            <wp:extent cx="9134475" cy="6624955"/>
            <wp:effectExtent l="0" t="0" r="9525"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34475" cy="6624955"/>
                    </a:xfrm>
                    <a:prstGeom prst="rect">
                      <a:avLst/>
                    </a:prstGeom>
                    <a:noFill/>
                  </pic:spPr>
                </pic:pic>
              </a:graphicData>
            </a:graphic>
            <wp14:sizeRelH relativeFrom="page">
              <wp14:pctWidth>0</wp14:pctWidth>
            </wp14:sizeRelH>
            <wp14:sizeRelV relativeFrom="page">
              <wp14:pctHeight>0</wp14:pctHeight>
            </wp14:sizeRelV>
          </wp:anchor>
        </w:drawing>
      </w:r>
    </w:p>
    <w:p w14:paraId="4345F762" w14:textId="7C89C7C6" w:rsidR="00DA434F" w:rsidRDefault="00DA434F">
      <w:r>
        <w:rPr>
          <w:noProof/>
        </w:rPr>
        <w:lastRenderedPageBreak/>
        <w:drawing>
          <wp:anchor distT="0" distB="0" distL="114300" distR="114300" simplePos="0" relativeHeight="251666432" behindDoc="0" locked="0" layoutInCell="1" allowOverlap="1" wp14:anchorId="630A88F2" wp14:editId="698B960C">
            <wp:simplePos x="0" y="0"/>
            <wp:positionH relativeFrom="margin">
              <wp:align>center</wp:align>
            </wp:positionH>
            <wp:positionV relativeFrom="margin">
              <wp:align>center</wp:align>
            </wp:positionV>
            <wp:extent cx="8718550" cy="6148705"/>
            <wp:effectExtent l="0" t="0" r="635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5589" t="19222" r="13423" b="4314"/>
                    <a:stretch/>
                  </pic:blipFill>
                  <pic:spPr bwMode="auto">
                    <a:xfrm>
                      <a:off x="0" y="0"/>
                      <a:ext cx="8718550" cy="6148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br w:type="page"/>
      </w:r>
    </w:p>
    <w:p w14:paraId="268F2DD5" w14:textId="3038DD1E" w:rsidR="002231BF" w:rsidRDefault="00DA434F" w:rsidP="007131E8">
      <w:r>
        <w:rPr>
          <w:noProof/>
        </w:rPr>
        <w:lastRenderedPageBreak/>
        <w:drawing>
          <wp:anchor distT="0" distB="0" distL="114300" distR="114300" simplePos="0" relativeHeight="251667456" behindDoc="0" locked="0" layoutInCell="1" allowOverlap="1" wp14:anchorId="053F6598" wp14:editId="65A42154">
            <wp:simplePos x="0" y="0"/>
            <wp:positionH relativeFrom="margin">
              <wp:align>center</wp:align>
            </wp:positionH>
            <wp:positionV relativeFrom="margin">
              <wp:align>center</wp:align>
            </wp:positionV>
            <wp:extent cx="8639175" cy="600456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917" t="19370" r="13175" b="5357"/>
                    <a:stretch/>
                  </pic:blipFill>
                  <pic:spPr bwMode="auto">
                    <a:xfrm>
                      <a:off x="0" y="0"/>
                      <a:ext cx="8639175" cy="600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6EA67D" w14:textId="40C2F7E8" w:rsidR="00DA434F" w:rsidRDefault="008D1349" w:rsidP="007131E8">
      <w:r>
        <w:rPr>
          <w:noProof/>
        </w:rPr>
        <w:lastRenderedPageBreak/>
        <w:drawing>
          <wp:anchor distT="0" distB="0" distL="114300" distR="114300" simplePos="0" relativeHeight="251668480" behindDoc="0" locked="0" layoutInCell="1" allowOverlap="1" wp14:anchorId="2D2A5E5A" wp14:editId="1F43ABCE">
            <wp:simplePos x="0" y="0"/>
            <wp:positionH relativeFrom="margin">
              <wp:align>center</wp:align>
            </wp:positionH>
            <wp:positionV relativeFrom="margin">
              <wp:align>center</wp:align>
            </wp:positionV>
            <wp:extent cx="8719718" cy="6125449"/>
            <wp:effectExtent l="0" t="0" r="5715"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6164" t="21130" r="13918" b="4037"/>
                    <a:stretch/>
                  </pic:blipFill>
                  <pic:spPr bwMode="auto">
                    <a:xfrm>
                      <a:off x="0" y="0"/>
                      <a:ext cx="8719718" cy="61254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3D96D8" w14:textId="5B35F9F4" w:rsidR="008D1349" w:rsidRDefault="008D1349" w:rsidP="007131E8">
      <w:pPr>
        <w:sectPr w:rsidR="008D1349" w:rsidSect="002231BF">
          <w:pgSz w:w="16838" w:h="11906" w:orient="landscape"/>
          <w:pgMar w:top="1440" w:right="1440" w:bottom="1440" w:left="1440" w:header="709" w:footer="709" w:gutter="0"/>
          <w:cols w:space="708"/>
          <w:docGrid w:linePitch="360"/>
        </w:sectPr>
      </w:pPr>
    </w:p>
    <w:p w14:paraId="09B9FDA8" w14:textId="0C206200" w:rsidR="003D5264" w:rsidRPr="003D5264" w:rsidRDefault="003D5264">
      <w:pPr>
        <w:rPr>
          <w:sz w:val="28"/>
          <w:szCs w:val="28"/>
        </w:rPr>
      </w:pPr>
      <w:r w:rsidRPr="003D5264">
        <w:rPr>
          <w:sz w:val="28"/>
          <w:szCs w:val="28"/>
        </w:rPr>
        <w:lastRenderedPageBreak/>
        <w:t>Social</w:t>
      </w:r>
      <w:r w:rsidR="00B2543F">
        <w:rPr>
          <w:sz w:val="28"/>
          <w:szCs w:val="28"/>
        </w:rPr>
        <w:t xml:space="preserve"> and racial</w:t>
      </w:r>
      <w:r w:rsidRPr="003D5264">
        <w:rPr>
          <w:sz w:val="28"/>
          <w:szCs w:val="28"/>
        </w:rPr>
        <w:t xml:space="preserve"> bias</w:t>
      </w:r>
    </w:p>
    <w:p w14:paraId="49D4AC5F" w14:textId="7789C2DE" w:rsidR="00B05815" w:rsidRDefault="00544382">
      <w:r>
        <w:t xml:space="preserve">One </w:t>
      </w:r>
      <w:proofErr w:type="gramStart"/>
      <w:r>
        <w:t>has to</w:t>
      </w:r>
      <w:proofErr w:type="gramEnd"/>
      <w:r>
        <w:t xml:space="preserve"> also consider that </w:t>
      </w:r>
      <w:r w:rsidR="001A23A7">
        <w:t>a</w:t>
      </w:r>
      <w:r>
        <w:t>s</w:t>
      </w:r>
      <w:r w:rsidR="001A23A7">
        <w:t xml:space="preserve"> in</w:t>
      </w:r>
      <w:r>
        <w:t xml:space="preserve"> many things in life, women of colour are often placed at a far greater disadvantage</w:t>
      </w:r>
      <w:r w:rsidR="001A23A7">
        <w:t xml:space="preserve"> especially in accessing and receiving the correct treatment for </w:t>
      </w:r>
      <w:proofErr w:type="spellStart"/>
      <w:r w:rsidR="00527308">
        <w:t>heath</w:t>
      </w:r>
      <w:proofErr w:type="spellEnd"/>
      <w:r w:rsidR="00527308">
        <w:t xml:space="preserve"> issue</w:t>
      </w:r>
      <w:r w:rsidR="000458EA">
        <w:t>s</w:t>
      </w:r>
      <w:r w:rsidR="00527308">
        <w:t>.</w:t>
      </w:r>
      <w:r w:rsidR="004F65D7">
        <w:t xml:space="preserve"> The experiences of white women will </w:t>
      </w:r>
      <w:r w:rsidR="00803090">
        <w:t xml:space="preserve">obviously </w:t>
      </w:r>
      <w:r w:rsidR="004F65D7">
        <w:t>be different in comparison to</w:t>
      </w:r>
      <w:r w:rsidR="00803090">
        <w:t xml:space="preserve"> women of colour</w:t>
      </w:r>
      <w:r w:rsidR="00B05815">
        <w:t xml:space="preserve">, </w:t>
      </w:r>
      <w:r w:rsidR="00152916">
        <w:t>thanks to</w:t>
      </w:r>
      <w:r w:rsidR="00803090">
        <w:t xml:space="preserve"> subtle racism </w:t>
      </w:r>
      <w:r w:rsidR="00152916">
        <w:t xml:space="preserve">displayed by </w:t>
      </w:r>
      <w:r w:rsidR="00803090">
        <w:t xml:space="preserve">healthcare practitioners </w:t>
      </w:r>
      <w:r w:rsidR="00B05815" w:rsidRPr="007D5E8E">
        <w:t>and</w:t>
      </w:r>
      <w:r w:rsidR="00152916" w:rsidRPr="007D5E8E">
        <w:t xml:space="preserve"> </w:t>
      </w:r>
      <w:r w:rsidR="00B05815" w:rsidRPr="007D5E8E">
        <w:t>historical delusion</w:t>
      </w:r>
      <w:r w:rsidR="00152916" w:rsidRPr="007D5E8E">
        <w:t>s</w:t>
      </w:r>
      <w:r w:rsidR="004939B6" w:rsidRPr="007D5E8E">
        <w:rPr>
          <w:rStyle w:val="FootnoteReference"/>
        </w:rPr>
        <w:footnoteReference w:id="15"/>
      </w:r>
      <w:r w:rsidR="00152916" w:rsidRPr="007D5E8E">
        <w:t xml:space="preserve"> </w:t>
      </w:r>
      <w:r w:rsidR="000E5DC8" w:rsidRPr="007D5E8E">
        <w:rPr>
          <w:rStyle w:val="FootnoteReference"/>
        </w:rPr>
        <w:footnoteReference w:id="16"/>
      </w:r>
      <w:r w:rsidR="00152916" w:rsidRPr="007D5E8E">
        <w:t>such</w:t>
      </w:r>
      <w:r w:rsidR="00152916">
        <w:t xml:space="preserve"> as that black people do not feel pain – </w:t>
      </w:r>
      <w:r w:rsidR="00B05815">
        <w:t xml:space="preserve">as such </w:t>
      </w:r>
      <w:r w:rsidR="00B05815">
        <w:t xml:space="preserve">I feel I would not be correctly understanding </w:t>
      </w:r>
      <w:r w:rsidR="00321571">
        <w:t xml:space="preserve">and exploring </w:t>
      </w:r>
      <w:r w:rsidR="00B05815">
        <w:t xml:space="preserve">the nuances of </w:t>
      </w:r>
      <w:r w:rsidR="00321571">
        <w:t>this subject if I did not cover this in more detail in my essay.</w:t>
      </w:r>
    </w:p>
    <w:p w14:paraId="1CF14143" w14:textId="379844ED" w:rsidR="000A211A" w:rsidRDefault="004177C6">
      <w:r>
        <w:t>Even</w:t>
      </w:r>
      <w:r w:rsidR="0043564C">
        <w:t xml:space="preserve"> one of</w:t>
      </w:r>
      <w:r>
        <w:t xml:space="preserve"> my original source</w:t>
      </w:r>
      <w:r w:rsidR="0043564C">
        <w:t>s</w:t>
      </w:r>
      <w:r>
        <w:t xml:space="preserve"> for the case study, the </w:t>
      </w:r>
      <w:r w:rsidR="0043564C">
        <w:t>I</w:t>
      </w:r>
      <w:r>
        <w:t>ndependent article, notes that</w:t>
      </w:r>
      <w:r w:rsidR="000A6AE5">
        <w:t xml:space="preserve"> the pain expression database </w:t>
      </w:r>
      <w:r w:rsidR="000A6AE5" w:rsidRPr="006E3FC6">
        <w:t>from which the featured study on pain bias was based upon, consists mainly of middle aged white Canadians. Therefore, little opportunity is provided “to explore another very consistent bias in pain assessment and treatment: discounting of the pain of black and Asian or other non-white patients” which more often than not, according to various research studies, leads to “shocking shortcomings in treatment”.</w:t>
      </w:r>
      <w:r w:rsidR="006E3FC6" w:rsidRPr="006E3FC6">
        <w:rPr>
          <w:rStyle w:val="FootnoteReference"/>
        </w:rPr>
        <w:footnoteReference w:id="17"/>
      </w:r>
    </w:p>
    <w:p w14:paraId="2C07A602" w14:textId="77777777" w:rsidR="000A211A" w:rsidRDefault="000A211A"/>
    <w:p w14:paraId="5487A5AF" w14:textId="5587470F" w:rsidR="00186CCE" w:rsidRPr="000A211A" w:rsidRDefault="000A211A">
      <w:pPr>
        <w:rPr>
          <w:sz w:val="28"/>
          <w:szCs w:val="28"/>
        </w:rPr>
      </w:pPr>
      <w:r w:rsidRPr="000A211A">
        <w:rPr>
          <w:noProof/>
          <w:sz w:val="28"/>
          <w:szCs w:val="28"/>
        </w:rPr>
        <w:drawing>
          <wp:anchor distT="0" distB="0" distL="114300" distR="114300" simplePos="0" relativeHeight="251658240" behindDoc="0" locked="0" layoutInCell="1" allowOverlap="1" wp14:anchorId="036E6BA9" wp14:editId="58330EE0">
            <wp:simplePos x="0" y="0"/>
            <wp:positionH relativeFrom="margin">
              <wp:align>center</wp:align>
            </wp:positionH>
            <wp:positionV relativeFrom="paragraph">
              <wp:posOffset>332740</wp:posOffset>
            </wp:positionV>
            <wp:extent cx="5731510" cy="349313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93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211A">
        <w:rPr>
          <w:sz w:val="28"/>
          <w:szCs w:val="28"/>
        </w:rPr>
        <w:t>Alternative Perspectives</w:t>
      </w:r>
    </w:p>
    <w:p w14:paraId="2EC11C35" w14:textId="77777777" w:rsidR="000A211A" w:rsidRDefault="000A211A"/>
    <w:p w14:paraId="25C715EE" w14:textId="23513FF2" w:rsidR="0058193A" w:rsidRDefault="00F446DB">
      <w:r>
        <w:t>It was initially quite difficult to find</w:t>
      </w:r>
      <w:r w:rsidR="004676F9">
        <w:t xml:space="preserve"> perspectives that contradicted my original findings, but this</w:t>
      </w:r>
      <w:r w:rsidR="00370426">
        <w:t xml:space="preserve"> article offers a more global perspective and framework from which to work from</w:t>
      </w:r>
      <w:r w:rsidR="00507DAF">
        <w:t>, as it proposes that globally</w:t>
      </w:r>
      <w:r w:rsidR="00903B77">
        <w:t xml:space="preserve"> </w:t>
      </w:r>
      <w:r w:rsidR="00F25659">
        <w:t xml:space="preserve">there is a larger gap between men and women in terms of </w:t>
      </w:r>
      <w:proofErr w:type="gramStart"/>
      <w:r w:rsidR="00F25659">
        <w:t>actually receiving</w:t>
      </w:r>
      <w:proofErr w:type="gramEnd"/>
      <w:r w:rsidR="00F25659">
        <w:t xml:space="preserve"> </w:t>
      </w:r>
      <w:r w:rsidR="00903B77">
        <w:t>support and treatment, with men facing greater health risks in 58% of the 156 countries studied.</w:t>
      </w:r>
      <w:r w:rsidR="00293A94">
        <w:t xml:space="preserve"> However, </w:t>
      </w:r>
      <w:r w:rsidR="000D5348">
        <w:t>it was also speculated that some of the factors influencing</w:t>
      </w:r>
      <w:r w:rsidR="00860A51">
        <w:t xml:space="preserve"> these statistics</w:t>
      </w:r>
      <w:r w:rsidR="00E45605">
        <w:t xml:space="preserve"> are that </w:t>
      </w:r>
      <w:r w:rsidR="00984055" w:rsidRPr="00984055">
        <w:t xml:space="preserve">women </w:t>
      </w:r>
      <w:r w:rsidR="00E45605" w:rsidRPr="001B3768">
        <w:t>are</w:t>
      </w:r>
      <w:r w:rsidR="00984055" w:rsidRPr="001B3768">
        <w:t xml:space="preserve"> </w:t>
      </w:r>
      <w:r w:rsidR="00E45605" w:rsidRPr="001B3768">
        <w:t>“</w:t>
      </w:r>
      <w:r w:rsidR="00984055" w:rsidRPr="001B3768">
        <w:t xml:space="preserve">more likely </w:t>
      </w:r>
      <w:r w:rsidR="00984055" w:rsidRPr="001B3768">
        <w:lastRenderedPageBreak/>
        <w:t>to seek healthcare support, disclose symptoms and receive a higher number of preventative diagnoses</w:t>
      </w:r>
      <w:r w:rsidR="00E45605" w:rsidRPr="001B3768">
        <w:t>”</w:t>
      </w:r>
      <w:r w:rsidR="000459D9" w:rsidRPr="001B3768">
        <w:rPr>
          <w:rStyle w:val="FootnoteReference"/>
        </w:rPr>
        <w:footnoteReference w:id="18"/>
      </w:r>
      <w:r w:rsidR="00393AA4" w:rsidRPr="001B3768">
        <w:t>. From this we can gather that women are often heard but not believed when explaining symptoms with the intent of accessing treatment, and</w:t>
      </w:r>
      <w:r w:rsidR="00393AA4">
        <w:t xml:space="preserve"> that men are often pressured by societal expectations to not speak about their pain but are otherwise likely to be believed by doctors.</w:t>
      </w:r>
      <w:r w:rsidR="00B71024">
        <w:t xml:space="preserve"> </w:t>
      </w:r>
      <w:r w:rsidR="0058193A">
        <w:t>However one chooses to look at it, th</w:t>
      </w:r>
      <w:r w:rsidR="001D3033">
        <w:t>is</w:t>
      </w:r>
      <w:r w:rsidR="0058193A">
        <w:t xml:space="preserve"> issue is far more nuanced than I </w:t>
      </w:r>
      <w:r w:rsidR="00507DAF">
        <w:t>originally</w:t>
      </w:r>
      <w:r w:rsidR="0058193A">
        <w:t xml:space="preserve"> perceived it to be</w:t>
      </w:r>
      <w:r w:rsidR="00507DAF">
        <w:t xml:space="preserve"> and I hope to explore further into each subset of this issue in my essay.</w:t>
      </w:r>
    </w:p>
    <w:p w14:paraId="3A5F4E39" w14:textId="77777777" w:rsidR="00B47773" w:rsidRPr="0058193A" w:rsidRDefault="00B47773"/>
    <w:p w14:paraId="34204011" w14:textId="10BF5580" w:rsidR="00FE56B8" w:rsidRDefault="009068D1">
      <w:pPr>
        <w:rPr>
          <w:sz w:val="28"/>
          <w:szCs w:val="28"/>
        </w:rPr>
      </w:pPr>
      <w:r>
        <w:rPr>
          <w:sz w:val="28"/>
          <w:szCs w:val="28"/>
        </w:rPr>
        <w:t>Bibliography</w:t>
      </w:r>
    </w:p>
    <w:p w14:paraId="4745B56E"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BBC News. 2021. </w:t>
      </w:r>
      <w:r w:rsidRPr="00E0344D">
        <w:rPr>
          <w:rFonts w:cstheme="minorHAnsi"/>
          <w:i/>
          <w:iCs/>
          <w:color w:val="000000"/>
          <w:sz w:val="20"/>
          <w:szCs w:val="20"/>
          <w:shd w:val="clear" w:color="auto" w:fill="FFFFFF"/>
        </w:rPr>
        <w:t>Women's health: Female patients to be asked about 'gender health gap'</w:t>
      </w:r>
      <w:r w:rsidRPr="00E0344D">
        <w:rPr>
          <w:rFonts w:cstheme="minorHAnsi"/>
          <w:color w:val="000000"/>
          <w:sz w:val="20"/>
          <w:szCs w:val="20"/>
          <w:shd w:val="clear" w:color="auto" w:fill="FFFFFF"/>
        </w:rPr>
        <w:t>. [online] Available at: &lt;https://www.bbc.co.uk/news/health-56300404&gt; [Accessed 19 April 2021].</w:t>
      </w:r>
    </w:p>
    <w:p w14:paraId="584E2376"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BlackDoctor.org. 2021. </w:t>
      </w:r>
      <w:r w:rsidRPr="00E0344D">
        <w:rPr>
          <w:rFonts w:cstheme="minorHAnsi"/>
          <w:i/>
          <w:iCs/>
          <w:color w:val="000000"/>
          <w:sz w:val="20"/>
          <w:szCs w:val="20"/>
          <w:shd w:val="clear" w:color="auto" w:fill="FFFFFF"/>
        </w:rPr>
        <w:t xml:space="preserve">Doctors Still Believe Black People Don't Feel Pain; And It's Being Taught </w:t>
      </w:r>
      <w:proofErr w:type="gramStart"/>
      <w:r w:rsidRPr="00E0344D">
        <w:rPr>
          <w:rFonts w:cstheme="minorHAnsi"/>
          <w:i/>
          <w:iCs/>
          <w:color w:val="000000"/>
          <w:sz w:val="20"/>
          <w:szCs w:val="20"/>
          <w:shd w:val="clear" w:color="auto" w:fill="FFFFFF"/>
        </w:rPr>
        <w:t>In</w:t>
      </w:r>
      <w:proofErr w:type="gramEnd"/>
      <w:r w:rsidRPr="00E0344D">
        <w:rPr>
          <w:rFonts w:cstheme="minorHAnsi"/>
          <w:i/>
          <w:iCs/>
          <w:color w:val="000000"/>
          <w:sz w:val="20"/>
          <w:szCs w:val="20"/>
          <w:shd w:val="clear" w:color="auto" w:fill="FFFFFF"/>
        </w:rPr>
        <w:t xml:space="preserve"> Medical School | BlackDoctor.org - Where Wellness &amp; Culture Connect</w:t>
      </w:r>
      <w:r w:rsidRPr="00E0344D">
        <w:rPr>
          <w:rFonts w:cstheme="minorHAnsi"/>
          <w:color w:val="000000"/>
          <w:sz w:val="20"/>
          <w:szCs w:val="20"/>
          <w:shd w:val="clear" w:color="auto" w:fill="FFFFFF"/>
        </w:rPr>
        <w:t>. [online] Available at: &lt;https://blackdoctor.org/black-people-pain-bias-being-taught-in-med-school/&gt; [Accessed 25 April 2021].</w:t>
      </w:r>
    </w:p>
    <w:p w14:paraId="48B3524A" w14:textId="77777777" w:rsidR="00764543" w:rsidRPr="00E0344D" w:rsidRDefault="00764543">
      <w:pPr>
        <w:rPr>
          <w:rFonts w:cstheme="minorHAnsi"/>
          <w:color w:val="000000"/>
          <w:sz w:val="20"/>
          <w:szCs w:val="20"/>
          <w:shd w:val="clear" w:color="auto" w:fill="FFFFFF"/>
        </w:rPr>
      </w:pPr>
      <w:proofErr w:type="spellStart"/>
      <w:r w:rsidRPr="00E0344D">
        <w:rPr>
          <w:rFonts w:cstheme="minorHAnsi"/>
          <w:color w:val="000000"/>
          <w:sz w:val="20"/>
          <w:szCs w:val="20"/>
          <w:shd w:val="clear" w:color="auto" w:fill="FFFFFF"/>
        </w:rPr>
        <w:t>Bruchmüller</w:t>
      </w:r>
      <w:proofErr w:type="spellEnd"/>
      <w:r w:rsidRPr="00E0344D">
        <w:rPr>
          <w:rFonts w:cstheme="minorHAnsi"/>
          <w:color w:val="000000"/>
          <w:sz w:val="20"/>
          <w:szCs w:val="20"/>
          <w:shd w:val="clear" w:color="auto" w:fill="FFFFFF"/>
        </w:rPr>
        <w:t xml:space="preserve">, K., </w:t>
      </w:r>
      <w:proofErr w:type="spellStart"/>
      <w:r w:rsidRPr="00E0344D">
        <w:rPr>
          <w:rFonts w:cstheme="minorHAnsi"/>
          <w:color w:val="000000"/>
          <w:sz w:val="20"/>
          <w:szCs w:val="20"/>
          <w:shd w:val="clear" w:color="auto" w:fill="FFFFFF"/>
        </w:rPr>
        <w:t>Margraf</w:t>
      </w:r>
      <w:proofErr w:type="spellEnd"/>
      <w:r w:rsidRPr="00E0344D">
        <w:rPr>
          <w:rFonts w:cstheme="minorHAnsi"/>
          <w:color w:val="000000"/>
          <w:sz w:val="20"/>
          <w:szCs w:val="20"/>
          <w:shd w:val="clear" w:color="auto" w:fill="FFFFFF"/>
        </w:rPr>
        <w:t>, J. and Schneider, S., 2012. Is ADHD diagnosed in accord with diagnostic criteria? Overdiagnosis and influence of client gender on diagnosis. </w:t>
      </w:r>
      <w:r w:rsidRPr="00E0344D">
        <w:rPr>
          <w:rFonts w:cstheme="minorHAnsi"/>
          <w:i/>
          <w:iCs/>
          <w:color w:val="000000"/>
          <w:sz w:val="20"/>
          <w:szCs w:val="20"/>
          <w:shd w:val="clear" w:color="auto" w:fill="FFFFFF"/>
        </w:rPr>
        <w:t>Journal of Consulting and Clinical Psychology</w:t>
      </w:r>
      <w:r w:rsidRPr="00E0344D">
        <w:rPr>
          <w:rFonts w:cstheme="minorHAnsi"/>
          <w:color w:val="000000"/>
          <w:sz w:val="20"/>
          <w:szCs w:val="20"/>
          <w:shd w:val="clear" w:color="auto" w:fill="FFFFFF"/>
        </w:rPr>
        <w:t>, 80(1), pp.128-138.</w:t>
      </w:r>
    </w:p>
    <w:p w14:paraId="2268B45B"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FitzGerald, C. and Hurst, S., 2017. Implicit bias in healthcare professionals: a systematic review. </w:t>
      </w:r>
      <w:r w:rsidRPr="00E0344D">
        <w:rPr>
          <w:rFonts w:cstheme="minorHAnsi"/>
          <w:i/>
          <w:iCs/>
          <w:color w:val="000000"/>
          <w:sz w:val="20"/>
          <w:szCs w:val="20"/>
          <w:shd w:val="clear" w:color="auto" w:fill="FFFFFF"/>
        </w:rPr>
        <w:t>BMC Medical Ethics</w:t>
      </w:r>
      <w:r w:rsidRPr="00E0344D">
        <w:rPr>
          <w:rFonts w:cstheme="minorHAnsi"/>
          <w:color w:val="000000"/>
          <w:sz w:val="20"/>
          <w:szCs w:val="20"/>
          <w:shd w:val="clear" w:color="auto" w:fill="FFFFFF"/>
        </w:rPr>
        <w:t>, 18(1), pp.1-18.</w:t>
      </w:r>
    </w:p>
    <w:p w14:paraId="25DBC7E0" w14:textId="77777777" w:rsidR="00764543" w:rsidRPr="00E0344D" w:rsidRDefault="00764543">
      <w:pPr>
        <w:rPr>
          <w:rFonts w:cstheme="minorHAnsi"/>
          <w:color w:val="000000"/>
          <w:sz w:val="20"/>
          <w:szCs w:val="20"/>
          <w:shd w:val="clear" w:color="auto" w:fill="FFFFFF"/>
        </w:rPr>
      </w:pPr>
      <w:proofErr w:type="spellStart"/>
      <w:r w:rsidRPr="00E0344D">
        <w:rPr>
          <w:rFonts w:cstheme="minorHAnsi"/>
          <w:color w:val="000000"/>
          <w:sz w:val="20"/>
          <w:szCs w:val="20"/>
          <w:shd w:val="clear" w:color="auto" w:fill="FFFFFF"/>
        </w:rPr>
        <w:t>Hamberg</w:t>
      </w:r>
      <w:proofErr w:type="spellEnd"/>
      <w:r w:rsidRPr="00E0344D">
        <w:rPr>
          <w:rFonts w:cstheme="minorHAnsi"/>
          <w:color w:val="000000"/>
          <w:sz w:val="20"/>
          <w:szCs w:val="20"/>
          <w:shd w:val="clear" w:color="auto" w:fill="FFFFFF"/>
        </w:rPr>
        <w:t>, K., 2008. Gender Bias in Medicine. </w:t>
      </w:r>
      <w:r w:rsidRPr="00E0344D">
        <w:rPr>
          <w:rFonts w:cstheme="minorHAnsi"/>
          <w:i/>
          <w:iCs/>
          <w:color w:val="000000"/>
          <w:sz w:val="20"/>
          <w:szCs w:val="20"/>
          <w:shd w:val="clear" w:color="auto" w:fill="FFFFFF"/>
        </w:rPr>
        <w:t>Women's Health</w:t>
      </w:r>
      <w:r w:rsidRPr="00E0344D">
        <w:rPr>
          <w:rFonts w:cstheme="minorHAnsi"/>
          <w:color w:val="000000"/>
          <w:sz w:val="20"/>
          <w:szCs w:val="20"/>
          <w:shd w:val="clear" w:color="auto" w:fill="FFFFFF"/>
        </w:rPr>
        <w:t>, 4(3), pp.237-243.</w:t>
      </w:r>
    </w:p>
    <w:p w14:paraId="7B8F946B"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 xml:space="preserve">Hoffmann, D. and </w:t>
      </w:r>
      <w:proofErr w:type="spellStart"/>
      <w:r w:rsidRPr="00E0344D">
        <w:rPr>
          <w:rFonts w:cstheme="minorHAnsi"/>
          <w:color w:val="000000"/>
          <w:sz w:val="20"/>
          <w:szCs w:val="20"/>
          <w:shd w:val="clear" w:color="auto" w:fill="FFFFFF"/>
        </w:rPr>
        <w:t>Tarzian</w:t>
      </w:r>
      <w:proofErr w:type="spellEnd"/>
      <w:r w:rsidRPr="00E0344D">
        <w:rPr>
          <w:rFonts w:cstheme="minorHAnsi"/>
          <w:color w:val="000000"/>
          <w:sz w:val="20"/>
          <w:szCs w:val="20"/>
          <w:shd w:val="clear" w:color="auto" w:fill="FFFFFF"/>
        </w:rPr>
        <w:t>, A., 2001. The Girl Who Cried Pain: A Bias against Women in the Treatment of Pain. </w:t>
      </w:r>
      <w:r w:rsidRPr="00E0344D">
        <w:rPr>
          <w:rFonts w:cstheme="minorHAnsi"/>
          <w:i/>
          <w:iCs/>
          <w:color w:val="000000"/>
          <w:sz w:val="20"/>
          <w:szCs w:val="20"/>
          <w:shd w:val="clear" w:color="auto" w:fill="FFFFFF"/>
        </w:rPr>
        <w:t>Journal of Law, Medicine &amp; Ethics</w:t>
      </w:r>
      <w:r w:rsidRPr="00E0344D">
        <w:rPr>
          <w:rFonts w:cstheme="minorHAnsi"/>
          <w:color w:val="000000"/>
          <w:sz w:val="20"/>
          <w:szCs w:val="20"/>
          <w:shd w:val="clear" w:color="auto" w:fill="FFFFFF"/>
        </w:rPr>
        <w:t>, 29(1), p.17.</w:t>
      </w:r>
    </w:p>
    <w:p w14:paraId="4E3DC7FA"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 xml:space="preserve">Jha, A., </w:t>
      </w:r>
      <w:proofErr w:type="spellStart"/>
      <w:r w:rsidRPr="00E0344D">
        <w:rPr>
          <w:rFonts w:cstheme="minorHAnsi"/>
          <w:color w:val="000000"/>
          <w:sz w:val="20"/>
          <w:szCs w:val="20"/>
          <w:shd w:val="clear" w:color="auto" w:fill="FFFFFF"/>
        </w:rPr>
        <w:t>Varosy</w:t>
      </w:r>
      <w:proofErr w:type="spellEnd"/>
      <w:r w:rsidRPr="00E0344D">
        <w:rPr>
          <w:rFonts w:cstheme="minorHAnsi"/>
          <w:color w:val="000000"/>
          <w:sz w:val="20"/>
          <w:szCs w:val="20"/>
          <w:shd w:val="clear" w:color="auto" w:fill="FFFFFF"/>
        </w:rPr>
        <w:t xml:space="preserve">, P. and </w:t>
      </w:r>
      <w:proofErr w:type="spellStart"/>
      <w:r w:rsidRPr="00E0344D">
        <w:rPr>
          <w:rFonts w:cstheme="minorHAnsi"/>
          <w:color w:val="000000"/>
          <w:sz w:val="20"/>
          <w:szCs w:val="20"/>
          <w:shd w:val="clear" w:color="auto" w:fill="FFFFFF"/>
        </w:rPr>
        <w:t>Kanaya</w:t>
      </w:r>
      <w:proofErr w:type="spellEnd"/>
      <w:r w:rsidRPr="00E0344D">
        <w:rPr>
          <w:rFonts w:cstheme="minorHAnsi"/>
          <w:color w:val="000000"/>
          <w:sz w:val="20"/>
          <w:szCs w:val="20"/>
          <w:shd w:val="clear" w:color="auto" w:fill="FFFFFF"/>
        </w:rPr>
        <w:t>, A., 2004. Differences in medical care and disease outcomes among black and white women with heart disease. </w:t>
      </w:r>
      <w:r w:rsidRPr="00E0344D">
        <w:rPr>
          <w:rFonts w:cstheme="minorHAnsi"/>
          <w:i/>
          <w:iCs/>
          <w:color w:val="000000"/>
          <w:sz w:val="20"/>
          <w:szCs w:val="20"/>
          <w:shd w:val="clear" w:color="auto" w:fill="FFFFFF"/>
        </w:rPr>
        <w:t>ACC Current Journal Review</w:t>
      </w:r>
      <w:r w:rsidRPr="00E0344D">
        <w:rPr>
          <w:rFonts w:cstheme="minorHAnsi"/>
          <w:color w:val="000000"/>
          <w:sz w:val="20"/>
          <w:szCs w:val="20"/>
          <w:shd w:val="clear" w:color="auto" w:fill="FFFFFF"/>
        </w:rPr>
        <w:t>, 13(1), p.22.</w:t>
      </w:r>
    </w:p>
    <w:p w14:paraId="332DAC72" w14:textId="77777777" w:rsidR="00764543" w:rsidRPr="00E0344D" w:rsidRDefault="00764543">
      <w:pPr>
        <w:rPr>
          <w:rFonts w:cstheme="minorHAnsi"/>
          <w:color w:val="000000"/>
          <w:sz w:val="20"/>
          <w:szCs w:val="20"/>
          <w:shd w:val="clear" w:color="auto" w:fill="FFFFFF"/>
        </w:rPr>
      </w:pPr>
      <w:proofErr w:type="spellStart"/>
      <w:r w:rsidRPr="00E0344D">
        <w:rPr>
          <w:rFonts w:cstheme="minorHAnsi"/>
          <w:color w:val="000000"/>
          <w:sz w:val="20"/>
          <w:szCs w:val="20"/>
          <w:shd w:val="clear" w:color="auto" w:fill="FFFFFF"/>
        </w:rPr>
        <w:t>Kiesel</w:t>
      </w:r>
      <w:proofErr w:type="spellEnd"/>
      <w:r w:rsidRPr="00E0344D">
        <w:rPr>
          <w:rFonts w:cstheme="minorHAnsi"/>
          <w:color w:val="000000"/>
          <w:sz w:val="20"/>
          <w:szCs w:val="20"/>
          <w:shd w:val="clear" w:color="auto" w:fill="FFFFFF"/>
        </w:rPr>
        <w:t>, L., 20</w:t>
      </w:r>
      <w:r w:rsidRPr="00E0344D">
        <w:rPr>
          <w:rFonts w:cstheme="minorHAnsi"/>
          <w:color w:val="000000"/>
          <w:sz w:val="20"/>
          <w:szCs w:val="20"/>
          <w:shd w:val="clear" w:color="auto" w:fill="FFFFFF"/>
        </w:rPr>
        <w:t>17</w:t>
      </w:r>
      <w:r w:rsidRPr="00E0344D">
        <w:rPr>
          <w:rFonts w:cstheme="minorHAnsi"/>
          <w:color w:val="000000"/>
          <w:sz w:val="20"/>
          <w:szCs w:val="20"/>
          <w:shd w:val="clear" w:color="auto" w:fill="FFFFFF"/>
        </w:rPr>
        <w:t>. </w:t>
      </w:r>
      <w:r w:rsidRPr="00E0344D">
        <w:rPr>
          <w:rFonts w:cstheme="minorHAnsi"/>
          <w:i/>
          <w:iCs/>
          <w:color w:val="000000"/>
          <w:sz w:val="20"/>
          <w:szCs w:val="20"/>
          <w:shd w:val="clear" w:color="auto" w:fill="FFFFFF"/>
        </w:rPr>
        <w:t>Women and pain: Disparities in experience and treatment - Harvard Health Blog</w:t>
      </w:r>
      <w:r w:rsidRPr="00E0344D">
        <w:rPr>
          <w:rFonts w:cstheme="minorHAnsi"/>
          <w:color w:val="000000"/>
          <w:sz w:val="20"/>
          <w:szCs w:val="20"/>
          <w:shd w:val="clear" w:color="auto" w:fill="FFFFFF"/>
        </w:rPr>
        <w:t>. [online] Harvard Health Blog. Available at: &lt;https://www.health.harvard.edu/blog/women-and-pain-disparities-in-experience-and-treatment-2017100912562&gt; [Accessed 25 April 2021].</w:t>
      </w:r>
    </w:p>
    <w:p w14:paraId="7A3D5718" w14:textId="77777777" w:rsidR="00764543" w:rsidRPr="00E0344D" w:rsidRDefault="00764543">
      <w:pPr>
        <w:rPr>
          <w:rFonts w:cstheme="minorHAnsi"/>
          <w:sz w:val="28"/>
          <w:szCs w:val="28"/>
        </w:rPr>
      </w:pPr>
      <w:proofErr w:type="spellStart"/>
      <w:r w:rsidRPr="00E0344D">
        <w:rPr>
          <w:rFonts w:cstheme="minorHAnsi"/>
          <w:color w:val="000000"/>
          <w:sz w:val="20"/>
          <w:szCs w:val="20"/>
          <w:shd w:val="clear" w:color="auto" w:fill="FFFFFF"/>
        </w:rPr>
        <w:t>Łyszczarz</w:t>
      </w:r>
      <w:proofErr w:type="spellEnd"/>
      <w:r w:rsidRPr="00E0344D">
        <w:rPr>
          <w:rFonts w:cstheme="minorHAnsi"/>
          <w:color w:val="000000"/>
          <w:sz w:val="20"/>
          <w:szCs w:val="20"/>
          <w:shd w:val="clear" w:color="auto" w:fill="FFFFFF"/>
        </w:rPr>
        <w:t>, B., 2017. Gender bias and sex-based differences in health care efficiency in Polish regions. </w:t>
      </w:r>
      <w:r w:rsidRPr="00E0344D">
        <w:rPr>
          <w:rFonts w:cstheme="minorHAnsi"/>
          <w:i/>
          <w:iCs/>
          <w:color w:val="000000"/>
          <w:sz w:val="20"/>
          <w:szCs w:val="20"/>
          <w:shd w:val="clear" w:color="auto" w:fill="FFFFFF"/>
        </w:rPr>
        <w:t>International Journal for Equity in Health</w:t>
      </w:r>
      <w:r w:rsidRPr="00E0344D">
        <w:rPr>
          <w:rFonts w:cstheme="minorHAnsi"/>
          <w:color w:val="000000"/>
          <w:sz w:val="20"/>
          <w:szCs w:val="20"/>
          <w:shd w:val="clear" w:color="auto" w:fill="FFFFFF"/>
        </w:rPr>
        <w:t>, 16(1).</w:t>
      </w:r>
    </w:p>
    <w:p w14:paraId="1E433113"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Macfarlane, M. and Knudson-Martin, C., 2003. How to Avoid Gender Bias in Mental Health Treatment. </w:t>
      </w:r>
      <w:r w:rsidRPr="00E0344D">
        <w:rPr>
          <w:rFonts w:cstheme="minorHAnsi"/>
          <w:i/>
          <w:iCs/>
          <w:color w:val="000000"/>
          <w:sz w:val="20"/>
          <w:szCs w:val="20"/>
          <w:shd w:val="clear" w:color="auto" w:fill="FFFFFF"/>
        </w:rPr>
        <w:t>Journal of Family Psychotherapy</w:t>
      </w:r>
      <w:r w:rsidRPr="00E0344D">
        <w:rPr>
          <w:rFonts w:cstheme="minorHAnsi"/>
          <w:color w:val="000000"/>
          <w:sz w:val="20"/>
          <w:szCs w:val="20"/>
          <w:shd w:val="clear" w:color="auto" w:fill="FFFFFF"/>
        </w:rPr>
        <w:t>, 14(3), pp.45-66.</w:t>
      </w:r>
    </w:p>
    <w:p w14:paraId="12BE7B66"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News-Medical.net. 2020. </w:t>
      </w:r>
      <w:r w:rsidRPr="00E0344D">
        <w:rPr>
          <w:rFonts w:cstheme="minorHAnsi"/>
          <w:i/>
          <w:iCs/>
          <w:color w:val="000000"/>
          <w:sz w:val="20"/>
          <w:szCs w:val="20"/>
          <w:shd w:val="clear" w:color="auto" w:fill="FFFFFF"/>
        </w:rPr>
        <w:t>UK has the largest gender health gap in G20, study reveals</w:t>
      </w:r>
      <w:r w:rsidRPr="00E0344D">
        <w:rPr>
          <w:rFonts w:cstheme="minorHAnsi"/>
          <w:color w:val="000000"/>
          <w:sz w:val="20"/>
          <w:szCs w:val="20"/>
          <w:shd w:val="clear" w:color="auto" w:fill="FFFFFF"/>
        </w:rPr>
        <w:t>. [online] Available at: &lt;https://www.news-medical.net/news/20200522/UK-has-the-largest-gender-health-gap-in-G20-study-reveals.aspx&gt; [Accessed 21 April 2021].</w:t>
      </w:r>
    </w:p>
    <w:p w14:paraId="3090B533"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News-Medical.net. 2020. </w:t>
      </w:r>
      <w:r w:rsidRPr="00E0344D">
        <w:rPr>
          <w:rFonts w:cstheme="minorHAnsi"/>
          <w:i/>
          <w:iCs/>
          <w:color w:val="000000"/>
          <w:sz w:val="20"/>
          <w:szCs w:val="20"/>
          <w:shd w:val="clear" w:color="auto" w:fill="FFFFFF"/>
        </w:rPr>
        <w:t>UK has the largest gender health gap in G20, study reveals</w:t>
      </w:r>
      <w:r w:rsidRPr="00E0344D">
        <w:rPr>
          <w:rFonts w:cstheme="minorHAnsi"/>
          <w:color w:val="000000"/>
          <w:sz w:val="20"/>
          <w:szCs w:val="20"/>
          <w:shd w:val="clear" w:color="auto" w:fill="FFFFFF"/>
        </w:rPr>
        <w:t>. [online] Available at: &lt;https://www.news-medical.net/news/20200522/UK-has-the-largest-gender-health-gap-in-G20-study-reveals.aspx&gt; [Accessed 21 April 2021].</w:t>
      </w:r>
    </w:p>
    <w:p w14:paraId="3A842165" w14:textId="5E264BB0"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N</w:t>
      </w:r>
      <w:r w:rsidR="00E0344D">
        <w:rPr>
          <w:rFonts w:cstheme="minorHAnsi"/>
          <w:color w:val="000000"/>
          <w:sz w:val="20"/>
          <w:szCs w:val="20"/>
          <w:shd w:val="clear" w:color="auto" w:fill="FFFFFF"/>
        </w:rPr>
        <w:t>orman</w:t>
      </w:r>
      <w:r w:rsidRPr="00E0344D">
        <w:rPr>
          <w:rFonts w:cstheme="minorHAnsi"/>
          <w:color w:val="000000"/>
          <w:sz w:val="20"/>
          <w:szCs w:val="20"/>
          <w:shd w:val="clear" w:color="auto" w:fill="FFFFFF"/>
        </w:rPr>
        <w:t>, J., 2004. Gender Bias in the Diagnosis and Treatment of Depression. </w:t>
      </w:r>
      <w:r w:rsidRPr="00E0344D">
        <w:rPr>
          <w:rFonts w:cstheme="minorHAnsi"/>
          <w:i/>
          <w:iCs/>
          <w:color w:val="000000"/>
          <w:sz w:val="20"/>
          <w:szCs w:val="20"/>
          <w:shd w:val="clear" w:color="auto" w:fill="FFFFFF"/>
        </w:rPr>
        <w:t>International Journal of Mental Health</w:t>
      </w:r>
      <w:r w:rsidRPr="00E0344D">
        <w:rPr>
          <w:rFonts w:cstheme="minorHAnsi"/>
          <w:color w:val="000000"/>
          <w:sz w:val="20"/>
          <w:szCs w:val="20"/>
          <w:shd w:val="clear" w:color="auto" w:fill="FFFFFF"/>
        </w:rPr>
        <w:t>, 33(2), pp.32-43.</w:t>
      </w:r>
    </w:p>
    <w:p w14:paraId="7A01FE8C"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lastRenderedPageBreak/>
        <w:t xml:space="preserve">Parmar, A., Baum, S., Reuter, E., Vaidya, A. and </w:t>
      </w:r>
      <w:proofErr w:type="spellStart"/>
      <w:r w:rsidRPr="00E0344D">
        <w:rPr>
          <w:rFonts w:cstheme="minorHAnsi"/>
          <w:color w:val="000000"/>
          <w:sz w:val="20"/>
          <w:szCs w:val="20"/>
          <w:shd w:val="clear" w:color="auto" w:fill="FFFFFF"/>
        </w:rPr>
        <w:t>Vinluan</w:t>
      </w:r>
      <w:proofErr w:type="spellEnd"/>
      <w:r w:rsidRPr="00E0344D">
        <w:rPr>
          <w:rFonts w:cstheme="minorHAnsi"/>
          <w:color w:val="000000"/>
          <w:sz w:val="20"/>
          <w:szCs w:val="20"/>
          <w:shd w:val="clear" w:color="auto" w:fill="FFFFFF"/>
        </w:rPr>
        <w:t>, F., 2021. </w:t>
      </w:r>
      <w:r w:rsidRPr="00E0344D">
        <w:rPr>
          <w:rFonts w:cstheme="minorHAnsi"/>
          <w:i/>
          <w:iCs/>
          <w:color w:val="000000"/>
          <w:sz w:val="20"/>
          <w:szCs w:val="20"/>
          <w:shd w:val="clear" w:color="auto" w:fill="FFFFFF"/>
        </w:rPr>
        <w:t xml:space="preserve">Exploring Gender Bias in Healthcare - </w:t>
      </w:r>
      <w:proofErr w:type="spellStart"/>
      <w:r w:rsidRPr="00E0344D">
        <w:rPr>
          <w:rFonts w:cstheme="minorHAnsi"/>
          <w:i/>
          <w:iCs/>
          <w:color w:val="000000"/>
          <w:sz w:val="20"/>
          <w:szCs w:val="20"/>
          <w:shd w:val="clear" w:color="auto" w:fill="FFFFFF"/>
        </w:rPr>
        <w:t>MedCity</w:t>
      </w:r>
      <w:proofErr w:type="spellEnd"/>
      <w:r w:rsidRPr="00E0344D">
        <w:rPr>
          <w:rFonts w:cstheme="minorHAnsi"/>
          <w:i/>
          <w:iCs/>
          <w:color w:val="000000"/>
          <w:sz w:val="20"/>
          <w:szCs w:val="20"/>
          <w:shd w:val="clear" w:color="auto" w:fill="FFFFFF"/>
        </w:rPr>
        <w:t xml:space="preserve"> News</w:t>
      </w:r>
      <w:r w:rsidRPr="00E0344D">
        <w:rPr>
          <w:rFonts w:cstheme="minorHAnsi"/>
          <w:color w:val="000000"/>
          <w:sz w:val="20"/>
          <w:szCs w:val="20"/>
          <w:shd w:val="clear" w:color="auto" w:fill="FFFFFF"/>
        </w:rPr>
        <w:t xml:space="preserve">. [online] </w:t>
      </w:r>
      <w:proofErr w:type="spellStart"/>
      <w:r w:rsidRPr="00E0344D">
        <w:rPr>
          <w:rFonts w:cstheme="minorHAnsi"/>
          <w:color w:val="000000"/>
          <w:sz w:val="20"/>
          <w:szCs w:val="20"/>
          <w:shd w:val="clear" w:color="auto" w:fill="FFFFFF"/>
        </w:rPr>
        <w:t>MedCity</w:t>
      </w:r>
      <w:proofErr w:type="spellEnd"/>
      <w:r w:rsidRPr="00E0344D">
        <w:rPr>
          <w:rFonts w:cstheme="minorHAnsi"/>
          <w:color w:val="000000"/>
          <w:sz w:val="20"/>
          <w:szCs w:val="20"/>
          <w:shd w:val="clear" w:color="auto" w:fill="FFFFFF"/>
        </w:rPr>
        <w:t xml:space="preserve"> News. Available at: &lt;https://medcitynews.com/?sponsored_content=exploring-gender-bias-in-healthcare&gt; [Accessed 22 April 2021].</w:t>
      </w:r>
    </w:p>
    <w:p w14:paraId="398F3F6A" w14:textId="77777777" w:rsidR="00764543" w:rsidRPr="00E0344D" w:rsidRDefault="00764543">
      <w:pPr>
        <w:rPr>
          <w:rFonts w:cstheme="minorHAnsi"/>
          <w:color w:val="000000"/>
          <w:sz w:val="20"/>
          <w:szCs w:val="20"/>
          <w:shd w:val="clear" w:color="auto" w:fill="FFFFFF"/>
        </w:rPr>
      </w:pPr>
      <w:proofErr w:type="spellStart"/>
      <w:r w:rsidRPr="00E0344D">
        <w:rPr>
          <w:rFonts w:cstheme="minorHAnsi"/>
          <w:color w:val="000000"/>
          <w:sz w:val="20"/>
          <w:szCs w:val="20"/>
          <w:shd w:val="clear" w:color="auto" w:fill="FFFFFF"/>
        </w:rPr>
        <w:t>Rrustemi</w:t>
      </w:r>
      <w:proofErr w:type="spellEnd"/>
      <w:r w:rsidRPr="00E0344D">
        <w:rPr>
          <w:rFonts w:cstheme="minorHAnsi"/>
          <w:color w:val="000000"/>
          <w:sz w:val="20"/>
          <w:szCs w:val="20"/>
          <w:shd w:val="clear" w:color="auto" w:fill="FFFFFF"/>
        </w:rPr>
        <w:t xml:space="preserve">, I., Locatelli, I., Schwarz, J., </w:t>
      </w:r>
      <w:proofErr w:type="spellStart"/>
      <w:r w:rsidRPr="00E0344D">
        <w:rPr>
          <w:rFonts w:cstheme="minorHAnsi"/>
          <w:color w:val="000000"/>
          <w:sz w:val="20"/>
          <w:szCs w:val="20"/>
          <w:shd w:val="clear" w:color="auto" w:fill="FFFFFF"/>
        </w:rPr>
        <w:t>Lagro</w:t>
      </w:r>
      <w:proofErr w:type="spellEnd"/>
      <w:r w:rsidRPr="00E0344D">
        <w:rPr>
          <w:rFonts w:cstheme="minorHAnsi"/>
          <w:color w:val="000000"/>
          <w:sz w:val="20"/>
          <w:szCs w:val="20"/>
          <w:shd w:val="clear" w:color="auto" w:fill="FFFFFF"/>
        </w:rPr>
        <w:t xml:space="preserve">-Janssen, T., </w:t>
      </w:r>
      <w:proofErr w:type="spellStart"/>
      <w:r w:rsidRPr="00E0344D">
        <w:rPr>
          <w:rFonts w:cstheme="minorHAnsi"/>
          <w:color w:val="000000"/>
          <w:sz w:val="20"/>
          <w:szCs w:val="20"/>
          <w:shd w:val="clear" w:color="auto" w:fill="FFFFFF"/>
        </w:rPr>
        <w:t>Fauvel</w:t>
      </w:r>
      <w:proofErr w:type="spellEnd"/>
      <w:r w:rsidRPr="00E0344D">
        <w:rPr>
          <w:rFonts w:cstheme="minorHAnsi"/>
          <w:color w:val="000000"/>
          <w:sz w:val="20"/>
          <w:szCs w:val="20"/>
          <w:shd w:val="clear" w:color="auto" w:fill="FFFFFF"/>
        </w:rPr>
        <w:t>, A. and Clair, C., 2020. Gender awareness among medical students in a Swiss University. </w:t>
      </w:r>
      <w:r w:rsidRPr="00E0344D">
        <w:rPr>
          <w:rFonts w:cstheme="minorHAnsi"/>
          <w:i/>
          <w:iCs/>
          <w:color w:val="000000"/>
          <w:sz w:val="20"/>
          <w:szCs w:val="20"/>
          <w:shd w:val="clear" w:color="auto" w:fill="FFFFFF"/>
        </w:rPr>
        <w:t>BMC Medical Education</w:t>
      </w:r>
      <w:r w:rsidRPr="00E0344D">
        <w:rPr>
          <w:rFonts w:cstheme="minorHAnsi"/>
          <w:color w:val="000000"/>
          <w:sz w:val="20"/>
          <w:szCs w:val="20"/>
          <w:shd w:val="clear" w:color="auto" w:fill="FFFFFF"/>
        </w:rPr>
        <w:t>, 20(1).</w:t>
      </w:r>
    </w:p>
    <w:p w14:paraId="47809768"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Sabin, J., 2020. </w:t>
      </w:r>
      <w:r w:rsidRPr="00E0344D">
        <w:rPr>
          <w:rFonts w:cstheme="minorHAnsi"/>
          <w:i/>
          <w:iCs/>
          <w:color w:val="000000"/>
          <w:sz w:val="20"/>
          <w:szCs w:val="20"/>
          <w:shd w:val="clear" w:color="auto" w:fill="FFFFFF"/>
        </w:rPr>
        <w:t>How we fail black patients in pain</w:t>
      </w:r>
      <w:r w:rsidRPr="00E0344D">
        <w:rPr>
          <w:rFonts w:cstheme="minorHAnsi"/>
          <w:color w:val="000000"/>
          <w:sz w:val="20"/>
          <w:szCs w:val="20"/>
          <w:shd w:val="clear" w:color="auto" w:fill="FFFFFF"/>
        </w:rPr>
        <w:t>. [online] AAMC. Available at: &lt;https://www.aamc.org/news-insights/how-we-fail-black-patients-pain&gt; [Accessed 25 April 2021].</w:t>
      </w:r>
    </w:p>
    <w:p w14:paraId="2B3D38B7" w14:textId="77777777" w:rsidR="00764543" w:rsidRPr="00E0344D" w:rsidRDefault="00764543">
      <w:pPr>
        <w:rPr>
          <w:rFonts w:cstheme="minorHAnsi"/>
          <w:color w:val="000000"/>
          <w:sz w:val="20"/>
          <w:szCs w:val="20"/>
          <w:shd w:val="clear" w:color="auto" w:fill="FFFFFF"/>
        </w:rPr>
      </w:pPr>
      <w:proofErr w:type="spellStart"/>
      <w:r w:rsidRPr="00E0344D">
        <w:rPr>
          <w:rFonts w:cstheme="minorHAnsi"/>
          <w:color w:val="000000"/>
          <w:sz w:val="20"/>
          <w:szCs w:val="20"/>
          <w:shd w:val="clear" w:color="auto" w:fill="FFFFFF"/>
        </w:rPr>
        <w:t>Samulowitz</w:t>
      </w:r>
      <w:proofErr w:type="spellEnd"/>
      <w:r w:rsidRPr="00E0344D">
        <w:rPr>
          <w:rFonts w:cstheme="minorHAnsi"/>
          <w:color w:val="000000"/>
          <w:sz w:val="20"/>
          <w:szCs w:val="20"/>
          <w:shd w:val="clear" w:color="auto" w:fill="FFFFFF"/>
        </w:rPr>
        <w:t xml:space="preserve">, A., </w:t>
      </w:r>
      <w:proofErr w:type="spellStart"/>
      <w:r w:rsidRPr="00E0344D">
        <w:rPr>
          <w:rFonts w:cstheme="minorHAnsi"/>
          <w:color w:val="000000"/>
          <w:sz w:val="20"/>
          <w:szCs w:val="20"/>
          <w:shd w:val="clear" w:color="auto" w:fill="FFFFFF"/>
        </w:rPr>
        <w:t>Gremyr</w:t>
      </w:r>
      <w:proofErr w:type="spellEnd"/>
      <w:r w:rsidRPr="00E0344D">
        <w:rPr>
          <w:rFonts w:cstheme="minorHAnsi"/>
          <w:color w:val="000000"/>
          <w:sz w:val="20"/>
          <w:szCs w:val="20"/>
          <w:shd w:val="clear" w:color="auto" w:fill="FFFFFF"/>
        </w:rPr>
        <w:t xml:space="preserve">, I., Eriksson, E. and </w:t>
      </w:r>
      <w:proofErr w:type="spellStart"/>
      <w:r w:rsidRPr="00E0344D">
        <w:rPr>
          <w:rFonts w:cstheme="minorHAnsi"/>
          <w:color w:val="000000"/>
          <w:sz w:val="20"/>
          <w:szCs w:val="20"/>
          <w:shd w:val="clear" w:color="auto" w:fill="FFFFFF"/>
        </w:rPr>
        <w:t>Hensing</w:t>
      </w:r>
      <w:proofErr w:type="spellEnd"/>
      <w:r w:rsidRPr="00E0344D">
        <w:rPr>
          <w:rFonts w:cstheme="minorHAnsi"/>
          <w:color w:val="000000"/>
          <w:sz w:val="20"/>
          <w:szCs w:val="20"/>
          <w:shd w:val="clear" w:color="auto" w:fill="FFFFFF"/>
        </w:rPr>
        <w:t>, G., 2018. “Brave Men” and “Emotional Women”: A Theory-Guided Literature Review on Gender Bias in Health Care and Gendered Norms towards Patients with Chronic Pain. </w:t>
      </w:r>
      <w:r w:rsidRPr="00E0344D">
        <w:rPr>
          <w:rFonts w:cstheme="minorHAnsi"/>
          <w:i/>
          <w:iCs/>
          <w:color w:val="000000"/>
          <w:sz w:val="20"/>
          <w:szCs w:val="20"/>
          <w:shd w:val="clear" w:color="auto" w:fill="FFFFFF"/>
        </w:rPr>
        <w:t>Pain Research and Management</w:t>
      </w:r>
      <w:r w:rsidRPr="00E0344D">
        <w:rPr>
          <w:rFonts w:cstheme="minorHAnsi"/>
          <w:color w:val="000000"/>
          <w:sz w:val="20"/>
          <w:szCs w:val="20"/>
          <w:shd w:val="clear" w:color="auto" w:fill="FFFFFF"/>
        </w:rPr>
        <w:t>, 2018, pp.1-14.</w:t>
      </w:r>
    </w:p>
    <w:p w14:paraId="66B58657" w14:textId="77777777" w:rsidR="00764543" w:rsidRPr="00E0344D" w:rsidRDefault="00764543">
      <w:pPr>
        <w:rPr>
          <w:rFonts w:cstheme="minorHAnsi"/>
          <w:color w:val="000000"/>
          <w:sz w:val="20"/>
          <w:szCs w:val="20"/>
          <w:shd w:val="clear" w:color="auto" w:fill="FFFFFF"/>
        </w:rPr>
      </w:pPr>
      <w:r w:rsidRPr="00E0344D">
        <w:rPr>
          <w:rFonts w:cstheme="minorHAnsi"/>
          <w:color w:val="000000"/>
          <w:sz w:val="20"/>
          <w:szCs w:val="20"/>
          <w:shd w:val="clear" w:color="auto" w:fill="FFFFFF"/>
        </w:rPr>
        <w:t>Williams, A., 2021. Gender pain gap: Why stereotypes are still harming women’s health. </w:t>
      </w:r>
      <w:r w:rsidRPr="00E0344D">
        <w:rPr>
          <w:rFonts w:cstheme="minorHAnsi"/>
          <w:i/>
          <w:iCs/>
          <w:color w:val="000000"/>
          <w:sz w:val="20"/>
          <w:szCs w:val="20"/>
          <w:shd w:val="clear" w:color="auto" w:fill="FFFFFF"/>
        </w:rPr>
        <w:t>The Independent</w:t>
      </w:r>
      <w:r w:rsidRPr="00E0344D">
        <w:rPr>
          <w:rFonts w:cstheme="minorHAnsi"/>
          <w:color w:val="000000"/>
          <w:sz w:val="20"/>
          <w:szCs w:val="20"/>
          <w:shd w:val="clear" w:color="auto" w:fill="FFFFFF"/>
        </w:rPr>
        <w:t>, [online] Available at: &lt;https://www.independent.co.uk/health_and_wellbeing/women-pain-underestimated-male-stereotypes-b1828978.html&gt; [Accessed 19 April 2021].</w:t>
      </w:r>
    </w:p>
    <w:sectPr w:rsidR="00764543" w:rsidRPr="00E0344D" w:rsidSect="002231B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92864" w14:textId="77777777" w:rsidR="00F71E8A" w:rsidRDefault="00F71E8A" w:rsidP="00DF5CB8">
      <w:pPr>
        <w:spacing w:after="0" w:line="240" w:lineRule="auto"/>
      </w:pPr>
      <w:r>
        <w:separator/>
      </w:r>
    </w:p>
  </w:endnote>
  <w:endnote w:type="continuationSeparator" w:id="0">
    <w:p w14:paraId="789EABAD" w14:textId="77777777" w:rsidR="00F71E8A" w:rsidRDefault="00F71E8A" w:rsidP="00DF5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35A88" w14:textId="77777777" w:rsidR="00F71E8A" w:rsidRDefault="00F71E8A" w:rsidP="00DF5CB8">
      <w:pPr>
        <w:spacing w:after="0" w:line="240" w:lineRule="auto"/>
      </w:pPr>
      <w:r>
        <w:separator/>
      </w:r>
    </w:p>
  </w:footnote>
  <w:footnote w:type="continuationSeparator" w:id="0">
    <w:p w14:paraId="3F5762BF" w14:textId="77777777" w:rsidR="00F71E8A" w:rsidRDefault="00F71E8A" w:rsidP="00DF5CB8">
      <w:pPr>
        <w:spacing w:after="0" w:line="240" w:lineRule="auto"/>
      </w:pPr>
      <w:r>
        <w:continuationSeparator/>
      </w:r>
    </w:p>
  </w:footnote>
  <w:footnote w:id="1">
    <w:p w14:paraId="2FC53713" w14:textId="3F969C21" w:rsidR="00DF5CB8" w:rsidRDefault="00DF5CB8">
      <w:pPr>
        <w:pStyle w:val="FootnoteText"/>
      </w:pPr>
      <w:r>
        <w:rPr>
          <w:rStyle w:val="FootnoteReference"/>
        </w:rPr>
        <w:footnoteRef/>
      </w:r>
      <w:r>
        <w:t xml:space="preserve"> </w:t>
      </w:r>
      <w:r w:rsidRPr="00DF5CB8">
        <w:t>(</w:t>
      </w:r>
      <w:r w:rsidRPr="00A920C9">
        <w:rPr>
          <w:i/>
          <w:iCs/>
        </w:rPr>
        <w:t>Women's health: Female patients to be asked about 'gender health gap'</w:t>
      </w:r>
      <w:r w:rsidRPr="00DF5CB8">
        <w:t>, 2021)</w:t>
      </w:r>
    </w:p>
  </w:footnote>
  <w:footnote w:id="2">
    <w:p w14:paraId="74165077" w14:textId="53037185" w:rsidR="00A920C9" w:rsidRDefault="00A920C9">
      <w:pPr>
        <w:pStyle w:val="FootnoteText"/>
      </w:pPr>
      <w:r>
        <w:rPr>
          <w:rStyle w:val="FootnoteReference"/>
        </w:rPr>
        <w:footnoteRef/>
      </w:r>
      <w:r>
        <w:t xml:space="preserve"> </w:t>
      </w:r>
      <w:r w:rsidRPr="00A920C9">
        <w:t>(Williams,</w:t>
      </w:r>
      <w:r w:rsidRPr="00A920C9">
        <w:rPr>
          <w:rFonts w:ascii="Open Sans" w:hAnsi="Open Sans" w:cs="Open Sans"/>
          <w:color w:val="000000"/>
          <w:shd w:val="clear" w:color="auto" w:fill="FFFFFF"/>
        </w:rPr>
        <w:t xml:space="preserve"> </w:t>
      </w:r>
      <w:r w:rsidRPr="00A920C9">
        <w:rPr>
          <w:i/>
          <w:iCs/>
        </w:rPr>
        <w:t>Gender pain gap: Why stereotypes are still harming women’s health</w:t>
      </w:r>
      <w:r>
        <w:t>,</w:t>
      </w:r>
      <w:r w:rsidRPr="00A920C9">
        <w:t xml:space="preserve"> 2021)</w:t>
      </w:r>
    </w:p>
  </w:footnote>
  <w:footnote w:id="3">
    <w:p w14:paraId="24414375" w14:textId="698C27E8" w:rsidR="00837E48" w:rsidRDefault="00837E48">
      <w:pPr>
        <w:pStyle w:val="FootnoteText"/>
      </w:pPr>
      <w:r>
        <w:rPr>
          <w:rStyle w:val="FootnoteReference"/>
        </w:rPr>
        <w:footnoteRef/>
      </w:r>
      <w:r>
        <w:t xml:space="preserve"> </w:t>
      </w:r>
      <w:bookmarkStart w:id="0" w:name="_Hlk70254477"/>
      <w:bookmarkStart w:id="1" w:name="_Hlk70264531"/>
      <w:r w:rsidRPr="00837E48">
        <w:t>(Williams, 2021)</w:t>
      </w:r>
      <w:bookmarkEnd w:id="0"/>
    </w:p>
    <w:bookmarkEnd w:id="1"/>
  </w:footnote>
  <w:footnote w:id="4">
    <w:p w14:paraId="56FA9BDE" w14:textId="1638A4F3" w:rsidR="00837E48" w:rsidRDefault="00837E48">
      <w:pPr>
        <w:pStyle w:val="FootnoteText"/>
      </w:pPr>
      <w:r>
        <w:rPr>
          <w:rStyle w:val="FootnoteReference"/>
        </w:rPr>
        <w:footnoteRef/>
      </w:r>
      <w:r>
        <w:t xml:space="preserve"> </w:t>
      </w:r>
      <w:r w:rsidRPr="00837E48">
        <w:t>(Williams, 2021)</w:t>
      </w:r>
    </w:p>
  </w:footnote>
  <w:footnote w:id="5">
    <w:p w14:paraId="4E81A078" w14:textId="62EC6030" w:rsidR="00AA465A" w:rsidRDefault="00AA465A">
      <w:pPr>
        <w:pStyle w:val="FootnoteText"/>
      </w:pPr>
      <w:r>
        <w:rPr>
          <w:rStyle w:val="FootnoteReference"/>
        </w:rPr>
        <w:footnoteRef/>
      </w:r>
      <w:r>
        <w:t xml:space="preserve"> </w:t>
      </w:r>
      <w:r w:rsidRPr="00837E48">
        <w:t>(Williams, 2021)</w:t>
      </w:r>
    </w:p>
  </w:footnote>
  <w:footnote w:id="6">
    <w:p w14:paraId="27FBE689" w14:textId="36D39F6A" w:rsidR="001530D4" w:rsidRDefault="001530D4">
      <w:pPr>
        <w:pStyle w:val="FootnoteText"/>
      </w:pPr>
      <w:r>
        <w:rPr>
          <w:rStyle w:val="FootnoteReference"/>
        </w:rPr>
        <w:footnoteRef/>
      </w:r>
      <w:r>
        <w:t xml:space="preserve"> </w:t>
      </w:r>
      <w:r w:rsidRPr="001530D4">
        <w:t xml:space="preserve">(Hoffmann and </w:t>
      </w:r>
      <w:proofErr w:type="spellStart"/>
      <w:r w:rsidRPr="001530D4">
        <w:t>Tarzian</w:t>
      </w:r>
      <w:proofErr w:type="spellEnd"/>
      <w:r w:rsidRPr="001530D4">
        <w:t>,</w:t>
      </w:r>
      <w:r w:rsidRPr="001530D4">
        <w:rPr>
          <w:rFonts w:ascii="Open Sans" w:hAnsi="Open Sans" w:cs="Open Sans"/>
          <w:color w:val="000000"/>
          <w:shd w:val="clear" w:color="auto" w:fill="FFFFFF"/>
        </w:rPr>
        <w:t xml:space="preserve"> </w:t>
      </w:r>
      <w:r w:rsidRPr="001530D4">
        <w:rPr>
          <w:i/>
          <w:iCs/>
        </w:rPr>
        <w:t>The Girl Who Cried Pain: A Bias against Women in the Treatment of Pain</w:t>
      </w:r>
      <w:r>
        <w:t>,</w:t>
      </w:r>
      <w:r w:rsidRPr="001530D4">
        <w:t xml:space="preserve"> 2001</w:t>
      </w:r>
      <w:r w:rsidR="009A1F18">
        <w:t>. p. 17</w:t>
      </w:r>
      <w:r w:rsidRPr="001530D4">
        <w:t>)</w:t>
      </w:r>
    </w:p>
  </w:footnote>
  <w:footnote w:id="7">
    <w:p w14:paraId="374EDBD2" w14:textId="09B228DA" w:rsidR="00B021B8" w:rsidRDefault="00B021B8">
      <w:pPr>
        <w:pStyle w:val="FootnoteText"/>
      </w:pPr>
      <w:r>
        <w:rPr>
          <w:rStyle w:val="FootnoteReference"/>
        </w:rPr>
        <w:footnoteRef/>
      </w:r>
      <w:r>
        <w:t xml:space="preserve"> </w:t>
      </w:r>
      <w:bookmarkStart w:id="2" w:name="_Hlk70278179"/>
      <w:r w:rsidRPr="00B021B8">
        <w:t xml:space="preserve">(Hoffmann and </w:t>
      </w:r>
      <w:proofErr w:type="spellStart"/>
      <w:r w:rsidRPr="00B021B8">
        <w:t>Tarzian</w:t>
      </w:r>
      <w:proofErr w:type="spellEnd"/>
      <w:r w:rsidRPr="00B021B8">
        <w:t>, 2001</w:t>
      </w:r>
      <w:r w:rsidR="009A1F18">
        <w:t>. p.16</w:t>
      </w:r>
      <w:r w:rsidRPr="00B021B8">
        <w:t>)</w:t>
      </w:r>
      <w:bookmarkEnd w:id="2"/>
    </w:p>
  </w:footnote>
  <w:footnote w:id="8">
    <w:p w14:paraId="70FD319E" w14:textId="1ABA4ACF" w:rsidR="00AB2118" w:rsidRDefault="00AB2118">
      <w:pPr>
        <w:pStyle w:val="FootnoteText"/>
      </w:pPr>
      <w:r>
        <w:rPr>
          <w:rStyle w:val="FootnoteReference"/>
        </w:rPr>
        <w:footnoteRef/>
      </w:r>
      <w:r>
        <w:t xml:space="preserve"> </w:t>
      </w:r>
      <w:r w:rsidRPr="00AB2118">
        <w:t xml:space="preserve">(Hoffmann and </w:t>
      </w:r>
      <w:proofErr w:type="spellStart"/>
      <w:r w:rsidRPr="00AB2118">
        <w:t>Tarzian</w:t>
      </w:r>
      <w:proofErr w:type="spellEnd"/>
      <w:r w:rsidRPr="00AB2118">
        <w:t>, 2001)</w:t>
      </w:r>
    </w:p>
  </w:footnote>
  <w:footnote w:id="9">
    <w:p w14:paraId="5B1160AF" w14:textId="493D48C8" w:rsidR="00884F3B" w:rsidRDefault="00884F3B">
      <w:pPr>
        <w:pStyle w:val="FootnoteText"/>
      </w:pPr>
      <w:r>
        <w:rPr>
          <w:rStyle w:val="FootnoteReference"/>
        </w:rPr>
        <w:footnoteRef/>
      </w:r>
      <w:r>
        <w:t xml:space="preserve"> </w:t>
      </w:r>
      <w:r w:rsidRPr="00B021B8">
        <w:t xml:space="preserve">(Hoffmann and </w:t>
      </w:r>
      <w:proofErr w:type="spellStart"/>
      <w:r w:rsidRPr="00B021B8">
        <w:t>Tarzian</w:t>
      </w:r>
      <w:proofErr w:type="spellEnd"/>
      <w:r w:rsidRPr="00B021B8">
        <w:t>, 2001)</w:t>
      </w:r>
    </w:p>
  </w:footnote>
  <w:footnote w:id="10">
    <w:p w14:paraId="4C8A828D" w14:textId="221DB206" w:rsidR="00D04B0D" w:rsidRDefault="00D04B0D">
      <w:pPr>
        <w:pStyle w:val="FootnoteText"/>
      </w:pPr>
      <w:r>
        <w:rPr>
          <w:rStyle w:val="FootnoteReference"/>
        </w:rPr>
        <w:footnoteRef/>
      </w:r>
      <w:r>
        <w:t xml:space="preserve"> </w:t>
      </w:r>
      <w:proofErr w:type="spellStart"/>
      <w:r w:rsidRPr="00D04B0D">
        <w:t>Hamberg</w:t>
      </w:r>
      <w:proofErr w:type="spellEnd"/>
      <w:r w:rsidRPr="00D04B0D">
        <w:t>,</w:t>
      </w:r>
      <w:r w:rsidR="00737AC8">
        <w:t xml:space="preserve"> </w:t>
      </w:r>
      <w:r w:rsidR="00737AC8" w:rsidRPr="00D04B0D">
        <w:t>‘Gender Bias in Medicine’</w:t>
      </w:r>
      <w:r w:rsidR="00737AC8">
        <w:t>,</w:t>
      </w:r>
      <w:r w:rsidRPr="00D04B0D">
        <w:t xml:space="preserve"> 2008</w:t>
      </w:r>
      <w:r w:rsidR="00C63E64">
        <w:t>. p.237</w:t>
      </w:r>
      <w:r w:rsidR="00737AC8">
        <w:t>)</w:t>
      </w:r>
    </w:p>
  </w:footnote>
  <w:footnote w:id="11">
    <w:p w14:paraId="21C44298" w14:textId="70D294B0" w:rsidR="00E701E8" w:rsidRDefault="00E701E8">
      <w:pPr>
        <w:pStyle w:val="FootnoteText"/>
      </w:pPr>
      <w:r>
        <w:rPr>
          <w:rStyle w:val="FootnoteReference"/>
        </w:rPr>
        <w:footnoteRef/>
      </w:r>
      <w:r>
        <w:t xml:space="preserve"> </w:t>
      </w:r>
      <w:bookmarkStart w:id="3" w:name="_Hlk70279674"/>
      <w:r w:rsidRPr="00E701E8">
        <w:t xml:space="preserve">(FitzGerald and Hurst, </w:t>
      </w:r>
      <w:r w:rsidR="003C781C" w:rsidRPr="003C781C">
        <w:rPr>
          <w:i/>
          <w:iCs/>
        </w:rPr>
        <w:t>Implicit bias in healthcare professionals</w:t>
      </w:r>
      <w:r w:rsidR="003C781C">
        <w:t xml:space="preserve">, </w:t>
      </w:r>
      <w:r w:rsidRPr="00E701E8">
        <w:t>2017</w:t>
      </w:r>
      <w:r w:rsidR="009A1F18">
        <w:t>. p.4</w:t>
      </w:r>
      <w:r w:rsidRPr="00E701E8">
        <w:t>)</w:t>
      </w:r>
    </w:p>
    <w:bookmarkEnd w:id="3"/>
  </w:footnote>
  <w:footnote w:id="12">
    <w:p w14:paraId="726A29B9" w14:textId="481CF71B" w:rsidR="00643B0B" w:rsidRDefault="00643B0B">
      <w:pPr>
        <w:pStyle w:val="FootnoteText"/>
      </w:pPr>
      <w:r>
        <w:rPr>
          <w:rStyle w:val="FootnoteReference"/>
        </w:rPr>
        <w:footnoteRef/>
      </w:r>
      <w:r>
        <w:t xml:space="preserve"> </w:t>
      </w:r>
      <w:r w:rsidRPr="00E701E8">
        <w:t>(FitzGerald and Hurst</w:t>
      </w:r>
      <w:r>
        <w:t xml:space="preserve">, </w:t>
      </w:r>
      <w:r w:rsidRPr="00E701E8">
        <w:t>2017</w:t>
      </w:r>
      <w:r w:rsidR="009A1F18">
        <w:t>. p.5</w:t>
      </w:r>
      <w:r w:rsidRPr="00E701E8">
        <w:t>)</w:t>
      </w:r>
    </w:p>
  </w:footnote>
  <w:footnote w:id="13">
    <w:p w14:paraId="5E028788" w14:textId="7CEB8C71" w:rsidR="005D2607" w:rsidRDefault="005D2607">
      <w:pPr>
        <w:pStyle w:val="FootnoteText"/>
      </w:pPr>
      <w:r>
        <w:rPr>
          <w:rStyle w:val="FootnoteReference"/>
        </w:rPr>
        <w:footnoteRef/>
      </w:r>
      <w:r>
        <w:t xml:space="preserve"> </w:t>
      </w:r>
      <w:bookmarkStart w:id="5" w:name="_Hlk70279780"/>
      <w:r w:rsidRPr="005D2607">
        <w:t>(FitzGerald and Hurst, 2017</w:t>
      </w:r>
      <w:r w:rsidR="009A1F18">
        <w:t>. p.4</w:t>
      </w:r>
      <w:r w:rsidRPr="005D2607">
        <w:t>)</w:t>
      </w:r>
      <w:bookmarkEnd w:id="5"/>
    </w:p>
  </w:footnote>
  <w:footnote w:id="14">
    <w:p w14:paraId="59366BD2" w14:textId="0D21BFA6" w:rsidR="001C368B" w:rsidRDefault="001C368B">
      <w:pPr>
        <w:pStyle w:val="FootnoteText"/>
      </w:pPr>
      <w:r>
        <w:rPr>
          <w:rStyle w:val="FootnoteReference"/>
        </w:rPr>
        <w:footnoteRef/>
      </w:r>
      <w:r>
        <w:t xml:space="preserve"> </w:t>
      </w:r>
      <w:r w:rsidRPr="001C368B">
        <w:t>(FitzGerald and Hurst, 2017</w:t>
      </w:r>
      <w:r w:rsidR="009A1F18">
        <w:t>. p.15</w:t>
      </w:r>
      <w:r w:rsidRPr="001C368B">
        <w:t>)</w:t>
      </w:r>
    </w:p>
  </w:footnote>
  <w:footnote w:id="15">
    <w:p w14:paraId="10168E9E" w14:textId="7741B5FC" w:rsidR="004939B6" w:rsidRDefault="004939B6">
      <w:pPr>
        <w:pStyle w:val="FootnoteText"/>
      </w:pPr>
      <w:r>
        <w:rPr>
          <w:rStyle w:val="FootnoteReference"/>
        </w:rPr>
        <w:footnoteRef/>
      </w:r>
      <w:r>
        <w:t xml:space="preserve"> </w:t>
      </w:r>
      <w:r w:rsidRPr="004939B6">
        <w:t xml:space="preserve">(Sabin, </w:t>
      </w:r>
      <w:proofErr w:type="gramStart"/>
      <w:r w:rsidRPr="004939B6">
        <w:rPr>
          <w:i/>
          <w:iCs/>
        </w:rPr>
        <w:t>How</w:t>
      </w:r>
      <w:proofErr w:type="gramEnd"/>
      <w:r w:rsidRPr="004939B6">
        <w:rPr>
          <w:i/>
          <w:iCs/>
        </w:rPr>
        <w:t xml:space="preserve"> we fail black patients in pain</w:t>
      </w:r>
      <w:r w:rsidRPr="004939B6">
        <w:t>, 2020)</w:t>
      </w:r>
    </w:p>
  </w:footnote>
  <w:footnote w:id="16">
    <w:p w14:paraId="7B05B628" w14:textId="2CBC2C9A" w:rsidR="000E5DC8" w:rsidRDefault="000E5DC8">
      <w:pPr>
        <w:pStyle w:val="FootnoteText"/>
      </w:pPr>
      <w:r>
        <w:rPr>
          <w:rStyle w:val="FootnoteReference"/>
        </w:rPr>
        <w:footnoteRef/>
      </w:r>
      <w:r>
        <w:t xml:space="preserve"> </w:t>
      </w:r>
      <w:r w:rsidRPr="000E5DC8">
        <w:t xml:space="preserve">(Doctors Still Believe Black People Don't Feel Pain; And It's Being Taught </w:t>
      </w:r>
      <w:proofErr w:type="gramStart"/>
      <w:r w:rsidRPr="000E5DC8">
        <w:t>In</w:t>
      </w:r>
      <w:proofErr w:type="gramEnd"/>
      <w:r w:rsidRPr="000E5DC8">
        <w:t xml:space="preserve"> Medical School, 2021)</w:t>
      </w:r>
    </w:p>
  </w:footnote>
  <w:footnote w:id="17">
    <w:p w14:paraId="59D91734" w14:textId="77777777" w:rsidR="006E3FC6" w:rsidRDefault="006E3FC6" w:rsidP="006E3FC6">
      <w:pPr>
        <w:pStyle w:val="FootnoteText"/>
      </w:pPr>
      <w:r>
        <w:rPr>
          <w:rStyle w:val="FootnoteReference"/>
        </w:rPr>
        <w:footnoteRef/>
      </w:r>
      <w:r>
        <w:t xml:space="preserve"> </w:t>
      </w:r>
      <w:r w:rsidRPr="00837E48">
        <w:t>(Williams, 2021)</w:t>
      </w:r>
    </w:p>
    <w:p w14:paraId="67991109" w14:textId="785C1707" w:rsidR="006E3FC6" w:rsidRDefault="006E3FC6">
      <w:pPr>
        <w:pStyle w:val="FootnoteText"/>
      </w:pPr>
    </w:p>
  </w:footnote>
  <w:footnote w:id="18">
    <w:p w14:paraId="7F0EE686" w14:textId="6169F32B" w:rsidR="000459D9" w:rsidRDefault="000459D9">
      <w:pPr>
        <w:pStyle w:val="FootnoteText"/>
      </w:pPr>
      <w:r>
        <w:rPr>
          <w:rStyle w:val="FootnoteReference"/>
        </w:rPr>
        <w:footnoteRef/>
      </w:r>
      <w:r>
        <w:t xml:space="preserve"> </w:t>
      </w:r>
      <w:r w:rsidRPr="000459D9">
        <w:t>(UK has the largest gender health gap in G20, study reveals,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82"/>
    <w:rsid w:val="00002906"/>
    <w:rsid w:val="0000595D"/>
    <w:rsid w:val="0000793B"/>
    <w:rsid w:val="00016816"/>
    <w:rsid w:val="000313F9"/>
    <w:rsid w:val="00036CA1"/>
    <w:rsid w:val="00037F08"/>
    <w:rsid w:val="000458EA"/>
    <w:rsid w:val="000459D9"/>
    <w:rsid w:val="00055B72"/>
    <w:rsid w:val="000636BD"/>
    <w:rsid w:val="0008068C"/>
    <w:rsid w:val="0008329F"/>
    <w:rsid w:val="000A211A"/>
    <w:rsid w:val="000A6AE5"/>
    <w:rsid w:val="000A7952"/>
    <w:rsid w:val="000B0F94"/>
    <w:rsid w:val="000C5314"/>
    <w:rsid w:val="000C54B4"/>
    <w:rsid w:val="000C65D3"/>
    <w:rsid w:val="000D5348"/>
    <w:rsid w:val="000E3CB3"/>
    <w:rsid w:val="000E5DC8"/>
    <w:rsid w:val="000E74E1"/>
    <w:rsid w:val="000E7C3E"/>
    <w:rsid w:val="000F35A3"/>
    <w:rsid w:val="001066B4"/>
    <w:rsid w:val="001076EC"/>
    <w:rsid w:val="001216C5"/>
    <w:rsid w:val="00135697"/>
    <w:rsid w:val="00140883"/>
    <w:rsid w:val="00145A53"/>
    <w:rsid w:val="0014622E"/>
    <w:rsid w:val="00146ED1"/>
    <w:rsid w:val="00152916"/>
    <w:rsid w:val="001530D4"/>
    <w:rsid w:val="00166EE2"/>
    <w:rsid w:val="0017700C"/>
    <w:rsid w:val="001827D5"/>
    <w:rsid w:val="00186CCE"/>
    <w:rsid w:val="00191EC3"/>
    <w:rsid w:val="001A23A7"/>
    <w:rsid w:val="001B3768"/>
    <w:rsid w:val="001B7288"/>
    <w:rsid w:val="001C368B"/>
    <w:rsid w:val="001D0FAD"/>
    <w:rsid w:val="001D16F2"/>
    <w:rsid w:val="001D1A25"/>
    <w:rsid w:val="001D2966"/>
    <w:rsid w:val="001D3033"/>
    <w:rsid w:val="001D4707"/>
    <w:rsid w:val="001F4FC5"/>
    <w:rsid w:val="00203A98"/>
    <w:rsid w:val="00206686"/>
    <w:rsid w:val="00207BCF"/>
    <w:rsid w:val="00210B0F"/>
    <w:rsid w:val="00213D17"/>
    <w:rsid w:val="002231BF"/>
    <w:rsid w:val="00225000"/>
    <w:rsid w:val="00241959"/>
    <w:rsid w:val="00256CCC"/>
    <w:rsid w:val="00275F1F"/>
    <w:rsid w:val="00282CD8"/>
    <w:rsid w:val="00287D59"/>
    <w:rsid w:val="00293A94"/>
    <w:rsid w:val="00297BC8"/>
    <w:rsid w:val="002C6095"/>
    <w:rsid w:val="002E028D"/>
    <w:rsid w:val="002E1032"/>
    <w:rsid w:val="002E7695"/>
    <w:rsid w:val="002F1D66"/>
    <w:rsid w:val="002F2BC8"/>
    <w:rsid w:val="002F4A2A"/>
    <w:rsid w:val="00306398"/>
    <w:rsid w:val="00306C8A"/>
    <w:rsid w:val="00315330"/>
    <w:rsid w:val="00315AEE"/>
    <w:rsid w:val="00320833"/>
    <w:rsid w:val="00321571"/>
    <w:rsid w:val="0032698A"/>
    <w:rsid w:val="00340FF5"/>
    <w:rsid w:val="00356C11"/>
    <w:rsid w:val="00361898"/>
    <w:rsid w:val="00366025"/>
    <w:rsid w:val="00367AC5"/>
    <w:rsid w:val="00370426"/>
    <w:rsid w:val="00375CE0"/>
    <w:rsid w:val="00377F06"/>
    <w:rsid w:val="00377FDA"/>
    <w:rsid w:val="00385FDA"/>
    <w:rsid w:val="00386E19"/>
    <w:rsid w:val="00387569"/>
    <w:rsid w:val="003901C9"/>
    <w:rsid w:val="00393536"/>
    <w:rsid w:val="00393AA4"/>
    <w:rsid w:val="003A060F"/>
    <w:rsid w:val="003A0647"/>
    <w:rsid w:val="003B14F7"/>
    <w:rsid w:val="003B51B9"/>
    <w:rsid w:val="003C4647"/>
    <w:rsid w:val="003C781C"/>
    <w:rsid w:val="003D4692"/>
    <w:rsid w:val="003D5264"/>
    <w:rsid w:val="003D6B13"/>
    <w:rsid w:val="003F328B"/>
    <w:rsid w:val="003F7D45"/>
    <w:rsid w:val="00412CED"/>
    <w:rsid w:val="004154A5"/>
    <w:rsid w:val="004177C6"/>
    <w:rsid w:val="0042045C"/>
    <w:rsid w:val="00424B3F"/>
    <w:rsid w:val="00433A0B"/>
    <w:rsid w:val="0043564C"/>
    <w:rsid w:val="00442A2D"/>
    <w:rsid w:val="00442FC6"/>
    <w:rsid w:val="00443675"/>
    <w:rsid w:val="00454954"/>
    <w:rsid w:val="004676F9"/>
    <w:rsid w:val="004677DA"/>
    <w:rsid w:val="00470220"/>
    <w:rsid w:val="00471E30"/>
    <w:rsid w:val="00481DED"/>
    <w:rsid w:val="004939B6"/>
    <w:rsid w:val="00496C10"/>
    <w:rsid w:val="004971E8"/>
    <w:rsid w:val="004A1F29"/>
    <w:rsid w:val="004C3FBF"/>
    <w:rsid w:val="004C5D9D"/>
    <w:rsid w:val="004C6FD5"/>
    <w:rsid w:val="004D41CF"/>
    <w:rsid w:val="004F12A4"/>
    <w:rsid w:val="004F3098"/>
    <w:rsid w:val="004F65D7"/>
    <w:rsid w:val="004F6D75"/>
    <w:rsid w:val="00507DAF"/>
    <w:rsid w:val="00510C85"/>
    <w:rsid w:val="00523517"/>
    <w:rsid w:val="005247F5"/>
    <w:rsid w:val="00526D2A"/>
    <w:rsid w:val="00527308"/>
    <w:rsid w:val="005275B5"/>
    <w:rsid w:val="005320EC"/>
    <w:rsid w:val="00534D38"/>
    <w:rsid w:val="00544382"/>
    <w:rsid w:val="00544C87"/>
    <w:rsid w:val="00545238"/>
    <w:rsid w:val="00562F4A"/>
    <w:rsid w:val="005650F0"/>
    <w:rsid w:val="00566780"/>
    <w:rsid w:val="0058193A"/>
    <w:rsid w:val="00581C6B"/>
    <w:rsid w:val="005A4D46"/>
    <w:rsid w:val="005A5F33"/>
    <w:rsid w:val="005B7607"/>
    <w:rsid w:val="005C789A"/>
    <w:rsid w:val="005D2607"/>
    <w:rsid w:val="005D618E"/>
    <w:rsid w:val="005E1EE7"/>
    <w:rsid w:val="005F480C"/>
    <w:rsid w:val="0060161B"/>
    <w:rsid w:val="00610234"/>
    <w:rsid w:val="00622402"/>
    <w:rsid w:val="00637571"/>
    <w:rsid w:val="00643B0B"/>
    <w:rsid w:val="00644AB2"/>
    <w:rsid w:val="006714F4"/>
    <w:rsid w:val="00672AFF"/>
    <w:rsid w:val="00677389"/>
    <w:rsid w:val="006806A5"/>
    <w:rsid w:val="00690A59"/>
    <w:rsid w:val="0069219A"/>
    <w:rsid w:val="00695E72"/>
    <w:rsid w:val="006A31C3"/>
    <w:rsid w:val="006B0036"/>
    <w:rsid w:val="006B0D2D"/>
    <w:rsid w:val="006B10A8"/>
    <w:rsid w:val="006C12BD"/>
    <w:rsid w:val="006C297C"/>
    <w:rsid w:val="006C6AAF"/>
    <w:rsid w:val="006E3FC6"/>
    <w:rsid w:val="006F51E7"/>
    <w:rsid w:val="006F5A65"/>
    <w:rsid w:val="0070204A"/>
    <w:rsid w:val="0070428E"/>
    <w:rsid w:val="007131E8"/>
    <w:rsid w:val="00717AA6"/>
    <w:rsid w:val="00737AC8"/>
    <w:rsid w:val="00742BD8"/>
    <w:rsid w:val="00764543"/>
    <w:rsid w:val="007703DF"/>
    <w:rsid w:val="00771EDC"/>
    <w:rsid w:val="00771FE8"/>
    <w:rsid w:val="0077576A"/>
    <w:rsid w:val="00775B35"/>
    <w:rsid w:val="00790D1B"/>
    <w:rsid w:val="007A434F"/>
    <w:rsid w:val="007B1041"/>
    <w:rsid w:val="007C5DC1"/>
    <w:rsid w:val="007D5E8E"/>
    <w:rsid w:val="007E0522"/>
    <w:rsid w:val="007E62B0"/>
    <w:rsid w:val="007F1904"/>
    <w:rsid w:val="007F4C5C"/>
    <w:rsid w:val="007F7F51"/>
    <w:rsid w:val="008016AE"/>
    <w:rsid w:val="00803090"/>
    <w:rsid w:val="00807934"/>
    <w:rsid w:val="00820139"/>
    <w:rsid w:val="00823746"/>
    <w:rsid w:val="00832C2E"/>
    <w:rsid w:val="00837E48"/>
    <w:rsid w:val="00851ADD"/>
    <w:rsid w:val="00851E24"/>
    <w:rsid w:val="00855DED"/>
    <w:rsid w:val="00860A51"/>
    <w:rsid w:val="0086280E"/>
    <w:rsid w:val="008641A1"/>
    <w:rsid w:val="0086578D"/>
    <w:rsid w:val="00871A86"/>
    <w:rsid w:val="008816FC"/>
    <w:rsid w:val="008829A3"/>
    <w:rsid w:val="00884F3B"/>
    <w:rsid w:val="0088654F"/>
    <w:rsid w:val="00897E67"/>
    <w:rsid w:val="008A41E2"/>
    <w:rsid w:val="008D1349"/>
    <w:rsid w:val="008E60E9"/>
    <w:rsid w:val="00903B77"/>
    <w:rsid w:val="0090465C"/>
    <w:rsid w:val="009068D1"/>
    <w:rsid w:val="009251CC"/>
    <w:rsid w:val="00927B3E"/>
    <w:rsid w:val="00930D67"/>
    <w:rsid w:val="009378B2"/>
    <w:rsid w:val="0094424B"/>
    <w:rsid w:val="00956600"/>
    <w:rsid w:val="00957F54"/>
    <w:rsid w:val="00962410"/>
    <w:rsid w:val="00963A4A"/>
    <w:rsid w:val="00966E87"/>
    <w:rsid w:val="00975231"/>
    <w:rsid w:val="009803E4"/>
    <w:rsid w:val="00984055"/>
    <w:rsid w:val="0098489E"/>
    <w:rsid w:val="00986B93"/>
    <w:rsid w:val="009A03AF"/>
    <w:rsid w:val="009A0F92"/>
    <w:rsid w:val="009A1F18"/>
    <w:rsid w:val="009A78E8"/>
    <w:rsid w:val="009B00CD"/>
    <w:rsid w:val="009D46DE"/>
    <w:rsid w:val="009D7CEA"/>
    <w:rsid w:val="009F7992"/>
    <w:rsid w:val="009F7D99"/>
    <w:rsid w:val="00A0154B"/>
    <w:rsid w:val="00A01F52"/>
    <w:rsid w:val="00A058F4"/>
    <w:rsid w:val="00A26E41"/>
    <w:rsid w:val="00A2781B"/>
    <w:rsid w:val="00A33477"/>
    <w:rsid w:val="00A50118"/>
    <w:rsid w:val="00A7459B"/>
    <w:rsid w:val="00A82D76"/>
    <w:rsid w:val="00A9033A"/>
    <w:rsid w:val="00A90F25"/>
    <w:rsid w:val="00A920C9"/>
    <w:rsid w:val="00AA159C"/>
    <w:rsid w:val="00AA465A"/>
    <w:rsid w:val="00AB2118"/>
    <w:rsid w:val="00AB5872"/>
    <w:rsid w:val="00AD29E3"/>
    <w:rsid w:val="00AD726B"/>
    <w:rsid w:val="00B021B8"/>
    <w:rsid w:val="00B02435"/>
    <w:rsid w:val="00B05815"/>
    <w:rsid w:val="00B07419"/>
    <w:rsid w:val="00B11612"/>
    <w:rsid w:val="00B1416E"/>
    <w:rsid w:val="00B174F3"/>
    <w:rsid w:val="00B21E71"/>
    <w:rsid w:val="00B2543F"/>
    <w:rsid w:val="00B45169"/>
    <w:rsid w:val="00B47773"/>
    <w:rsid w:val="00B5667D"/>
    <w:rsid w:val="00B61526"/>
    <w:rsid w:val="00B71024"/>
    <w:rsid w:val="00B71CF5"/>
    <w:rsid w:val="00B752DB"/>
    <w:rsid w:val="00B81701"/>
    <w:rsid w:val="00B93DB0"/>
    <w:rsid w:val="00B960C4"/>
    <w:rsid w:val="00B970A0"/>
    <w:rsid w:val="00BA77FA"/>
    <w:rsid w:val="00BC12E1"/>
    <w:rsid w:val="00BE61D8"/>
    <w:rsid w:val="00BE77C1"/>
    <w:rsid w:val="00C055B2"/>
    <w:rsid w:val="00C06926"/>
    <w:rsid w:val="00C07B53"/>
    <w:rsid w:val="00C62ACE"/>
    <w:rsid w:val="00C63E64"/>
    <w:rsid w:val="00C7657C"/>
    <w:rsid w:val="00C803F7"/>
    <w:rsid w:val="00C81B8A"/>
    <w:rsid w:val="00C85E9E"/>
    <w:rsid w:val="00CA1271"/>
    <w:rsid w:val="00CB1CE5"/>
    <w:rsid w:val="00CC32C6"/>
    <w:rsid w:val="00CC3939"/>
    <w:rsid w:val="00CC3AE2"/>
    <w:rsid w:val="00CC3C18"/>
    <w:rsid w:val="00CC404E"/>
    <w:rsid w:val="00CC457A"/>
    <w:rsid w:val="00CE61E9"/>
    <w:rsid w:val="00CF4724"/>
    <w:rsid w:val="00D04B0D"/>
    <w:rsid w:val="00D32974"/>
    <w:rsid w:val="00D54B2B"/>
    <w:rsid w:val="00D554B0"/>
    <w:rsid w:val="00D61C57"/>
    <w:rsid w:val="00D669ED"/>
    <w:rsid w:val="00D810B8"/>
    <w:rsid w:val="00D93FC3"/>
    <w:rsid w:val="00DA1F69"/>
    <w:rsid w:val="00DA434F"/>
    <w:rsid w:val="00DB66D1"/>
    <w:rsid w:val="00DC33E7"/>
    <w:rsid w:val="00DC3EDD"/>
    <w:rsid w:val="00DC4C63"/>
    <w:rsid w:val="00DD152A"/>
    <w:rsid w:val="00DE0962"/>
    <w:rsid w:val="00DE42AC"/>
    <w:rsid w:val="00DF04B4"/>
    <w:rsid w:val="00DF5CB8"/>
    <w:rsid w:val="00E0344D"/>
    <w:rsid w:val="00E25699"/>
    <w:rsid w:val="00E45605"/>
    <w:rsid w:val="00E540E9"/>
    <w:rsid w:val="00E54C7E"/>
    <w:rsid w:val="00E66E42"/>
    <w:rsid w:val="00E67AFF"/>
    <w:rsid w:val="00E701E8"/>
    <w:rsid w:val="00E70BDF"/>
    <w:rsid w:val="00E87338"/>
    <w:rsid w:val="00E94CF8"/>
    <w:rsid w:val="00EB01A5"/>
    <w:rsid w:val="00EB19C7"/>
    <w:rsid w:val="00EB581A"/>
    <w:rsid w:val="00EB6F01"/>
    <w:rsid w:val="00EC002F"/>
    <w:rsid w:val="00EC1DEF"/>
    <w:rsid w:val="00EC3B78"/>
    <w:rsid w:val="00ED663C"/>
    <w:rsid w:val="00EE4201"/>
    <w:rsid w:val="00F17D9F"/>
    <w:rsid w:val="00F25659"/>
    <w:rsid w:val="00F30503"/>
    <w:rsid w:val="00F33989"/>
    <w:rsid w:val="00F340D6"/>
    <w:rsid w:val="00F41B3E"/>
    <w:rsid w:val="00F446DB"/>
    <w:rsid w:val="00F46A1F"/>
    <w:rsid w:val="00F50997"/>
    <w:rsid w:val="00F51376"/>
    <w:rsid w:val="00F5218D"/>
    <w:rsid w:val="00F55C74"/>
    <w:rsid w:val="00F5620A"/>
    <w:rsid w:val="00F57D0D"/>
    <w:rsid w:val="00F71E8A"/>
    <w:rsid w:val="00F97B8A"/>
    <w:rsid w:val="00FD2653"/>
    <w:rsid w:val="00FD508D"/>
    <w:rsid w:val="00FE40ED"/>
    <w:rsid w:val="00FE52C7"/>
    <w:rsid w:val="00FE56B8"/>
    <w:rsid w:val="00FF0B13"/>
    <w:rsid w:val="00FF4706"/>
    <w:rsid w:val="00FF5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4BD9C"/>
  <w15:chartTrackingRefBased/>
  <w15:docId w15:val="{70B654B6-F239-49F3-8420-36B1BCEB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54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A77FA"/>
    <w:rPr>
      <w:sz w:val="16"/>
      <w:szCs w:val="16"/>
    </w:rPr>
  </w:style>
  <w:style w:type="paragraph" w:styleId="CommentText">
    <w:name w:val="annotation text"/>
    <w:basedOn w:val="Normal"/>
    <w:link w:val="CommentTextChar"/>
    <w:uiPriority w:val="99"/>
    <w:unhideWhenUsed/>
    <w:rsid w:val="00BA77FA"/>
    <w:pPr>
      <w:spacing w:line="240" w:lineRule="auto"/>
    </w:pPr>
    <w:rPr>
      <w:sz w:val="20"/>
      <w:szCs w:val="20"/>
    </w:rPr>
  </w:style>
  <w:style w:type="character" w:customStyle="1" w:styleId="CommentTextChar">
    <w:name w:val="Comment Text Char"/>
    <w:basedOn w:val="DefaultParagraphFont"/>
    <w:link w:val="CommentText"/>
    <w:uiPriority w:val="99"/>
    <w:rsid w:val="00BA77FA"/>
    <w:rPr>
      <w:sz w:val="20"/>
      <w:szCs w:val="20"/>
    </w:rPr>
  </w:style>
  <w:style w:type="paragraph" w:styleId="CommentSubject">
    <w:name w:val="annotation subject"/>
    <w:basedOn w:val="CommentText"/>
    <w:next w:val="CommentText"/>
    <w:link w:val="CommentSubjectChar"/>
    <w:uiPriority w:val="99"/>
    <w:semiHidden/>
    <w:unhideWhenUsed/>
    <w:rsid w:val="00BA77FA"/>
    <w:rPr>
      <w:b/>
      <w:bCs/>
    </w:rPr>
  </w:style>
  <w:style w:type="character" w:customStyle="1" w:styleId="CommentSubjectChar">
    <w:name w:val="Comment Subject Char"/>
    <w:basedOn w:val="CommentTextChar"/>
    <w:link w:val="CommentSubject"/>
    <w:uiPriority w:val="99"/>
    <w:semiHidden/>
    <w:rsid w:val="00BA77FA"/>
    <w:rPr>
      <w:b/>
      <w:bCs/>
      <w:sz w:val="20"/>
      <w:szCs w:val="20"/>
    </w:rPr>
  </w:style>
  <w:style w:type="character" w:styleId="Hyperlink">
    <w:name w:val="Hyperlink"/>
    <w:basedOn w:val="DefaultParagraphFont"/>
    <w:uiPriority w:val="99"/>
    <w:unhideWhenUsed/>
    <w:rsid w:val="005A4D46"/>
    <w:rPr>
      <w:color w:val="0563C1" w:themeColor="hyperlink"/>
      <w:u w:val="single"/>
    </w:rPr>
  </w:style>
  <w:style w:type="character" w:styleId="UnresolvedMention">
    <w:name w:val="Unresolved Mention"/>
    <w:basedOn w:val="DefaultParagraphFont"/>
    <w:uiPriority w:val="99"/>
    <w:semiHidden/>
    <w:unhideWhenUsed/>
    <w:rsid w:val="005A4D46"/>
    <w:rPr>
      <w:color w:val="605E5C"/>
      <w:shd w:val="clear" w:color="auto" w:fill="E1DFDD"/>
    </w:rPr>
  </w:style>
  <w:style w:type="paragraph" w:styleId="FootnoteText">
    <w:name w:val="footnote text"/>
    <w:basedOn w:val="Normal"/>
    <w:link w:val="FootnoteTextChar"/>
    <w:uiPriority w:val="99"/>
    <w:semiHidden/>
    <w:unhideWhenUsed/>
    <w:rsid w:val="00DF5C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5CB8"/>
    <w:rPr>
      <w:sz w:val="20"/>
      <w:szCs w:val="20"/>
    </w:rPr>
  </w:style>
  <w:style w:type="character" w:styleId="FootnoteReference">
    <w:name w:val="footnote reference"/>
    <w:basedOn w:val="DefaultParagraphFont"/>
    <w:uiPriority w:val="99"/>
    <w:semiHidden/>
    <w:unhideWhenUsed/>
    <w:rsid w:val="00DF5CB8"/>
    <w:rPr>
      <w:vertAlign w:val="superscript"/>
    </w:rPr>
  </w:style>
  <w:style w:type="character" w:customStyle="1" w:styleId="Heading1Char">
    <w:name w:val="Heading 1 Char"/>
    <w:basedOn w:val="DefaultParagraphFont"/>
    <w:link w:val="Heading1"/>
    <w:uiPriority w:val="9"/>
    <w:rsid w:val="00B2543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01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98BE46C-8CE1-4CEC-AAE9-C01FB66CA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2000</Words>
  <Characters>10666</Characters>
  <Application>Microsoft Office Word</Application>
  <DocSecurity>0</DocSecurity>
  <Lines>174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2</cp:revision>
  <dcterms:created xsi:type="dcterms:W3CDTF">2021-04-25T21:15:00Z</dcterms:created>
  <dcterms:modified xsi:type="dcterms:W3CDTF">2021-04-25T21:15:00Z</dcterms:modified>
</cp:coreProperties>
</file>