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E96A1E" w14:textId="77777777" w:rsidR="005D071D" w:rsidRDefault="005D071D" w:rsidP="005D071D">
      <w:pPr>
        <w:rPr>
          <w:rFonts w:ascii="Georgia" w:hAnsi="Georgia"/>
          <w:b/>
        </w:rPr>
      </w:pPr>
      <w:r>
        <w:rPr>
          <w:rFonts w:ascii="Georgia" w:hAnsi="Georgia"/>
          <w:b/>
        </w:rPr>
        <w:t xml:space="preserve">VIII. Contemporary frameworks of knowledge transmission and networking </w:t>
      </w:r>
    </w:p>
    <w:p w14:paraId="67990884" w14:textId="77777777" w:rsidR="005D071D" w:rsidRDefault="005D071D" w:rsidP="005D071D">
      <w:pPr>
        <w:rPr>
          <w:rFonts w:ascii="Georgia" w:hAnsi="Georgia"/>
          <w:b/>
        </w:rPr>
      </w:pPr>
    </w:p>
    <w:p w14:paraId="74E8A776" w14:textId="77777777" w:rsidR="005D071D" w:rsidRDefault="005D071D" w:rsidP="005D071D">
      <w:pPr>
        <w:rPr>
          <w:rFonts w:ascii="Georgia" w:hAnsi="Georgia"/>
        </w:rPr>
      </w:pPr>
      <w:r>
        <w:rPr>
          <w:rFonts w:ascii="Georgia" w:hAnsi="Georgia"/>
        </w:rPr>
        <w:t xml:space="preserve">This aspect of the module offers an opportunity to approach the issue of </w:t>
      </w:r>
      <w:r>
        <w:rPr>
          <w:rFonts w:ascii="Georgia" w:hAnsi="Georgia"/>
          <w:i/>
        </w:rPr>
        <w:t xml:space="preserve">how </w:t>
      </w:r>
      <w:r>
        <w:rPr>
          <w:rFonts w:ascii="Georgia" w:hAnsi="Georgia"/>
        </w:rPr>
        <w:t xml:space="preserve">diverse messages about Islam are presented to local, national and global audiences – and how those messages can transcend traditional barriers. The media has a significant role to play in this, for example in presenting forms of ‘global Islam’, or facilitating ties between dispersed strands of Islamic interpretation and adherence.  It is proposed to introduce this subject through selected readings on key aspects of knowledge transmission – with a particular focus on information and communications technologies.  </w:t>
      </w:r>
    </w:p>
    <w:p w14:paraId="1C6D4F35" w14:textId="77777777" w:rsidR="005D071D" w:rsidRDefault="005D071D" w:rsidP="005D071D">
      <w:pPr>
        <w:rPr>
          <w:rFonts w:ascii="Georgia" w:hAnsi="Georgia"/>
        </w:rPr>
      </w:pPr>
    </w:p>
    <w:p w14:paraId="2884691D" w14:textId="77777777" w:rsidR="005D071D" w:rsidRDefault="005D071D" w:rsidP="005D071D">
      <w:pPr>
        <w:rPr>
          <w:rFonts w:ascii="Georgia" w:hAnsi="Georgia"/>
          <w:b/>
        </w:rPr>
      </w:pPr>
      <w:r>
        <w:rPr>
          <w:rFonts w:ascii="Georgia" w:hAnsi="Georgia"/>
          <w:b/>
        </w:rPr>
        <w:t>Reading</w:t>
      </w:r>
    </w:p>
    <w:p w14:paraId="7AC15499" w14:textId="77777777" w:rsidR="005D071D" w:rsidRDefault="005D071D" w:rsidP="005D071D">
      <w:pPr>
        <w:rPr>
          <w:rFonts w:ascii="Georgia" w:hAnsi="Georgia"/>
          <w:b/>
        </w:rPr>
      </w:pPr>
    </w:p>
    <w:p w14:paraId="65D77454" w14:textId="77777777" w:rsidR="005D071D" w:rsidRDefault="005D071D" w:rsidP="005D071D">
      <w:pPr>
        <w:rPr>
          <w:rFonts w:ascii="Georgia" w:hAnsi="Georgia"/>
        </w:rPr>
      </w:pPr>
      <w:r>
        <w:rPr>
          <w:rFonts w:ascii="Georgia" w:hAnsi="Georgia"/>
        </w:rPr>
        <w:t xml:space="preserve">Dale F. Eickelman and Jon W. Anderson, ‘Redefining Muslim Publics’, chapter in </w:t>
      </w:r>
      <w:r>
        <w:rPr>
          <w:rFonts w:ascii="Georgia" w:hAnsi="Georgia"/>
          <w:i/>
        </w:rPr>
        <w:t>New Media in the Muslim World: An Emerging Public Sphere</w:t>
      </w:r>
      <w:r>
        <w:rPr>
          <w:rFonts w:ascii="Georgia" w:hAnsi="Georgia"/>
        </w:rPr>
        <w:t>, Dale F. Eickelman and Jon W. Anderson (editors), Bloomington, Indianapolis: Indiana University Press, 2</w:t>
      </w:r>
      <w:r>
        <w:rPr>
          <w:rFonts w:ascii="Georgia" w:hAnsi="Georgia"/>
          <w:vertAlign w:val="superscript"/>
        </w:rPr>
        <w:t>nd</w:t>
      </w:r>
      <w:r>
        <w:rPr>
          <w:rFonts w:ascii="Georgia" w:hAnsi="Georgia"/>
        </w:rPr>
        <w:t xml:space="preserve"> edition, 2003. Introduces key issues associated with understanding media in Muslim contexts.</w:t>
      </w:r>
      <w:r w:rsidR="005C336D">
        <w:rPr>
          <w:rFonts w:ascii="Georgia" w:hAnsi="Georgia"/>
        </w:rPr>
        <w:t xml:space="preserve"> [Moodle]</w:t>
      </w:r>
    </w:p>
    <w:p w14:paraId="1596B95F" w14:textId="77777777" w:rsidR="005D071D" w:rsidRDefault="005D071D" w:rsidP="005D071D">
      <w:pPr>
        <w:rPr>
          <w:rFonts w:ascii="Georgia" w:hAnsi="Georgia"/>
          <w:b/>
        </w:rPr>
      </w:pPr>
    </w:p>
    <w:p w14:paraId="525238D8" w14:textId="07E4A60F" w:rsidR="005C336D" w:rsidRDefault="005C336D" w:rsidP="005C336D">
      <w:pPr>
        <w:rPr>
          <w:rFonts w:ascii="Georgia" w:hAnsi="Georgia"/>
        </w:rPr>
      </w:pPr>
      <w:r>
        <w:rPr>
          <w:rFonts w:ascii="Georgia" w:hAnsi="Georgia"/>
        </w:rPr>
        <w:t>‘The Global Mufti’, Jakob Sko</w:t>
      </w:r>
      <w:r w:rsidR="009B3B99">
        <w:rPr>
          <w:rFonts w:ascii="Georgia" w:hAnsi="Georgia"/>
        </w:rPr>
        <w:t>vag</w:t>
      </w:r>
      <w:r>
        <w:rPr>
          <w:rFonts w:ascii="Georgia" w:hAnsi="Georgia"/>
        </w:rPr>
        <w:t xml:space="preserve">aard-Petersen in Schaebler &amp; Stenberg </w:t>
      </w:r>
      <w:r>
        <w:rPr>
          <w:rFonts w:ascii="Georgia" w:hAnsi="Georgia"/>
          <w:i/>
        </w:rPr>
        <w:t>Globalization and the Muslim World: Culture, Religion and Modernity</w:t>
      </w:r>
      <w:r>
        <w:rPr>
          <w:rFonts w:ascii="Georgia" w:hAnsi="Georgia"/>
        </w:rPr>
        <w:t xml:space="preserve">153-165 provides a case study of the utilisation of the media by Shaykh Yusuf al-Qaradawi, a religious scholar based in Qatar. It pays attention to his television programmes on al-Jazeera, as well as his internet output. </w:t>
      </w:r>
      <w:r>
        <w:rPr>
          <w:rFonts w:ascii="Georgia" w:hAnsi="Georgia"/>
        </w:rPr>
        <w:t xml:space="preserve"> [Moodle]</w:t>
      </w:r>
    </w:p>
    <w:p w14:paraId="375B8D50" w14:textId="77777777" w:rsidR="005C336D" w:rsidRDefault="005C336D" w:rsidP="005D071D">
      <w:pPr>
        <w:rPr>
          <w:rFonts w:ascii="Georgia" w:hAnsi="Georgia"/>
          <w:b/>
        </w:rPr>
      </w:pPr>
    </w:p>
    <w:p w14:paraId="4E48FD8B" w14:textId="77777777" w:rsidR="005C336D" w:rsidRDefault="005C336D" w:rsidP="005C336D">
      <w:pPr>
        <w:rPr>
          <w:rFonts w:ascii="Georgia" w:hAnsi="Georgia"/>
        </w:rPr>
      </w:pPr>
      <w:r>
        <w:rPr>
          <w:rFonts w:ascii="Georgia" w:hAnsi="Georgia"/>
        </w:rPr>
        <w:t xml:space="preserve">From the </w:t>
      </w:r>
      <w:r>
        <w:rPr>
          <w:rFonts w:ascii="Georgia" w:hAnsi="Georgia"/>
          <w:i/>
        </w:rPr>
        <w:t>Muslim Networks</w:t>
      </w:r>
      <w:r>
        <w:rPr>
          <w:rFonts w:ascii="Georgia" w:hAnsi="Georgia"/>
        </w:rPr>
        <w:t xml:space="preserve"> book, see the chapters by Bunt and Anderson (235-263).</w:t>
      </w:r>
    </w:p>
    <w:p w14:paraId="6133A246" w14:textId="77777777" w:rsidR="005C336D" w:rsidRDefault="005C336D" w:rsidP="005D071D">
      <w:pPr>
        <w:rPr>
          <w:rFonts w:ascii="Georgia" w:hAnsi="Georgia"/>
          <w:b/>
        </w:rPr>
      </w:pPr>
    </w:p>
    <w:p w14:paraId="14E53D09" w14:textId="77777777" w:rsidR="005C336D" w:rsidRPr="005C336D" w:rsidRDefault="005C336D" w:rsidP="005C336D">
      <w:pPr>
        <w:rPr>
          <w:rFonts w:ascii="Georgia" w:hAnsi="Georgia"/>
        </w:rPr>
      </w:pPr>
      <w:r w:rsidRPr="005C336D">
        <w:rPr>
          <w:rFonts w:ascii="Georgia" w:hAnsi="Georgia"/>
        </w:rPr>
        <w:t xml:space="preserve">Jon W. </w:t>
      </w:r>
      <w:r w:rsidRPr="005C336D">
        <w:rPr>
          <w:rFonts w:ascii="Georgia" w:hAnsi="Georgia"/>
        </w:rPr>
        <w:t>Anderson,</w:t>
      </w:r>
      <w:r w:rsidRPr="005C336D">
        <w:rPr>
          <w:rFonts w:ascii="Georgia" w:hAnsi="Georgia"/>
        </w:rPr>
        <w:t xml:space="preserve"> "Internet." In </w:t>
      </w:r>
      <w:r w:rsidRPr="005C336D">
        <w:rPr>
          <w:rFonts w:ascii="Georgia" w:hAnsi="Georgia"/>
          <w:i/>
          <w:iCs/>
        </w:rPr>
        <w:t>The Oxford Encyclopedia of the Islamic World</w:t>
      </w:r>
      <w:r w:rsidRPr="005C336D">
        <w:rPr>
          <w:rFonts w:ascii="Georgia" w:hAnsi="Georgia"/>
        </w:rPr>
        <w:t>. </w:t>
      </w:r>
      <w:r w:rsidRPr="005C336D">
        <w:rPr>
          <w:rFonts w:ascii="Georgia" w:hAnsi="Georgia"/>
          <w:i/>
          <w:iCs/>
        </w:rPr>
        <w:t>Oxford Islamic Studies Online</w:t>
      </w:r>
      <w:r w:rsidRPr="005C336D">
        <w:rPr>
          <w:rFonts w:ascii="Georgia" w:hAnsi="Georgia"/>
        </w:rPr>
        <w:t xml:space="preserve">, </w:t>
      </w:r>
      <w:hyperlink r:id="rId7" w:history="1">
        <w:r w:rsidRPr="005C336D">
          <w:rPr>
            <w:rStyle w:val="Hyperlink"/>
            <w:rFonts w:ascii="Georgia" w:hAnsi="Georgia"/>
          </w:rPr>
          <w:t>http://www.oxfordislamicstudies.com/article/opr/t236/e0952</w:t>
        </w:r>
      </w:hyperlink>
    </w:p>
    <w:p w14:paraId="3963416F" w14:textId="77777777" w:rsidR="005C336D" w:rsidRDefault="005C336D" w:rsidP="005D071D">
      <w:pPr>
        <w:rPr>
          <w:rFonts w:ascii="Georgia" w:hAnsi="Georgia"/>
          <w:b/>
        </w:rPr>
      </w:pPr>
    </w:p>
    <w:p w14:paraId="2FD21DE3" w14:textId="523CEA91" w:rsidR="005C336D" w:rsidRDefault="005C336D" w:rsidP="005D071D">
      <w:pPr>
        <w:rPr>
          <w:rFonts w:ascii="Georgia" w:hAnsi="Georgia"/>
        </w:rPr>
      </w:pPr>
      <w:r w:rsidRPr="005C336D">
        <w:rPr>
          <w:rFonts w:ascii="Georgia" w:hAnsi="Georgia"/>
        </w:rPr>
        <w:t xml:space="preserve">John L. </w:t>
      </w:r>
      <w:r w:rsidR="009B3B99" w:rsidRPr="005C336D">
        <w:rPr>
          <w:rFonts w:ascii="Georgia" w:hAnsi="Georgia"/>
        </w:rPr>
        <w:t>Esposito,</w:t>
      </w:r>
      <w:r w:rsidRPr="005C336D">
        <w:rPr>
          <w:rFonts w:ascii="Georgia" w:hAnsi="Georgia"/>
        </w:rPr>
        <w:t xml:space="preserve"> "Society, Politics, and Economy." In </w:t>
      </w:r>
      <w:r w:rsidRPr="005C336D">
        <w:rPr>
          <w:rFonts w:ascii="Georgia" w:hAnsi="Georgia"/>
          <w:i/>
          <w:iCs/>
        </w:rPr>
        <w:t>What Everyone Needs to Know About Islam</w:t>
      </w:r>
      <w:r w:rsidRPr="005C336D">
        <w:rPr>
          <w:rFonts w:ascii="Georgia" w:hAnsi="Georgia"/>
        </w:rPr>
        <w:t>. </w:t>
      </w:r>
      <w:r w:rsidRPr="005C336D">
        <w:rPr>
          <w:rFonts w:ascii="Georgia" w:hAnsi="Georgia"/>
          <w:i/>
          <w:iCs/>
        </w:rPr>
        <w:t>Oxford Islamic Studies Online</w:t>
      </w:r>
      <w:r w:rsidRPr="005C336D">
        <w:rPr>
          <w:rFonts w:ascii="Georgia" w:hAnsi="Georgia"/>
        </w:rPr>
        <w:t xml:space="preserve">, </w:t>
      </w:r>
      <w:hyperlink r:id="rId8" w:history="1">
        <w:r w:rsidRPr="005C336D">
          <w:rPr>
            <w:rStyle w:val="Hyperlink"/>
            <w:rFonts w:ascii="Georgia" w:hAnsi="Georgia"/>
          </w:rPr>
          <w:t>http://www.oxfordislamicstudies.com/article/book/acprof-9780199794133/acprof-9780199794133-div1-114</w:t>
        </w:r>
      </w:hyperlink>
      <w:r w:rsidR="009B3B99">
        <w:rPr>
          <w:rFonts w:ascii="Georgia" w:hAnsi="Georgia"/>
        </w:rPr>
        <w:t xml:space="preserve"> </w:t>
      </w:r>
    </w:p>
    <w:p w14:paraId="2DA94806" w14:textId="77777777" w:rsidR="009B3B99" w:rsidRDefault="009B3B99" w:rsidP="005D071D">
      <w:pPr>
        <w:rPr>
          <w:rFonts w:ascii="Georgia" w:hAnsi="Georgia"/>
        </w:rPr>
      </w:pPr>
    </w:p>
    <w:p w14:paraId="539D1DE2" w14:textId="4CED24D2" w:rsidR="009B3B99" w:rsidRPr="009B3B99" w:rsidRDefault="009B3B99" w:rsidP="009B3B99">
      <w:pPr>
        <w:rPr>
          <w:rFonts w:ascii="Georgia" w:hAnsi="Georgia"/>
        </w:rPr>
      </w:pPr>
      <w:r w:rsidRPr="009B3B99">
        <w:rPr>
          <w:rFonts w:ascii="Georgia" w:hAnsi="Georgia"/>
        </w:rPr>
        <w:t xml:space="preserve">Hamid </w:t>
      </w:r>
      <w:r>
        <w:rPr>
          <w:rFonts w:ascii="Georgia" w:hAnsi="Georgia"/>
        </w:rPr>
        <w:t xml:space="preserve">Mowlana </w:t>
      </w:r>
      <w:r w:rsidRPr="009B3B99">
        <w:rPr>
          <w:rFonts w:ascii="Georgia" w:hAnsi="Georgia"/>
        </w:rPr>
        <w:t>and Joseph A. Kéchichian. "Communications Media." In </w:t>
      </w:r>
      <w:r w:rsidRPr="009B3B99">
        <w:rPr>
          <w:rFonts w:ascii="Georgia" w:hAnsi="Georgia"/>
          <w:i/>
          <w:iCs/>
        </w:rPr>
        <w:t>The Oxford Encyclopedia of the Islamic World</w:t>
      </w:r>
      <w:r w:rsidRPr="009B3B99">
        <w:rPr>
          <w:rFonts w:ascii="Georgia" w:hAnsi="Georgia"/>
        </w:rPr>
        <w:t>. </w:t>
      </w:r>
      <w:r w:rsidRPr="009B3B99">
        <w:rPr>
          <w:rFonts w:ascii="Georgia" w:hAnsi="Georgia"/>
          <w:i/>
          <w:iCs/>
        </w:rPr>
        <w:t>Oxford Islamic Studies Online</w:t>
      </w:r>
      <w:r w:rsidRPr="009B3B99">
        <w:rPr>
          <w:rFonts w:ascii="Georgia" w:hAnsi="Georgia"/>
        </w:rPr>
        <w:t xml:space="preserve">, </w:t>
      </w:r>
      <w:hyperlink r:id="rId9" w:history="1">
        <w:r w:rsidRPr="009B3B99">
          <w:rPr>
            <w:rStyle w:val="Hyperlink"/>
            <w:rFonts w:ascii="Georgia" w:hAnsi="Georgia"/>
          </w:rPr>
          <w:t>http://www.oxfordislamicstudies.com/article/opr/t236/e0157</w:t>
        </w:r>
      </w:hyperlink>
    </w:p>
    <w:p w14:paraId="05FF9518" w14:textId="77777777" w:rsidR="009B3B99" w:rsidRPr="009B3B99" w:rsidRDefault="009B3B99" w:rsidP="005D071D">
      <w:pPr>
        <w:rPr>
          <w:rFonts w:ascii="Georgia" w:hAnsi="Georgia"/>
        </w:rPr>
      </w:pPr>
    </w:p>
    <w:p w14:paraId="3A085FF6" w14:textId="77777777" w:rsidR="005D071D" w:rsidRDefault="005D071D" w:rsidP="005D071D">
      <w:pPr>
        <w:rPr>
          <w:rFonts w:ascii="Georgia" w:hAnsi="Georgia"/>
        </w:rPr>
      </w:pPr>
      <w:r>
        <w:rPr>
          <w:rFonts w:ascii="Georgia" w:hAnsi="Georgia"/>
        </w:rPr>
        <w:t xml:space="preserve">Ziauddin Sardar, ‘Paper, Printing and Compact Discs: The Making and Unmaking of Islamic Culture’, chapter in </w:t>
      </w:r>
      <w:r>
        <w:rPr>
          <w:rFonts w:ascii="Georgia" w:hAnsi="Georgia"/>
          <w:i/>
        </w:rPr>
        <w:t>Islam, Postmodernism and Other Futures: A Ziauddin Sardar Reader</w:t>
      </w:r>
      <w:r>
        <w:rPr>
          <w:rFonts w:ascii="Georgia" w:hAnsi="Georgia"/>
        </w:rPr>
        <w:t xml:space="preserve"> Edited by Sohail Inayatullah and Gail Boxwell, (London, Pluto Books, 2003)  89-107. Brief introduction of selected issues associated with ideas about ‘knowledge’ and Islam.</w:t>
      </w:r>
    </w:p>
    <w:p w14:paraId="6E564631" w14:textId="77777777" w:rsidR="005D071D" w:rsidRDefault="005D071D" w:rsidP="005D071D">
      <w:pPr>
        <w:rPr>
          <w:rFonts w:ascii="Georgia" w:hAnsi="Georgia"/>
        </w:rPr>
      </w:pPr>
    </w:p>
    <w:p w14:paraId="7ECFC03B" w14:textId="77777777" w:rsidR="005D071D" w:rsidRDefault="005D071D" w:rsidP="005D071D">
      <w:pPr>
        <w:rPr>
          <w:rFonts w:ascii="Georgia" w:hAnsi="Georgia"/>
        </w:rPr>
      </w:pPr>
      <w:r>
        <w:rPr>
          <w:rFonts w:ascii="Georgia" w:hAnsi="Georgia"/>
        </w:rPr>
        <w:t xml:space="preserve">Peter Mandaville, ‘Transnational Public Spheres: Information and communication technologies in the Muslim world’, chapter from </w:t>
      </w:r>
      <w:r>
        <w:rPr>
          <w:rFonts w:ascii="Georgia" w:hAnsi="Georgia"/>
          <w:i/>
        </w:rPr>
        <w:t xml:space="preserve">Transnational Muslim Politics: Reimagining the umma </w:t>
      </w:r>
      <w:r>
        <w:rPr>
          <w:rFonts w:ascii="Georgia" w:hAnsi="Georgia"/>
        </w:rPr>
        <w:t xml:space="preserve">(Routledge) 152-177. </w:t>
      </w:r>
      <w:r>
        <w:rPr>
          <w:rFonts w:ascii="Georgia" w:hAnsi="Georgia"/>
        </w:rPr>
        <w:lastRenderedPageBreak/>
        <w:t>This is an overview of the impact of ICT, drawing on examples from within minority contexts in Europe, as well as within the Arab Gulf.</w:t>
      </w:r>
    </w:p>
    <w:p w14:paraId="030E9026" w14:textId="77777777" w:rsidR="005D071D" w:rsidRDefault="005D071D" w:rsidP="005D071D">
      <w:pPr>
        <w:rPr>
          <w:rFonts w:ascii="Georgia" w:hAnsi="Georgia"/>
        </w:rPr>
      </w:pPr>
    </w:p>
    <w:p w14:paraId="60BCA6E4" w14:textId="77777777" w:rsidR="005D071D" w:rsidRDefault="005D071D" w:rsidP="005D071D">
      <w:pPr>
        <w:rPr>
          <w:rFonts w:ascii="Georgia" w:hAnsi="Georgia"/>
        </w:rPr>
      </w:pPr>
      <w:r>
        <w:rPr>
          <w:rFonts w:ascii="Georgia" w:hAnsi="Georgia"/>
        </w:rPr>
        <w:t xml:space="preserve">Karim H. Karim, ‘Muslim encounters with new media: towards an inter-civilizational discourse on globality’, chapter in </w:t>
      </w:r>
      <w:r>
        <w:rPr>
          <w:rFonts w:ascii="Georgia" w:hAnsi="Georgia"/>
          <w:i/>
        </w:rPr>
        <w:t>Islam Encountering Globalization</w:t>
      </w:r>
      <w:r>
        <w:rPr>
          <w:rFonts w:ascii="Georgia" w:hAnsi="Georgia"/>
        </w:rPr>
        <w:t>, Editor Ali Mohammadi, London: .RoutledgeCurzon, 2002</w:t>
      </w:r>
    </w:p>
    <w:p w14:paraId="405B75A9" w14:textId="77777777" w:rsidR="005D071D" w:rsidRDefault="005D071D" w:rsidP="005D071D">
      <w:pPr>
        <w:rPr>
          <w:rFonts w:ascii="Georgia" w:hAnsi="Georgia"/>
        </w:rPr>
      </w:pPr>
    </w:p>
    <w:p w14:paraId="0FBDB667" w14:textId="77777777" w:rsidR="005D071D" w:rsidRDefault="005D071D" w:rsidP="005D071D">
      <w:pPr>
        <w:rPr>
          <w:rFonts w:ascii="Georgia" w:hAnsi="Georgia"/>
        </w:rPr>
      </w:pPr>
      <w:r>
        <w:rPr>
          <w:rFonts w:ascii="Georgia" w:hAnsi="Georgia"/>
        </w:rPr>
        <w:t xml:space="preserve">Anne Bentzin, </w:t>
      </w:r>
      <w:r>
        <w:rPr>
          <w:rFonts w:ascii="Georgia" w:hAnsi="Georgia"/>
          <w:i/>
        </w:rPr>
        <w:t>‘</w:t>
      </w:r>
      <w:r>
        <w:rPr>
          <w:rFonts w:ascii="Georgia" w:hAnsi="Georgia"/>
        </w:rPr>
        <w:t xml:space="preserve">Islamic TV Programmes as a form of Religious Discourse’, </w:t>
      </w:r>
      <w:r>
        <w:rPr>
          <w:rFonts w:ascii="Georgia" w:hAnsi="Georgia"/>
          <w:i/>
        </w:rPr>
        <w:t>Muslim Networks and Transnational Communities in and Across Europe</w:t>
      </w:r>
      <w:r>
        <w:rPr>
          <w:rFonts w:ascii="Georgia" w:hAnsi="Georgia"/>
        </w:rPr>
        <w:t xml:space="preserve">, Stefano Allieve and Jørgen S. Nielsen, (Leiden: E.J. Brill, 2003)  provides a discussion on types of discourse generated by ‘Islamic Television’ in Germany, which “displays a transnational dimension”.  </w:t>
      </w:r>
    </w:p>
    <w:p w14:paraId="7C0B575E" w14:textId="77777777" w:rsidR="005D071D" w:rsidRDefault="005D071D" w:rsidP="005D071D">
      <w:pPr>
        <w:rPr>
          <w:rFonts w:ascii="Georgia" w:hAnsi="Georgia"/>
        </w:rPr>
      </w:pPr>
    </w:p>
    <w:p w14:paraId="27F2A906" w14:textId="77777777" w:rsidR="005D071D" w:rsidRDefault="005D071D" w:rsidP="005D071D">
      <w:pPr>
        <w:rPr>
          <w:rFonts w:ascii="Georgia" w:hAnsi="Georgia"/>
        </w:rPr>
      </w:pPr>
      <w:r>
        <w:rPr>
          <w:rFonts w:ascii="Georgia" w:hAnsi="Georgia"/>
        </w:rPr>
        <w:t xml:space="preserve">Leif Stenberg, ‘Islam, Knowledge and ‘the West’’ in Schaebler &amp; Stenberg </w:t>
      </w:r>
      <w:r>
        <w:rPr>
          <w:rFonts w:ascii="Georgia" w:hAnsi="Georgia"/>
          <w:i/>
        </w:rPr>
        <w:t xml:space="preserve">Globalization and the Muslim World: Culture, Religion and Modernity </w:t>
      </w:r>
      <w:r>
        <w:rPr>
          <w:rFonts w:ascii="Georgia" w:hAnsi="Georgia"/>
        </w:rPr>
        <w:t xml:space="preserve">93-110 offers a case study of how Muslim networks have functioned using communications technology, through discussing the International institute of Islamic Thought.   </w:t>
      </w:r>
    </w:p>
    <w:p w14:paraId="234B24A5" w14:textId="77777777" w:rsidR="005D071D" w:rsidRDefault="005D071D" w:rsidP="005D071D">
      <w:pPr>
        <w:rPr>
          <w:rFonts w:ascii="Georgia" w:hAnsi="Georgia"/>
        </w:rPr>
      </w:pPr>
    </w:p>
    <w:p w14:paraId="14C9A323" w14:textId="77777777" w:rsidR="005D071D" w:rsidRDefault="005D071D" w:rsidP="005D071D">
      <w:pPr>
        <w:rPr>
          <w:rFonts w:ascii="Georgia" w:hAnsi="Georgia"/>
        </w:rPr>
      </w:pPr>
      <w:r>
        <w:rPr>
          <w:rFonts w:ascii="Georgia" w:hAnsi="Georgia"/>
        </w:rPr>
        <w:t xml:space="preserve">Gary R. Bunt, </w:t>
      </w:r>
      <w:r w:rsidRPr="004E6812">
        <w:rPr>
          <w:rFonts w:ascii="Georgia" w:hAnsi="Georgia"/>
          <w:i/>
        </w:rPr>
        <w:t>iMuslims: Rewiring the House of Islam</w:t>
      </w:r>
      <w:r>
        <w:rPr>
          <w:rFonts w:ascii="Georgia" w:hAnsi="Georgia"/>
        </w:rPr>
        <w:t>, (Chapel Hill, NC, University of North Carolina Press, 2009/London: C. Hurst &amp; Co, 2009)</w:t>
      </w:r>
    </w:p>
    <w:p w14:paraId="16843D59" w14:textId="77777777" w:rsidR="005D071D" w:rsidRDefault="005D071D" w:rsidP="005D071D">
      <w:pPr>
        <w:rPr>
          <w:rFonts w:ascii="Georgia" w:hAnsi="Georgia"/>
        </w:rPr>
      </w:pPr>
    </w:p>
    <w:p w14:paraId="6A324BAF" w14:textId="77777777" w:rsidR="005D071D" w:rsidRDefault="005D071D" w:rsidP="005D071D">
      <w:pPr>
        <w:rPr>
          <w:rFonts w:ascii="Georgia" w:hAnsi="Georgia"/>
        </w:rPr>
      </w:pPr>
      <w:r>
        <w:rPr>
          <w:rFonts w:ascii="Georgia" w:hAnsi="Georgia"/>
          <w:i/>
        </w:rPr>
        <w:t>Islam in the Digital Age: E-jihad, Online Fatwas and Cyber Islamic Environments</w:t>
      </w:r>
      <w:r>
        <w:rPr>
          <w:rFonts w:ascii="Georgia" w:hAnsi="Georgia"/>
        </w:rPr>
        <w:t>, (London &amp; Michigan: Pluto Press, 2003)</w:t>
      </w:r>
    </w:p>
    <w:p w14:paraId="268E55F0" w14:textId="77777777" w:rsidR="005D071D" w:rsidRDefault="005D071D" w:rsidP="005D071D">
      <w:pPr>
        <w:rPr>
          <w:rFonts w:ascii="Georgia" w:hAnsi="Georgia"/>
        </w:rPr>
      </w:pPr>
    </w:p>
    <w:p w14:paraId="3D83981A" w14:textId="77777777" w:rsidR="005D071D" w:rsidRDefault="005D071D" w:rsidP="005D071D">
      <w:pPr>
        <w:rPr>
          <w:rFonts w:ascii="Georgia" w:hAnsi="Georgia"/>
        </w:rPr>
      </w:pPr>
      <w:r>
        <w:rPr>
          <w:rFonts w:ascii="Georgia" w:hAnsi="Georgia"/>
        </w:rPr>
        <w:t xml:space="preserve">_____.  </w:t>
      </w:r>
      <w:r w:rsidRPr="008E1867">
        <w:rPr>
          <w:rFonts w:ascii="Georgia" w:hAnsi="Georgia"/>
          <w:i/>
          <w:iCs/>
        </w:rPr>
        <w:t>Virtually Islamic: computer-mediated communication and cyber Islamic environments</w:t>
      </w:r>
      <w:r>
        <w:rPr>
          <w:rFonts w:ascii="Georgia" w:hAnsi="Georgia"/>
        </w:rPr>
        <w:t xml:space="preserve"> (Cardiff: University of Wales Press, 2000)</w:t>
      </w:r>
    </w:p>
    <w:p w14:paraId="7C6EF4F5" w14:textId="77777777" w:rsidR="005D071D" w:rsidRDefault="005D071D" w:rsidP="005D071D">
      <w:pPr>
        <w:rPr>
          <w:rFonts w:ascii="Georgia" w:hAnsi="Georgia"/>
        </w:rPr>
      </w:pPr>
    </w:p>
    <w:p w14:paraId="47B86133" w14:textId="2BF7ADDA" w:rsidR="005D071D" w:rsidRDefault="005D071D" w:rsidP="005D071D">
      <w:pPr>
        <w:rPr>
          <w:rFonts w:ascii="Georgia" w:hAnsi="Georgia"/>
        </w:rPr>
      </w:pPr>
      <w:r>
        <w:rPr>
          <w:rFonts w:ascii="Georgia" w:hAnsi="Georgia"/>
        </w:rPr>
        <w:t xml:space="preserve">Also see </w:t>
      </w:r>
      <w:hyperlink r:id="rId10" w:history="1">
        <w:r w:rsidR="00233473" w:rsidRPr="00233473">
          <w:rPr>
            <w:rStyle w:val="Hyperlink"/>
            <w:rFonts w:ascii="Georgia" w:hAnsi="Georgia"/>
          </w:rPr>
          <w:t>http://www.virtuallyislamic.com</w:t>
        </w:r>
      </w:hyperlink>
      <w:bookmarkStart w:id="0" w:name="_GoBack"/>
      <w:bookmarkEnd w:id="0"/>
    </w:p>
    <w:p w14:paraId="0775C7A9" w14:textId="77777777" w:rsidR="005D071D" w:rsidRDefault="005D071D" w:rsidP="005D071D">
      <w:pPr>
        <w:rPr>
          <w:rFonts w:ascii="Georgia" w:hAnsi="Georgia"/>
        </w:rPr>
      </w:pPr>
    </w:p>
    <w:p w14:paraId="4C79419C" w14:textId="77777777" w:rsidR="004A3962" w:rsidRPr="005D071D" w:rsidRDefault="004A3962" w:rsidP="005D071D"/>
    <w:sectPr w:rsidR="004A3962" w:rsidRPr="005D071D" w:rsidSect="00012EF9">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AFCDC2" w14:textId="77777777" w:rsidR="005D071D" w:rsidRDefault="005D071D" w:rsidP="005D071D">
      <w:r>
        <w:separator/>
      </w:r>
    </w:p>
  </w:endnote>
  <w:endnote w:type="continuationSeparator" w:id="0">
    <w:p w14:paraId="165E2163" w14:textId="77777777" w:rsidR="005D071D" w:rsidRDefault="005D071D" w:rsidP="005D07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7C6366" w14:textId="77777777" w:rsidR="005D071D" w:rsidRDefault="005D071D"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DFE19F8" w14:textId="77777777" w:rsidR="005D071D" w:rsidRDefault="005D071D" w:rsidP="005D071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965C91" w14:textId="77777777" w:rsidR="005D071D" w:rsidRDefault="005D071D"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33473">
      <w:rPr>
        <w:rStyle w:val="PageNumber"/>
        <w:noProof/>
      </w:rPr>
      <w:t>1</w:t>
    </w:r>
    <w:r>
      <w:rPr>
        <w:rStyle w:val="PageNumber"/>
      </w:rPr>
      <w:fldChar w:fldCharType="end"/>
    </w:r>
  </w:p>
  <w:p w14:paraId="5769F546" w14:textId="77777777" w:rsidR="005D071D" w:rsidRDefault="005D071D" w:rsidP="005D071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D6E5BF" w14:textId="77777777" w:rsidR="005D071D" w:rsidRDefault="005D071D" w:rsidP="005D071D">
      <w:r>
        <w:separator/>
      </w:r>
    </w:p>
  </w:footnote>
  <w:footnote w:type="continuationSeparator" w:id="0">
    <w:p w14:paraId="3F9F10F5" w14:textId="77777777" w:rsidR="005D071D" w:rsidRDefault="005D071D" w:rsidP="005D071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071D"/>
    <w:rsid w:val="00012EF9"/>
    <w:rsid w:val="00233473"/>
    <w:rsid w:val="004A3962"/>
    <w:rsid w:val="005C336D"/>
    <w:rsid w:val="005D071D"/>
    <w:rsid w:val="009B3B9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455A51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071D"/>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D071D"/>
    <w:pPr>
      <w:tabs>
        <w:tab w:val="center" w:pos="4320"/>
        <w:tab w:val="right" w:pos="8640"/>
      </w:tabs>
    </w:pPr>
  </w:style>
  <w:style w:type="character" w:customStyle="1" w:styleId="FooterChar">
    <w:name w:val="Footer Char"/>
    <w:basedOn w:val="DefaultParagraphFont"/>
    <w:link w:val="Footer"/>
    <w:uiPriority w:val="99"/>
    <w:rsid w:val="005D071D"/>
    <w:rPr>
      <w:rFonts w:ascii="Times New Roman" w:eastAsia="Times New Roman" w:hAnsi="Times New Roman" w:cs="Times New Roman"/>
    </w:rPr>
  </w:style>
  <w:style w:type="character" w:styleId="PageNumber">
    <w:name w:val="page number"/>
    <w:basedOn w:val="DefaultParagraphFont"/>
    <w:uiPriority w:val="99"/>
    <w:semiHidden/>
    <w:unhideWhenUsed/>
    <w:rsid w:val="005D071D"/>
  </w:style>
  <w:style w:type="character" w:styleId="Hyperlink">
    <w:name w:val="Hyperlink"/>
    <w:basedOn w:val="DefaultParagraphFont"/>
    <w:uiPriority w:val="99"/>
    <w:unhideWhenUsed/>
    <w:rsid w:val="005C336D"/>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071D"/>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D071D"/>
    <w:pPr>
      <w:tabs>
        <w:tab w:val="center" w:pos="4320"/>
        <w:tab w:val="right" w:pos="8640"/>
      </w:tabs>
    </w:pPr>
  </w:style>
  <w:style w:type="character" w:customStyle="1" w:styleId="FooterChar">
    <w:name w:val="Footer Char"/>
    <w:basedOn w:val="DefaultParagraphFont"/>
    <w:link w:val="Footer"/>
    <w:uiPriority w:val="99"/>
    <w:rsid w:val="005D071D"/>
    <w:rPr>
      <w:rFonts w:ascii="Times New Roman" w:eastAsia="Times New Roman" w:hAnsi="Times New Roman" w:cs="Times New Roman"/>
    </w:rPr>
  </w:style>
  <w:style w:type="character" w:styleId="PageNumber">
    <w:name w:val="page number"/>
    <w:basedOn w:val="DefaultParagraphFont"/>
    <w:uiPriority w:val="99"/>
    <w:semiHidden/>
    <w:unhideWhenUsed/>
    <w:rsid w:val="005D071D"/>
  </w:style>
  <w:style w:type="character" w:styleId="Hyperlink">
    <w:name w:val="Hyperlink"/>
    <w:basedOn w:val="DefaultParagraphFont"/>
    <w:uiPriority w:val="99"/>
    <w:unhideWhenUsed/>
    <w:rsid w:val="005C336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46288">
      <w:bodyDiv w:val="1"/>
      <w:marLeft w:val="0"/>
      <w:marRight w:val="0"/>
      <w:marTop w:val="0"/>
      <w:marBottom w:val="0"/>
      <w:divBdr>
        <w:top w:val="none" w:sz="0" w:space="0" w:color="auto"/>
        <w:left w:val="none" w:sz="0" w:space="0" w:color="auto"/>
        <w:bottom w:val="none" w:sz="0" w:space="0" w:color="auto"/>
        <w:right w:val="none" w:sz="0" w:space="0" w:color="auto"/>
      </w:divBdr>
    </w:div>
    <w:div w:id="49421101">
      <w:bodyDiv w:val="1"/>
      <w:marLeft w:val="0"/>
      <w:marRight w:val="0"/>
      <w:marTop w:val="0"/>
      <w:marBottom w:val="0"/>
      <w:divBdr>
        <w:top w:val="none" w:sz="0" w:space="0" w:color="auto"/>
        <w:left w:val="none" w:sz="0" w:space="0" w:color="auto"/>
        <w:bottom w:val="none" w:sz="0" w:space="0" w:color="auto"/>
        <w:right w:val="none" w:sz="0" w:space="0" w:color="auto"/>
      </w:divBdr>
    </w:div>
    <w:div w:id="568610845">
      <w:bodyDiv w:val="1"/>
      <w:marLeft w:val="0"/>
      <w:marRight w:val="0"/>
      <w:marTop w:val="0"/>
      <w:marBottom w:val="0"/>
      <w:divBdr>
        <w:top w:val="none" w:sz="0" w:space="0" w:color="auto"/>
        <w:left w:val="none" w:sz="0" w:space="0" w:color="auto"/>
        <w:bottom w:val="none" w:sz="0" w:space="0" w:color="auto"/>
        <w:right w:val="none" w:sz="0" w:space="0" w:color="auto"/>
      </w:divBdr>
    </w:div>
    <w:div w:id="1679576638">
      <w:bodyDiv w:val="1"/>
      <w:marLeft w:val="0"/>
      <w:marRight w:val="0"/>
      <w:marTop w:val="0"/>
      <w:marBottom w:val="0"/>
      <w:divBdr>
        <w:top w:val="none" w:sz="0" w:space="0" w:color="auto"/>
        <w:left w:val="none" w:sz="0" w:space="0" w:color="auto"/>
        <w:bottom w:val="none" w:sz="0" w:space="0" w:color="auto"/>
        <w:right w:val="none" w:sz="0" w:space="0" w:color="auto"/>
      </w:divBdr>
    </w:div>
    <w:div w:id="1690642669">
      <w:bodyDiv w:val="1"/>
      <w:marLeft w:val="0"/>
      <w:marRight w:val="0"/>
      <w:marTop w:val="0"/>
      <w:marBottom w:val="0"/>
      <w:divBdr>
        <w:top w:val="none" w:sz="0" w:space="0" w:color="auto"/>
        <w:left w:val="none" w:sz="0" w:space="0" w:color="auto"/>
        <w:bottom w:val="none" w:sz="0" w:space="0" w:color="auto"/>
        <w:right w:val="none" w:sz="0" w:space="0" w:color="auto"/>
      </w:divBdr>
    </w:div>
    <w:div w:id="17019286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xfordislamicstudies.com/article/opr/t236/e0952" TargetMode="External"/><Relationship Id="rId8" Type="http://schemas.openxmlformats.org/officeDocument/2006/relationships/hyperlink" Target="http://www.oxfordislamicstudies.com/article/book/acprof-9780199794133/acprof-9780199794133-div1-114" TargetMode="External"/><Relationship Id="rId9" Type="http://schemas.openxmlformats.org/officeDocument/2006/relationships/hyperlink" Target="http://www.oxfordislamicstudies.com/article/opr/t236/e0157" TargetMode="External"/><Relationship Id="rId10" Type="http://schemas.openxmlformats.org/officeDocument/2006/relationships/hyperlink" Target="http://www.virtuallyislami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Pages>
  <Words>653</Words>
  <Characters>3728</Characters>
  <Application>Microsoft Macintosh Word</Application>
  <DocSecurity>0</DocSecurity>
  <Lines>31</Lines>
  <Paragraphs>8</Paragraphs>
  <ScaleCrop>false</ScaleCrop>
  <Company>Dept. of Theology, Religious Studies &amp; Islamic Stud</Company>
  <LinksUpToDate>false</LinksUpToDate>
  <CharactersWithSpaces>4373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4</cp:revision>
  <dcterms:created xsi:type="dcterms:W3CDTF">2012-05-28T14:59:00Z</dcterms:created>
  <dcterms:modified xsi:type="dcterms:W3CDTF">2013-01-28T11:46:00Z</dcterms:modified>
</cp:coreProperties>
</file>