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FC07B" w14:textId="77777777" w:rsidR="008A0FF3" w:rsidRDefault="00925376" w:rsidP="00BE2E92">
      <w:pPr>
        <w:jc w:val="both"/>
        <w:rPr>
          <w:b/>
          <w:bCs/>
        </w:rPr>
      </w:pPr>
      <w:r w:rsidRPr="00BE2E92">
        <w:rPr>
          <w:b/>
          <w:bCs/>
        </w:rPr>
        <w:t>Julian Cousins – 2031345</w:t>
      </w:r>
      <w:r w:rsidR="008A0FF3">
        <w:rPr>
          <w:b/>
          <w:bCs/>
        </w:rPr>
        <w:t xml:space="preserve"> </w:t>
      </w:r>
    </w:p>
    <w:p w14:paraId="549A1216" w14:textId="1F1516FE" w:rsidR="0017683F" w:rsidRDefault="008A0FF3" w:rsidP="00BE2E92">
      <w:pPr>
        <w:jc w:val="both"/>
        <w:rPr>
          <w:b/>
          <w:bCs/>
        </w:rPr>
      </w:pPr>
      <w:r>
        <w:rPr>
          <w:b/>
          <w:bCs/>
        </w:rPr>
        <w:t>DHEP Cohort 04.22 Academic Assignment</w:t>
      </w:r>
    </w:p>
    <w:p w14:paraId="14ECB898" w14:textId="77777777" w:rsidR="00BE2E92" w:rsidRPr="00BE2E92" w:rsidRDefault="00BE2E92" w:rsidP="00BE2E92">
      <w:pPr>
        <w:jc w:val="both"/>
        <w:rPr>
          <w:b/>
          <w:bCs/>
        </w:rPr>
      </w:pPr>
    </w:p>
    <w:p w14:paraId="450ECBFA" w14:textId="77777777" w:rsidR="00BE2E92" w:rsidRDefault="00BE2E92" w:rsidP="00BE2E92">
      <w:pPr>
        <w:jc w:val="both"/>
      </w:pPr>
      <w:r w:rsidRPr="003068FB">
        <w:rPr>
          <w:b/>
          <w:bCs/>
        </w:rPr>
        <w:t xml:space="preserve">Essay </w:t>
      </w:r>
      <w:r>
        <w:rPr>
          <w:b/>
          <w:bCs/>
        </w:rPr>
        <w:t>One</w:t>
      </w:r>
      <w:r w:rsidRPr="003068FB">
        <w:rPr>
          <w:b/>
          <w:bCs/>
        </w:rPr>
        <w:t>:</w:t>
      </w:r>
      <w:r>
        <w:t xml:space="preserve"> </w:t>
      </w:r>
    </w:p>
    <w:p w14:paraId="63B4228A" w14:textId="77777777" w:rsidR="00BE2E92" w:rsidRPr="003B0ACE" w:rsidRDefault="00BE2E92" w:rsidP="00BE2E92">
      <w:pPr>
        <w:spacing w:after="0"/>
        <w:jc w:val="both"/>
        <w:rPr>
          <w:i/>
          <w:iCs/>
        </w:rPr>
      </w:pPr>
      <w:r>
        <w:rPr>
          <w:i/>
          <w:iCs/>
        </w:rPr>
        <w:t>“</w:t>
      </w:r>
      <w:r w:rsidRPr="003B0ACE">
        <w:rPr>
          <w:i/>
          <w:iCs/>
        </w:rPr>
        <w:t xml:space="preserve">Research conducted on behalf of HMICFRS found that if people do not believe that the police </w:t>
      </w:r>
    </w:p>
    <w:p w14:paraId="109DF77B" w14:textId="77777777" w:rsidR="00BE2E92" w:rsidRPr="003B0ACE" w:rsidRDefault="00BE2E92" w:rsidP="00BE2E92">
      <w:pPr>
        <w:spacing w:after="0"/>
        <w:jc w:val="both"/>
        <w:rPr>
          <w:i/>
          <w:iCs/>
        </w:rPr>
      </w:pPr>
      <w:r w:rsidRPr="003B0ACE">
        <w:rPr>
          <w:i/>
          <w:iCs/>
        </w:rPr>
        <w:t xml:space="preserve">treat the public fairly and with respect, they are significantly less likely to report crime either as </w:t>
      </w:r>
    </w:p>
    <w:p w14:paraId="172BDA04" w14:textId="77777777" w:rsidR="00BE2E92" w:rsidRPr="003B0ACE" w:rsidRDefault="00BE2E92" w:rsidP="00BE2E92">
      <w:pPr>
        <w:spacing w:after="0"/>
        <w:jc w:val="both"/>
        <w:rPr>
          <w:i/>
          <w:iCs/>
        </w:rPr>
      </w:pPr>
      <w:r w:rsidRPr="003B0ACE">
        <w:rPr>
          <w:i/>
          <w:iCs/>
        </w:rPr>
        <w:t xml:space="preserve">a victim or a witness (BMG Research, 2018). How effective are measures in place to ensure </w:t>
      </w:r>
    </w:p>
    <w:p w14:paraId="08578500" w14:textId="77777777" w:rsidR="00BE2E92" w:rsidRDefault="00BE2E92" w:rsidP="00BE2E92">
      <w:pPr>
        <w:spacing w:after="0"/>
        <w:jc w:val="both"/>
        <w:rPr>
          <w:i/>
          <w:iCs/>
        </w:rPr>
      </w:pPr>
      <w:r w:rsidRPr="003B0ACE">
        <w:rPr>
          <w:i/>
          <w:iCs/>
        </w:rPr>
        <w:t>that officers act with integrity and treat the public fairly and with respect?</w:t>
      </w:r>
      <w:r>
        <w:rPr>
          <w:i/>
          <w:iCs/>
        </w:rPr>
        <w:t>”</w:t>
      </w:r>
    </w:p>
    <w:p w14:paraId="209617A9" w14:textId="77777777" w:rsidR="00BE2E92" w:rsidRPr="003B0ACE" w:rsidRDefault="00BE2E92" w:rsidP="00BE2E92">
      <w:pPr>
        <w:spacing w:after="0"/>
        <w:jc w:val="both"/>
        <w:rPr>
          <w:i/>
          <w:iCs/>
        </w:rPr>
      </w:pPr>
    </w:p>
    <w:p w14:paraId="39166CE3" w14:textId="4ED5C4BE" w:rsidR="00BE2E92" w:rsidRDefault="00BE2E92" w:rsidP="00BE2E92">
      <w:pPr>
        <w:jc w:val="both"/>
      </w:pPr>
      <w:r>
        <w:t>Maintaining public trust in the police links back to the origins of UK policing by Sir Robert Peel in 1829 (Hurd, 2017). He stated that “p</w:t>
      </w:r>
      <w:r w:rsidRPr="00615CC3">
        <w:t>olice must secure the willing co-operation of the public in voluntary observance of the law to be able to secure and maintain the respect of the public</w:t>
      </w:r>
      <w:r>
        <w:t>”</w:t>
      </w:r>
      <w:r>
        <w:rPr>
          <w:i/>
          <w:iCs/>
        </w:rPr>
        <w:t xml:space="preserve"> </w:t>
      </w:r>
      <w:r>
        <w:t>(Brain, 2013). It is fundamental to all policing activity, and r</w:t>
      </w:r>
      <w:r w:rsidRPr="00493C56">
        <w:t xml:space="preserve">esearch suggests </w:t>
      </w:r>
      <w:r>
        <w:t xml:space="preserve">that </w:t>
      </w:r>
      <w:r w:rsidRPr="00493C56">
        <w:t>fair and respectful treatment of</w:t>
      </w:r>
      <w:r>
        <w:t xml:space="preserve"> the public supports the perception of police legitimacy, which then goes on to</w:t>
      </w:r>
      <w:r w:rsidRPr="00493C56">
        <w:t xml:space="preserve"> </w:t>
      </w:r>
      <w:r>
        <w:t>promote public</w:t>
      </w:r>
      <w:r w:rsidRPr="00493C56">
        <w:t xml:space="preserve"> willingness to </w:t>
      </w:r>
      <w:r>
        <w:t>support and engage with</w:t>
      </w:r>
      <w:r w:rsidRPr="00493C56">
        <w:t xml:space="preserve"> police </w:t>
      </w:r>
      <w:r>
        <w:t xml:space="preserve">action (Myhill and Beak, 2008). The undermining of public trust by police and the damage of public belief in police legitimacy impacts the degree to which the public will engage with police forces. This issue is prevalent given that the Independent Office for Police Conduct (IOPC) reported public confidence in how police deal with complaints reaching its lowest since 2017 (IOPC, 2022). This low level of confidence is exacerbated by widely reported, high-profile events that damaged public perception of policing, such as the murder of Sarah Everard, the Black Lives Matter movement, and the Stephen Port murders </w:t>
      </w:r>
      <w:r w:rsidRPr="003D5684">
        <w:t>(</w:t>
      </w:r>
      <w:proofErr w:type="spellStart"/>
      <w:r w:rsidRPr="003D5684">
        <w:t>Mynenko</w:t>
      </w:r>
      <w:proofErr w:type="spellEnd"/>
      <w:r w:rsidRPr="003D5684">
        <w:t xml:space="preserve"> </w:t>
      </w:r>
      <w:r>
        <w:t>and</w:t>
      </w:r>
      <w:r w:rsidRPr="003D5684">
        <w:t xml:space="preserve"> Ditcham, 2022)</w:t>
      </w:r>
      <w:r>
        <w:t>.</w:t>
      </w:r>
      <w:r w:rsidRPr="00072774">
        <w:t xml:space="preserve"> </w:t>
      </w:r>
      <w:r>
        <w:t>To that end, this essay will explore measures that are in place to ensure that police officers treat the public fairly and respectfully and examine their level of effectiveness to ensure that the police act with integrity towards the public it serves.</w:t>
      </w:r>
    </w:p>
    <w:p w14:paraId="2C5C06AD" w14:textId="42B41250" w:rsidR="00BE2E92" w:rsidRDefault="00BE2E92" w:rsidP="00BE2E92">
      <w:pPr>
        <w:jc w:val="both"/>
      </w:pPr>
      <w:r>
        <w:tab/>
        <w:t xml:space="preserve">To begin, the foundation of respectful public treatment is outlined in the statutory Code of Practice and the non-statutory Code of Ethics that is trained to police officers. These codes include principles designed to support decision making and behaviour that is </w:t>
      </w:r>
      <w:r w:rsidR="000D4E98">
        <w:t>focussed</w:t>
      </w:r>
      <w:r>
        <w:t xml:space="preserve"> on ethical treatment (College of Policing, 2023)</w:t>
      </w:r>
      <w:r w:rsidRPr="00F67DBF">
        <w:t>.</w:t>
      </w:r>
      <w:r>
        <w:t xml:space="preserve"> The Code of Ethics was updated in 2024, with the intention of providing further transparency for the public in how policing fundamentally works (Marsh, 2024). During Initial Officer Training for recruits, these codes are presented as the foundational mindset for all decisions. This aligns with the perspective of former Home Secretary Jack Straw, who stated that “bringing ethics to the fore will help build a culture where respect for human rights is a conscious factor in the whole range of police activity” (</w:t>
      </w:r>
      <w:proofErr w:type="spellStart"/>
      <w:r>
        <w:t>Neyroud</w:t>
      </w:r>
      <w:proofErr w:type="spellEnd"/>
      <w:r>
        <w:t xml:space="preserve"> and Beckley, 2011). </w:t>
      </w:r>
      <w:r w:rsidRPr="0001245F">
        <w:t>Whilst this early mindset-shaping training provides a good moral foundation for officers, its</w:t>
      </w:r>
      <w:r>
        <w:t xml:space="preserve"> long-term</w:t>
      </w:r>
      <w:r w:rsidRPr="0001245F">
        <w:t xml:space="preserve"> effectiveness </w:t>
      </w:r>
      <w:r>
        <w:t>may be hindered by training limitations. An example of this can be seen in the concerns raised around tutor officers receiving inadequate training and being ill-equipped to effectively tutor and monitor student officers (Police Federation, 2021).</w:t>
      </w:r>
    </w:p>
    <w:p w14:paraId="6178D5E4" w14:textId="77777777" w:rsidR="00BE2E92" w:rsidRPr="00935FB6" w:rsidRDefault="00BE2E92" w:rsidP="00BE2E92">
      <w:pPr>
        <w:ind w:firstLine="720"/>
        <w:jc w:val="both"/>
      </w:pPr>
      <w:r>
        <w:t xml:space="preserve">Another measure that ensures police act with integrity is the employment of Professional Standards Departments (PSD). These are in-house departments for the management of internal and external complaints against the police, whose role is to maintain trust in policing (College of Policing, 2015). The IOPC then collates and publishes analysis of complaint data it receives for public transparency (Fairfield, 2023). However, data around internal complaints may be inaccurate due to the subjective perception of misconduct. Research conducted by </w:t>
      </w:r>
      <w:proofErr w:type="spellStart"/>
      <w:r>
        <w:lastRenderedPageBreak/>
        <w:t>Westmarland</w:t>
      </w:r>
      <w:proofErr w:type="spellEnd"/>
      <w:r>
        <w:t xml:space="preserve"> and Conway (2020) found that there were certain scenarios </w:t>
      </w:r>
      <w:r w:rsidRPr="00CB396B">
        <w:t xml:space="preserve">where </w:t>
      </w:r>
      <w:r>
        <w:t>an officer’s decision on whether to report through PSDs</w:t>
      </w:r>
      <w:r w:rsidRPr="00CB396B">
        <w:t xml:space="preserve"> </w:t>
      </w:r>
      <w:r>
        <w:t>or not report and maintain the “</w:t>
      </w:r>
      <w:r w:rsidRPr="00CB396B">
        <w:t>blue code of silence</w:t>
      </w:r>
      <w:r>
        <w:t>”</w:t>
      </w:r>
      <w:r w:rsidRPr="00CB396B">
        <w:t xml:space="preserve"> compete</w:t>
      </w:r>
      <w:r>
        <w:t>d</w:t>
      </w:r>
      <w:r w:rsidRPr="00CB396B">
        <w:t xml:space="preserve"> for prominence</w:t>
      </w:r>
      <w:r>
        <w:t xml:space="preserve"> amongst candidates involved in the study</w:t>
      </w:r>
      <w:r w:rsidRPr="00CB396B">
        <w:t>.</w:t>
      </w:r>
    </w:p>
    <w:p w14:paraId="73B26AC2" w14:textId="6CC32298" w:rsidR="00BE2E92" w:rsidRDefault="00BE2E92" w:rsidP="00BE2E92">
      <w:pPr>
        <w:jc w:val="both"/>
      </w:pPr>
      <w:r>
        <w:tab/>
        <w:t xml:space="preserve">Technology is also a measure that plays a vital role in ensuring that officers treat the public fairly and act with integrity. It is employed within police forces to monitor and evidence accountability of police actions. One aspect of this is the issuing of body-worn video (BWV) cameras. Whilst BWV is used to provide evidence to further criminal investigations, it is also used to effectively investigate complaints of misconduct against police and provides transparency in police actions during incidents (IPCC, 2016). Studies have shown that there is a significant reduction in complaints against police and the force used by police officers when BWV is being used (Ariel </w:t>
      </w:r>
      <w:r w:rsidR="00984087" w:rsidRPr="00984087">
        <w:rPr>
          <w:i/>
          <w:iCs/>
        </w:rPr>
        <w:t>et al.</w:t>
      </w:r>
      <w:r>
        <w:t>, 2015). However, despite research showing the effectiveness of BWV in ensuring the fair treatment of the public, it is not infallible to criticism. UK police forces have faced accusations that officers misuse BWV by inappropriately sharing footage with colleagues, losing video footage, and switching off cameras during incidents (</w:t>
      </w:r>
      <w:proofErr w:type="spellStart"/>
      <w:r>
        <w:t>Titherage</w:t>
      </w:r>
      <w:proofErr w:type="spellEnd"/>
      <w:r>
        <w:t>, 2023). Furthermore, despite research showing BWV footage reduces complaint figures, the IOPC reported an 8% increase on complaint cases being logged in England and Wales between 2022 and 2023 (IOPC, 2023).  This means that, whilst it is an effective measure of ensuring fair treatment by recording an incident as it unfolds, BWV can potentially damage public trust should it be perceived that officers are manipulating its use.</w:t>
      </w:r>
    </w:p>
    <w:p w14:paraId="1EB69A00" w14:textId="624BCB18" w:rsidR="00BE2E92" w:rsidRDefault="00BE2E92" w:rsidP="00BE2E92">
      <w:pPr>
        <w:ind w:firstLine="720"/>
        <w:jc w:val="both"/>
      </w:pPr>
      <w:r>
        <w:t xml:space="preserve">Technology also provides an opportunity for regular police engagement with the public. Social media is widely used by police forces as a communication and engagement strategy (Tyner, </w:t>
      </w:r>
      <w:proofErr w:type="spellStart"/>
      <w:r>
        <w:t>n.d</w:t>
      </w:r>
      <w:proofErr w:type="spellEnd"/>
      <w:r>
        <w:t xml:space="preserve">). The benefits of using social media as an engagement tool are its low cost, availability, and its ability to provide forces with insight into public opinion (Winsor, 2014). Whilst this is not a specific measure of accountability employed by police forces, an unfiltered and open forum for public feedback offers an effective way to glean an understanding of public perceptions of policing activity and identify areas of dissatisfaction (Ratcliffe, 2016). Social media has been shown to be a more effective and efficient medium of public engagement when compared with other methods, such as the IOPC’s “Public Perceptions Tracker” which reports on a yearly basis and itself acknowledges that public knowledge of its activity is low (IOPC, 2022). </w:t>
      </w:r>
      <w:r w:rsidR="00B571EF">
        <w:t>Using s</w:t>
      </w:r>
      <w:r w:rsidR="009E3C8E">
        <w:t>ocial media as an</w:t>
      </w:r>
      <w:r>
        <w:t xml:space="preserve"> </w:t>
      </w:r>
      <w:r w:rsidR="00F76BC5">
        <w:t>engagement tool is</w:t>
      </w:r>
      <w:r>
        <w:t xml:space="preserve"> especially important given the prevalence of mobile phones and the public having the means of video recording police activity. Historically, public footage capturing officers using force has been the instigator for far-reaching impacts on police trust (</w:t>
      </w:r>
      <w:proofErr w:type="spellStart"/>
      <w:r>
        <w:t>Scheerhout</w:t>
      </w:r>
      <w:proofErr w:type="spellEnd"/>
      <w:r>
        <w:t>, 2024). This prompts police forces to “have and release video in a race for control of the narrative” (Fan, 2019), a challenge that BWV footage and effective social media communication can support to evidence and communicate that police are acting with integrity and respect towards the public.</w:t>
      </w:r>
    </w:p>
    <w:p w14:paraId="5E3EBFD9" w14:textId="77777777" w:rsidR="00BE2E92" w:rsidRDefault="00BE2E92" w:rsidP="00BE2E92">
      <w:pPr>
        <w:ind w:firstLine="720"/>
        <w:jc w:val="both"/>
      </w:pPr>
      <w:r>
        <w:t xml:space="preserve">In conclusion, in the face of increased public scrutiny from widely publicised policing failings, police forces employ numerous measures to ensure that officers act with integrity and treat the public fairly. Indigenous police measures, such as initial training in the codes of ethics and the employment of PSDs, are effective to a point. On analysis, research suggests that technology, specifically BWV, has the largest influence on reducing the number of public complaints. The reduction it shows in the use of force by police also suggests that it is a particularly effective measure in ensuring police treat the public respectfully. </w:t>
      </w:r>
    </w:p>
    <w:p w14:paraId="0CFD9AAA" w14:textId="38504D66" w:rsidR="00925376" w:rsidRDefault="00BE2E92" w:rsidP="00BE2E92">
      <w:pPr>
        <w:jc w:val="both"/>
      </w:pPr>
      <w:r>
        <w:t>Word count: 109</w:t>
      </w:r>
      <w:r w:rsidR="00C64ECD">
        <w:t>9</w:t>
      </w:r>
      <w:r>
        <w:t>.</w:t>
      </w:r>
    </w:p>
    <w:p w14:paraId="471E6467" w14:textId="77777777" w:rsidR="00BE2E92" w:rsidRDefault="00BE2E92" w:rsidP="00BE2E92">
      <w:pPr>
        <w:jc w:val="both"/>
      </w:pPr>
    </w:p>
    <w:p w14:paraId="1ABBE717" w14:textId="77777777" w:rsidR="00BE2E92" w:rsidRDefault="00BE2E92" w:rsidP="00BE2E92">
      <w:pPr>
        <w:jc w:val="both"/>
      </w:pPr>
      <w:r w:rsidRPr="003068FB">
        <w:rPr>
          <w:b/>
          <w:bCs/>
        </w:rPr>
        <w:lastRenderedPageBreak/>
        <w:t xml:space="preserve">Essay </w:t>
      </w:r>
      <w:r>
        <w:rPr>
          <w:b/>
          <w:bCs/>
        </w:rPr>
        <w:t>Two</w:t>
      </w:r>
      <w:r w:rsidRPr="003068FB">
        <w:rPr>
          <w:b/>
          <w:bCs/>
        </w:rPr>
        <w:t>:</w:t>
      </w:r>
      <w:r>
        <w:t xml:space="preserve"> </w:t>
      </w:r>
    </w:p>
    <w:p w14:paraId="359D0A63" w14:textId="77777777" w:rsidR="00BE2E92" w:rsidRPr="0022679D" w:rsidRDefault="00BE2E92" w:rsidP="00BE2E92">
      <w:pPr>
        <w:jc w:val="both"/>
        <w:rPr>
          <w:i/>
          <w:iCs/>
        </w:rPr>
      </w:pPr>
      <w:r>
        <w:rPr>
          <w:i/>
          <w:iCs/>
        </w:rPr>
        <w:t>“</w:t>
      </w:r>
      <w:r w:rsidRPr="0022679D">
        <w:rPr>
          <w:i/>
          <w:iCs/>
        </w:rPr>
        <w:t>Response policing – Assess the extent of response officers’ role in dealing with critical and major incidents.</w:t>
      </w:r>
      <w:r>
        <w:rPr>
          <w:i/>
          <w:iCs/>
        </w:rPr>
        <w:t>”</w:t>
      </w:r>
    </w:p>
    <w:p w14:paraId="64A4582C" w14:textId="7092C81C" w:rsidR="00BE2E92" w:rsidRDefault="004A3211" w:rsidP="00BE2E92">
      <w:pPr>
        <w:jc w:val="both"/>
      </w:pPr>
      <w:r>
        <w:t>Response</w:t>
      </w:r>
      <w:r w:rsidR="00BE2E92">
        <w:t xml:space="preserve"> officer</w:t>
      </w:r>
      <w:r>
        <w:t xml:space="preserve">s </w:t>
      </w:r>
      <w:r w:rsidR="00D670C1">
        <w:t>responding to</w:t>
      </w:r>
      <w:r w:rsidR="00BE2E92">
        <w:t xml:space="preserve"> critical and major incidents are often the first to attend the scene and their initial assessment, onward communication and immediate actions create the foundation for a multi-organisational response (Alison and Crego, 2015). During attendance at a critical incident, response officers have the initial responsibility to make sense of the situation, confront challenges, respond to developing situations and take control by making decisions (Roycroft and Roach, 2019).</w:t>
      </w:r>
      <w:r w:rsidR="00A01F19">
        <w:t xml:space="preserve"> This essay will assess</w:t>
      </w:r>
      <w:r w:rsidR="00BE2E92">
        <w:t xml:space="preserve"> the extent of a response officer’s role in critical and major incidents </w:t>
      </w:r>
      <w:r w:rsidR="008F712A">
        <w:t xml:space="preserve">and the benefits, or potential repercussions, </w:t>
      </w:r>
      <w:r w:rsidR="00D8798B">
        <w:t>of</w:t>
      </w:r>
      <w:r w:rsidR="008F712A">
        <w:t xml:space="preserve"> their actions</w:t>
      </w:r>
      <w:r w:rsidR="00BE2E92">
        <w:t>.</w:t>
      </w:r>
    </w:p>
    <w:p w14:paraId="0FD77285" w14:textId="4B4EE031" w:rsidR="00BE2E92" w:rsidRDefault="00BE2E92" w:rsidP="00BE2E92">
      <w:pPr>
        <w:ind w:firstLine="360"/>
        <w:jc w:val="both"/>
      </w:pPr>
      <w:r>
        <w:t xml:space="preserve">The term “critical incident” </w:t>
      </w:r>
      <w:r w:rsidR="00D8798B">
        <w:t>arose</w:t>
      </w:r>
      <w:r>
        <w:t xml:space="preserve"> following the inquiry into the murder of Stephen Lawrence in 1993 and acknowledged how a wider network of people can be impacted by an incident (College of Policing, 2013). A “critical incident” is defined as “</w:t>
      </w:r>
      <w:r w:rsidRPr="00DF2565">
        <w:t>any incident where the effectiveness of the police response is likely to have a significant impact on the confidence of the victim, their family and/or the community</w:t>
      </w:r>
      <w:r>
        <w:t>”, whereas a “major incident” is defined as “</w:t>
      </w:r>
      <w:r w:rsidRPr="00DF2565">
        <w:t>an event or situation requiring a response under one or more of the emergency services’ major incident plans</w:t>
      </w:r>
      <w:r>
        <w:t xml:space="preserve">” (College of Policing, 2013). </w:t>
      </w:r>
    </w:p>
    <w:p w14:paraId="57510652" w14:textId="77777777" w:rsidR="00BE2E92" w:rsidRDefault="00BE2E92" w:rsidP="00BE2E92">
      <w:pPr>
        <w:ind w:firstLine="360"/>
        <w:jc w:val="both"/>
      </w:pPr>
      <w:r>
        <w:t>Communication is a fundamental aspect of a response officer’s role in dealing with critical and major incidents. Response officers that attend an incident and are of the opinion that it is, or could develop into, a critical incident have a responsibility to communicate this to a designated senior officer (College of Policing, 2013). Whilst the authority to officially declare a critical or major incident does not lie with the response officer, their early communication of this belief and the factors leading to it can inform a senior officer’s prompt declaration. This can then assist the implementation of a management plan of appropriate and proportionate scale to respond to the incident.</w:t>
      </w:r>
    </w:p>
    <w:p w14:paraId="5A6C65DC" w14:textId="19EA7E80" w:rsidR="00BE2E92" w:rsidRDefault="00BE2E92" w:rsidP="00BE2E92">
      <w:pPr>
        <w:ind w:firstLine="360"/>
        <w:jc w:val="both"/>
      </w:pPr>
      <w:r>
        <w:t xml:space="preserve">Beyond internal organisational communication, it is essential for response officers to begin a multi-organisational response through appropriate control rooms. Whilst this will typically involve ambulance and fire service for specialist support in relevant contexts, it can also extend to relevant civilian organisations and community members (Roycroft and Roach, 2019). Research has shown that early and effective communication between responding organisations forms the foundation for effective management of major incidents (Hall </w:t>
      </w:r>
      <w:r w:rsidR="00984087" w:rsidRPr="00984087">
        <w:rPr>
          <w:i/>
          <w:iCs/>
        </w:rPr>
        <w:t>et al</w:t>
      </w:r>
      <w:r>
        <w:t xml:space="preserve">., 2021). This begins with the control room and response officers on attendance to major and critical incidents. Under the Interoperability Framework doctrine published by the Joint Emergency Services Interoperability Principles, the “METHANE” reporting template (Jones, 2018) is the recognised form that is used across all emergency services and provides a standardised reporting structure (Hall </w:t>
      </w:r>
      <w:r w:rsidR="00984087" w:rsidRPr="00984087">
        <w:rPr>
          <w:i/>
          <w:iCs/>
        </w:rPr>
        <w:t>et al</w:t>
      </w:r>
      <w:r>
        <w:t xml:space="preserve">., 2021). This doctrine advises that the first responders to an incident should send, and update as a situation develops, the METHANE message to build a shared situational awareness throughout all involved organisations. Research has also recognised that the multi-organisational response needs two components to be successful: differentiation and dynamism (Brown </w:t>
      </w:r>
      <w:r w:rsidR="00984087" w:rsidRPr="00984087">
        <w:rPr>
          <w:i/>
          <w:iCs/>
        </w:rPr>
        <w:t>et al.</w:t>
      </w:r>
      <w:r>
        <w:t>, 2021). These tenets refer to the requirement for the necessary skillset to be deployed to the necessary incident, and for attending agencies dynamic according to the changing demands of a task. This means that response officers’ role within a critical incident evolves as an incident unfolds.</w:t>
      </w:r>
    </w:p>
    <w:p w14:paraId="0B8C7C3F" w14:textId="78F83DA4" w:rsidR="00BE2E92" w:rsidRDefault="00BE2E92" w:rsidP="00BE2E92">
      <w:pPr>
        <w:ind w:firstLine="360"/>
        <w:jc w:val="both"/>
      </w:pPr>
      <w:r>
        <w:t>Beyond initial incident assessment and communication, the</w:t>
      </w:r>
      <w:r w:rsidR="00235313">
        <w:t xml:space="preserve"> response officer has</w:t>
      </w:r>
      <w:r>
        <w:t xml:space="preserve"> further roles </w:t>
      </w:r>
      <w:r w:rsidR="007D2F15">
        <w:t>involving</w:t>
      </w:r>
      <w:r>
        <w:t xml:space="preserve"> decision-making, taking immediate action and mitigating risk. Response officers, </w:t>
      </w:r>
      <w:r>
        <w:lastRenderedPageBreak/>
        <w:t>under potentially high levels of stress, are required to make choices that are within limited time constraints using their best judgement of a situation (Roycroft and Roach, 2019). The National Decision Model is the approved approach to decision-making within UK policing and provides a step-by-step process for response officers when deciding a course of action (Spooner and Cooper, 2023).</w:t>
      </w:r>
    </w:p>
    <w:p w14:paraId="27872FC4" w14:textId="77777777" w:rsidR="00BE2E92" w:rsidRDefault="00BE2E92" w:rsidP="00BE2E92">
      <w:pPr>
        <w:ind w:firstLine="360"/>
        <w:jc w:val="both"/>
      </w:pPr>
      <w:r>
        <w:t>An assessment of the far-reaching extent of a response officer’s role in critical incidents can be seen in the failures identified by the Macpherson Inquiry launched into the investigation of the murder of Stephen Lawrence in 1993. It was noted that attending officers failed to provide adequate first aid, failed to pursue suspects within the early stages of arrival, and that there was a failure of direction by senior officers that “</w:t>
      </w:r>
      <w:r w:rsidRPr="00F5246A">
        <w:t>accepted that everything was being done satisfactorily by somebody else</w:t>
      </w:r>
      <w:r>
        <w:t>”</w:t>
      </w:r>
      <w:r>
        <w:rPr>
          <w:i/>
          <w:iCs/>
        </w:rPr>
        <w:t xml:space="preserve"> </w:t>
      </w:r>
      <w:r>
        <w:t>(Macpherson, 1999). These early failings in response officers dealing with a critical incident led to significant strategic level reputational damage for UK policing (Bowling, 2023). This case study shows that the extent of a response officer’s role can have negative strategic level impacts if an officer does not understand nor undertake their role on the tactical and operational level to a sufficient standard.</w:t>
      </w:r>
    </w:p>
    <w:p w14:paraId="0840327F" w14:textId="3F54EA98" w:rsidR="00BE2E92" w:rsidRPr="006B25D0" w:rsidRDefault="00BE2E92" w:rsidP="00BE2E92">
      <w:pPr>
        <w:ind w:firstLine="360"/>
        <w:jc w:val="both"/>
        <w:rPr>
          <w:sz w:val="24"/>
          <w:szCs w:val="24"/>
        </w:rPr>
      </w:pPr>
      <w:r>
        <w:t>Whilst the Macpherson inquiry highlights the failings that can come from inadequate response officer activity at a critical incident, the 2010 investigation into the murder of Aamir Siddiqui provides a case study for positive outcomes despite a suspect still being at large (Owen, 2022). In this investigation, the situation was identified as a critical incident by response officers early on due to ethnic community factors that raised tensions. The local responding Division had pre-existing links within community contacts and engaged in multi-agency management meetings from the outset of the investigation. These proactive tactics helped to dispel community tensions, whilst transparent engagement with public groups reassured the communities involved and opened avenues for the passing of communication (National Policing Improvement Agency, 2011). This second case study shows that response officers that can give early recognition of a major incident and inform the relevant organisations from the outset of an investigation can achieve positive strategic level effects, as well as effectively managing operational and tactical level factors. It also highlights the value of efficient feedback and learning, through critical incident debriefing tools like the “</w:t>
      </w:r>
      <w:r w:rsidRPr="005C4103">
        <w:t>10kV</w:t>
      </w:r>
      <w:r>
        <w:t xml:space="preserve">” model, so that </w:t>
      </w:r>
      <w:r w:rsidR="004C46CA">
        <w:t xml:space="preserve">lessons can be learned for </w:t>
      </w:r>
      <w:r>
        <w:t xml:space="preserve">continuous improvements to future critical incident </w:t>
      </w:r>
      <w:proofErr w:type="spellStart"/>
      <w:r w:rsidR="00857333">
        <w:t>attedance</w:t>
      </w:r>
      <w:proofErr w:type="spellEnd"/>
      <w:r>
        <w:t xml:space="preserve"> (Alison and Crego, 2015).</w:t>
      </w:r>
    </w:p>
    <w:p w14:paraId="21DDDFC5" w14:textId="77777777" w:rsidR="00BE2E92" w:rsidRDefault="00BE2E92" w:rsidP="00BE2E92">
      <w:pPr>
        <w:jc w:val="both"/>
      </w:pPr>
      <w:r>
        <w:tab/>
        <w:t xml:space="preserve">In conclusion, the extent of the role of response officers in dealing with major and critical incidents is vital to an overall investigation and the subsequent community and organisational outcomes that may arise. Early situational assessment and effective, multi-organisational communication through recognised and appropriate means is essential in allowing commanders enough information to declare a critical incident as early as practicable. Timely and decisive actions taken at the operational level can improve the chances of a positive investigative outcome and limit community tensions on the strategic level, the failures of which were identified during analysis of the Stephen Lawrence murder investigation. Whereby, as recognised in the Aamir Siddiqui critical incident response, proactive response officer decision-making and action-taking can aid investigative opportunities and build trust in the police, rather than damage it. </w:t>
      </w:r>
    </w:p>
    <w:p w14:paraId="57DE53CB" w14:textId="3E447A17" w:rsidR="00BE2E92" w:rsidRPr="004D195A" w:rsidRDefault="00BE2E92" w:rsidP="00BE2E92">
      <w:pPr>
        <w:jc w:val="both"/>
      </w:pPr>
      <w:r>
        <w:t>Word count: 108</w:t>
      </w:r>
      <w:r w:rsidR="004C34B9">
        <w:t>5</w:t>
      </w:r>
      <w:r>
        <w:t>.</w:t>
      </w:r>
    </w:p>
    <w:p w14:paraId="35F4FBAA" w14:textId="77777777" w:rsidR="00BE2E92" w:rsidRDefault="00BE2E92" w:rsidP="00BE2E92">
      <w:pPr>
        <w:jc w:val="both"/>
      </w:pPr>
    </w:p>
    <w:p w14:paraId="42EDEEBA" w14:textId="77777777" w:rsidR="00BE2E92" w:rsidRDefault="00BE2E92" w:rsidP="00BE2E92">
      <w:pPr>
        <w:jc w:val="both"/>
        <w:rPr>
          <w:b/>
          <w:bCs/>
        </w:rPr>
      </w:pPr>
    </w:p>
    <w:p w14:paraId="73DA26DD" w14:textId="62787A05" w:rsidR="00BE2E92" w:rsidRDefault="00BE2E92" w:rsidP="00BE2E92">
      <w:pPr>
        <w:jc w:val="both"/>
      </w:pPr>
      <w:r w:rsidRPr="003068FB">
        <w:rPr>
          <w:b/>
          <w:bCs/>
        </w:rPr>
        <w:lastRenderedPageBreak/>
        <w:t>Essay Three:</w:t>
      </w:r>
      <w:r>
        <w:t xml:space="preserve"> </w:t>
      </w:r>
    </w:p>
    <w:p w14:paraId="31C9E7CF" w14:textId="3CEC3867" w:rsidR="00BE2E92" w:rsidRPr="00BE2E92" w:rsidRDefault="00BE2E92" w:rsidP="00BE2E92">
      <w:pPr>
        <w:jc w:val="both"/>
        <w:rPr>
          <w:i/>
          <w:iCs/>
        </w:rPr>
      </w:pPr>
      <w:r w:rsidRPr="00B24010">
        <w:rPr>
          <w:i/>
          <w:iCs/>
        </w:rPr>
        <w:t>“How effective are cognitive interviews as a means of obtaining initial accounts from victims and witnesses?”</w:t>
      </w:r>
    </w:p>
    <w:p w14:paraId="29CED08F" w14:textId="2DD3E9A2" w:rsidR="00BE2E92" w:rsidRDefault="00BE2E92" w:rsidP="00BE2E92">
      <w:pPr>
        <w:jc w:val="both"/>
      </w:pPr>
      <w:r>
        <w:t xml:space="preserve">In its purest form, the intention of a police investigation is to determine what took place during an incident and identify who committed any crimes involved (Milne and Bull, 2006). </w:t>
      </w:r>
      <w:r w:rsidR="009A71BA">
        <w:t>One</w:t>
      </w:r>
      <w:r>
        <w:t xml:space="preserve"> tool used by police forces to assist in achieving these investigative aims is the police interview (Risan </w:t>
      </w:r>
      <w:r w:rsidR="00984087" w:rsidRPr="00984087">
        <w:rPr>
          <w:i/>
          <w:iCs/>
        </w:rPr>
        <w:t>et al.</w:t>
      </w:r>
      <w:r>
        <w:t xml:space="preserve">, 2018). The role of the interview in relation to victims and witnesses is to obtain accurate accounts that assist in gathering evidence and identifying further lines of enquiry (College of Policing, 2022). It is therefore vital that initial accounts are as precise as possible to support police investigations. To achieve this, UK policing uses the PEACE interview model that incorporates recognised cognitive interview techniques to improve memory recall </w:t>
      </w:r>
      <w:r w:rsidR="00253D10">
        <w:t>and</w:t>
      </w:r>
      <w:r>
        <w:t xml:space="preserve"> obtain accurate initial accounts (Halley, 2022).</w:t>
      </w:r>
    </w:p>
    <w:p w14:paraId="7E23C80D" w14:textId="7813269F" w:rsidR="00BE2E92" w:rsidRDefault="00BE2E92" w:rsidP="00BE2E92">
      <w:pPr>
        <w:ind w:firstLine="720"/>
        <w:jc w:val="both"/>
      </w:pPr>
      <w:r>
        <w:t xml:space="preserve">Historic academic research encouraged the improvement of interviewing techniques to avoid losing critical information, which led to the development of the cognitive interview (Fisher and Geiselman, 2006). The cognitive interview approach was designed to provide an interviewer with a standardised and systematic method to go beyond surface-level memory recall and elicit as much information as possible from an interviewee (Fisher and Geiselman, 2006). An interviewer employing cognitive interviewing strategies </w:t>
      </w:r>
      <w:r w:rsidRPr="007B27E9">
        <w:t>wi</w:t>
      </w:r>
      <w:r>
        <w:t>l</w:t>
      </w:r>
      <w:r w:rsidRPr="007B27E9">
        <w:t>l</w:t>
      </w:r>
      <w:r>
        <w:t xml:space="preserve"> focus on building good rapport with the interviewee, will use memory recall techniques and questioning strategies, will ask non-leading questions, and will use active listening skills (Barrett and Francis, 2016). Cognitive interviews also employ memory recall techniques to allow interviewers to gain further information about an incident. The four techniques that Geiselman and Fisher </w:t>
      </w:r>
      <w:r w:rsidR="007765AA">
        <w:t xml:space="preserve">(2006) </w:t>
      </w:r>
      <w:r>
        <w:t xml:space="preserve">developed </w:t>
      </w:r>
      <w:r w:rsidRPr="009C3285">
        <w:t xml:space="preserve">were </w:t>
      </w:r>
      <w:r>
        <w:t>“</w:t>
      </w:r>
      <w:r w:rsidRPr="009C3285">
        <w:t>context reinstatement”</w:t>
      </w:r>
      <w:r>
        <w:t>,</w:t>
      </w:r>
      <w:r w:rsidRPr="009C3285">
        <w:t xml:space="preserve"> “report everything”</w:t>
      </w:r>
      <w:r>
        <w:t>,</w:t>
      </w:r>
      <w:r w:rsidRPr="009C3285">
        <w:t xml:space="preserve"> “recall from a variety of perspectives</w:t>
      </w:r>
      <w:r>
        <w:t>” and</w:t>
      </w:r>
      <w:r w:rsidRPr="009C3285">
        <w:t xml:space="preserve"> “temporal order”</w:t>
      </w:r>
      <w:r>
        <w:t>. Research has shown that the use of these techniques increases the amount of correctly recalled details in witness accounts</w:t>
      </w:r>
      <w:r w:rsidRPr="001E74E4">
        <w:t xml:space="preserve"> </w:t>
      </w:r>
      <w:r>
        <w:t xml:space="preserve">(Memon </w:t>
      </w:r>
      <w:r w:rsidR="00984087" w:rsidRPr="00984087">
        <w:rPr>
          <w:i/>
          <w:iCs/>
        </w:rPr>
        <w:t>et al.</w:t>
      </w:r>
      <w:r>
        <w:t>, 2010).</w:t>
      </w:r>
    </w:p>
    <w:p w14:paraId="3DBE8D37" w14:textId="4C4E9DAA" w:rsidR="00BE2E92" w:rsidRDefault="00BE2E92" w:rsidP="00BE2E92">
      <w:pPr>
        <w:ind w:firstLine="720"/>
        <w:jc w:val="both"/>
      </w:pPr>
      <w:r>
        <w:t xml:space="preserve"> Interviews that do not implement cognitive interview methodology tend to </w:t>
      </w:r>
      <w:r w:rsidR="00A74F95">
        <w:t xml:space="preserve">use little to no </w:t>
      </w:r>
      <w:r w:rsidRPr="003D1694">
        <w:t xml:space="preserve">questioning strategies </w:t>
      </w:r>
      <w:r w:rsidR="00A74F95">
        <w:t>and</w:t>
      </w:r>
      <w:r w:rsidRPr="003D1694">
        <w:t xml:space="preserve"> </w:t>
      </w:r>
      <w:r w:rsidR="000426EA">
        <w:t>inhibit</w:t>
      </w:r>
      <w:r w:rsidRPr="003D1694">
        <w:t xml:space="preserve"> </w:t>
      </w:r>
      <w:r w:rsidR="000426EA">
        <w:t>potential memory</w:t>
      </w:r>
      <w:r w:rsidRPr="003D1694">
        <w:t xml:space="preserve"> retrieval</w:t>
      </w:r>
      <w:r>
        <w:t xml:space="preserve"> (Clarke and Milne, 2001). Furthermore, it has been shown that oppressive interview techniques must be avoided, not least because of their moral and legal implications. Oppressive interviewing restricts memory recall and is likely to be inadmissible in a court setting (UK Government, </w:t>
      </w:r>
      <w:proofErr w:type="spellStart"/>
      <w:r>
        <w:t>n.d</w:t>
      </w:r>
      <w:proofErr w:type="spellEnd"/>
      <w:r>
        <w:t xml:space="preserve">). An example of this is seen in the case law from “R v Lattimore </w:t>
      </w:r>
      <w:r w:rsidR="00984087" w:rsidRPr="00984087">
        <w:rPr>
          <w:i/>
          <w:iCs/>
        </w:rPr>
        <w:t>et al.</w:t>
      </w:r>
      <w:r>
        <w:t xml:space="preserve">” that raised issues around eliciting confessions through oppressive behaviour and violence during police interviews (Hally, 2022). </w:t>
      </w:r>
    </w:p>
    <w:p w14:paraId="523C3F6F" w14:textId="507C3B27" w:rsidR="00BE2E92" w:rsidRDefault="00D94E85" w:rsidP="00BE2E92">
      <w:pPr>
        <w:ind w:firstLine="720"/>
        <w:jc w:val="both"/>
      </w:pPr>
      <w:r>
        <w:t>T</w:t>
      </w:r>
      <w:r>
        <w:t>he building of rapport with the interviewee</w:t>
      </w:r>
      <w:r>
        <w:t xml:space="preserve"> is </w:t>
      </w:r>
      <w:r w:rsidR="00BE2E92">
        <w:t xml:space="preserve">an over-arching factor </w:t>
      </w:r>
      <w:r w:rsidR="008965B9">
        <w:t xml:space="preserve">of </w:t>
      </w:r>
      <w:r>
        <w:t>maximis</w:t>
      </w:r>
      <w:r w:rsidR="008965B9">
        <w:t>ing</w:t>
      </w:r>
      <w:r>
        <w:t xml:space="preserve"> the effectiveness of the cognitive interview</w:t>
      </w:r>
      <w:r w:rsidR="00BE2E92">
        <w:t>. After developing their original work, Fisher and Geiselman (2006) later published an enhanced version of their cognitive model research that included a framework for establishing good relationships with victims and witnesses</w:t>
      </w:r>
      <w:r w:rsidR="00BE2E92">
        <w:rPr>
          <w:i/>
          <w:iCs/>
        </w:rPr>
        <w:t xml:space="preserve"> </w:t>
      </w:r>
      <w:r w:rsidR="00BE2E92">
        <w:t xml:space="preserve">(Memon </w:t>
      </w:r>
      <w:r w:rsidR="00984087" w:rsidRPr="00984087">
        <w:rPr>
          <w:i/>
          <w:iCs/>
        </w:rPr>
        <w:t>et al.</w:t>
      </w:r>
      <w:r w:rsidR="00BE2E92">
        <w:t xml:space="preserve">, 2010). Building rapport is a key factor within cognitive interviewing and can be achieved by showing empathy for the interviewee and adapting and personalising the interview for their individual experience (Fisher and Geiselman, 2006). It is essential that the interviewer has a bearing of the context of the interview when speaking with victims and witnesses. Research conducted during the development of cognitive interview methodology showed that an </w:t>
      </w:r>
      <w:r w:rsidR="00BE2E92" w:rsidRPr="004F1F6E">
        <w:t xml:space="preserve">interviewer who showed </w:t>
      </w:r>
      <w:r w:rsidR="0028465E">
        <w:t>empathetic</w:t>
      </w:r>
      <w:r w:rsidR="00BE2E92" w:rsidRPr="004F1F6E">
        <w:t xml:space="preserve"> concern for the </w:t>
      </w:r>
      <w:r w:rsidR="0028465E">
        <w:t>interviewee</w:t>
      </w:r>
      <w:r w:rsidR="00CC418F">
        <w:t xml:space="preserve"> was able to</w:t>
      </w:r>
      <w:r w:rsidR="00BE2E92">
        <w:t xml:space="preserve"> </w:t>
      </w:r>
      <w:r w:rsidR="00CC418F" w:rsidRPr="004F1F6E">
        <w:t>obtain</w:t>
      </w:r>
      <w:r w:rsidR="00BE2E92" w:rsidRPr="004F1F6E">
        <w:t xml:space="preserve"> </w:t>
      </w:r>
      <w:r w:rsidR="00CC418F">
        <w:t>a larger amount of</w:t>
      </w:r>
      <w:r w:rsidR="00BE2E92" w:rsidRPr="004F1F6E">
        <w:t xml:space="preserve"> information</w:t>
      </w:r>
      <w:r w:rsidR="00BE2E92">
        <w:t xml:space="preserve"> (Fisher and Geiselman, 2006). This conclusion was also drawn from a study involving police officers that interviewed victims from the </w:t>
      </w:r>
      <w:proofErr w:type="spellStart"/>
      <w:r w:rsidR="00BE2E92" w:rsidRPr="000A5EBF">
        <w:t>Utøya</w:t>
      </w:r>
      <w:proofErr w:type="spellEnd"/>
      <w:r w:rsidR="00BE2E92" w:rsidRPr="000A5EBF">
        <w:t xml:space="preserve"> Island massacre in 2011.</w:t>
      </w:r>
      <w:r w:rsidR="00BE2E92">
        <w:t xml:space="preserve"> This study highlighted that being adaptable to the emotional state of the interviewee and being </w:t>
      </w:r>
      <w:r w:rsidR="00BE2E92">
        <w:lastRenderedPageBreak/>
        <w:t>well-prepared</w:t>
      </w:r>
      <w:r w:rsidR="00BE2E92" w:rsidRPr="00A221E1">
        <w:t xml:space="preserve"> </w:t>
      </w:r>
      <w:r w:rsidR="00BE2E92">
        <w:t xml:space="preserve">were key facets in building rapport and achieving investigative aims, both of which are aspects of cognitive interview methodology (Risan </w:t>
      </w:r>
      <w:r w:rsidR="00984087" w:rsidRPr="00984087">
        <w:rPr>
          <w:i/>
          <w:iCs/>
        </w:rPr>
        <w:t>et al.</w:t>
      </w:r>
      <w:r w:rsidR="00BE2E92">
        <w:t>, 2018).</w:t>
      </w:r>
      <w:r w:rsidR="00BE2E92" w:rsidRPr="00A037A1">
        <w:t xml:space="preserve"> </w:t>
      </w:r>
      <w:r w:rsidR="00BE2E92">
        <w:t>This shows that cognitive interviews that are personalised, well-prepared and carried out by an interviewer that shows an emotional understanding are more effective in gaining detailed accounts from victims and witnesses than standardised questions.</w:t>
      </w:r>
    </w:p>
    <w:p w14:paraId="6C5A77F6" w14:textId="78B245F0" w:rsidR="00BE2E92" w:rsidRPr="00733D3E" w:rsidRDefault="00BE2E92" w:rsidP="00BE2E92">
      <w:pPr>
        <w:ind w:firstLine="720"/>
        <w:jc w:val="both"/>
      </w:pPr>
      <w:r>
        <w:t>There are also other metrics that recognise cognitive interviews as being an effective methodology of interviewing victims and witnesses. Research shows that cognitive interviewing is successful amongst multiple demographics and supports memory recall of adults, children, and people with learning disabilities (Barrett and Francis, 2016). Following the Cleveland Inquiry in 1987, it was acknowledged that interviewing child witnesses was a specialist skill and should be trained and supported as such (Gooch and Von Berg, 2019). This led to the publishing of the Achieving Best Evidence (ABE) guidance by the UK Government in 2002. This guidance adopted the key principles covered under cognitive interviewing and endorsed a victim-centred and trauma-informed approach to the video interviewing process (UK Government, 2022). Research has shown that, without specialist skills and the adoption of the cognitive interview approach, a child’s ability to give reliable evidence is greatly hindered (Gooch and Von Berg, 2019).</w:t>
      </w:r>
    </w:p>
    <w:p w14:paraId="65B9151F" w14:textId="6B6B17D6" w:rsidR="00BE2E92" w:rsidRPr="00D26E6B" w:rsidRDefault="00BE2E92" w:rsidP="00BE2E92">
      <w:pPr>
        <w:jc w:val="both"/>
      </w:pPr>
      <w:r>
        <w:tab/>
        <w:t xml:space="preserve">However, research conducted by Memon, Meissner and Fraser (2010) identified that institutional issues around training capabilities could present a challenge to employing cognitive interview techniques. </w:t>
      </w:r>
      <w:r w:rsidR="00213525">
        <w:t>Their research</w:t>
      </w:r>
      <w:r>
        <w:t xml:space="preserve"> found that there was limited data to suggest that training around cognitive interviewing led to its increased use by interviewing officers (Memon </w:t>
      </w:r>
      <w:r w:rsidR="00984087" w:rsidRPr="00984087">
        <w:rPr>
          <w:i/>
          <w:iCs/>
        </w:rPr>
        <w:t>et al.</w:t>
      </w:r>
      <w:r>
        <w:t>, 2010). This was also found in a case study completed by Wilcock and Milne (2009) that involved 48 junior officers interviewing mock witnesses. The results of this study were that no officers used or attempted to use cognitive interviewing in its entirety during their questioning. The inference drawn from this study was that cognitive interviewing was either too complex for officers that are young in service, or that current training is ineffective in its delivery (Wilcock and Milne, 2009).</w:t>
      </w:r>
    </w:p>
    <w:p w14:paraId="086C30BD" w14:textId="15B942CC" w:rsidR="00BE2E92" w:rsidRDefault="00BE2E92" w:rsidP="00BE2E92">
      <w:pPr>
        <w:ind w:firstLine="720"/>
        <w:jc w:val="both"/>
      </w:pPr>
      <w:r>
        <w:t xml:space="preserve">To conclude, the employment of cognitive interviews within the PEACE model of UK policing has been internationally recognised as being effective. Research papers have recommended forces from other countries adopt cognitive interview methodology to maximise information gathering from victims and witnesses (Memon </w:t>
      </w:r>
      <w:r w:rsidR="00984087" w:rsidRPr="00984087">
        <w:rPr>
          <w:i/>
          <w:iCs/>
        </w:rPr>
        <w:t>et al.</w:t>
      </w:r>
      <w:r>
        <w:t>, 2010). Cognitive interviews yield more information, are beneficial to interviewees and are effective across all demographics. Whilst there may be training challenges for organisations to face during its implementation, the positive effect that cognitive interview techniques have on victim and witness memory recall are well-documented and supported.</w:t>
      </w:r>
      <w:r w:rsidRPr="00DE0C9F">
        <w:t xml:space="preserve"> </w:t>
      </w:r>
      <w:r>
        <w:t>Research by the University of London conducted over a 25-year period concluded that cognitive interviewing was</w:t>
      </w:r>
      <w:r w:rsidRPr="005D07A4">
        <w:t xml:space="preserve"> </w:t>
      </w:r>
      <w:r>
        <w:t xml:space="preserve">overall </w:t>
      </w:r>
      <w:r w:rsidRPr="005D07A4">
        <w:t>a</w:t>
      </w:r>
      <w:r>
        <w:t xml:space="preserve"> more</w:t>
      </w:r>
      <w:r w:rsidRPr="005D07A4">
        <w:t xml:space="preserve"> effective method of interviewing witnesses and </w:t>
      </w:r>
      <w:r>
        <w:t>encouraged law enforcement agencies to adapt their everyday practices to implement it</w:t>
      </w:r>
      <w:r>
        <w:rPr>
          <w:i/>
          <w:iCs/>
        </w:rPr>
        <w:t xml:space="preserve"> </w:t>
      </w:r>
      <w:r>
        <w:t xml:space="preserve">(Memon </w:t>
      </w:r>
      <w:r w:rsidR="00984087" w:rsidRPr="00984087">
        <w:rPr>
          <w:i/>
          <w:iCs/>
        </w:rPr>
        <w:t>et al.</w:t>
      </w:r>
      <w:r>
        <w:t>, 2010).</w:t>
      </w:r>
    </w:p>
    <w:p w14:paraId="39967A68" w14:textId="59EBE512" w:rsidR="00BE2E92" w:rsidRDefault="00BE2E92" w:rsidP="00BE2E92">
      <w:pPr>
        <w:jc w:val="both"/>
      </w:pPr>
      <w:r>
        <w:t>Word count: 10</w:t>
      </w:r>
      <w:r w:rsidR="008E1923">
        <w:t>29</w:t>
      </w:r>
      <w:r>
        <w:t>.</w:t>
      </w:r>
    </w:p>
    <w:p w14:paraId="19F434A0" w14:textId="77777777" w:rsidR="00BE2E92" w:rsidRDefault="00BE2E92" w:rsidP="00BE2E92">
      <w:pPr>
        <w:jc w:val="both"/>
      </w:pPr>
    </w:p>
    <w:p w14:paraId="49B9D108" w14:textId="77777777" w:rsidR="00BE2E92" w:rsidRDefault="00BE2E92" w:rsidP="00BE2E92">
      <w:pPr>
        <w:jc w:val="both"/>
      </w:pPr>
    </w:p>
    <w:p w14:paraId="279EEE32" w14:textId="77777777" w:rsidR="00BE2E92" w:rsidRDefault="00BE2E92" w:rsidP="00BE2E92">
      <w:pPr>
        <w:jc w:val="both"/>
        <w:rPr>
          <w:b/>
          <w:bCs/>
        </w:rPr>
      </w:pPr>
    </w:p>
    <w:p w14:paraId="793F36B2" w14:textId="77777777" w:rsidR="00BE2E92" w:rsidRDefault="00BE2E92" w:rsidP="00BE2E92">
      <w:pPr>
        <w:jc w:val="both"/>
        <w:rPr>
          <w:b/>
          <w:bCs/>
        </w:rPr>
      </w:pPr>
    </w:p>
    <w:p w14:paraId="30629A0D" w14:textId="77777777" w:rsidR="000A05BF" w:rsidRDefault="000A05BF" w:rsidP="00BE2E92">
      <w:pPr>
        <w:jc w:val="both"/>
        <w:rPr>
          <w:b/>
          <w:bCs/>
        </w:rPr>
      </w:pPr>
    </w:p>
    <w:p w14:paraId="4F58FD6D" w14:textId="1724C8FC" w:rsidR="00BE2E92" w:rsidRDefault="00BE2E92" w:rsidP="00BE2E92">
      <w:pPr>
        <w:jc w:val="both"/>
      </w:pPr>
      <w:r w:rsidRPr="003068FB">
        <w:rPr>
          <w:b/>
          <w:bCs/>
        </w:rPr>
        <w:lastRenderedPageBreak/>
        <w:t xml:space="preserve">Essay </w:t>
      </w:r>
      <w:r>
        <w:rPr>
          <w:b/>
          <w:bCs/>
        </w:rPr>
        <w:t>Four</w:t>
      </w:r>
      <w:r w:rsidRPr="003068FB">
        <w:rPr>
          <w:b/>
          <w:bCs/>
        </w:rPr>
        <w:t>:</w:t>
      </w:r>
      <w:r>
        <w:t xml:space="preserve"> </w:t>
      </w:r>
    </w:p>
    <w:p w14:paraId="0EA3B7FB" w14:textId="092251FD" w:rsidR="00BE2E92" w:rsidRPr="00641CB1" w:rsidRDefault="00BE2E92" w:rsidP="00BE2E92">
      <w:pPr>
        <w:jc w:val="both"/>
        <w:rPr>
          <w:i/>
          <w:iCs/>
        </w:rPr>
      </w:pPr>
      <w:r w:rsidRPr="00641CB1">
        <w:rPr>
          <w:i/>
          <w:iCs/>
        </w:rPr>
        <w:t>“Examine the various socio-economic and psychological characteristics which can make people vulnerable to exploitation by criminal gangs.”</w:t>
      </w:r>
    </w:p>
    <w:p w14:paraId="39D5CE82" w14:textId="12BBEB9C" w:rsidR="00BE2E92" w:rsidRDefault="00BE2E92" w:rsidP="00BE2E92">
      <w:pPr>
        <w:jc w:val="both"/>
      </w:pPr>
      <w:r>
        <w:t>Exploitation of vulnerable people in criminality is a prevalent and enduring issue for communities and police forces and the UK Government has recognised the role that criminal gangs play in this (HM Government, 2011). Data captured by the UK Home Office states there were 17,004 potential victims of modern slavery referred through the National Referral Mechanism (NRM)</w:t>
      </w:r>
      <w:r w:rsidR="00590C43">
        <w:t xml:space="preserve"> in 2023</w:t>
      </w:r>
      <w:r>
        <w:t xml:space="preserve">, which marks the highest annual total since the NRM began in 2009 (Prince, 2024). It is therefore important to understand the factors that can make a victim vulnerable to exploitation in its varying forms. A biopsychosocial model developed by Kenneth Dodge and Gregory Pettit (2003) found that biological dispositions and sociocultural contexts place children at risk of engaging in criminality, </w:t>
      </w:r>
      <w:r w:rsidR="00FB24E9">
        <w:t>and that</w:t>
      </w:r>
      <w:r>
        <w:t xml:space="preserve"> ongoing social, familial and life experiences can result in further vulnerability (Dodge and Pettit, 2003). This essay will examine these factors and their links to exploitation by criminal gangs, as well as the concept that addressing vulnerabilities and complex needs should be considered as key facets to crime prevention (Olver and </w:t>
      </w:r>
      <w:proofErr w:type="spellStart"/>
      <w:r>
        <w:t>Cockbain</w:t>
      </w:r>
      <w:proofErr w:type="spellEnd"/>
      <w:r>
        <w:t>, 2021).</w:t>
      </w:r>
    </w:p>
    <w:p w14:paraId="5A601F27" w14:textId="6389AF67" w:rsidR="00BE2E92" w:rsidRDefault="00BE2E92" w:rsidP="00BE2E92">
      <w:pPr>
        <w:jc w:val="both"/>
      </w:pPr>
      <w:r>
        <w:tab/>
        <w:t>The definition of a criminal gang is a heavily discussed topic within academia. A definition that has been offered is that a gang is</w:t>
      </w:r>
      <w:r w:rsidR="00540A98">
        <w:t xml:space="preserve"> a</w:t>
      </w:r>
      <w:r>
        <w:t xml:space="preserve"> </w:t>
      </w:r>
      <w:r w:rsidRPr="00531F52">
        <w:t>“durable street-oriented youth group whose involvement in illegal activity is part of its group identity” (Klein</w:t>
      </w:r>
      <w:r>
        <w:t xml:space="preserve"> </w:t>
      </w:r>
      <w:r w:rsidR="00984087" w:rsidRPr="00984087">
        <w:rPr>
          <w:i/>
          <w:iCs/>
        </w:rPr>
        <w:t>et al.</w:t>
      </w:r>
      <w:r w:rsidRPr="00531F52">
        <w:t>, 2009)</w:t>
      </w:r>
      <w:r>
        <w:t>. However, this essay will align with the view of Ball and Curry (1995) that, rather than adhering to an absolute definition, it is better to focus on the abstract characteristics that gang affiliation and activity are composed of. “Exploitation” is defined as “</w:t>
      </w:r>
      <w:r w:rsidRPr="00637F70">
        <w:t>actual or potential abuse of power to take advantage of another through compulsion, to deny free choice to those in a weaker position</w:t>
      </w:r>
      <w:r>
        <w:t xml:space="preserve">” (Holligan </w:t>
      </w:r>
      <w:r w:rsidR="00984087" w:rsidRPr="00984087">
        <w:rPr>
          <w:i/>
          <w:iCs/>
        </w:rPr>
        <w:t>et al.</w:t>
      </w:r>
      <w:r>
        <w:t>, 2020).</w:t>
      </w:r>
    </w:p>
    <w:p w14:paraId="3497F169" w14:textId="629A8D49" w:rsidR="00BE2E92" w:rsidRPr="00B1769B" w:rsidRDefault="00BE2E92" w:rsidP="00BE2E92">
      <w:pPr>
        <w:jc w:val="both"/>
      </w:pPr>
      <w:r>
        <w:tab/>
        <w:t xml:space="preserve">Socio-economic characteristics typically refer to a person’s extrinsic influences. Although income is a major factor of this, socio-economic status also includes a person’s level of </w:t>
      </w:r>
      <w:r w:rsidRPr="00692866">
        <w:t>education,</w:t>
      </w:r>
      <w:r>
        <w:t xml:space="preserve"> the condition of their</w:t>
      </w:r>
      <w:r w:rsidRPr="00692866">
        <w:t xml:space="preserve"> family structure,</w:t>
      </w:r>
      <w:r>
        <w:t xml:space="preserve"> whether they are employed or unemployed</w:t>
      </w:r>
      <w:r w:rsidRPr="00692866">
        <w:t xml:space="preserve">, and </w:t>
      </w:r>
      <w:r>
        <w:t>if they live within ethnic</w:t>
      </w:r>
      <w:r w:rsidRPr="00692866">
        <w:t xml:space="preserve"> minority groups </w:t>
      </w:r>
      <w:r>
        <w:t>(Tarver, 2022). Understanding socio-economic characteristics is vital to determine the availability of resources and opportunities within a population when identifying factors that criminal gangs can exploit within their recruitment processes (Macionis and Plummer, 2011). Communities with less resources and low employment rates are linked to higher levels of criminality, as this causes individuals to be alienated from societal values and results in them engaging in criminal behaviour</w:t>
      </w:r>
      <w:r>
        <w:rPr>
          <w:i/>
          <w:iCs/>
        </w:rPr>
        <w:t xml:space="preserve"> </w:t>
      </w:r>
      <w:r>
        <w:t xml:space="preserve">(Itskovich and Factor, 2023). This aligns with characteristics discussed in Edwin Sutherland’s Differential Association Theory that identified low school attainment, living in poverty and poor parenting </w:t>
      </w:r>
      <w:r w:rsidRPr="005E6F2D">
        <w:t>were significant risk factors that contributed to child criminality</w:t>
      </w:r>
      <w:r>
        <w:t xml:space="preserve"> and criminal exploitation</w:t>
      </w:r>
      <w:r>
        <w:rPr>
          <w:i/>
          <w:iCs/>
        </w:rPr>
        <w:t xml:space="preserve"> </w:t>
      </w:r>
      <w:r>
        <w:t xml:space="preserve">(Nickerson, 2023). An example of this socio-economic focussed exploitation can be seen within County Lines offences, wherein organised criminal networks exploit the young and vulnerable into participating in crime on a wider network (Harding, 2020). Analysis of socio-economic factors within this exploitation type and data from Home Office NRM referrals shows that male children from poor and social care backgrounds are the highest frequency of criminally exploited victim (Prince, 2024). </w:t>
      </w:r>
      <w:r w:rsidR="00CF5FCB">
        <w:t xml:space="preserve">However, </w:t>
      </w:r>
      <w:r w:rsidR="00CF5FCB">
        <w:t xml:space="preserve">research suggests that the implementation of basic educational skills and employment training have been shown to be effective </w:t>
      </w:r>
      <w:r w:rsidR="00CF5FCB">
        <w:t>in</w:t>
      </w:r>
      <w:r w:rsidR="00666FEF">
        <w:t xml:space="preserve"> mitigat</w:t>
      </w:r>
      <w:r w:rsidR="00CF5FCB">
        <w:t>ing</w:t>
      </w:r>
      <w:r w:rsidR="00666FEF">
        <w:t xml:space="preserve"> negative socio-economic influences on </w:t>
      </w:r>
      <w:r w:rsidR="00D2537C">
        <w:t>vulnerable people</w:t>
      </w:r>
      <w:r w:rsidR="001A0620">
        <w:t xml:space="preserve"> </w:t>
      </w:r>
      <w:r>
        <w:t>(Cliff, 2012).</w:t>
      </w:r>
    </w:p>
    <w:p w14:paraId="4415259B" w14:textId="576C8DD7" w:rsidR="00BE2E92" w:rsidRDefault="00BE2E92" w:rsidP="00BE2E92">
      <w:pPr>
        <w:ind w:firstLine="720"/>
        <w:jc w:val="both"/>
      </w:pPr>
      <w:r>
        <w:t xml:space="preserve">Psychological characteristics in relation to vulnerability of exploitation refer to a person’s intrinsic factors. A study of 798 school students found that high levels of delinquency, low levels of obedience and valuing social status were psychological characteristics that were key factors </w:t>
      </w:r>
      <w:r>
        <w:lastRenderedPageBreak/>
        <w:t>in criminal gang membership (Alleyne and Wood, 2010). Further psychological characteristics within criminal exploitation are those of issues around self-esteem and an individual’s value hierarchy, which is linked to other socio-economic factors. An individual that is not able to achieve their personal goals, due to a lack of socio-economic resources or appropriate support networks, has the potential to turn to criminality instead</w:t>
      </w:r>
      <w:r w:rsidR="009110D8">
        <w:t xml:space="preserve"> </w:t>
      </w:r>
      <w:r w:rsidR="009110D8">
        <w:t>(Agnew, 1985)</w:t>
      </w:r>
      <w:r>
        <w:t>. Furthermore, if an adolescent is psychologically frustrated by socially compelled environments, such as their education or living setting, they are likely to seek escape through behaviour, such as anger-based delinquency (Agnew, 1985).</w:t>
      </w:r>
      <w:r w:rsidRPr="003F6C11">
        <w:t xml:space="preserve"> </w:t>
      </w:r>
      <w:r>
        <w:t xml:space="preserve">These psychological factors increase the likelihood of the appeal of organised criminality and </w:t>
      </w:r>
      <w:r w:rsidR="00C95FC1">
        <w:t>increase the risk of</w:t>
      </w:r>
      <w:r>
        <w:t xml:space="preserve"> subsequent exploitation within that lifestyle. Research has shown that measures to lessen exploitation risks that come from psychological factors should be specific and were successful when targeting two </w:t>
      </w:r>
      <w:r w:rsidR="008A0FF3">
        <w:t>aspects</w:t>
      </w:r>
      <w:r>
        <w:t>: “the criminal behaviour itself (called contingency management strategies) or precursor factors (cognitive behavioural therapy)” (Cliff, 2012).</w:t>
      </w:r>
    </w:p>
    <w:p w14:paraId="7A508AB0" w14:textId="77777777" w:rsidR="00BE2E92" w:rsidRDefault="00BE2E92" w:rsidP="00BE2E92">
      <w:pPr>
        <w:ind w:firstLine="720"/>
        <w:jc w:val="both"/>
      </w:pPr>
      <w:r>
        <w:t>Psychological and socio-economic factors also increase a person’s exposure to trauma or victimisation. For children, this can result in them facing Adverse Childhood Experiences (ACEs). ACEs arise when a child is subjected to living in a household with domestic violence, abuse, drug and alcohol misuse, familial and social criminality, and neglect (Scott, 2020). Exposure to ACEs, especially four or more kinds, aligns with theories that there are strong links between childhood traumas and criminality (Bisset, 2018). Analysis of this presents that exposure to childhood trauma, and the inherent psychological implications this brings, increases a person’s vulnerability to exploitation by criminal gangs.</w:t>
      </w:r>
    </w:p>
    <w:p w14:paraId="7EE58AE7" w14:textId="1F371065" w:rsidR="00BE2E92" w:rsidRDefault="00BE2E92" w:rsidP="00BE2E92">
      <w:pPr>
        <w:jc w:val="both"/>
      </w:pPr>
      <w:r>
        <w:tab/>
        <w:t xml:space="preserve">Criminal gangs draw on socio-economic and psychological factors for their recruitment methods. Psychologically, research highlights the abusive nature of gang recruitment and how senior members will take advantage of the </w:t>
      </w:r>
      <w:r w:rsidR="008A0FF3">
        <w:t xml:space="preserve">young </w:t>
      </w:r>
      <w:r>
        <w:t xml:space="preserve">age and immaturity of potential victims (McLean </w:t>
      </w:r>
      <w:r w:rsidR="00984087" w:rsidRPr="00984087">
        <w:rPr>
          <w:i/>
          <w:iCs/>
        </w:rPr>
        <w:t>et al.</w:t>
      </w:r>
      <w:r>
        <w:t xml:space="preserve">, 2019). Socio-economically, studies show that financial and social incentives are the main attractors for </w:t>
      </w:r>
      <w:r w:rsidR="007F71E0">
        <w:t>vulnerable</w:t>
      </w:r>
      <w:r>
        <w:t xml:space="preserve"> people in relation to County Lines activity (Densley </w:t>
      </w:r>
      <w:r w:rsidR="00984087" w:rsidRPr="00984087">
        <w:rPr>
          <w:i/>
          <w:iCs/>
        </w:rPr>
        <w:t>et al</w:t>
      </w:r>
      <w:r>
        <w:t xml:space="preserve">., 2020). These incentives are </w:t>
      </w:r>
      <w:r w:rsidR="008A0FF3">
        <w:t>compounded</w:t>
      </w:r>
      <w:r>
        <w:t xml:space="preserve"> if a victim has been exposed to the aforementioned factors relating to societal restrictions, emotional or traumatic inhibitors, and ACEs. Criminal gangs also identify targets for recruitment in demographics that resist social institutions before using progressive stages of involvement in gang activity. These stages include befriending the vulnerable individual, building trust and giving them responsibilities within the organisation, and then using threats and intimidation to force subjects into exploitative practices (Parr-Morley, 2023).</w:t>
      </w:r>
    </w:p>
    <w:p w14:paraId="470EC19E" w14:textId="485922B2" w:rsidR="00BE2E92" w:rsidRPr="0055345A" w:rsidRDefault="00BE2E92" w:rsidP="00BE2E92">
      <w:pPr>
        <w:jc w:val="both"/>
      </w:pPr>
      <w:r>
        <w:tab/>
        <w:t>In conclusion, organised criminal gangs will seek to exploit victims who have</w:t>
      </w:r>
      <w:r w:rsidR="008A0ACD">
        <w:t xml:space="preserve"> experienced</w:t>
      </w:r>
      <w:r>
        <w:t>, or are currently experiencing</w:t>
      </w:r>
      <w:r w:rsidR="008A0ACD">
        <w:t>,</w:t>
      </w:r>
      <w:r>
        <w:t xml:space="preserve"> deficiencies in socio-economic or psychological aspects of their lives. Examination of socio-economic characteristics of victim vulnerability shows that economic inequality, gaps in resources within social support, low employment, unhealthy family structure and a lack of societal opportunity all contribute to the exploitation of vulnerable people in criminality. Psychological factors such as low self-esteem, perceived impossibility of attaining valued goals, low levels of obedience and exposure to ACEs compound these societal issues. The socio-economic and psychological factors presented in this essay are important because of their </w:t>
      </w:r>
      <w:r w:rsidR="00066812">
        <w:t>compounding</w:t>
      </w:r>
      <w:r>
        <w:t xml:space="preserve"> effect on one another</w:t>
      </w:r>
      <w:r w:rsidR="005440B1">
        <w:t xml:space="preserve">, as </w:t>
      </w:r>
      <w:r w:rsidR="00066812">
        <w:t>displayed in the example of County Lines criminality.</w:t>
      </w:r>
    </w:p>
    <w:p w14:paraId="17E4D61E" w14:textId="52D6EB1E" w:rsidR="00925376" w:rsidRDefault="00BE2E92" w:rsidP="00BE2E92">
      <w:pPr>
        <w:jc w:val="both"/>
      </w:pPr>
      <w:r>
        <w:t>Word count: 10</w:t>
      </w:r>
      <w:r w:rsidR="00066812">
        <w:t>95</w:t>
      </w:r>
      <w:r>
        <w:t>.</w:t>
      </w:r>
    </w:p>
    <w:p w14:paraId="0BBBAE54" w14:textId="77777777" w:rsidR="00BE2E92" w:rsidRDefault="00BE2E92" w:rsidP="00BE2E92">
      <w:pPr>
        <w:jc w:val="both"/>
        <w:rPr>
          <w:b/>
          <w:bCs/>
        </w:rPr>
      </w:pPr>
    </w:p>
    <w:p w14:paraId="5D873800" w14:textId="666354DE" w:rsidR="00925376" w:rsidRDefault="00925376" w:rsidP="00BE2E92">
      <w:pPr>
        <w:jc w:val="both"/>
        <w:rPr>
          <w:b/>
          <w:bCs/>
        </w:rPr>
      </w:pPr>
      <w:r w:rsidRPr="00925376">
        <w:rPr>
          <w:b/>
          <w:bCs/>
        </w:rPr>
        <w:lastRenderedPageBreak/>
        <w:t>Bibliography</w:t>
      </w:r>
    </w:p>
    <w:p w14:paraId="5801133D" w14:textId="79E592F6" w:rsidR="00925376" w:rsidRPr="00925376" w:rsidRDefault="00925376" w:rsidP="00BE2E92">
      <w:pPr>
        <w:jc w:val="both"/>
      </w:pPr>
      <w:r w:rsidRPr="00925376">
        <w:t xml:space="preserve">Agnew, R. (1985) </w:t>
      </w:r>
      <w:r w:rsidRPr="00925376">
        <w:rPr>
          <w:i/>
          <w:iCs/>
        </w:rPr>
        <w:t>‘A Revised Strain Theory of Delinquency’</w:t>
      </w:r>
      <w:r w:rsidRPr="00925376">
        <w:t>, Social Forces, 64(1). Doi:10.1093/sf/64.1.151.</w:t>
      </w:r>
    </w:p>
    <w:p w14:paraId="3C4BEED1" w14:textId="214CBE11" w:rsidR="00925376" w:rsidRDefault="00925376" w:rsidP="00BE2E92">
      <w:pPr>
        <w:jc w:val="both"/>
      </w:pPr>
      <w:r>
        <w:t xml:space="preserve">Alison, L.J. and Crego, J. (2015) </w:t>
      </w:r>
      <w:r w:rsidRPr="00925376">
        <w:rPr>
          <w:i/>
          <w:iCs/>
        </w:rPr>
        <w:t>Policing critical incidents: Leadership and critical incident management</w:t>
      </w:r>
      <w:r>
        <w:t>. London: Taylor and Francis Group.</w:t>
      </w:r>
    </w:p>
    <w:p w14:paraId="481591BB" w14:textId="6EC30C44" w:rsidR="00925376" w:rsidRPr="00925376" w:rsidRDefault="00925376" w:rsidP="00BE2E92">
      <w:pPr>
        <w:jc w:val="both"/>
      </w:pPr>
      <w:r w:rsidRPr="00925376">
        <w:t xml:space="preserve">Alleyne, E., and Wood, J. L. (2014) </w:t>
      </w:r>
      <w:r w:rsidRPr="00925376">
        <w:rPr>
          <w:i/>
          <w:iCs/>
        </w:rPr>
        <w:t>Gang Involvement: Social and Environmental Factors</w:t>
      </w:r>
      <w:r w:rsidRPr="00925376">
        <w:t xml:space="preserve">. Crime </w:t>
      </w:r>
      <w:r>
        <w:t>and</w:t>
      </w:r>
      <w:r w:rsidRPr="00925376">
        <w:t xml:space="preserve"> Delinquency, 60(4). Doi: 10.1177/0011128711398029.</w:t>
      </w:r>
    </w:p>
    <w:p w14:paraId="7E84898C" w14:textId="736CE073" w:rsidR="00925376" w:rsidRPr="00925376" w:rsidRDefault="00925376" w:rsidP="00BE2E92">
      <w:pPr>
        <w:jc w:val="both"/>
      </w:pPr>
      <w:r w:rsidRPr="00925376">
        <w:t xml:space="preserve">Annan, L. G., </w:t>
      </w:r>
      <w:proofErr w:type="spellStart"/>
      <w:r w:rsidRPr="00925376">
        <w:t>Gaoua</w:t>
      </w:r>
      <w:proofErr w:type="spellEnd"/>
      <w:r w:rsidRPr="00925376">
        <w:t xml:space="preserve">, N., Mileva, K., and Borges, M. (2022) </w:t>
      </w:r>
      <w:r w:rsidRPr="00925376">
        <w:rPr>
          <w:i/>
          <w:iCs/>
        </w:rPr>
        <w:t>What makes young people get involved with street gangs in London? A study of the perceived risk factors</w:t>
      </w:r>
      <w:r w:rsidRPr="00925376">
        <w:t>. Journal of Community Psychology, 50. Available at: https://doi-org.ezproxy.uwtsd.ac.uk/10.1002/jcop.22767 (</w:t>
      </w:r>
      <w:r w:rsidR="006B7AF8">
        <w:t>A</w:t>
      </w:r>
      <w:r w:rsidRPr="00925376">
        <w:t>ccessed</w:t>
      </w:r>
      <w:r w:rsidR="006B7AF8">
        <w:t>:</w:t>
      </w:r>
      <w:r w:rsidRPr="00925376">
        <w:t xml:space="preserve"> 23 May 2024).</w:t>
      </w:r>
    </w:p>
    <w:p w14:paraId="3D9DBF2A" w14:textId="64745343" w:rsidR="00925376" w:rsidRDefault="00925376" w:rsidP="00BE2E92">
      <w:pPr>
        <w:jc w:val="both"/>
      </w:pPr>
      <w:r>
        <w:t>Ariel, B., Farrar, W.A. &amp; Sutherland, A. (2015)</w:t>
      </w:r>
      <w:r w:rsidR="00BE2E92">
        <w:t xml:space="preserve"> </w:t>
      </w:r>
      <w:r w:rsidRPr="00925376">
        <w:rPr>
          <w:i/>
          <w:iCs/>
        </w:rPr>
        <w:t>The Effect of Police Body-Worn Cameras on Use of Force and Citizens’ Complaints Against the Police: A Randomized Controlled Trial</w:t>
      </w:r>
      <w:r>
        <w:t>. J Quant Criminal 31. DOI: 10.1007/s10940-014-9236-3.</w:t>
      </w:r>
    </w:p>
    <w:p w14:paraId="67BB791C" w14:textId="77777777" w:rsidR="00925376" w:rsidRPr="00925376" w:rsidRDefault="00925376" w:rsidP="00BE2E92">
      <w:pPr>
        <w:jc w:val="both"/>
      </w:pPr>
      <w:r w:rsidRPr="00925376">
        <w:t xml:space="preserve">Ball, R., and Curry, G. (1995) </w:t>
      </w:r>
      <w:r w:rsidRPr="00925376">
        <w:rPr>
          <w:i/>
          <w:iCs/>
        </w:rPr>
        <w:t>The Logic of Definition in Criminology: Purposes and Methods for Defining “Gangs”</w:t>
      </w:r>
      <w:r w:rsidRPr="00925376">
        <w:t>. Criminology, 33. Doi: 10.1111/J.1745-9125.1995.Tb01177.X</w:t>
      </w:r>
    </w:p>
    <w:p w14:paraId="1E22129F" w14:textId="0202CD57" w:rsidR="00925376" w:rsidRDefault="00925376" w:rsidP="00BE2E92">
      <w:pPr>
        <w:jc w:val="both"/>
      </w:pPr>
      <w:r>
        <w:t xml:space="preserve">Barrett, E. and Francis, M. (2016) </w:t>
      </w:r>
      <w:r w:rsidRPr="00925376">
        <w:rPr>
          <w:i/>
          <w:iCs/>
        </w:rPr>
        <w:t>The cognitive interview: How research has improved practice</w:t>
      </w:r>
      <w:r w:rsidRPr="00925376">
        <w:t>, CREST Research</w:t>
      </w:r>
      <w:r>
        <w:t>. Available at: https://crestresearch.ac.uk/comment/the-cognitive-interview/ (Accessed: 21 November 2023).</w:t>
      </w:r>
    </w:p>
    <w:p w14:paraId="1C31235F" w14:textId="053FF767" w:rsidR="00925376" w:rsidRPr="00925376" w:rsidRDefault="00925376" w:rsidP="00BE2E92">
      <w:pPr>
        <w:jc w:val="both"/>
      </w:pPr>
      <w:r w:rsidRPr="00925376">
        <w:t xml:space="preserve">Bisset, C. (2018) </w:t>
      </w:r>
      <w:r w:rsidRPr="00925376">
        <w:rPr>
          <w:i/>
          <w:iCs/>
        </w:rPr>
        <w:t>Understanding childhood adversity, resilience and crime, Scottish Government</w:t>
      </w:r>
      <w:r w:rsidRPr="00925376">
        <w:t>. Available at: https://www.gov.scot/publications/undertanding-childhood-adversity-resilience-crime/ (Accessed: 11 December 2023).</w:t>
      </w:r>
    </w:p>
    <w:p w14:paraId="2426C38A" w14:textId="38C5544E" w:rsidR="00925376" w:rsidRDefault="00925376" w:rsidP="00BE2E92">
      <w:pPr>
        <w:jc w:val="both"/>
      </w:pPr>
      <w:r>
        <w:t xml:space="preserve">Bowling, B. (2023) </w:t>
      </w:r>
      <w:r w:rsidRPr="00925376">
        <w:rPr>
          <w:i/>
          <w:iCs/>
        </w:rPr>
        <w:t>Stephen Lawrence: His death changed British law forever but trust in police has yet to recover</w:t>
      </w:r>
      <w:r>
        <w:t>, The Conversation. Available at: https://theconversation.com/stephen-lawrence-his-death-chaned-british-law-forever-but-trust-in-police-has-yet-to-reover-95091 (Accessed: 09 January 2024).</w:t>
      </w:r>
    </w:p>
    <w:p w14:paraId="7E28384E" w14:textId="21EA68DB" w:rsidR="00925376" w:rsidRDefault="00925376" w:rsidP="00BE2E92">
      <w:pPr>
        <w:jc w:val="both"/>
      </w:pPr>
      <w:r>
        <w:t xml:space="preserve">Brain, T. (2013) </w:t>
      </w:r>
      <w:r w:rsidRPr="00925376">
        <w:rPr>
          <w:i/>
          <w:iCs/>
        </w:rPr>
        <w:t>A Future For Policing in England and Wales</w:t>
      </w:r>
      <w:r>
        <w:t>. Oxford: Oxford University Press.</w:t>
      </w:r>
    </w:p>
    <w:p w14:paraId="68050ADC" w14:textId="4CE2552C" w:rsidR="00925376" w:rsidRDefault="00925376" w:rsidP="00BE2E92">
      <w:pPr>
        <w:jc w:val="both"/>
      </w:pPr>
      <w:r>
        <w:t xml:space="preserve">Brown, O., Power, N., and Conchie S. (2021) </w:t>
      </w:r>
      <w:r w:rsidRPr="00925376">
        <w:rPr>
          <w:i/>
          <w:iCs/>
        </w:rPr>
        <w:t>Communication and coordination across event phases: A multi</w:t>
      </w:r>
      <w:r w:rsidRPr="00925376">
        <w:rPr>
          <w:rFonts w:ascii="Cambria Math" w:hAnsi="Cambria Math" w:cs="Cambria Math"/>
          <w:i/>
          <w:iCs/>
        </w:rPr>
        <w:t>‐</w:t>
      </w:r>
      <w:r w:rsidRPr="00925376">
        <w:rPr>
          <w:i/>
          <w:iCs/>
        </w:rPr>
        <w:t>team system emergency response</w:t>
      </w:r>
      <w:r>
        <w:t>, Journal of occupational and organizational psychology, vol 93. British Psychological Society. Doi: 10.1111/joop.12349.</w:t>
      </w:r>
    </w:p>
    <w:p w14:paraId="247E83F3" w14:textId="4C82B18D" w:rsidR="00925376" w:rsidRDefault="00925376" w:rsidP="00BE2E92">
      <w:pPr>
        <w:jc w:val="both"/>
      </w:pPr>
      <w:r>
        <w:t xml:space="preserve">Clarke, C. and Milne, RJ. (2001) </w:t>
      </w:r>
      <w:r w:rsidRPr="00925376">
        <w:rPr>
          <w:i/>
          <w:iCs/>
        </w:rPr>
        <w:t>National Evaluation of the PEACE Investigative Interviewing Course</w:t>
      </w:r>
      <w:r>
        <w:t>. PRAS, no. 149, Home Office, London.</w:t>
      </w:r>
    </w:p>
    <w:p w14:paraId="2498B594" w14:textId="2C7CD84C" w:rsidR="00925376" w:rsidRPr="00925376" w:rsidRDefault="00925376" w:rsidP="00BE2E92">
      <w:pPr>
        <w:jc w:val="both"/>
      </w:pPr>
      <w:r w:rsidRPr="00925376">
        <w:t xml:space="preserve">Cliff, G. (2012) </w:t>
      </w:r>
      <w:r w:rsidRPr="00925376">
        <w:rPr>
          <w:i/>
          <w:iCs/>
        </w:rPr>
        <w:t>A fundamental mistake: Human nature, coercion and bad behaviour</w:t>
      </w:r>
      <w:r w:rsidRPr="00925376">
        <w:t>. Leicester: Matador.</w:t>
      </w:r>
    </w:p>
    <w:p w14:paraId="117AC05E" w14:textId="6CFDD0CE" w:rsidR="00925376" w:rsidRDefault="00925376" w:rsidP="00BE2E92">
      <w:pPr>
        <w:jc w:val="both"/>
      </w:pPr>
      <w:r>
        <w:t>College of Policing</w:t>
      </w:r>
      <w:r w:rsidR="00037414">
        <w:t>.</w:t>
      </w:r>
      <w:r>
        <w:t xml:space="preserve"> (2013a) </w:t>
      </w:r>
      <w:r w:rsidRPr="00925376">
        <w:rPr>
          <w:i/>
          <w:iCs/>
        </w:rPr>
        <w:t>Definitions</w:t>
      </w:r>
      <w:r>
        <w:t>, College of Policing. Available at: https://www.college.police.uk/app/civil-emergencies/disaster-victim-identification/definitions (Accessed: 09 January 2024).</w:t>
      </w:r>
    </w:p>
    <w:p w14:paraId="2D328235" w14:textId="60406359" w:rsidR="00925376" w:rsidRDefault="00925376" w:rsidP="00BE2E92">
      <w:pPr>
        <w:jc w:val="both"/>
      </w:pPr>
      <w:r>
        <w:lastRenderedPageBreak/>
        <w:t>College of Policing</w:t>
      </w:r>
      <w:r w:rsidR="00037414">
        <w:t>.</w:t>
      </w:r>
      <w:r>
        <w:t xml:space="preserve"> (2013b) </w:t>
      </w:r>
      <w:r w:rsidRPr="00925376">
        <w:rPr>
          <w:i/>
          <w:iCs/>
        </w:rPr>
        <w:t>Introduction and types of critical incidents</w:t>
      </w:r>
      <w:r>
        <w:t>, College of Policing. Available at: https://www.college.police.uk/app/critical-incident-management/introduction-and-types-critical-incidents (Accessed: 09 January 2024).</w:t>
      </w:r>
    </w:p>
    <w:p w14:paraId="05B9FD9B" w14:textId="2130388E" w:rsidR="00925376" w:rsidRDefault="00925376" w:rsidP="00BE2E92">
      <w:pPr>
        <w:jc w:val="both"/>
      </w:pPr>
      <w:r>
        <w:t>College of Policing</w:t>
      </w:r>
      <w:r w:rsidR="00037414">
        <w:t>.</w:t>
      </w:r>
      <w:r>
        <w:t xml:space="preserve"> (2013c) </w:t>
      </w:r>
      <w:r w:rsidRPr="00925376">
        <w:rPr>
          <w:i/>
          <w:iCs/>
        </w:rPr>
        <w:t>Phase 2 – managing critical incidents</w:t>
      </w:r>
      <w:r>
        <w:t>, College of Policing. Available at: https://www.college.police.uk/app/critical-incident-management/phase-2-managing-critical-incidents (Accessed: 09 January 2024).</w:t>
      </w:r>
    </w:p>
    <w:p w14:paraId="4B42C853" w14:textId="396C3AD0" w:rsidR="00925376" w:rsidRDefault="00925376" w:rsidP="00BE2E92">
      <w:pPr>
        <w:jc w:val="both"/>
      </w:pPr>
      <w:r>
        <w:t xml:space="preserve">College of Policing. (2015) </w:t>
      </w:r>
      <w:r w:rsidRPr="00925376">
        <w:rPr>
          <w:i/>
          <w:iCs/>
        </w:rPr>
        <w:t>Professional standards</w:t>
      </w:r>
      <w:r>
        <w:t>, College of Policing. Available at: https://www.college.police.uk/app/professional-standards (Accessed: 08 May 2024).</w:t>
      </w:r>
    </w:p>
    <w:p w14:paraId="5C0BE7A6" w14:textId="3BDA1BE0" w:rsidR="00925376" w:rsidRDefault="00925376" w:rsidP="00BE2E92">
      <w:pPr>
        <w:jc w:val="both"/>
      </w:pPr>
      <w:r>
        <w:t xml:space="preserve">College of Policing. (2022) </w:t>
      </w:r>
      <w:r w:rsidRPr="00925376">
        <w:rPr>
          <w:i/>
          <w:iCs/>
        </w:rPr>
        <w:t>Investigative interviewing</w:t>
      </w:r>
      <w:r>
        <w:t>. Available at: https://www.college.police.uk/app/investigation/investigative-interviewing/investigative-interviewing (Accessed: 21 November 2023).</w:t>
      </w:r>
    </w:p>
    <w:p w14:paraId="4FC2C0CB" w14:textId="7A5C23E6" w:rsidR="00925376" w:rsidRDefault="00925376" w:rsidP="00BE2E92">
      <w:pPr>
        <w:jc w:val="both"/>
      </w:pPr>
      <w:r>
        <w:t xml:space="preserve">College of Policing. (2023) </w:t>
      </w:r>
      <w:r w:rsidRPr="00925376">
        <w:rPr>
          <w:i/>
          <w:iCs/>
        </w:rPr>
        <w:t>Code of practice for ethical policing</w:t>
      </w:r>
      <w:r>
        <w:t>, College of Policing. Available at: https://www.college.police.uk/ethics/code-of-practice (Accessed: 08 May 2024).</w:t>
      </w:r>
    </w:p>
    <w:p w14:paraId="7D6AFE63" w14:textId="4D741BD2" w:rsidR="00925376" w:rsidRDefault="00925376" w:rsidP="00BE2E92">
      <w:pPr>
        <w:jc w:val="both"/>
      </w:pPr>
      <w:r>
        <w:t xml:space="preserve">Dando, C., Wilcock, R. and Milne, R. (2009) </w:t>
      </w:r>
      <w:r w:rsidRPr="00925376">
        <w:rPr>
          <w:i/>
          <w:iCs/>
        </w:rPr>
        <w:t>The Cognitive Interview: novice police officers’ witness/victim interviewing practices</w:t>
      </w:r>
      <w:r>
        <w:t>, Psychology, Crime &amp; Law, 15(8), pp. Doi: 10.1080/10683160802203963.</w:t>
      </w:r>
    </w:p>
    <w:p w14:paraId="0CAE2995" w14:textId="4D4E3C82" w:rsidR="00925376" w:rsidRPr="00925376" w:rsidRDefault="00925376" w:rsidP="00BE2E92">
      <w:pPr>
        <w:jc w:val="both"/>
      </w:pPr>
      <w:r w:rsidRPr="00925376">
        <w:t xml:space="preserve">Densley, J., Deuchar, R. and Harding, S. (2020) </w:t>
      </w:r>
      <w:r w:rsidRPr="00925376">
        <w:rPr>
          <w:i/>
          <w:iCs/>
        </w:rPr>
        <w:t>‘An introduction to gangs and serious youth violence in the United Kingdom’</w:t>
      </w:r>
      <w:r w:rsidRPr="00925376">
        <w:t>, Youth Justice, 20(1-2). Doi: 10.1177/1473225420902848.</w:t>
      </w:r>
    </w:p>
    <w:p w14:paraId="107DF84C" w14:textId="0F6FC110" w:rsidR="00925376" w:rsidRPr="00925376" w:rsidRDefault="00925376" w:rsidP="00BE2E92">
      <w:pPr>
        <w:jc w:val="both"/>
      </w:pPr>
      <w:r w:rsidRPr="00925376">
        <w:t xml:space="preserve">Dodge K. and Pettit G. (2003) </w:t>
      </w:r>
      <w:r w:rsidRPr="00925376">
        <w:rPr>
          <w:i/>
          <w:iCs/>
        </w:rPr>
        <w:t>A biopsychosocial model of the development of chronic conduct problems in adolescence</w:t>
      </w:r>
      <w:r w:rsidRPr="00925376">
        <w:t>. Dev Psychol. 2003 Mar;39(2):349-71. Doi: 10.1037//0012-1649.39.2.349.</w:t>
      </w:r>
    </w:p>
    <w:p w14:paraId="4BAB33CE" w14:textId="03EF53D5" w:rsidR="00925376" w:rsidRDefault="00925376" w:rsidP="00BE2E92">
      <w:pPr>
        <w:jc w:val="both"/>
      </w:pPr>
      <w:r>
        <w:t xml:space="preserve">Fairfield, G. (2023) </w:t>
      </w:r>
      <w:r w:rsidRPr="00925376">
        <w:rPr>
          <w:i/>
          <w:iCs/>
        </w:rPr>
        <w:t>Independent Review of the Independent Office for Police Conduct (IOPC)</w:t>
      </w:r>
      <w:r>
        <w:t>. Available at: https://assets.publishing.service.gov.uk/media/65f458f6af6a0d001190d4fc/Independent+Review+of+the+Independent+Office+for+Police+Conduct+.pdf (Accessed: 23 May 2024).</w:t>
      </w:r>
    </w:p>
    <w:p w14:paraId="01EF4885" w14:textId="50CA8223" w:rsidR="00925376" w:rsidRDefault="00925376" w:rsidP="00BE2E92">
      <w:pPr>
        <w:jc w:val="both"/>
      </w:pPr>
      <w:r>
        <w:t xml:space="preserve">Fan, M.D. (2019) </w:t>
      </w:r>
      <w:r w:rsidRPr="00925376">
        <w:rPr>
          <w:i/>
          <w:iCs/>
        </w:rPr>
        <w:t>Camera power: Proof, policing, Privacy, and Audiovisual Big Data</w:t>
      </w:r>
      <w:r>
        <w:t>. Cambridge: Cambridge University Press.</w:t>
      </w:r>
    </w:p>
    <w:p w14:paraId="53BDD242" w14:textId="063C425C" w:rsidR="00925376" w:rsidRDefault="00925376" w:rsidP="00BE2E92">
      <w:pPr>
        <w:jc w:val="both"/>
      </w:pPr>
      <w:r>
        <w:t xml:space="preserve">Fisher, R.P. and Geiselman, R.E. (2006) </w:t>
      </w:r>
      <w:r w:rsidRPr="00925376">
        <w:rPr>
          <w:i/>
          <w:iCs/>
        </w:rPr>
        <w:t>Memory-enhancing techniques for investigative interviewing: The cognitive interview</w:t>
      </w:r>
      <w:r>
        <w:t>. Springfield, IL: Charles C. Thomas Publisher.</w:t>
      </w:r>
    </w:p>
    <w:p w14:paraId="343813CF" w14:textId="3D0BBC1C" w:rsidR="00925376" w:rsidRDefault="00925376" w:rsidP="00BE2E92">
      <w:pPr>
        <w:jc w:val="both"/>
      </w:pPr>
      <w:r>
        <w:t xml:space="preserve">Gold, J. (2022) </w:t>
      </w:r>
      <w:r w:rsidRPr="00925376">
        <w:rPr>
          <w:i/>
          <w:iCs/>
        </w:rPr>
        <w:t>‘Improving community relations in the police through procedural justice – an action learning initiative’</w:t>
      </w:r>
      <w:r>
        <w:t>, Action Learning: Research and Practice, 19(3). DOI: 10.1080/14767333.2022.2129586.</w:t>
      </w:r>
    </w:p>
    <w:p w14:paraId="665CB0E8" w14:textId="166BB502" w:rsidR="00925376" w:rsidRDefault="00925376" w:rsidP="00BE2E92">
      <w:pPr>
        <w:jc w:val="both"/>
      </w:pPr>
      <w:r>
        <w:t xml:space="preserve">Gooch, K., and Von Berg, P. (2019) </w:t>
      </w:r>
      <w:r w:rsidRPr="00925376">
        <w:rPr>
          <w:i/>
          <w:iCs/>
        </w:rPr>
        <w:t>What Happens in the Beginning, Matters in the End: Achieving Best Evidence with Child Suspects in the Police Station</w:t>
      </w:r>
      <w:r>
        <w:t>, Youth Justice. Available at: https://doi-org.ezproxy.uwtsd.ac.uk/10.1177/1473225419868840 (Accessed: 23 May 2024).</w:t>
      </w:r>
    </w:p>
    <w:p w14:paraId="0CFBA3C7" w14:textId="549C9778" w:rsidR="00925376" w:rsidRDefault="00925376" w:rsidP="00BE2E92">
      <w:pPr>
        <w:jc w:val="both"/>
      </w:pPr>
      <w:r>
        <w:t xml:space="preserve">Hall, C., Lowther, C. and Marsh, A. (2021) </w:t>
      </w:r>
      <w:r w:rsidRPr="00925376">
        <w:rPr>
          <w:i/>
          <w:iCs/>
        </w:rPr>
        <w:t xml:space="preserve">3rd </w:t>
      </w:r>
      <w:proofErr w:type="spellStart"/>
      <w:r w:rsidRPr="00925376">
        <w:rPr>
          <w:i/>
          <w:iCs/>
        </w:rPr>
        <w:t>edn</w:t>
      </w:r>
      <w:proofErr w:type="spellEnd"/>
      <w:r w:rsidRPr="00925376">
        <w:rPr>
          <w:i/>
          <w:iCs/>
        </w:rPr>
        <w:t>, Joint Doctrine: The Interoperability Framework</w:t>
      </w:r>
      <w:r>
        <w:t>, JESIP.</w:t>
      </w:r>
    </w:p>
    <w:p w14:paraId="2CC6C78F" w14:textId="649F76C7" w:rsidR="00925376" w:rsidRDefault="00925376" w:rsidP="00BE2E92">
      <w:pPr>
        <w:jc w:val="both"/>
      </w:pPr>
      <w:r>
        <w:t xml:space="preserve">Halley, J. (2022) </w:t>
      </w:r>
      <w:r w:rsidRPr="00925376">
        <w:rPr>
          <w:i/>
          <w:iCs/>
        </w:rPr>
        <w:t>Structured Models for Police Interviewing UK and Norway: PEACE, PRICE and KREATIV</w:t>
      </w:r>
      <w:r>
        <w:t>. Doi: 10.13140/RG.2.2.18648.78086.</w:t>
      </w:r>
    </w:p>
    <w:p w14:paraId="60E2909D" w14:textId="25C07D9B" w:rsidR="00925376" w:rsidRPr="00925376" w:rsidRDefault="00925376" w:rsidP="00BE2E92">
      <w:pPr>
        <w:jc w:val="both"/>
      </w:pPr>
      <w:r w:rsidRPr="00925376">
        <w:lastRenderedPageBreak/>
        <w:t xml:space="preserve">Harding, S. (2021) </w:t>
      </w:r>
      <w:r w:rsidRPr="00925376">
        <w:rPr>
          <w:i/>
          <w:iCs/>
        </w:rPr>
        <w:t>The British Journal of Criminology</w:t>
      </w:r>
      <w:r w:rsidRPr="00925376">
        <w:t>. Volume 61. Oxford: Oxford University Press.</w:t>
      </w:r>
    </w:p>
    <w:p w14:paraId="6ED2C4CD" w14:textId="197E84FC" w:rsidR="00925376" w:rsidRPr="00925376" w:rsidRDefault="00925376" w:rsidP="00BE2E92">
      <w:pPr>
        <w:jc w:val="both"/>
      </w:pPr>
      <w:r w:rsidRPr="00925376">
        <w:t xml:space="preserve">HM Government. (2011) </w:t>
      </w:r>
      <w:r w:rsidRPr="00925376">
        <w:rPr>
          <w:i/>
          <w:iCs/>
        </w:rPr>
        <w:t>Ending gang and youth violence: a cross-government report</w:t>
      </w:r>
      <w:r w:rsidRPr="00925376">
        <w:t>. Available at: https://assets.publishing.service.gov.uk/government/uploads/system/uploads/attachment_data/file/97861/gang-violence-summary.pdf (Accessed: 23 May 2024).</w:t>
      </w:r>
    </w:p>
    <w:p w14:paraId="26D4F0A6" w14:textId="7D53F8D9" w:rsidR="00925376" w:rsidRPr="00925376" w:rsidRDefault="00925376" w:rsidP="00BE2E92">
      <w:pPr>
        <w:jc w:val="both"/>
      </w:pPr>
      <w:r w:rsidRPr="00925376">
        <w:t xml:space="preserve">Holligan, C., McLean, R., and McHugh, R. (2020) </w:t>
      </w:r>
      <w:r w:rsidRPr="00925376">
        <w:rPr>
          <w:i/>
          <w:iCs/>
        </w:rPr>
        <w:t>Exploring County Lines: Criminal Drug Distribution Practices in Scotland</w:t>
      </w:r>
      <w:r>
        <w:rPr>
          <w:i/>
          <w:iCs/>
        </w:rPr>
        <w:t>,</w:t>
      </w:r>
      <w:r w:rsidRPr="00925376">
        <w:t xml:space="preserve"> Youth Justice, 20(1-2). Doi: 10.1177/1473225420902850.</w:t>
      </w:r>
    </w:p>
    <w:p w14:paraId="5220D3AA" w14:textId="0FBDBEF8" w:rsidR="00925376" w:rsidRDefault="00925376" w:rsidP="00BE2E92">
      <w:pPr>
        <w:jc w:val="both"/>
      </w:pPr>
      <w:r>
        <w:t xml:space="preserve">Hurd, D. (2017) </w:t>
      </w:r>
      <w:r w:rsidRPr="00925376">
        <w:rPr>
          <w:i/>
          <w:iCs/>
        </w:rPr>
        <w:t>Robert Peel: A biography</w:t>
      </w:r>
      <w:r>
        <w:t>. London: Weidenfeld &amp; Nicolson.</w:t>
      </w:r>
    </w:p>
    <w:p w14:paraId="506505E9" w14:textId="1F9AC67F" w:rsidR="00925376" w:rsidRDefault="00925376" w:rsidP="00BE2E92">
      <w:pPr>
        <w:jc w:val="both"/>
      </w:pPr>
      <w:r>
        <w:t xml:space="preserve">IOPC. (2022) </w:t>
      </w:r>
      <w:r w:rsidRPr="00925376">
        <w:rPr>
          <w:i/>
          <w:iCs/>
        </w:rPr>
        <w:t>Public Confidence and Engagement, Independent Office for Police Conduct</w:t>
      </w:r>
      <w:r>
        <w:t>. Available at: https://www.policeconduct.gov.uk/our-work/research-and-statistics/public-confidence (Accessed: 08 May 2024).</w:t>
      </w:r>
    </w:p>
    <w:p w14:paraId="4EA09DBA" w14:textId="237376A1" w:rsidR="00925376" w:rsidRDefault="00925376" w:rsidP="00BE2E92">
      <w:pPr>
        <w:jc w:val="both"/>
      </w:pPr>
      <w:r>
        <w:t xml:space="preserve">IOPC. (2023) </w:t>
      </w:r>
      <w:r w:rsidRPr="00925376">
        <w:rPr>
          <w:i/>
          <w:iCs/>
        </w:rPr>
        <w:t>Complaints, Independent Office for Police Conduct (IOPC)</w:t>
      </w:r>
      <w:r>
        <w:t>. Available at: https://www.policeconduct.gov.uk/complaints (Accessed: 08 May 2024).</w:t>
      </w:r>
    </w:p>
    <w:p w14:paraId="02CFB97F" w14:textId="32F606E6" w:rsidR="00925376" w:rsidRDefault="00925376" w:rsidP="00BE2E92">
      <w:pPr>
        <w:jc w:val="both"/>
      </w:pPr>
      <w:r>
        <w:t xml:space="preserve">IPCC. (2016) </w:t>
      </w:r>
      <w:r w:rsidRPr="00925376">
        <w:rPr>
          <w:i/>
          <w:iCs/>
        </w:rPr>
        <w:t>IPCC position statement on body worn video</w:t>
      </w:r>
      <w:r>
        <w:t>, Independent Police Complaints Commission. Available at: https://www.ipcc.gov.uk/sites/default/files/Documents/guidelines_reports/IPCC_position_statement_on_body_worn_video.pdf (Accessed: 08 May 2024).</w:t>
      </w:r>
    </w:p>
    <w:p w14:paraId="760BF734" w14:textId="0BED8AE4" w:rsidR="00925376" w:rsidRPr="00925376" w:rsidRDefault="00925376" w:rsidP="00BE2E92">
      <w:pPr>
        <w:jc w:val="both"/>
      </w:pPr>
      <w:r w:rsidRPr="00925376">
        <w:t xml:space="preserve">Itskovich, E. and Factor, R. (2023) </w:t>
      </w:r>
      <w:r w:rsidRPr="00925376">
        <w:rPr>
          <w:i/>
          <w:iCs/>
        </w:rPr>
        <w:t>Economic Inequality and Crime: the Role of Social Resistance</w:t>
      </w:r>
      <w:r w:rsidRPr="00925376">
        <w:t>, Journal of Criminal Justice, 86. Doi: 0047-2352.</w:t>
      </w:r>
    </w:p>
    <w:p w14:paraId="44177D54" w14:textId="6B894373" w:rsidR="00925376" w:rsidRDefault="00925376" w:rsidP="00BE2E92">
      <w:pPr>
        <w:jc w:val="both"/>
      </w:pPr>
      <w:r>
        <w:t xml:space="preserve">Jones, C. (2018) </w:t>
      </w:r>
      <w:r w:rsidRPr="00925376">
        <w:rPr>
          <w:i/>
          <w:iCs/>
        </w:rPr>
        <w:t>Major Incident Management (methane), First Aid Training Cooperative</w:t>
      </w:r>
      <w:r>
        <w:t>. Available at: https://firstaidtrainingcooperative.co.uk/major-incident-management-methan/ (Accessed: 09 January 2024).</w:t>
      </w:r>
    </w:p>
    <w:p w14:paraId="542FDE99" w14:textId="4B648D30" w:rsidR="00925376" w:rsidRPr="00925376" w:rsidRDefault="00925376" w:rsidP="00BE2E92">
      <w:pPr>
        <w:jc w:val="both"/>
      </w:pPr>
      <w:r w:rsidRPr="00925376">
        <w:t xml:space="preserve">Klein, M., Kerner, HJ., Maxson, C., and Weitekamp, E. (2001) </w:t>
      </w:r>
      <w:r w:rsidRPr="00925376">
        <w:rPr>
          <w:i/>
          <w:iCs/>
        </w:rPr>
        <w:t xml:space="preserve">The </w:t>
      </w:r>
      <w:proofErr w:type="spellStart"/>
      <w:r w:rsidRPr="00925376">
        <w:rPr>
          <w:i/>
          <w:iCs/>
        </w:rPr>
        <w:t>Eurogang</w:t>
      </w:r>
      <w:proofErr w:type="spellEnd"/>
      <w:r w:rsidRPr="00925376">
        <w:rPr>
          <w:i/>
          <w:iCs/>
        </w:rPr>
        <w:t xml:space="preserve"> Paradox: Street Gangs and Youth Groups in the U.S. and Europe</w:t>
      </w:r>
      <w:r w:rsidRPr="00925376">
        <w:t>. Doi: 10.1007/978-94-010-0882-2.</w:t>
      </w:r>
    </w:p>
    <w:p w14:paraId="4B7B80AD" w14:textId="40BDC613" w:rsidR="00925376" w:rsidRPr="00925376" w:rsidRDefault="00925376" w:rsidP="00BE2E92">
      <w:pPr>
        <w:jc w:val="both"/>
      </w:pPr>
      <w:r w:rsidRPr="00925376">
        <w:t xml:space="preserve">Macionis, J.J. and Plummer, K. (2011) </w:t>
      </w:r>
      <w:r w:rsidRPr="00925376">
        <w:rPr>
          <w:i/>
          <w:iCs/>
        </w:rPr>
        <w:t>Sociology: A global introduction</w:t>
      </w:r>
      <w:r w:rsidRPr="00925376">
        <w:t>. New York, NY: Pearson Prentice Hall.</w:t>
      </w:r>
    </w:p>
    <w:p w14:paraId="5C0458AB" w14:textId="0216D388" w:rsidR="00925376" w:rsidRDefault="00925376" w:rsidP="00BE2E92">
      <w:pPr>
        <w:jc w:val="both"/>
      </w:pPr>
      <w:r>
        <w:t xml:space="preserve">Macpherson, W. (1999) </w:t>
      </w:r>
      <w:r w:rsidRPr="00925376">
        <w:rPr>
          <w:i/>
          <w:iCs/>
        </w:rPr>
        <w:t>Vol 1, The Stephen Lawrence Inquiry</w:t>
      </w:r>
      <w:r>
        <w:t>. Report of the Secretary of State.</w:t>
      </w:r>
    </w:p>
    <w:p w14:paraId="2DCA8093" w14:textId="63EC7A25" w:rsidR="00925376" w:rsidRDefault="00925376" w:rsidP="00BE2E92">
      <w:pPr>
        <w:jc w:val="both"/>
      </w:pPr>
      <w:r>
        <w:t>Marsh, A. (2024)</w:t>
      </w:r>
      <w:r w:rsidR="00BE2E92">
        <w:t xml:space="preserve"> </w:t>
      </w:r>
      <w:r w:rsidRPr="00925376">
        <w:rPr>
          <w:i/>
          <w:iCs/>
        </w:rPr>
        <w:t>A new code of Ethics for Policing, Committee on Standards in Public Life</w:t>
      </w:r>
      <w:r>
        <w:t>. Available at: https://cspl.blog.gov.uk/2024/03/21/a-new-code-of-ethics-for-policing/ (Accessed: 08 May 2024).</w:t>
      </w:r>
    </w:p>
    <w:p w14:paraId="4CB342D2" w14:textId="197D8785" w:rsidR="00925376" w:rsidRPr="00925376" w:rsidRDefault="00925376" w:rsidP="00BE2E92">
      <w:pPr>
        <w:jc w:val="both"/>
      </w:pPr>
      <w:r w:rsidRPr="00925376">
        <w:t xml:space="preserve">McLean, R., Robinson, G., Densley, J. (2019) </w:t>
      </w:r>
      <w:r w:rsidRPr="00925376">
        <w:rPr>
          <w:i/>
          <w:iCs/>
        </w:rPr>
        <w:t>County Lines: Criminal Networks and Evolving Drug Markets in Britain</w:t>
      </w:r>
      <w:r w:rsidRPr="00925376">
        <w:t>. Germany: Springer International Publishing.</w:t>
      </w:r>
    </w:p>
    <w:p w14:paraId="14174DB4" w14:textId="3E63E60E" w:rsidR="00925376" w:rsidRDefault="00925376" w:rsidP="00BE2E92">
      <w:pPr>
        <w:jc w:val="both"/>
      </w:pPr>
      <w:r>
        <w:t xml:space="preserve">Memon, A., Meissner, C.A., and Fraser, J. (2010) </w:t>
      </w:r>
      <w:r w:rsidRPr="00925376">
        <w:rPr>
          <w:i/>
          <w:iCs/>
        </w:rPr>
        <w:t>The Cognitive Interview: A Meta-Analytic Review and Study Space Analysis of the Past 25 Years</w:t>
      </w:r>
      <w:r>
        <w:rPr>
          <w:i/>
          <w:iCs/>
        </w:rPr>
        <w:t>,</w:t>
      </w:r>
      <w:r>
        <w:t xml:space="preserve"> Royal Holloway College, University of London.</w:t>
      </w:r>
    </w:p>
    <w:p w14:paraId="5D0CBCF1" w14:textId="1877938A" w:rsidR="00925376" w:rsidRDefault="00925376" w:rsidP="00BE2E92">
      <w:pPr>
        <w:jc w:val="both"/>
      </w:pPr>
      <w:r>
        <w:t xml:space="preserve">Milne, R., Shaw, G., and Bull, R. (2008) </w:t>
      </w:r>
      <w:r w:rsidRPr="00925376">
        <w:rPr>
          <w:i/>
          <w:iCs/>
        </w:rPr>
        <w:t>Investigative Interviewing: The Role of Research. Applying Psychology to Criminal Justice</w:t>
      </w:r>
      <w:r>
        <w:t>. Doi: 10.1002/9780470713068.ch4.</w:t>
      </w:r>
    </w:p>
    <w:p w14:paraId="4CB95F7D" w14:textId="0922D5FA" w:rsidR="00925376" w:rsidRDefault="00925376" w:rsidP="00BE2E92">
      <w:pPr>
        <w:jc w:val="both"/>
      </w:pPr>
      <w:r>
        <w:t xml:space="preserve">Myhill, A. and Beak, K. (2008) </w:t>
      </w:r>
      <w:r w:rsidRPr="00925376">
        <w:rPr>
          <w:i/>
          <w:iCs/>
        </w:rPr>
        <w:t>Public Confidence in The Police</w:t>
      </w:r>
      <w:r>
        <w:t>. rep. London: NPIA.</w:t>
      </w:r>
    </w:p>
    <w:p w14:paraId="7E911480" w14:textId="0A76C2FB" w:rsidR="00925376" w:rsidRDefault="00925376" w:rsidP="00BE2E92">
      <w:pPr>
        <w:jc w:val="both"/>
      </w:pPr>
      <w:proofErr w:type="spellStart"/>
      <w:r>
        <w:lastRenderedPageBreak/>
        <w:t>Mynenko</w:t>
      </w:r>
      <w:proofErr w:type="spellEnd"/>
      <w:r>
        <w:t xml:space="preserve">, K. and Ditcham, K. (2022) </w:t>
      </w:r>
      <w:r w:rsidRPr="00925376">
        <w:rPr>
          <w:i/>
          <w:iCs/>
        </w:rPr>
        <w:t>Public confidence in the police: A new low for the service</w:t>
      </w:r>
      <w:r w:rsidR="00BE2E92">
        <w:rPr>
          <w:i/>
          <w:iCs/>
        </w:rPr>
        <w:t>,</w:t>
      </w:r>
      <w:r w:rsidRPr="00925376">
        <w:rPr>
          <w:i/>
          <w:iCs/>
        </w:rPr>
        <w:t xml:space="preserve"> </w:t>
      </w:r>
      <w:r w:rsidRPr="00BE2E92">
        <w:t>Royal United Services Institute</w:t>
      </w:r>
      <w:r>
        <w:t>. Available at: https://rusi.org/explore-our-research/publications/commentary/public-confidence-police-new-low-service (Accessed: 08 May 2024).</w:t>
      </w:r>
    </w:p>
    <w:p w14:paraId="1ECC6764" w14:textId="05FB0836" w:rsidR="00925376" w:rsidRDefault="00925376" w:rsidP="00BE2E92">
      <w:pPr>
        <w:jc w:val="both"/>
      </w:pPr>
      <w:r>
        <w:t xml:space="preserve">National Policing Improvement Agency. (2011) </w:t>
      </w:r>
      <w:r w:rsidRPr="00BE2E92">
        <w:rPr>
          <w:i/>
          <w:iCs/>
        </w:rPr>
        <w:t>Critical Incident Management</w:t>
      </w:r>
      <w:r>
        <w:t xml:space="preserve">. 2nd </w:t>
      </w:r>
      <w:proofErr w:type="spellStart"/>
      <w:r>
        <w:t>edn</w:t>
      </w:r>
      <w:proofErr w:type="spellEnd"/>
      <w:r>
        <w:t>. Bedfordshire: Specialist Operations Centre.</w:t>
      </w:r>
    </w:p>
    <w:p w14:paraId="22A72898" w14:textId="77777777" w:rsidR="00925376" w:rsidRDefault="00925376" w:rsidP="00BE2E92">
      <w:pPr>
        <w:jc w:val="both"/>
      </w:pPr>
      <w:proofErr w:type="spellStart"/>
      <w:r>
        <w:t>Neyroud</w:t>
      </w:r>
      <w:proofErr w:type="spellEnd"/>
      <w:r>
        <w:t xml:space="preserve">, P. and Beckley, A. (2011). </w:t>
      </w:r>
      <w:r w:rsidRPr="00BE2E92">
        <w:rPr>
          <w:i/>
          <w:iCs/>
        </w:rPr>
        <w:t>Policing, ethics and human rights</w:t>
      </w:r>
      <w:r>
        <w:t>. Abingdon: Routledge.</w:t>
      </w:r>
    </w:p>
    <w:p w14:paraId="01CD0AB7" w14:textId="462EA19E" w:rsidR="00925376" w:rsidRPr="00925376" w:rsidRDefault="00925376" w:rsidP="00BE2E92">
      <w:pPr>
        <w:jc w:val="both"/>
      </w:pPr>
      <w:r w:rsidRPr="00925376">
        <w:t xml:space="preserve">Nickerson, C. (2023) </w:t>
      </w:r>
      <w:r w:rsidRPr="00BE2E92">
        <w:rPr>
          <w:i/>
          <w:iCs/>
        </w:rPr>
        <w:t>Edwin Sutherland’s Differential Association theory</w:t>
      </w:r>
      <w:r w:rsidRPr="00925376">
        <w:t>, Simply Psychology. Available at: https://www.simplypsychology.org./differential-association-theory.html (Accessed: 11 December 2023).</w:t>
      </w:r>
    </w:p>
    <w:p w14:paraId="3220CA80" w14:textId="4C3C73AD" w:rsidR="00925376" w:rsidRPr="00925376" w:rsidRDefault="00925376" w:rsidP="00BE2E92">
      <w:pPr>
        <w:jc w:val="both"/>
      </w:pPr>
      <w:r w:rsidRPr="00925376">
        <w:t xml:space="preserve">Olver, K., and </w:t>
      </w:r>
      <w:proofErr w:type="spellStart"/>
      <w:r w:rsidRPr="00925376">
        <w:t>Cockbain</w:t>
      </w:r>
      <w:proofErr w:type="spellEnd"/>
      <w:r w:rsidRPr="00925376">
        <w:t xml:space="preserve">, E. (2021) </w:t>
      </w:r>
      <w:r w:rsidRPr="00BE2E92">
        <w:rPr>
          <w:i/>
          <w:iCs/>
        </w:rPr>
        <w:t>Professionals' Views on Responding to County Lines</w:t>
      </w:r>
      <w:r w:rsidRPr="00BE2E92">
        <w:rPr>
          <w:rFonts w:ascii="Cambria Math" w:hAnsi="Cambria Math" w:cs="Cambria Math"/>
          <w:i/>
          <w:iCs/>
        </w:rPr>
        <w:t>‐</w:t>
      </w:r>
      <w:r w:rsidRPr="00BE2E92">
        <w:rPr>
          <w:i/>
          <w:iCs/>
        </w:rPr>
        <w:t>Related Criminal Exploitation in the West Midlands, UK</w:t>
      </w:r>
      <w:r w:rsidRPr="00925376">
        <w:t>. Child Abuse Review, 30. Doi: 10.1002/car.2704</w:t>
      </w:r>
    </w:p>
    <w:p w14:paraId="2F0556F0" w14:textId="43E1E5DF" w:rsidR="00925376" w:rsidRDefault="00925376" w:rsidP="00BE2E92">
      <w:pPr>
        <w:jc w:val="both"/>
      </w:pPr>
      <w:r>
        <w:t xml:space="preserve">Owen, C. (2022) </w:t>
      </w:r>
      <w:r w:rsidRPr="00BE2E92">
        <w:rPr>
          <w:i/>
          <w:iCs/>
        </w:rPr>
        <w:t>Family’s 12-year quest for justice for son murdered on his own doorstep</w:t>
      </w:r>
      <w:r>
        <w:t>, Wales Online. Available at: https://www.walesonline.co.uk/news/wales-news/we-still-waiting-justice-heartbreaking-23654359 (Accessed: 23 May 2024).</w:t>
      </w:r>
    </w:p>
    <w:p w14:paraId="7AE4F5C6" w14:textId="276AB657" w:rsidR="00925376" w:rsidRPr="00925376" w:rsidRDefault="00925376" w:rsidP="00BE2E92">
      <w:pPr>
        <w:jc w:val="both"/>
      </w:pPr>
      <w:r w:rsidRPr="00925376">
        <w:t xml:space="preserve">Parr-Morley, B. (2023) </w:t>
      </w:r>
      <w:r w:rsidRPr="00BE2E92">
        <w:rPr>
          <w:i/>
          <w:iCs/>
        </w:rPr>
        <w:t>Child criminal exploitation: How do gangs recruit and coerce young people?</w:t>
      </w:r>
      <w:r w:rsidRPr="00925376">
        <w:t>, Catch22. Available at: https://www.catch-22.org.uk/resources/how-do-gangs-recruit-and-coerce-young-people/ (Accessed: 11 December 2023).</w:t>
      </w:r>
    </w:p>
    <w:p w14:paraId="3CB59CCC" w14:textId="7D1B9D33" w:rsidR="00925376" w:rsidRDefault="00925376" w:rsidP="00BE2E92">
      <w:pPr>
        <w:jc w:val="both"/>
      </w:pPr>
      <w:r>
        <w:t xml:space="preserve">Police Federation. (2021) </w:t>
      </w:r>
      <w:r w:rsidRPr="00BE2E92">
        <w:rPr>
          <w:i/>
          <w:iCs/>
        </w:rPr>
        <w:t>Failings found in system to train new police recruits</w:t>
      </w:r>
      <w:r>
        <w:t>, Police Federation. Available at: https://www.polfed.org/news/latest-news/2021/failings-found-in-system-to-train-new-police-recruits/ (Accessed: 23 May 2024).</w:t>
      </w:r>
    </w:p>
    <w:p w14:paraId="1E4D1F4B" w14:textId="0BEC2387" w:rsidR="00925376" w:rsidRPr="00925376" w:rsidRDefault="00925376" w:rsidP="00BE2E92">
      <w:pPr>
        <w:jc w:val="both"/>
      </w:pPr>
      <w:r w:rsidRPr="00925376">
        <w:t xml:space="preserve">Prince, S. (2023) </w:t>
      </w:r>
      <w:r w:rsidRPr="00BE2E92">
        <w:rPr>
          <w:i/>
          <w:iCs/>
        </w:rPr>
        <w:t>Modern Slavery: National Referral Mechanism and Duty to Notify statistics UK, end of year summary 2023</w:t>
      </w:r>
      <w:r w:rsidRPr="00925376">
        <w:t>, UK Home Office. Available at: https://www.gov.uk/government/statistics/modern-slavery-nrm-and-dtn-statistics-end-of-year-summary-2023/modern-slavery-national-referral-mechanism-and-duty-to-notify-statistics-uk-end-of-year-summary-2023 (Accessed: 23 May 2024).</w:t>
      </w:r>
    </w:p>
    <w:p w14:paraId="0FB64A47" w14:textId="01C8B59E" w:rsidR="00925376" w:rsidRDefault="00925376" w:rsidP="00BE2E92">
      <w:pPr>
        <w:jc w:val="both"/>
      </w:pPr>
      <w:r>
        <w:t xml:space="preserve">Ratcliffe, J. (2016) </w:t>
      </w:r>
      <w:r w:rsidRPr="00BE2E92">
        <w:rPr>
          <w:i/>
          <w:iCs/>
        </w:rPr>
        <w:t>Intelligence-led policing</w:t>
      </w:r>
      <w:r>
        <w:t>. London: Routledge.</w:t>
      </w:r>
    </w:p>
    <w:p w14:paraId="5F4C4AF3" w14:textId="57FF8CC8" w:rsidR="00925376" w:rsidRDefault="00925376" w:rsidP="00BE2E92">
      <w:pPr>
        <w:jc w:val="both"/>
      </w:pPr>
      <w:r>
        <w:t xml:space="preserve">Risan, P., Per-Einar, B., and Milne, R. (2018) </w:t>
      </w:r>
      <w:r w:rsidRPr="00BE2E92">
        <w:rPr>
          <w:i/>
          <w:iCs/>
        </w:rPr>
        <w:t>Establishing and Maintaining Rapport in Investigative Interviews of Traumatized Victims: A Qualitative Study</w:t>
      </w:r>
      <w:r>
        <w:t>. Policing: A Journal of Policy and Practice, Volume 12, Issue 4. Available at: https://doi.org/10.1093/police/pax031 (Accessed: 23 May 2024).</w:t>
      </w:r>
    </w:p>
    <w:p w14:paraId="0CE43F39" w14:textId="46FC4C15" w:rsidR="00925376" w:rsidRDefault="00925376" w:rsidP="00BE2E92">
      <w:pPr>
        <w:jc w:val="both"/>
      </w:pPr>
      <w:r>
        <w:t xml:space="preserve">Roycroft, M. and Roach, J. (2019) </w:t>
      </w:r>
      <w:r w:rsidRPr="00BE2E92">
        <w:rPr>
          <w:i/>
          <w:iCs/>
        </w:rPr>
        <w:t>Decision making in police enquiries and critical incidents; what really works?</w:t>
      </w:r>
      <w:r>
        <w:t xml:space="preserve"> London: Palgrave Macmillan UK.</w:t>
      </w:r>
    </w:p>
    <w:p w14:paraId="2B5A133F" w14:textId="5104FA1F" w:rsidR="00925376" w:rsidRDefault="00925376" w:rsidP="00BE2E92">
      <w:pPr>
        <w:jc w:val="both"/>
      </w:pPr>
      <w:proofErr w:type="spellStart"/>
      <w:r>
        <w:t>Scheerhout</w:t>
      </w:r>
      <w:proofErr w:type="spellEnd"/>
      <w:r>
        <w:t xml:space="preserve">, J. (2024) </w:t>
      </w:r>
      <w:r w:rsidRPr="00BE2E92">
        <w:rPr>
          <w:i/>
          <w:iCs/>
        </w:rPr>
        <w:t>Police Launch Internal Review as footage shows cop aiming punch at boy, 15, as street erupts in anger</w:t>
      </w:r>
      <w:r>
        <w:t>, Yahoo! News. Available at: https://uk.news.yahoo.com/police-launch-internal-review-footage-162506931.html?guccounter=1&amp;guce_referrer=aHR0cHM6Ly93d3cuYmluZy5jb20v&amp;guce_referrer_sig=AQAAAJ9QqJnBlZYgQczTsmpODQSqY4RshhwdrdhHFYFKi8roZIPmXFcB2fQbHfOVmDvj9Na0fDgkUaBH7DevWPunZO7Yzl9pX4JpXfybZBEpkhhAYGSDMPaL1vp9ELrbOj-qmujcD4i5W1UDnl5RPvWasTKVkdbt5SLnSdVcRXtimTdA (Accessed: 23 May 2024).</w:t>
      </w:r>
    </w:p>
    <w:p w14:paraId="39A131CD" w14:textId="567E941D" w:rsidR="00925376" w:rsidRPr="00925376" w:rsidRDefault="00925376" w:rsidP="00BE2E92">
      <w:pPr>
        <w:jc w:val="both"/>
      </w:pPr>
      <w:r w:rsidRPr="00925376">
        <w:lastRenderedPageBreak/>
        <w:t xml:space="preserve">Scott, K. (2020) </w:t>
      </w:r>
      <w:r w:rsidRPr="00BE2E92">
        <w:rPr>
          <w:i/>
          <w:iCs/>
        </w:rPr>
        <w:t>‘Adverse Childhood Experiences’, InnovAiT: Education and inspiration for general practice</w:t>
      </w:r>
      <w:r w:rsidRPr="00925376">
        <w:t>, 14(1). Doi:10.1177/1755738020964498.</w:t>
      </w:r>
    </w:p>
    <w:p w14:paraId="78005E1C" w14:textId="5238576B" w:rsidR="00925376" w:rsidRDefault="00925376" w:rsidP="00BE2E92">
      <w:pPr>
        <w:jc w:val="both"/>
      </w:pPr>
      <w:r>
        <w:t xml:space="preserve">Spooner, E. and Cooper, B. (2023) </w:t>
      </w:r>
      <w:r w:rsidRPr="00BE2E92">
        <w:rPr>
          <w:i/>
          <w:iCs/>
        </w:rPr>
        <w:t>Dilemmas and decision making in Policing</w:t>
      </w:r>
      <w:r>
        <w:t>. St Albans: Critical Publishing.</w:t>
      </w:r>
    </w:p>
    <w:p w14:paraId="412753CE" w14:textId="3DF3EF83" w:rsidR="00925376" w:rsidRDefault="00925376" w:rsidP="00BE2E92">
      <w:pPr>
        <w:jc w:val="both"/>
      </w:pPr>
      <w:r w:rsidRPr="00925376">
        <w:t xml:space="preserve">Tarver, E. (2022) </w:t>
      </w:r>
      <w:r w:rsidRPr="00BE2E92">
        <w:rPr>
          <w:i/>
          <w:iCs/>
        </w:rPr>
        <w:t>How social economics influences your future</w:t>
      </w:r>
      <w:r w:rsidRPr="00925376">
        <w:t>, Investopedia. Available at: https://www.inestopedia.com/terms/s/social-economics.asp (Accessed: 11 December 2023).</w:t>
      </w:r>
    </w:p>
    <w:p w14:paraId="1CC6D497" w14:textId="298DBF63" w:rsidR="00925376" w:rsidRDefault="00925376" w:rsidP="00BE2E92">
      <w:pPr>
        <w:jc w:val="both"/>
      </w:pPr>
      <w:proofErr w:type="spellStart"/>
      <w:r>
        <w:t>Titheradge</w:t>
      </w:r>
      <w:proofErr w:type="spellEnd"/>
      <w:r>
        <w:t xml:space="preserve">, N. (2023) </w:t>
      </w:r>
      <w:r w:rsidRPr="00BE2E92">
        <w:rPr>
          <w:i/>
          <w:iCs/>
        </w:rPr>
        <w:t>Police officers widely misusing body-worn cameras</w:t>
      </w:r>
      <w:r>
        <w:t>, BBC News. Available at: https://www.bbc.co.uk/news/uk-66809642 (Accessed: 08 May 2024).</w:t>
      </w:r>
    </w:p>
    <w:p w14:paraId="12D654AA" w14:textId="1242D90F" w:rsidR="00925376" w:rsidRDefault="00925376" w:rsidP="00BE2E92">
      <w:pPr>
        <w:jc w:val="both"/>
      </w:pPr>
      <w:r>
        <w:t>Tyner, J. (</w:t>
      </w:r>
      <w:proofErr w:type="spellStart"/>
      <w:r>
        <w:t>n.d</w:t>
      </w:r>
      <w:proofErr w:type="spellEnd"/>
      <w:r>
        <w:t xml:space="preserve">) </w:t>
      </w:r>
      <w:r w:rsidRPr="00BE2E92">
        <w:rPr>
          <w:i/>
          <w:iCs/>
        </w:rPr>
        <w:t>Local policing and confidence</w:t>
      </w:r>
      <w:r>
        <w:t>, National Policing Improvement Agency. Available at: https://library.college.police.uk/docs/npia/localpolicingandconfidence.pdf (Accessed: 08 May 2024).</w:t>
      </w:r>
    </w:p>
    <w:p w14:paraId="437AACE3" w14:textId="288505F9" w:rsidR="00925376" w:rsidRPr="00925376" w:rsidRDefault="00925376" w:rsidP="00BE2E92">
      <w:pPr>
        <w:jc w:val="both"/>
      </w:pPr>
      <w:r>
        <w:t xml:space="preserve">UK Government </w:t>
      </w:r>
      <w:proofErr w:type="spellStart"/>
      <w:r>
        <w:t>Healthy</w:t>
      </w:r>
      <w:proofErr w:type="spellEnd"/>
      <w:r>
        <w:t xml:space="preserve"> and Safety Executive. (</w:t>
      </w:r>
      <w:proofErr w:type="spellStart"/>
      <w:r>
        <w:t>n.d</w:t>
      </w:r>
      <w:proofErr w:type="spellEnd"/>
      <w:r>
        <w:t xml:space="preserve">) </w:t>
      </w:r>
      <w:r w:rsidRPr="00BE2E92">
        <w:rPr>
          <w:i/>
          <w:iCs/>
        </w:rPr>
        <w:t>Questioning of suspects - Investigation - Enforcement Guide (England &amp; Wales)</w:t>
      </w:r>
      <w:r>
        <w:t>. Available at: https://www.hse.gov.uk/enforce/enforcementguide/investigation/witness-questioning.html (Accessed: 21 November 2023).</w:t>
      </w:r>
    </w:p>
    <w:p w14:paraId="544763F8" w14:textId="24FA11AE" w:rsidR="00925376" w:rsidRDefault="00925376" w:rsidP="00BE2E92">
      <w:pPr>
        <w:jc w:val="both"/>
      </w:pPr>
      <w:r>
        <w:t>UK Government. (2023)</w:t>
      </w:r>
      <w:r w:rsidR="00BE2E92">
        <w:t xml:space="preserve"> </w:t>
      </w:r>
      <w:r w:rsidRPr="00BE2E92">
        <w:rPr>
          <w:i/>
          <w:iCs/>
        </w:rPr>
        <w:t>Achieving best evidence in criminal proceedings</w:t>
      </w:r>
      <w:r>
        <w:t>, GOV.UK. Available at: https://www.gov.uk/government/publications/achieving-best-evidence-in-criminal-proceedings (Accessed: 23 May 2024).</w:t>
      </w:r>
    </w:p>
    <w:p w14:paraId="51D30353" w14:textId="78EEF5F1" w:rsidR="00925376" w:rsidRDefault="00925376" w:rsidP="00BE2E92">
      <w:pPr>
        <w:jc w:val="both"/>
      </w:pPr>
      <w:proofErr w:type="spellStart"/>
      <w:r>
        <w:t>Westmarland</w:t>
      </w:r>
      <w:proofErr w:type="spellEnd"/>
      <w:r>
        <w:t xml:space="preserve">, L., and Conway, S. (2020) </w:t>
      </w:r>
      <w:r w:rsidRPr="00BE2E92">
        <w:rPr>
          <w:i/>
          <w:iCs/>
        </w:rPr>
        <w:t>Police ethics and integrity: Keeping the ‘blue code’ of silence</w:t>
      </w:r>
      <w:r>
        <w:t>. International Journal of Police Science &amp; Management, 22(4). Doi: 10.1177/1461355720947762.</w:t>
      </w:r>
    </w:p>
    <w:p w14:paraId="27336603" w14:textId="49B32714" w:rsidR="00925376" w:rsidRDefault="00925376" w:rsidP="00BE2E92">
      <w:pPr>
        <w:jc w:val="both"/>
      </w:pPr>
      <w:r>
        <w:t xml:space="preserve">Winsor, T. (2014) </w:t>
      </w:r>
      <w:r w:rsidRPr="00BE2E92">
        <w:rPr>
          <w:i/>
          <w:iCs/>
        </w:rPr>
        <w:t>Social media is a powerful tool for police to engage with the public. National Police Chiefs’ Council (NPCC)</w:t>
      </w:r>
      <w:r>
        <w:t>. Available at: https://news.npcc.police.uk/releases/social-media-is-a-powerful-tool-for-police-to-engage-with-the-public (Accessed: 08 May 2024).</w:t>
      </w:r>
    </w:p>
    <w:sectPr w:rsidR="00925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7F48F7"/>
    <w:multiLevelType w:val="hybridMultilevel"/>
    <w:tmpl w:val="FED8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906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376"/>
    <w:rsid w:val="00037414"/>
    <w:rsid w:val="000426EA"/>
    <w:rsid w:val="00060575"/>
    <w:rsid w:val="00066812"/>
    <w:rsid w:val="00067314"/>
    <w:rsid w:val="000A05BF"/>
    <w:rsid w:val="000D4E98"/>
    <w:rsid w:val="0017683F"/>
    <w:rsid w:val="001A0620"/>
    <w:rsid w:val="00213525"/>
    <w:rsid w:val="00235313"/>
    <w:rsid w:val="00253D10"/>
    <w:rsid w:val="0028465E"/>
    <w:rsid w:val="00285B9B"/>
    <w:rsid w:val="00365DB3"/>
    <w:rsid w:val="003D2214"/>
    <w:rsid w:val="004A3211"/>
    <w:rsid w:val="004C34B9"/>
    <w:rsid w:val="004C46CA"/>
    <w:rsid w:val="00516671"/>
    <w:rsid w:val="00540A98"/>
    <w:rsid w:val="005440B1"/>
    <w:rsid w:val="005758FB"/>
    <w:rsid w:val="00590C43"/>
    <w:rsid w:val="00666FEF"/>
    <w:rsid w:val="006B7AF8"/>
    <w:rsid w:val="0074528A"/>
    <w:rsid w:val="007765AA"/>
    <w:rsid w:val="007D2F15"/>
    <w:rsid w:val="007F71E0"/>
    <w:rsid w:val="00857333"/>
    <w:rsid w:val="008965B9"/>
    <w:rsid w:val="008A0ACD"/>
    <w:rsid w:val="008A0FF3"/>
    <w:rsid w:val="008E1923"/>
    <w:rsid w:val="008F712A"/>
    <w:rsid w:val="009110D8"/>
    <w:rsid w:val="00925376"/>
    <w:rsid w:val="009275DB"/>
    <w:rsid w:val="00984087"/>
    <w:rsid w:val="009A71BA"/>
    <w:rsid w:val="009E3C8E"/>
    <w:rsid w:val="00A01F19"/>
    <w:rsid w:val="00A30AC5"/>
    <w:rsid w:val="00A74F95"/>
    <w:rsid w:val="00AA5DB6"/>
    <w:rsid w:val="00B136EC"/>
    <w:rsid w:val="00B571EF"/>
    <w:rsid w:val="00BE2E92"/>
    <w:rsid w:val="00C64ECD"/>
    <w:rsid w:val="00C95FC1"/>
    <w:rsid w:val="00CC418F"/>
    <w:rsid w:val="00CF09D7"/>
    <w:rsid w:val="00CF5FCB"/>
    <w:rsid w:val="00D2537C"/>
    <w:rsid w:val="00D670C1"/>
    <w:rsid w:val="00D8798B"/>
    <w:rsid w:val="00D94E85"/>
    <w:rsid w:val="00DB0158"/>
    <w:rsid w:val="00F76BC5"/>
    <w:rsid w:val="00F96162"/>
    <w:rsid w:val="00FB2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62554"/>
  <w15:chartTrackingRefBased/>
  <w15:docId w15:val="{34EF536E-CEC5-405C-9910-4BE11B114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376"/>
    <w:rPr>
      <w:rFonts w:eastAsiaTheme="majorEastAsia" w:cstheme="majorBidi"/>
      <w:color w:val="272727" w:themeColor="text1" w:themeTint="D8"/>
    </w:rPr>
  </w:style>
  <w:style w:type="paragraph" w:styleId="Title">
    <w:name w:val="Title"/>
    <w:basedOn w:val="Normal"/>
    <w:next w:val="Normal"/>
    <w:link w:val="TitleChar"/>
    <w:uiPriority w:val="10"/>
    <w:qFormat/>
    <w:rsid w:val="00925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376"/>
    <w:pPr>
      <w:spacing w:before="160"/>
      <w:jc w:val="center"/>
    </w:pPr>
    <w:rPr>
      <w:i/>
      <w:iCs/>
      <w:color w:val="404040" w:themeColor="text1" w:themeTint="BF"/>
    </w:rPr>
  </w:style>
  <w:style w:type="character" w:customStyle="1" w:styleId="QuoteChar">
    <w:name w:val="Quote Char"/>
    <w:basedOn w:val="DefaultParagraphFont"/>
    <w:link w:val="Quote"/>
    <w:uiPriority w:val="29"/>
    <w:rsid w:val="00925376"/>
    <w:rPr>
      <w:i/>
      <w:iCs/>
      <w:color w:val="404040" w:themeColor="text1" w:themeTint="BF"/>
    </w:rPr>
  </w:style>
  <w:style w:type="paragraph" w:styleId="ListParagraph">
    <w:name w:val="List Paragraph"/>
    <w:basedOn w:val="Normal"/>
    <w:uiPriority w:val="34"/>
    <w:qFormat/>
    <w:rsid w:val="00925376"/>
    <w:pPr>
      <w:ind w:left="720"/>
      <w:contextualSpacing/>
    </w:pPr>
  </w:style>
  <w:style w:type="character" w:styleId="IntenseEmphasis">
    <w:name w:val="Intense Emphasis"/>
    <w:basedOn w:val="DefaultParagraphFont"/>
    <w:uiPriority w:val="21"/>
    <w:qFormat/>
    <w:rsid w:val="00925376"/>
    <w:rPr>
      <w:i/>
      <w:iCs/>
      <w:color w:val="0F4761" w:themeColor="accent1" w:themeShade="BF"/>
    </w:rPr>
  </w:style>
  <w:style w:type="paragraph" w:styleId="IntenseQuote">
    <w:name w:val="Intense Quote"/>
    <w:basedOn w:val="Normal"/>
    <w:next w:val="Normal"/>
    <w:link w:val="IntenseQuoteChar"/>
    <w:uiPriority w:val="30"/>
    <w:qFormat/>
    <w:rsid w:val="00925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376"/>
    <w:rPr>
      <w:i/>
      <w:iCs/>
      <w:color w:val="0F4761" w:themeColor="accent1" w:themeShade="BF"/>
    </w:rPr>
  </w:style>
  <w:style w:type="character" w:styleId="IntenseReference">
    <w:name w:val="Intense Reference"/>
    <w:basedOn w:val="DefaultParagraphFont"/>
    <w:uiPriority w:val="32"/>
    <w:qFormat/>
    <w:rsid w:val="009253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13</Pages>
  <Words>6447</Words>
  <Characters>36749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Cousins</dc:creator>
  <cp:keywords/>
  <dc:description/>
  <cp:lastModifiedBy>Julian Cousins</cp:lastModifiedBy>
  <cp:revision>58</cp:revision>
  <dcterms:created xsi:type="dcterms:W3CDTF">2024-05-25T12:17:00Z</dcterms:created>
  <dcterms:modified xsi:type="dcterms:W3CDTF">2024-05-27T08:57:00Z</dcterms:modified>
</cp:coreProperties>
</file>