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2A57" w14:textId="2C7A28E8" w:rsidR="00063B4C" w:rsidRPr="004969EF" w:rsidRDefault="00063B4C" w:rsidP="004969EF">
      <w:pPr>
        <w:spacing w:line="360" w:lineRule="auto"/>
        <w:jc w:val="both"/>
        <w:rPr>
          <w:rFonts w:ascii="Arial" w:hAnsi="Arial" w:cs="Arial"/>
          <w:sz w:val="22"/>
          <w:szCs w:val="22"/>
        </w:rPr>
      </w:pPr>
      <w:r w:rsidRPr="004969EF">
        <w:rPr>
          <w:rFonts w:ascii="Arial" w:hAnsi="Arial" w:cs="Arial"/>
          <w:noProof/>
          <w:sz w:val="22"/>
          <w:szCs w:val="22"/>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4969EF" w:rsidRDefault="00063B4C" w:rsidP="004969EF">
      <w:pPr>
        <w:spacing w:line="360" w:lineRule="auto"/>
        <w:jc w:val="both"/>
        <w:rPr>
          <w:rFonts w:ascii="Arial" w:hAnsi="Arial" w:cs="Arial"/>
          <w:sz w:val="22"/>
          <w:szCs w:val="22"/>
        </w:rPr>
      </w:pPr>
    </w:p>
    <w:p w14:paraId="00DE7510" w14:textId="684CC594" w:rsidR="00063B4C" w:rsidRPr="004969EF" w:rsidRDefault="00063B4C" w:rsidP="004969EF">
      <w:pPr>
        <w:spacing w:line="360" w:lineRule="auto"/>
        <w:jc w:val="both"/>
        <w:rPr>
          <w:rFonts w:ascii="Arial" w:hAnsi="Arial" w:cs="Arial"/>
          <w:sz w:val="22"/>
          <w:szCs w:val="22"/>
        </w:rPr>
      </w:pPr>
    </w:p>
    <w:p w14:paraId="62B6C1AB" w14:textId="77777777" w:rsidR="00063B4C" w:rsidRPr="004969EF" w:rsidRDefault="00063B4C" w:rsidP="004969EF">
      <w:pPr>
        <w:spacing w:line="360" w:lineRule="auto"/>
        <w:jc w:val="both"/>
        <w:rPr>
          <w:rFonts w:ascii="Arial" w:hAnsi="Arial" w:cs="Arial"/>
          <w:sz w:val="22"/>
          <w:szCs w:val="22"/>
        </w:rPr>
      </w:pPr>
    </w:p>
    <w:p w14:paraId="19C1447B" w14:textId="77777777" w:rsidR="00063B4C" w:rsidRPr="004969EF" w:rsidRDefault="00063B4C" w:rsidP="004969EF">
      <w:pPr>
        <w:spacing w:line="360" w:lineRule="auto"/>
        <w:ind w:right="1229"/>
        <w:jc w:val="both"/>
        <w:rPr>
          <w:rFonts w:ascii="Arial" w:hAnsi="Arial" w:cs="Arial"/>
          <w:sz w:val="22"/>
          <w:szCs w:val="22"/>
        </w:rPr>
      </w:pPr>
    </w:p>
    <w:p w14:paraId="4BD32C57" w14:textId="2FA64C13" w:rsidR="00063B4C" w:rsidRPr="004969EF" w:rsidRDefault="00063B4C" w:rsidP="004969EF">
      <w:pPr>
        <w:spacing w:line="360" w:lineRule="auto"/>
        <w:ind w:right="1229"/>
        <w:jc w:val="both"/>
        <w:rPr>
          <w:rFonts w:ascii="Arial" w:hAnsi="Arial" w:cs="Arial"/>
          <w:sz w:val="22"/>
          <w:szCs w:val="22"/>
        </w:rPr>
      </w:pPr>
      <w:r w:rsidRPr="004969EF">
        <w:rPr>
          <w:rFonts w:ascii="Arial" w:hAnsi="Arial" w:cs="Arial"/>
          <w:sz w:val="22"/>
          <w:szCs w:val="22"/>
        </w:rPr>
        <w:t>Institute of Inner-City Learning Birmingham Campus</w:t>
      </w:r>
    </w:p>
    <w:p w14:paraId="7F58ECA1" w14:textId="77777777" w:rsidR="00063B4C" w:rsidRPr="004969EF" w:rsidRDefault="00063B4C" w:rsidP="004969EF">
      <w:pPr>
        <w:pStyle w:val="BodyText"/>
        <w:spacing w:line="360" w:lineRule="auto"/>
        <w:jc w:val="both"/>
        <w:rPr>
          <w:rFonts w:cs="Arial"/>
          <w:sz w:val="22"/>
          <w:szCs w:val="22"/>
        </w:rPr>
      </w:pPr>
    </w:p>
    <w:p w14:paraId="3009F44A" w14:textId="2F598781" w:rsidR="00063B4C" w:rsidRPr="004969EF" w:rsidRDefault="00063B4C" w:rsidP="004969EF">
      <w:pPr>
        <w:spacing w:line="360" w:lineRule="auto"/>
        <w:jc w:val="both"/>
        <w:rPr>
          <w:rFonts w:ascii="Arial" w:hAnsi="Arial" w:cs="Arial"/>
          <w:sz w:val="22"/>
          <w:szCs w:val="22"/>
        </w:rPr>
      </w:pPr>
      <w:r w:rsidRPr="004969EF">
        <w:rPr>
          <w:rFonts w:ascii="Arial" w:hAnsi="Arial" w:cs="Arial"/>
          <w:sz w:val="22"/>
          <w:szCs w:val="22"/>
        </w:rPr>
        <w:t>BSc (Hons) Health and Social Care</w:t>
      </w:r>
      <w:r w:rsidRPr="004969EF">
        <w:rPr>
          <w:rFonts w:ascii="Arial" w:hAnsi="Arial" w:cs="Arial"/>
          <w:sz w:val="22"/>
          <w:szCs w:val="22"/>
        </w:rPr>
        <w:br/>
      </w:r>
    </w:p>
    <w:p w14:paraId="08ED8C42" w14:textId="0A36C282" w:rsidR="00063B4C" w:rsidRPr="004969EF" w:rsidRDefault="00063B4C" w:rsidP="004969EF">
      <w:pPr>
        <w:spacing w:line="360" w:lineRule="auto"/>
        <w:jc w:val="both"/>
        <w:rPr>
          <w:rFonts w:ascii="Arial" w:hAnsi="Arial" w:cs="Arial"/>
          <w:sz w:val="22"/>
          <w:szCs w:val="22"/>
        </w:rPr>
      </w:pPr>
      <w:r w:rsidRPr="004969EF">
        <w:rPr>
          <w:rFonts w:ascii="Arial" w:hAnsi="Arial" w:cs="Arial"/>
          <w:sz w:val="22"/>
          <w:szCs w:val="22"/>
        </w:rPr>
        <w:t>DISSERTATION GUIDANCE AND TEMPLATE</w:t>
      </w:r>
    </w:p>
    <w:p w14:paraId="5B270734" w14:textId="55782988" w:rsidR="00063B4C" w:rsidRPr="004969EF" w:rsidRDefault="00063B4C" w:rsidP="004969EF">
      <w:pPr>
        <w:spacing w:line="360" w:lineRule="auto"/>
        <w:jc w:val="both"/>
        <w:rPr>
          <w:rFonts w:ascii="Arial" w:hAnsi="Arial" w:cs="Arial"/>
          <w:sz w:val="22"/>
          <w:szCs w:val="22"/>
        </w:rPr>
      </w:pPr>
    </w:p>
    <w:p w14:paraId="2C0F81B3" w14:textId="77777777" w:rsidR="00995444" w:rsidRPr="004969EF" w:rsidRDefault="00995444" w:rsidP="004969EF">
      <w:pPr>
        <w:pStyle w:val="Heading1"/>
        <w:spacing w:line="360" w:lineRule="auto"/>
        <w:ind w:left="0"/>
        <w:jc w:val="both"/>
        <w:rPr>
          <w:rFonts w:cs="Arial"/>
          <w:sz w:val="22"/>
          <w:szCs w:val="22"/>
        </w:rPr>
      </w:pPr>
    </w:p>
    <w:p w14:paraId="6D29CD44" w14:textId="75C545B1" w:rsidR="00063B4C" w:rsidRPr="004969EF" w:rsidRDefault="00063B4C" w:rsidP="004969EF">
      <w:pPr>
        <w:pStyle w:val="Heading1"/>
        <w:spacing w:line="360" w:lineRule="auto"/>
        <w:ind w:left="0"/>
        <w:jc w:val="both"/>
        <w:rPr>
          <w:rFonts w:cs="Arial"/>
          <w:sz w:val="22"/>
          <w:szCs w:val="22"/>
        </w:rPr>
      </w:pPr>
      <w:bookmarkStart w:id="0" w:name="_Toc226379356"/>
      <w:r w:rsidRPr="004969EF">
        <w:rPr>
          <w:rFonts w:cs="Arial"/>
          <w:sz w:val="22"/>
          <w:szCs w:val="22"/>
        </w:rPr>
        <w:t>Disclaimer</w:t>
      </w:r>
      <w:bookmarkEnd w:id="0"/>
    </w:p>
    <w:p w14:paraId="2E1C9484" w14:textId="77777777" w:rsidR="00604A87" w:rsidRPr="004969EF" w:rsidRDefault="00063B4C" w:rsidP="004969EF">
      <w:pPr>
        <w:spacing w:before="62" w:line="360" w:lineRule="auto"/>
        <w:ind w:right="96"/>
        <w:jc w:val="both"/>
        <w:rPr>
          <w:rFonts w:ascii="Arial" w:hAnsi="Arial" w:cs="Arial"/>
          <w:sz w:val="22"/>
          <w:szCs w:val="22"/>
        </w:rPr>
      </w:pPr>
      <w:r w:rsidRPr="004969EF">
        <w:rPr>
          <w:rFonts w:ascii="Arial" w:hAnsi="Arial" w:cs="Arial"/>
          <w:sz w:val="22"/>
          <w:szCs w:val="22"/>
        </w:rPr>
        <w:t xml:space="preserve">This document was correct at the time of publication. The Module Coordinator reserves the right to modify any </w:t>
      </w:r>
      <w:proofErr w:type="gramStart"/>
      <w:r w:rsidRPr="004969EF">
        <w:rPr>
          <w:rFonts w:ascii="Arial" w:hAnsi="Arial" w:cs="Arial"/>
          <w:sz w:val="22"/>
          <w:szCs w:val="22"/>
        </w:rPr>
        <w:t>statement</w:t>
      </w:r>
      <w:proofErr w:type="gramEnd"/>
      <w:r w:rsidRPr="004969EF">
        <w:rPr>
          <w:rFonts w:ascii="Arial" w:hAnsi="Arial" w:cs="Arial"/>
          <w:sz w:val="22"/>
          <w:szCs w:val="22"/>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Pr="004969EF" w:rsidRDefault="00730C3C" w:rsidP="004969EF">
      <w:pPr>
        <w:spacing w:line="360" w:lineRule="auto"/>
        <w:jc w:val="both"/>
        <w:rPr>
          <w:rFonts w:ascii="Arial" w:hAnsi="Arial" w:cs="Arial"/>
          <w:b/>
          <w:sz w:val="22"/>
          <w:szCs w:val="22"/>
        </w:rPr>
      </w:pPr>
    </w:p>
    <w:p w14:paraId="3492E4C4" w14:textId="45AA03BC" w:rsidR="00604A87" w:rsidRPr="004969EF" w:rsidRDefault="00604A87" w:rsidP="004969EF">
      <w:pPr>
        <w:spacing w:line="360" w:lineRule="auto"/>
        <w:jc w:val="both"/>
        <w:rPr>
          <w:rFonts w:ascii="Arial" w:hAnsi="Arial" w:cs="Arial"/>
          <w:b/>
          <w:sz w:val="22"/>
          <w:szCs w:val="22"/>
        </w:rPr>
      </w:pPr>
      <w:r w:rsidRPr="004969EF">
        <w:rPr>
          <w:rFonts w:ascii="Arial" w:hAnsi="Arial" w:cs="Arial"/>
          <w:b/>
          <w:sz w:val="22"/>
          <w:szCs w:val="22"/>
        </w:rPr>
        <w:t>DECLARATION</w:t>
      </w:r>
    </w:p>
    <w:p w14:paraId="113CAAED" w14:textId="2CC33593"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This work has not previously been accepted in substance for any degree and is not being concurrently submitted in candidature for any degree</w:t>
      </w:r>
    </w:p>
    <w:p w14:paraId="3EF51212" w14:textId="29048085"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Signed……………………………………………</w:t>
      </w:r>
    </w:p>
    <w:p w14:paraId="16B6CB34" w14:textId="3CC7F576"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Date………………………………………………</w:t>
      </w:r>
    </w:p>
    <w:p w14:paraId="7D9E43A8" w14:textId="77777777" w:rsidR="00604A87" w:rsidRPr="004969EF" w:rsidRDefault="00604A87" w:rsidP="004969EF">
      <w:pPr>
        <w:spacing w:line="360" w:lineRule="auto"/>
        <w:jc w:val="both"/>
        <w:rPr>
          <w:rFonts w:ascii="Arial" w:hAnsi="Arial" w:cs="Arial"/>
          <w:bCs/>
          <w:kern w:val="32"/>
          <w:sz w:val="22"/>
          <w:szCs w:val="22"/>
        </w:rPr>
      </w:pPr>
      <w:r w:rsidRPr="004969EF">
        <w:rPr>
          <w:rFonts w:ascii="Arial" w:hAnsi="Arial" w:cs="Arial"/>
          <w:b/>
          <w:sz w:val="22"/>
          <w:szCs w:val="22"/>
        </w:rPr>
        <w:t xml:space="preserve">STATEMENT 1 </w:t>
      </w:r>
    </w:p>
    <w:p w14:paraId="189DE0A6" w14:textId="710F2765"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This dissertation is being submitted in partial fulfilment of the requirements for the degree of BSc.</w:t>
      </w:r>
    </w:p>
    <w:p w14:paraId="39F661A6" w14:textId="57EB1846"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 xml:space="preserve">Signed……………………………………………. </w:t>
      </w:r>
    </w:p>
    <w:p w14:paraId="21F5E413" w14:textId="5E20952B"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Date………………………………………………</w:t>
      </w:r>
    </w:p>
    <w:p w14:paraId="713B64B9" w14:textId="77777777" w:rsidR="00604A87" w:rsidRPr="004969EF" w:rsidRDefault="00604A87" w:rsidP="004969EF">
      <w:pPr>
        <w:spacing w:line="360" w:lineRule="auto"/>
        <w:jc w:val="both"/>
        <w:rPr>
          <w:rFonts w:ascii="Arial" w:hAnsi="Arial" w:cs="Arial"/>
          <w:sz w:val="22"/>
          <w:szCs w:val="22"/>
        </w:rPr>
      </w:pPr>
      <w:r w:rsidRPr="004969EF">
        <w:rPr>
          <w:rFonts w:ascii="Arial" w:hAnsi="Arial" w:cs="Arial"/>
          <w:b/>
          <w:sz w:val="22"/>
          <w:szCs w:val="22"/>
        </w:rPr>
        <w:t>STATEMENT 2</w:t>
      </w:r>
    </w:p>
    <w:p w14:paraId="4AA5D04A" w14:textId="65BB11AC"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This dissertation is the result of my own independent work/investigation, except where otherwise stated. Other sources are acknowledged by footnotes giving explicit references.  A bibliography is appended.</w:t>
      </w:r>
    </w:p>
    <w:p w14:paraId="319A31E7" w14:textId="56364DB7"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Signed……………………………………………</w:t>
      </w:r>
    </w:p>
    <w:p w14:paraId="1CB40FFB" w14:textId="230782A4"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 xml:space="preserve">Date……………………………………………… </w:t>
      </w:r>
    </w:p>
    <w:p w14:paraId="42D5D0C6" w14:textId="77777777" w:rsidR="00604A87" w:rsidRPr="004969EF" w:rsidRDefault="00604A87" w:rsidP="004969EF">
      <w:pPr>
        <w:spacing w:line="360" w:lineRule="auto"/>
        <w:jc w:val="both"/>
        <w:rPr>
          <w:rFonts w:ascii="Arial" w:hAnsi="Arial" w:cs="Arial"/>
          <w:sz w:val="22"/>
          <w:szCs w:val="22"/>
        </w:rPr>
      </w:pPr>
      <w:r w:rsidRPr="004969EF">
        <w:rPr>
          <w:rFonts w:ascii="Arial" w:hAnsi="Arial" w:cs="Arial"/>
          <w:b/>
          <w:sz w:val="22"/>
          <w:szCs w:val="22"/>
        </w:rPr>
        <w:lastRenderedPageBreak/>
        <w:t>STATEMENT 3</w:t>
      </w:r>
    </w:p>
    <w:p w14:paraId="4B58546E" w14:textId="61CCB29A"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I hereby give consent for my dissertation, if accepted, to be available for photocopying and for interlibrary loan, and for the title and summary to be made available to outside organisations.</w:t>
      </w:r>
    </w:p>
    <w:p w14:paraId="5C25443E" w14:textId="54A1E4A0"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Signed………………………………………………</w:t>
      </w:r>
    </w:p>
    <w:p w14:paraId="021196D1" w14:textId="722B9641" w:rsidR="00604A87" w:rsidRPr="004969EF" w:rsidRDefault="00604A87" w:rsidP="004969E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rial" w:hAnsi="Arial" w:cs="Arial"/>
          <w:sz w:val="22"/>
          <w:szCs w:val="22"/>
        </w:rPr>
      </w:pPr>
      <w:r w:rsidRPr="004969EF">
        <w:rPr>
          <w:rFonts w:ascii="Arial" w:hAnsi="Arial" w:cs="Arial"/>
          <w:sz w:val="22"/>
          <w:szCs w:val="22"/>
        </w:rPr>
        <w:t>Date…………………………………………………</w:t>
      </w:r>
    </w:p>
    <w:p w14:paraId="77D38054" w14:textId="77777777" w:rsidR="00604A87" w:rsidRPr="004969EF" w:rsidRDefault="00604A87" w:rsidP="004969EF">
      <w:pPr>
        <w:spacing w:line="360" w:lineRule="auto"/>
        <w:jc w:val="both"/>
        <w:rPr>
          <w:rFonts w:ascii="Arial" w:hAnsi="Arial" w:cs="Arial"/>
          <w:b/>
          <w:sz w:val="22"/>
          <w:szCs w:val="22"/>
        </w:rPr>
      </w:pPr>
      <w:r w:rsidRPr="004969EF">
        <w:rPr>
          <w:rFonts w:ascii="Arial" w:hAnsi="Arial" w:cs="Arial"/>
          <w:b/>
          <w:sz w:val="22"/>
          <w:szCs w:val="22"/>
        </w:rPr>
        <w:t>STATEMENT 4</w:t>
      </w:r>
    </w:p>
    <w:p w14:paraId="0A15E499" w14:textId="1F9546C0"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I hereby give consent for my dissertation, if accepted, to be available on the university’s IT system to those who have consent to use the system.</w:t>
      </w:r>
    </w:p>
    <w:p w14:paraId="73D7762F" w14:textId="7B4EF837" w:rsidR="00604A87" w:rsidRPr="004969EF" w:rsidRDefault="00604A87" w:rsidP="004969EF">
      <w:pPr>
        <w:spacing w:line="360" w:lineRule="auto"/>
        <w:jc w:val="both"/>
        <w:rPr>
          <w:rFonts w:ascii="Arial" w:hAnsi="Arial" w:cs="Arial"/>
          <w:sz w:val="22"/>
          <w:szCs w:val="22"/>
        </w:rPr>
      </w:pPr>
      <w:r w:rsidRPr="004969EF">
        <w:rPr>
          <w:rFonts w:ascii="Arial" w:hAnsi="Arial" w:cs="Arial"/>
          <w:sz w:val="22"/>
          <w:szCs w:val="22"/>
        </w:rPr>
        <w:t>Signed………………………………………………</w:t>
      </w:r>
    </w:p>
    <w:p w14:paraId="2BDDE109" w14:textId="77777777" w:rsidR="00604A87" w:rsidRPr="004969EF" w:rsidRDefault="00604A87" w:rsidP="004969E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rial" w:hAnsi="Arial" w:cs="Arial"/>
          <w:sz w:val="22"/>
          <w:szCs w:val="22"/>
        </w:rPr>
      </w:pPr>
      <w:r w:rsidRPr="004969EF">
        <w:rPr>
          <w:rFonts w:ascii="Arial" w:hAnsi="Arial" w:cs="Arial"/>
          <w:sz w:val="22"/>
          <w:szCs w:val="22"/>
        </w:rPr>
        <w:t>Date…………………………………………………</w:t>
      </w:r>
    </w:p>
    <w:p w14:paraId="324943A4" w14:textId="77777777" w:rsidR="00063B4C" w:rsidRPr="004969EF" w:rsidRDefault="00063B4C" w:rsidP="004969EF">
      <w:pPr>
        <w:spacing w:line="360" w:lineRule="auto"/>
        <w:jc w:val="both"/>
        <w:rPr>
          <w:rFonts w:ascii="Arial" w:hAnsi="Arial" w:cs="Arial"/>
          <w:sz w:val="22"/>
          <w:szCs w:val="22"/>
        </w:rPr>
      </w:pPr>
    </w:p>
    <w:p w14:paraId="13649F9E" w14:textId="77777777" w:rsidR="00063B4C" w:rsidRPr="004969EF" w:rsidRDefault="00063B4C" w:rsidP="004969EF">
      <w:pPr>
        <w:spacing w:line="360" w:lineRule="auto"/>
        <w:jc w:val="both"/>
        <w:rPr>
          <w:rFonts w:ascii="Arial" w:hAnsi="Arial" w:cs="Arial"/>
          <w:sz w:val="22"/>
          <w:szCs w:val="22"/>
        </w:rPr>
      </w:pPr>
    </w:p>
    <w:p w14:paraId="4E014F16" w14:textId="77777777" w:rsidR="00995444" w:rsidRPr="004969EF" w:rsidRDefault="00995444" w:rsidP="004969EF">
      <w:pPr>
        <w:spacing w:line="360" w:lineRule="auto"/>
        <w:jc w:val="both"/>
        <w:rPr>
          <w:rFonts w:ascii="Arial" w:eastAsia="Arial Unicode MS" w:hAnsi="Arial" w:cs="Arial"/>
          <w:b/>
          <w:sz w:val="22"/>
          <w:szCs w:val="22"/>
        </w:rPr>
      </w:pPr>
    </w:p>
    <w:p w14:paraId="7CE514EB" w14:textId="77777777" w:rsidR="00995444" w:rsidRPr="004969EF" w:rsidRDefault="00995444" w:rsidP="004969EF">
      <w:pPr>
        <w:spacing w:line="360" w:lineRule="auto"/>
        <w:jc w:val="both"/>
        <w:rPr>
          <w:rFonts w:ascii="Arial" w:eastAsia="Arial Unicode MS" w:hAnsi="Arial" w:cs="Arial"/>
          <w:b/>
          <w:sz w:val="22"/>
          <w:szCs w:val="22"/>
        </w:rPr>
      </w:pPr>
    </w:p>
    <w:p w14:paraId="69E4F63C" w14:textId="3ABC9EC7" w:rsidR="00995444" w:rsidRPr="004969EF" w:rsidRDefault="00995444" w:rsidP="004969EF">
      <w:pPr>
        <w:spacing w:line="360" w:lineRule="auto"/>
        <w:jc w:val="both"/>
        <w:rPr>
          <w:rFonts w:ascii="Arial" w:hAnsi="Arial" w:cs="Arial"/>
          <w:sz w:val="22"/>
          <w:szCs w:val="22"/>
        </w:rPr>
      </w:pPr>
      <w:r w:rsidRPr="004969EF">
        <w:rPr>
          <w:rFonts w:ascii="Arial" w:eastAsia="Arial Unicode MS" w:hAnsi="Arial" w:cs="Arial"/>
          <w:b/>
          <w:sz w:val="22"/>
          <w:szCs w:val="22"/>
        </w:rPr>
        <w:t>Put your title here – no more than 20 words maximum</w:t>
      </w:r>
    </w:p>
    <w:p w14:paraId="0FC75915" w14:textId="77777777" w:rsidR="00995444" w:rsidRPr="004969EF" w:rsidRDefault="00995444" w:rsidP="004969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2"/>
          <w:szCs w:val="22"/>
        </w:rPr>
      </w:pPr>
    </w:p>
    <w:p w14:paraId="6DB122B7" w14:textId="5D96A642" w:rsidR="00995444" w:rsidRPr="004969EF" w:rsidRDefault="00995444" w:rsidP="004969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2"/>
          <w:szCs w:val="22"/>
        </w:rPr>
      </w:pPr>
      <w:r w:rsidRPr="004969EF">
        <w:rPr>
          <w:rFonts w:ascii="Arial" w:eastAsia="Arial Unicode MS" w:hAnsi="Arial" w:cs="Arial"/>
          <w:b/>
          <w:sz w:val="22"/>
          <w:szCs w:val="22"/>
        </w:rPr>
        <w:t>Your Full Name and Student Number</w:t>
      </w:r>
    </w:p>
    <w:p w14:paraId="3F8DA723" w14:textId="77777777" w:rsidR="00995444" w:rsidRPr="004969EF" w:rsidRDefault="00995444" w:rsidP="004969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sz w:val="22"/>
          <w:szCs w:val="22"/>
        </w:rPr>
      </w:pPr>
    </w:p>
    <w:p w14:paraId="3851CFD8" w14:textId="77777777" w:rsidR="00995444" w:rsidRPr="004969EF" w:rsidRDefault="00995444" w:rsidP="004969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2"/>
          <w:szCs w:val="22"/>
        </w:rPr>
      </w:pPr>
      <w:r w:rsidRPr="004969EF">
        <w:rPr>
          <w:rFonts w:ascii="Arial" w:eastAsia="Arial Unicode MS" w:hAnsi="Arial" w:cs="Arial"/>
          <w:sz w:val="22"/>
          <w:szCs w:val="22"/>
        </w:rPr>
        <w:tab/>
      </w:r>
    </w:p>
    <w:p w14:paraId="359F5B0D" w14:textId="77777777" w:rsidR="00995444" w:rsidRPr="004969EF" w:rsidRDefault="00995444" w:rsidP="004969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2"/>
          <w:szCs w:val="22"/>
        </w:rPr>
      </w:pPr>
    </w:p>
    <w:p w14:paraId="11885DD2" w14:textId="77777777" w:rsidR="00995444" w:rsidRPr="004969EF" w:rsidRDefault="00995444" w:rsidP="004969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2"/>
          <w:szCs w:val="22"/>
        </w:rPr>
      </w:pPr>
    </w:p>
    <w:p w14:paraId="2057C793" w14:textId="103D0F80" w:rsidR="00995444" w:rsidRPr="004969EF" w:rsidRDefault="00995444" w:rsidP="004969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2"/>
          <w:szCs w:val="22"/>
        </w:rPr>
      </w:pPr>
      <w:r w:rsidRPr="004969EF">
        <w:rPr>
          <w:rFonts w:ascii="Arial" w:eastAsia="Arial Unicode MS" w:hAnsi="Arial" w:cs="Arial"/>
          <w:sz w:val="22"/>
          <w:szCs w:val="22"/>
        </w:rPr>
        <w:t>Dissertation submitted as part of the requirements for the award BSc (Hons) Health and Social Care</w:t>
      </w:r>
    </w:p>
    <w:p w14:paraId="03004EEE" w14:textId="77777777" w:rsidR="00063B4C" w:rsidRPr="004969EF" w:rsidRDefault="00063B4C" w:rsidP="004969EF">
      <w:pPr>
        <w:spacing w:line="360" w:lineRule="auto"/>
        <w:jc w:val="both"/>
        <w:rPr>
          <w:rFonts w:ascii="Arial" w:hAnsi="Arial" w:cs="Arial"/>
          <w:sz w:val="22"/>
          <w:szCs w:val="22"/>
        </w:rPr>
      </w:pPr>
    </w:p>
    <w:p w14:paraId="65358A57" w14:textId="77777777" w:rsidR="00995444" w:rsidRPr="004969EF" w:rsidRDefault="00995444" w:rsidP="004969EF">
      <w:pPr>
        <w:spacing w:line="360" w:lineRule="auto"/>
        <w:jc w:val="both"/>
        <w:rPr>
          <w:rFonts w:ascii="Arial" w:hAnsi="Arial" w:cs="Arial"/>
          <w:sz w:val="22"/>
          <w:szCs w:val="22"/>
        </w:rPr>
      </w:pPr>
    </w:p>
    <w:p w14:paraId="0F4A849F" w14:textId="6FEF3295" w:rsidR="00995444" w:rsidRPr="004969EF" w:rsidRDefault="00995444" w:rsidP="004969EF">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2"/>
          <w:szCs w:val="22"/>
        </w:rPr>
      </w:pPr>
      <w:r w:rsidRPr="004969EF">
        <w:rPr>
          <w:rFonts w:ascii="Arial" w:eastAsia="Arial Unicode MS" w:hAnsi="Arial" w:cs="Arial"/>
          <w:b/>
          <w:sz w:val="22"/>
          <w:szCs w:val="22"/>
        </w:rPr>
        <w:t xml:space="preserve">ACKNOWLEDGEMENTS </w:t>
      </w:r>
      <w:r w:rsidR="0073280B" w:rsidRPr="004969EF">
        <w:rPr>
          <w:rFonts w:ascii="Arial" w:eastAsia="Arial Unicode MS" w:hAnsi="Arial" w:cs="Arial"/>
          <w:bCs/>
          <w:sz w:val="22"/>
          <w:szCs w:val="22"/>
        </w:rPr>
        <w:t>(optional)</w:t>
      </w:r>
    </w:p>
    <w:p w14:paraId="63B1FE13" w14:textId="1054A976" w:rsidR="00995444" w:rsidRPr="004969EF" w:rsidRDefault="00995444" w:rsidP="004969EF">
      <w:pPr>
        <w:pStyle w:val="NormalWeb"/>
        <w:shd w:val="clear" w:color="auto" w:fill="FFFFFF"/>
        <w:spacing w:before="0" w:beforeAutospacing="0" w:after="150" w:afterAutospacing="0" w:line="360" w:lineRule="auto"/>
        <w:jc w:val="both"/>
        <w:rPr>
          <w:rFonts w:ascii="Arial" w:hAnsi="Arial" w:cs="Arial"/>
          <w:sz w:val="22"/>
          <w:szCs w:val="22"/>
        </w:rPr>
      </w:pPr>
      <w:r w:rsidRPr="004969EF">
        <w:rPr>
          <w:rFonts w:ascii="Arial" w:hAnsi="Arial" w:cs="Arial"/>
          <w:sz w:val="22"/>
          <w:szCs w:val="22"/>
        </w:rPr>
        <w:t xml:space="preserve">The acknowledgements </w:t>
      </w:r>
      <w:proofErr w:type="gramStart"/>
      <w:r w:rsidRPr="004969EF">
        <w:rPr>
          <w:rFonts w:ascii="Arial" w:hAnsi="Arial" w:cs="Arial"/>
          <w:sz w:val="22"/>
          <w:szCs w:val="22"/>
        </w:rPr>
        <w:t>section  is</w:t>
      </w:r>
      <w:proofErr w:type="gramEnd"/>
      <w:r w:rsidRPr="004969EF">
        <w:rPr>
          <w:rFonts w:ascii="Arial" w:hAnsi="Arial" w:cs="Arial"/>
          <w:sz w:val="22"/>
          <w:szCs w:val="22"/>
        </w:rPr>
        <w:t xml:space="preserve"> a </w:t>
      </w:r>
      <w:r w:rsidR="0073280B" w:rsidRPr="004969EF">
        <w:rPr>
          <w:rFonts w:ascii="Arial" w:hAnsi="Arial" w:cs="Arial"/>
          <w:sz w:val="22"/>
          <w:szCs w:val="22"/>
        </w:rPr>
        <w:t>thank you</w:t>
      </w:r>
      <w:r w:rsidRPr="004969EF">
        <w:rPr>
          <w:rFonts w:ascii="Arial" w:hAnsi="Arial" w:cs="Arial"/>
          <w:sz w:val="22"/>
          <w:szCs w:val="22"/>
        </w:rPr>
        <w:t xml:space="preserve"> paragraph which to everyone who has helped you whilst you have been researching and writing your dissertation. </w:t>
      </w:r>
    </w:p>
    <w:p w14:paraId="3E6D1A03" w14:textId="16157DD0" w:rsidR="00995444" w:rsidRPr="004969EF" w:rsidRDefault="00995444" w:rsidP="004969EF">
      <w:pPr>
        <w:pStyle w:val="NormalWeb"/>
        <w:shd w:val="clear" w:color="auto" w:fill="FFFFFF"/>
        <w:spacing w:before="0" w:beforeAutospacing="0" w:after="150" w:afterAutospacing="0" w:line="360" w:lineRule="auto"/>
        <w:jc w:val="both"/>
        <w:rPr>
          <w:rFonts w:ascii="Arial" w:hAnsi="Arial" w:cs="Arial"/>
          <w:sz w:val="22"/>
          <w:szCs w:val="22"/>
        </w:rPr>
      </w:pPr>
      <w:r w:rsidRPr="004969EF">
        <w:rPr>
          <w:rFonts w:ascii="Arial" w:hAnsi="Arial" w:cs="Arial"/>
          <w:sz w:val="22"/>
          <w:szCs w:val="22"/>
        </w:rPr>
        <w:t>This may be your supervisor or any other academic staff who have provided guidance and support; other students or colleagues that you</w:t>
      </w:r>
      <w:r w:rsidR="00BD2909" w:rsidRPr="004969EF">
        <w:rPr>
          <w:rFonts w:ascii="Arial" w:hAnsi="Arial" w:cs="Arial"/>
          <w:sz w:val="22"/>
          <w:szCs w:val="22"/>
        </w:rPr>
        <w:t xml:space="preserve"> have</w:t>
      </w:r>
      <w:r w:rsidRPr="004969EF">
        <w:rPr>
          <w:rFonts w:ascii="Arial" w:hAnsi="Arial" w:cs="Arial"/>
          <w:sz w:val="22"/>
          <w:szCs w:val="22"/>
        </w:rPr>
        <w:t xml:space="preserve"> collaborated with; for </w:t>
      </w:r>
      <w:proofErr w:type="gramStart"/>
      <w:r w:rsidRPr="004969EF">
        <w:rPr>
          <w:rFonts w:ascii="Arial" w:hAnsi="Arial" w:cs="Arial"/>
          <w:sz w:val="22"/>
          <w:szCs w:val="22"/>
        </w:rPr>
        <w:t>example</w:t>
      </w:r>
      <w:proofErr w:type="gramEnd"/>
      <w:r w:rsidR="0073280B" w:rsidRPr="004969EF">
        <w:rPr>
          <w:rFonts w:ascii="Arial" w:hAnsi="Arial" w:cs="Arial"/>
          <w:sz w:val="22"/>
          <w:szCs w:val="22"/>
        </w:rPr>
        <w:t xml:space="preserve"> </w:t>
      </w:r>
      <w:r w:rsidRPr="004969EF">
        <w:rPr>
          <w:rFonts w:ascii="Arial" w:hAnsi="Arial" w:cs="Arial"/>
          <w:sz w:val="22"/>
          <w:szCs w:val="22"/>
        </w:rPr>
        <w:t xml:space="preserve">librarians; external bodies who have given </w:t>
      </w:r>
      <w:proofErr w:type="spellStart"/>
      <w:r w:rsidRPr="004969EF">
        <w:rPr>
          <w:rFonts w:ascii="Arial" w:hAnsi="Arial" w:cs="Arial"/>
          <w:sz w:val="22"/>
          <w:szCs w:val="22"/>
        </w:rPr>
        <w:t>you</w:t>
      </w:r>
      <w:proofErr w:type="spellEnd"/>
      <w:r w:rsidRPr="004969EF">
        <w:rPr>
          <w:rFonts w:ascii="Arial" w:hAnsi="Arial" w:cs="Arial"/>
          <w:sz w:val="22"/>
          <w:szCs w:val="22"/>
        </w:rPr>
        <w:t xml:space="preserve"> assistance.</w:t>
      </w:r>
    </w:p>
    <w:p w14:paraId="40A3E6C2" w14:textId="77777777" w:rsidR="00995444" w:rsidRPr="004969EF" w:rsidRDefault="00995444" w:rsidP="004969EF">
      <w:pPr>
        <w:spacing w:line="360" w:lineRule="auto"/>
        <w:jc w:val="both"/>
        <w:rPr>
          <w:rFonts w:ascii="Arial" w:hAnsi="Arial" w:cs="Arial"/>
          <w:sz w:val="22"/>
          <w:szCs w:val="22"/>
        </w:rPr>
      </w:pPr>
    </w:p>
    <w:p w14:paraId="7EA8A979" w14:textId="77777777" w:rsidR="0073280B" w:rsidRPr="004969EF" w:rsidRDefault="0073280B" w:rsidP="004969EF">
      <w:pPr>
        <w:spacing w:line="360" w:lineRule="auto"/>
        <w:jc w:val="both"/>
        <w:rPr>
          <w:rFonts w:ascii="Arial" w:hAnsi="Arial" w:cs="Arial"/>
          <w:sz w:val="22"/>
          <w:szCs w:val="22"/>
        </w:rPr>
      </w:pPr>
    </w:p>
    <w:p w14:paraId="24382F47" w14:textId="77777777" w:rsidR="0073280B" w:rsidRPr="004969EF" w:rsidRDefault="0073280B" w:rsidP="004969EF">
      <w:pPr>
        <w:spacing w:line="360" w:lineRule="auto"/>
        <w:jc w:val="both"/>
        <w:rPr>
          <w:rFonts w:ascii="Arial" w:hAnsi="Arial" w:cs="Arial"/>
          <w:sz w:val="22"/>
          <w:szCs w:val="22"/>
        </w:rPr>
      </w:pPr>
    </w:p>
    <w:p w14:paraId="6A8FCE15" w14:textId="77777777" w:rsidR="0073280B" w:rsidRPr="004969EF" w:rsidRDefault="0073280B" w:rsidP="004969EF">
      <w:pPr>
        <w:spacing w:line="360" w:lineRule="auto"/>
        <w:jc w:val="both"/>
        <w:rPr>
          <w:rFonts w:ascii="Arial" w:hAnsi="Arial" w:cs="Arial"/>
          <w:sz w:val="22"/>
          <w:szCs w:val="22"/>
        </w:rPr>
      </w:pPr>
    </w:p>
    <w:p w14:paraId="5B45260B" w14:textId="77777777" w:rsidR="0073280B" w:rsidRPr="004969EF" w:rsidRDefault="0073280B" w:rsidP="004969EF">
      <w:pPr>
        <w:spacing w:line="360" w:lineRule="auto"/>
        <w:jc w:val="both"/>
        <w:rPr>
          <w:rFonts w:ascii="Arial" w:hAnsi="Arial" w:cs="Arial"/>
          <w:sz w:val="22"/>
          <w:szCs w:val="22"/>
        </w:rPr>
      </w:pPr>
    </w:p>
    <w:p w14:paraId="29F99602" w14:textId="77777777" w:rsidR="0073280B" w:rsidRPr="004969EF" w:rsidRDefault="0073280B" w:rsidP="004969EF">
      <w:pPr>
        <w:spacing w:line="360" w:lineRule="auto"/>
        <w:jc w:val="both"/>
        <w:rPr>
          <w:rFonts w:ascii="Arial" w:hAnsi="Arial" w:cs="Arial"/>
          <w:sz w:val="22"/>
          <w:szCs w:val="22"/>
        </w:rPr>
      </w:pPr>
    </w:p>
    <w:p w14:paraId="7FFDFCFF" w14:textId="77777777" w:rsidR="0073280B" w:rsidRPr="004969EF" w:rsidRDefault="0073280B" w:rsidP="004969EF">
      <w:pPr>
        <w:spacing w:line="360" w:lineRule="auto"/>
        <w:jc w:val="both"/>
        <w:rPr>
          <w:rFonts w:ascii="Arial" w:hAnsi="Arial" w:cs="Arial"/>
          <w:sz w:val="22"/>
          <w:szCs w:val="22"/>
        </w:rPr>
      </w:pPr>
    </w:p>
    <w:p w14:paraId="1E61CB56" w14:textId="77777777" w:rsidR="0073280B" w:rsidRPr="004969EF" w:rsidRDefault="0073280B" w:rsidP="004969EF">
      <w:pPr>
        <w:spacing w:line="360" w:lineRule="auto"/>
        <w:jc w:val="both"/>
        <w:rPr>
          <w:rFonts w:ascii="Arial" w:hAnsi="Arial" w:cs="Arial"/>
          <w:sz w:val="22"/>
          <w:szCs w:val="22"/>
        </w:rPr>
      </w:pPr>
    </w:p>
    <w:p w14:paraId="4650381F" w14:textId="77777777" w:rsidR="0073280B" w:rsidRPr="004969EF" w:rsidRDefault="0073280B" w:rsidP="004969EF">
      <w:pPr>
        <w:spacing w:line="360" w:lineRule="auto"/>
        <w:jc w:val="both"/>
        <w:rPr>
          <w:rFonts w:ascii="Arial" w:hAnsi="Arial" w:cs="Arial"/>
          <w:sz w:val="22"/>
          <w:szCs w:val="22"/>
        </w:rPr>
      </w:pPr>
    </w:p>
    <w:p w14:paraId="413A9F5D" w14:textId="77777777" w:rsidR="0073280B" w:rsidRPr="004969EF" w:rsidRDefault="0073280B" w:rsidP="004969EF">
      <w:pPr>
        <w:spacing w:line="360" w:lineRule="auto"/>
        <w:jc w:val="both"/>
        <w:rPr>
          <w:rFonts w:ascii="Arial" w:hAnsi="Arial" w:cs="Arial"/>
          <w:sz w:val="22"/>
          <w:szCs w:val="22"/>
        </w:rPr>
      </w:pPr>
    </w:p>
    <w:p w14:paraId="0F7E2C83" w14:textId="77777777" w:rsidR="0073280B" w:rsidRPr="004969EF" w:rsidRDefault="0073280B" w:rsidP="004969EF">
      <w:pPr>
        <w:spacing w:line="360" w:lineRule="auto"/>
        <w:jc w:val="both"/>
        <w:rPr>
          <w:rFonts w:ascii="Arial" w:hAnsi="Arial" w:cs="Arial"/>
          <w:sz w:val="22"/>
          <w:szCs w:val="22"/>
        </w:rPr>
      </w:pPr>
    </w:p>
    <w:p w14:paraId="68D32102" w14:textId="77777777" w:rsidR="0073280B" w:rsidRPr="004969EF" w:rsidRDefault="0073280B" w:rsidP="004969EF">
      <w:pPr>
        <w:spacing w:line="360" w:lineRule="auto"/>
        <w:jc w:val="both"/>
        <w:rPr>
          <w:rFonts w:ascii="Arial" w:hAnsi="Arial" w:cs="Arial"/>
          <w:sz w:val="22"/>
          <w:szCs w:val="22"/>
        </w:rPr>
      </w:pPr>
    </w:p>
    <w:p w14:paraId="3269986A" w14:textId="77777777" w:rsidR="0073280B" w:rsidRPr="004969EF" w:rsidRDefault="0073280B" w:rsidP="004969EF">
      <w:pPr>
        <w:spacing w:line="360" w:lineRule="auto"/>
        <w:jc w:val="both"/>
        <w:rPr>
          <w:rFonts w:ascii="Arial" w:hAnsi="Arial" w:cs="Arial"/>
          <w:sz w:val="22"/>
          <w:szCs w:val="22"/>
        </w:rPr>
      </w:pPr>
    </w:p>
    <w:p w14:paraId="26B038C1" w14:textId="77777777" w:rsidR="0073280B" w:rsidRPr="004969EF" w:rsidRDefault="0073280B" w:rsidP="004969EF">
      <w:pPr>
        <w:spacing w:line="360" w:lineRule="auto"/>
        <w:jc w:val="both"/>
        <w:rPr>
          <w:rFonts w:ascii="Arial" w:hAnsi="Arial" w:cs="Arial"/>
          <w:sz w:val="22"/>
          <w:szCs w:val="22"/>
        </w:rPr>
      </w:pPr>
    </w:p>
    <w:p w14:paraId="6976232E" w14:textId="77777777" w:rsidR="0073280B" w:rsidRPr="004969EF" w:rsidRDefault="0073280B" w:rsidP="004969EF">
      <w:pPr>
        <w:spacing w:line="360" w:lineRule="auto"/>
        <w:jc w:val="both"/>
        <w:rPr>
          <w:rFonts w:ascii="Arial" w:hAnsi="Arial" w:cs="Arial"/>
          <w:sz w:val="22"/>
          <w:szCs w:val="22"/>
        </w:rPr>
      </w:pPr>
    </w:p>
    <w:p w14:paraId="045F19C6" w14:textId="77777777" w:rsidR="0073280B" w:rsidRPr="004969EF" w:rsidRDefault="0073280B" w:rsidP="004969EF">
      <w:pPr>
        <w:spacing w:line="360" w:lineRule="auto"/>
        <w:jc w:val="both"/>
        <w:rPr>
          <w:rFonts w:ascii="Arial" w:hAnsi="Arial" w:cs="Arial"/>
          <w:sz w:val="22"/>
          <w:szCs w:val="22"/>
        </w:rPr>
      </w:pPr>
    </w:p>
    <w:p w14:paraId="1063F851" w14:textId="77777777" w:rsidR="0073280B" w:rsidRPr="004969EF" w:rsidRDefault="0073280B" w:rsidP="004969EF">
      <w:pPr>
        <w:spacing w:line="360" w:lineRule="auto"/>
        <w:jc w:val="both"/>
        <w:rPr>
          <w:rFonts w:ascii="Arial" w:hAnsi="Arial" w:cs="Arial"/>
          <w:sz w:val="22"/>
          <w:szCs w:val="22"/>
        </w:rPr>
      </w:pPr>
    </w:p>
    <w:p w14:paraId="58131FA4" w14:textId="77777777" w:rsidR="0073280B" w:rsidRPr="004969EF" w:rsidRDefault="0073280B" w:rsidP="004969EF">
      <w:pPr>
        <w:spacing w:line="360" w:lineRule="auto"/>
        <w:jc w:val="both"/>
        <w:rPr>
          <w:rFonts w:ascii="Arial" w:hAnsi="Arial" w:cs="Arial"/>
          <w:sz w:val="22"/>
          <w:szCs w:val="22"/>
        </w:rPr>
      </w:pPr>
    </w:p>
    <w:p w14:paraId="6C0EC770" w14:textId="77777777" w:rsidR="0073280B" w:rsidRPr="004969EF" w:rsidRDefault="0073280B" w:rsidP="004969EF">
      <w:pPr>
        <w:spacing w:line="360" w:lineRule="auto"/>
        <w:jc w:val="both"/>
        <w:rPr>
          <w:rFonts w:ascii="Arial" w:hAnsi="Arial" w:cs="Arial"/>
          <w:sz w:val="22"/>
          <w:szCs w:val="22"/>
        </w:rPr>
      </w:pPr>
    </w:p>
    <w:p w14:paraId="16D78A60" w14:textId="77777777" w:rsidR="0073280B" w:rsidRPr="004969EF" w:rsidRDefault="0073280B" w:rsidP="004969EF">
      <w:pPr>
        <w:spacing w:line="360" w:lineRule="auto"/>
        <w:jc w:val="both"/>
        <w:rPr>
          <w:rFonts w:ascii="Arial" w:hAnsi="Arial" w:cs="Arial"/>
          <w:sz w:val="22"/>
          <w:szCs w:val="22"/>
        </w:rPr>
      </w:pPr>
    </w:p>
    <w:p w14:paraId="68249928" w14:textId="3ED6067D" w:rsidR="0073280B" w:rsidRPr="004969EF" w:rsidRDefault="0073280B" w:rsidP="004969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2"/>
          <w:szCs w:val="22"/>
        </w:rPr>
      </w:pPr>
      <w:proofErr w:type="gramStart"/>
      <w:r w:rsidRPr="004969EF">
        <w:rPr>
          <w:rFonts w:ascii="Arial" w:eastAsia="Arial Unicode MS" w:hAnsi="Arial" w:cs="Arial"/>
          <w:b/>
          <w:sz w:val="22"/>
          <w:szCs w:val="22"/>
        </w:rPr>
        <w:t>ABSTRACT</w:t>
      </w:r>
      <w:r w:rsidRPr="004969EF">
        <w:rPr>
          <w:rFonts w:ascii="Arial" w:eastAsia="Arial Unicode MS" w:hAnsi="Arial" w:cs="Arial"/>
          <w:sz w:val="22"/>
          <w:szCs w:val="22"/>
        </w:rPr>
        <w:t xml:space="preserve"> </w:t>
      </w:r>
      <w:r w:rsidRPr="004969EF">
        <w:rPr>
          <w:rFonts w:ascii="Arial" w:eastAsia="Arial Unicode MS" w:hAnsi="Arial" w:cs="Arial"/>
          <w:i/>
          <w:sz w:val="22"/>
          <w:szCs w:val="22"/>
        </w:rPr>
        <w:t xml:space="preserve"> </w:t>
      </w:r>
      <w:r w:rsidRPr="004969EF">
        <w:rPr>
          <w:rFonts w:ascii="Arial" w:eastAsia="Arial Unicode MS" w:hAnsi="Arial" w:cs="Arial"/>
          <w:sz w:val="22"/>
          <w:szCs w:val="22"/>
        </w:rPr>
        <w:t>(</w:t>
      </w:r>
      <w:proofErr w:type="gramEnd"/>
      <w:r w:rsidRPr="004969EF">
        <w:rPr>
          <w:rFonts w:ascii="Arial" w:eastAsia="Arial Unicode MS" w:hAnsi="Arial" w:cs="Arial"/>
          <w:sz w:val="22"/>
          <w:szCs w:val="22"/>
        </w:rPr>
        <w:t>1 page or 300 words – not included in the word count)</w:t>
      </w:r>
    </w:p>
    <w:p w14:paraId="310D40A5" w14:textId="77777777" w:rsidR="0073280B" w:rsidRPr="004969EF" w:rsidRDefault="0073280B" w:rsidP="004969EF">
      <w:pPr>
        <w:spacing w:line="360" w:lineRule="auto"/>
        <w:ind w:right="194"/>
        <w:jc w:val="both"/>
        <w:rPr>
          <w:rFonts w:ascii="Arial" w:eastAsia="Arial Unicode MS" w:hAnsi="Arial" w:cs="Arial"/>
          <w:sz w:val="22"/>
          <w:szCs w:val="22"/>
        </w:rPr>
      </w:pPr>
    </w:p>
    <w:p w14:paraId="6475D2E1" w14:textId="31028868" w:rsidR="0073280B" w:rsidRPr="004969EF" w:rsidRDefault="0073280B" w:rsidP="004969EF">
      <w:pPr>
        <w:spacing w:line="360" w:lineRule="auto"/>
        <w:ind w:right="194"/>
        <w:jc w:val="both"/>
        <w:rPr>
          <w:rFonts w:ascii="Arial" w:eastAsia="Arial Unicode MS" w:hAnsi="Arial" w:cs="Arial"/>
          <w:sz w:val="22"/>
          <w:szCs w:val="22"/>
        </w:rPr>
      </w:pPr>
      <w:r w:rsidRPr="004969EF">
        <w:rPr>
          <w:rFonts w:ascii="Arial" w:eastAsia="Arial Unicode MS" w:hAnsi="Arial" w:cs="Arial"/>
          <w:sz w:val="22"/>
          <w:szCs w:val="22"/>
        </w:rPr>
        <w:t xml:space="preserve">The abstract is a summary of the </w:t>
      </w:r>
      <w:r w:rsidRPr="004969EF">
        <w:rPr>
          <w:rFonts w:ascii="Arial" w:eastAsia="Arial Unicode MS" w:hAnsi="Arial" w:cs="Arial"/>
          <w:b/>
          <w:bCs/>
          <w:i/>
          <w:sz w:val="22"/>
          <w:szCs w:val="22"/>
          <w:u w:val="single"/>
        </w:rPr>
        <w:t>entire</w:t>
      </w:r>
      <w:r w:rsidRPr="004969EF">
        <w:rPr>
          <w:rFonts w:ascii="Arial" w:eastAsia="Arial Unicode MS" w:hAnsi="Arial" w:cs="Arial"/>
          <w:i/>
          <w:sz w:val="22"/>
          <w:szCs w:val="22"/>
        </w:rPr>
        <w:t xml:space="preserve"> </w:t>
      </w:r>
      <w:r w:rsidRPr="004969EF">
        <w:rPr>
          <w:rFonts w:ascii="Arial" w:eastAsia="Arial Unicode MS" w:hAnsi="Arial" w:cs="Arial"/>
          <w:sz w:val="22"/>
          <w:szCs w:val="22"/>
        </w:rPr>
        <w:t xml:space="preserve">dissertation and is one of the final things you will </w:t>
      </w:r>
      <w:proofErr w:type="gramStart"/>
      <w:r w:rsidRPr="004969EF">
        <w:rPr>
          <w:rFonts w:ascii="Arial" w:eastAsia="Arial Unicode MS" w:hAnsi="Arial" w:cs="Arial"/>
          <w:sz w:val="22"/>
          <w:szCs w:val="22"/>
        </w:rPr>
        <w:t>complete</w:t>
      </w:r>
      <w:r w:rsidR="00CE620E" w:rsidRPr="004969EF">
        <w:rPr>
          <w:rFonts w:ascii="Arial" w:eastAsia="Arial Unicode MS" w:hAnsi="Arial" w:cs="Arial"/>
          <w:sz w:val="22"/>
          <w:szCs w:val="22"/>
        </w:rPr>
        <w:t>, yet</w:t>
      </w:r>
      <w:proofErr w:type="gramEnd"/>
      <w:r w:rsidR="00CE620E" w:rsidRPr="004969EF">
        <w:rPr>
          <w:rFonts w:ascii="Arial" w:eastAsia="Arial Unicode MS" w:hAnsi="Arial" w:cs="Arial"/>
          <w:sz w:val="22"/>
          <w:szCs w:val="22"/>
        </w:rPr>
        <w:t xml:space="preserve"> is one of the first parts of your dissertation a reader will see, therefore, be specific and explicit in your approach.</w:t>
      </w:r>
      <w:r w:rsidRPr="004969EF">
        <w:rPr>
          <w:rFonts w:ascii="Arial" w:eastAsia="Arial Unicode MS" w:hAnsi="Arial" w:cs="Arial"/>
          <w:sz w:val="22"/>
          <w:szCs w:val="22"/>
        </w:rPr>
        <w:t xml:space="preserve">  </w:t>
      </w:r>
      <w:r w:rsidR="00CE620E" w:rsidRPr="004969EF">
        <w:rPr>
          <w:rFonts w:ascii="Arial" w:eastAsia="Arial Unicode MS" w:hAnsi="Arial" w:cs="Arial"/>
          <w:sz w:val="22"/>
          <w:szCs w:val="22"/>
        </w:rPr>
        <w:t>An abstract</w:t>
      </w:r>
      <w:r w:rsidRPr="004969EF">
        <w:rPr>
          <w:rFonts w:ascii="Arial" w:eastAsia="Arial Unicode MS" w:hAnsi="Arial" w:cs="Arial"/>
          <w:sz w:val="22"/>
          <w:szCs w:val="22"/>
        </w:rPr>
        <w:t xml:space="preserve"> should include:</w:t>
      </w:r>
    </w:p>
    <w:p w14:paraId="1727F2E2" w14:textId="77777777" w:rsidR="0073280B" w:rsidRPr="004969EF" w:rsidRDefault="0073280B" w:rsidP="004969EF">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2"/>
          <w:szCs w:val="22"/>
        </w:rPr>
      </w:pPr>
    </w:p>
    <w:p w14:paraId="729D8637" w14:textId="223914B9" w:rsidR="0073280B" w:rsidRPr="004969EF" w:rsidRDefault="0073280B" w:rsidP="004969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440" w:hanging="720"/>
        <w:jc w:val="both"/>
        <w:rPr>
          <w:rFonts w:ascii="Arial" w:eastAsia="Arial Unicode MS" w:hAnsi="Arial" w:cs="Arial"/>
          <w:sz w:val="22"/>
          <w:szCs w:val="22"/>
        </w:rPr>
      </w:pPr>
      <w:r w:rsidRPr="004969EF">
        <w:rPr>
          <w:rFonts w:ascii="Arial" w:eastAsia="Arial Unicode MS" w:hAnsi="Arial" w:cs="Arial"/>
          <w:b/>
          <w:sz w:val="22"/>
          <w:szCs w:val="22"/>
        </w:rPr>
        <w:t>a)</w:t>
      </w:r>
      <w:r w:rsidRPr="004969EF">
        <w:rPr>
          <w:rFonts w:ascii="Arial" w:eastAsia="Arial Unicode MS" w:hAnsi="Arial" w:cs="Arial"/>
          <w:sz w:val="22"/>
          <w:szCs w:val="22"/>
        </w:rPr>
        <w:tab/>
        <w:t>The overall</w:t>
      </w:r>
      <w:r w:rsidR="0025020C" w:rsidRPr="004969EF">
        <w:rPr>
          <w:rFonts w:ascii="Arial" w:eastAsia="Arial Unicode MS" w:hAnsi="Arial" w:cs="Arial"/>
          <w:sz w:val="22"/>
          <w:szCs w:val="22"/>
        </w:rPr>
        <w:t xml:space="preserve"> purpose, aim and objectives. An explanation as to why this research is important in the context of health and social care. </w:t>
      </w:r>
    </w:p>
    <w:p w14:paraId="2032DC13" w14:textId="6D7D7A97" w:rsidR="0073280B" w:rsidRPr="004969EF" w:rsidRDefault="0073280B" w:rsidP="004969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440" w:hanging="720"/>
        <w:jc w:val="both"/>
        <w:rPr>
          <w:rFonts w:ascii="Arial" w:eastAsia="Arial Unicode MS" w:hAnsi="Arial" w:cs="Arial"/>
          <w:sz w:val="22"/>
          <w:szCs w:val="22"/>
        </w:rPr>
      </w:pPr>
      <w:r w:rsidRPr="004969EF">
        <w:rPr>
          <w:rFonts w:ascii="Arial" w:eastAsia="Arial Unicode MS" w:hAnsi="Arial" w:cs="Arial"/>
          <w:b/>
          <w:sz w:val="22"/>
          <w:szCs w:val="22"/>
        </w:rPr>
        <w:t>b)</w:t>
      </w:r>
      <w:r w:rsidRPr="004969EF">
        <w:rPr>
          <w:rFonts w:ascii="Arial" w:eastAsia="Arial Unicode MS" w:hAnsi="Arial" w:cs="Arial"/>
          <w:sz w:val="22"/>
          <w:szCs w:val="22"/>
        </w:rPr>
        <w:tab/>
        <w:t xml:space="preserve">A </w:t>
      </w:r>
      <w:r w:rsidR="0025020C" w:rsidRPr="004969EF">
        <w:rPr>
          <w:rFonts w:ascii="Arial" w:eastAsia="Arial Unicode MS" w:hAnsi="Arial" w:cs="Arial"/>
          <w:sz w:val="22"/>
          <w:szCs w:val="22"/>
        </w:rPr>
        <w:t>summary</w:t>
      </w:r>
      <w:r w:rsidRPr="004969EF">
        <w:rPr>
          <w:rFonts w:ascii="Arial" w:eastAsia="Arial Unicode MS" w:hAnsi="Arial" w:cs="Arial"/>
          <w:sz w:val="22"/>
          <w:szCs w:val="22"/>
        </w:rPr>
        <w:t xml:space="preserve"> of the methods used</w:t>
      </w:r>
      <w:r w:rsidR="0025020C" w:rsidRPr="004969EF">
        <w:rPr>
          <w:rFonts w:ascii="Arial" w:eastAsia="Arial Unicode MS" w:hAnsi="Arial" w:cs="Arial"/>
          <w:sz w:val="22"/>
          <w:szCs w:val="22"/>
        </w:rPr>
        <w:t xml:space="preserve"> to complete your dissertation</w:t>
      </w:r>
      <w:r w:rsidRPr="004969EF">
        <w:rPr>
          <w:rFonts w:ascii="Arial" w:eastAsia="Arial Unicode MS" w:hAnsi="Arial" w:cs="Arial"/>
          <w:sz w:val="22"/>
          <w:szCs w:val="22"/>
        </w:rPr>
        <w:t>.</w:t>
      </w:r>
      <w:r w:rsidR="0025020C" w:rsidRPr="004969EF">
        <w:rPr>
          <w:rFonts w:ascii="Arial" w:eastAsia="Arial Unicode MS" w:hAnsi="Arial" w:cs="Arial"/>
          <w:sz w:val="22"/>
          <w:szCs w:val="22"/>
        </w:rPr>
        <w:t xml:space="preserve"> Outline the research approach (</w:t>
      </w:r>
      <w:r w:rsidR="00BD2909" w:rsidRPr="004969EF">
        <w:rPr>
          <w:rFonts w:ascii="Arial" w:eastAsia="Arial Unicode MS" w:hAnsi="Arial" w:cs="Arial"/>
          <w:sz w:val="22"/>
          <w:szCs w:val="22"/>
        </w:rPr>
        <w:t>thematic</w:t>
      </w:r>
      <w:r w:rsidR="0025020C" w:rsidRPr="004969EF">
        <w:rPr>
          <w:rFonts w:ascii="Arial" w:eastAsia="Arial Unicode MS" w:hAnsi="Arial" w:cs="Arial"/>
          <w:sz w:val="22"/>
          <w:szCs w:val="22"/>
        </w:rPr>
        <w:t xml:space="preserve"> </w:t>
      </w:r>
      <w:r w:rsidR="00BD2909" w:rsidRPr="004969EF">
        <w:rPr>
          <w:rFonts w:ascii="Arial" w:eastAsia="Arial Unicode MS" w:hAnsi="Arial" w:cs="Arial"/>
          <w:sz w:val="22"/>
          <w:szCs w:val="22"/>
        </w:rPr>
        <w:t>analysis</w:t>
      </w:r>
      <w:r w:rsidR="0025020C" w:rsidRPr="004969EF">
        <w:rPr>
          <w:rFonts w:ascii="Arial" w:eastAsia="Arial Unicode MS" w:hAnsi="Arial" w:cs="Arial"/>
          <w:sz w:val="22"/>
          <w:szCs w:val="22"/>
        </w:rPr>
        <w:t>) and indicate the focus on reviewing currently published literature.</w:t>
      </w:r>
    </w:p>
    <w:p w14:paraId="5A31948D" w14:textId="144B3B2A" w:rsidR="0073280B" w:rsidRPr="004969EF" w:rsidRDefault="0073280B" w:rsidP="004969EF">
      <w:pPr>
        <w:spacing w:line="360" w:lineRule="auto"/>
        <w:ind w:left="1440" w:hanging="720"/>
        <w:jc w:val="both"/>
        <w:rPr>
          <w:rFonts w:ascii="Arial" w:eastAsia="Arial Unicode MS" w:hAnsi="Arial" w:cs="Arial"/>
          <w:b/>
          <w:sz w:val="22"/>
          <w:szCs w:val="22"/>
        </w:rPr>
      </w:pPr>
      <w:r w:rsidRPr="004969EF">
        <w:rPr>
          <w:rFonts w:ascii="Arial" w:eastAsia="Arial Unicode MS" w:hAnsi="Arial" w:cs="Arial"/>
          <w:b/>
          <w:sz w:val="22"/>
          <w:szCs w:val="22"/>
        </w:rPr>
        <w:t>c)</w:t>
      </w:r>
      <w:r w:rsidRPr="004969EF">
        <w:rPr>
          <w:rFonts w:ascii="Arial" w:eastAsia="Arial Unicode MS" w:hAnsi="Arial" w:cs="Arial"/>
          <w:sz w:val="22"/>
          <w:szCs w:val="22"/>
        </w:rPr>
        <w:tab/>
        <w:t>A summary of the main findings</w:t>
      </w:r>
      <w:r w:rsidR="0025020C" w:rsidRPr="004969EF">
        <w:rPr>
          <w:rFonts w:ascii="Arial" w:eastAsia="Arial Unicode MS" w:hAnsi="Arial" w:cs="Arial"/>
          <w:bCs/>
          <w:sz w:val="22"/>
          <w:szCs w:val="22"/>
        </w:rPr>
        <w:t>. Highlight the most significant insights, themes and patterns and the conclusions drawn.</w:t>
      </w:r>
      <w:r w:rsidR="0025020C" w:rsidRPr="004969EF">
        <w:rPr>
          <w:rFonts w:ascii="Arial" w:eastAsia="Arial Unicode MS" w:hAnsi="Arial" w:cs="Arial"/>
          <w:sz w:val="22"/>
          <w:szCs w:val="22"/>
        </w:rPr>
        <w:tab/>
      </w:r>
    </w:p>
    <w:p w14:paraId="3B1CC249" w14:textId="3101DC5C" w:rsidR="0073280B" w:rsidRPr="004969EF" w:rsidRDefault="0073280B" w:rsidP="004969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440" w:hanging="720"/>
        <w:jc w:val="both"/>
        <w:rPr>
          <w:rFonts w:ascii="Arial" w:eastAsia="Arial Unicode MS" w:hAnsi="Arial" w:cs="Arial"/>
          <w:sz w:val="22"/>
          <w:szCs w:val="22"/>
        </w:rPr>
      </w:pPr>
      <w:r w:rsidRPr="004969EF">
        <w:rPr>
          <w:rFonts w:ascii="Arial" w:eastAsia="Arial Unicode MS" w:hAnsi="Arial" w:cs="Arial"/>
          <w:b/>
          <w:sz w:val="22"/>
          <w:szCs w:val="22"/>
        </w:rPr>
        <w:t>d)</w:t>
      </w:r>
      <w:r w:rsidRPr="004969EF">
        <w:rPr>
          <w:rFonts w:ascii="Arial" w:eastAsia="Arial Unicode MS" w:hAnsi="Arial" w:cs="Arial"/>
          <w:sz w:val="22"/>
          <w:szCs w:val="22"/>
        </w:rPr>
        <w:tab/>
        <w:t xml:space="preserve">A brief mention of the </w:t>
      </w:r>
      <w:r w:rsidR="0025020C" w:rsidRPr="004969EF">
        <w:rPr>
          <w:rFonts w:ascii="Arial" w:eastAsia="Arial Unicode MS" w:hAnsi="Arial" w:cs="Arial"/>
          <w:sz w:val="22"/>
          <w:szCs w:val="22"/>
        </w:rPr>
        <w:t xml:space="preserve">limitations and barriers which you identified within your research and how this can be impactful in practice. </w:t>
      </w:r>
    </w:p>
    <w:p w14:paraId="101AA6A9" w14:textId="77777777" w:rsidR="0025020C" w:rsidRPr="004969EF" w:rsidRDefault="0073280B" w:rsidP="004969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440" w:hanging="720"/>
        <w:jc w:val="both"/>
        <w:rPr>
          <w:rFonts w:ascii="Arial" w:eastAsia="Arial Unicode MS" w:hAnsi="Arial" w:cs="Arial"/>
          <w:b/>
          <w:sz w:val="22"/>
          <w:szCs w:val="22"/>
        </w:rPr>
      </w:pPr>
      <w:r w:rsidRPr="004969EF">
        <w:rPr>
          <w:rFonts w:ascii="Arial" w:eastAsia="Arial Unicode MS" w:hAnsi="Arial" w:cs="Arial"/>
          <w:b/>
          <w:sz w:val="22"/>
          <w:szCs w:val="22"/>
        </w:rPr>
        <w:t>e)</w:t>
      </w:r>
      <w:r w:rsidRPr="004969EF">
        <w:rPr>
          <w:rFonts w:ascii="Arial" w:eastAsia="Arial Unicode MS" w:hAnsi="Arial" w:cs="Arial"/>
          <w:sz w:val="22"/>
          <w:szCs w:val="22"/>
        </w:rPr>
        <w:tab/>
      </w:r>
      <w:r w:rsidR="0025020C" w:rsidRPr="004969EF">
        <w:rPr>
          <w:rFonts w:ascii="Arial" w:eastAsia="Arial Unicode MS" w:hAnsi="Arial" w:cs="Arial"/>
          <w:bCs/>
          <w:sz w:val="22"/>
          <w:szCs w:val="22"/>
        </w:rPr>
        <w:t>Summarise the recommendations that you have drawn from your findings.  These should relate to future health and social care practice, policy, education and research.</w:t>
      </w:r>
      <w:r w:rsidR="0025020C" w:rsidRPr="004969EF">
        <w:rPr>
          <w:rFonts w:ascii="Arial" w:eastAsia="Arial Unicode MS" w:hAnsi="Arial" w:cs="Arial"/>
          <w:b/>
          <w:sz w:val="22"/>
          <w:szCs w:val="22"/>
        </w:rPr>
        <w:t xml:space="preserve">    </w:t>
      </w:r>
    </w:p>
    <w:p w14:paraId="019A2C1E" w14:textId="77777777" w:rsidR="0073280B" w:rsidRPr="004969EF" w:rsidRDefault="0073280B" w:rsidP="004969EF">
      <w:pPr>
        <w:spacing w:line="360" w:lineRule="auto"/>
        <w:jc w:val="both"/>
        <w:rPr>
          <w:rFonts w:ascii="Arial" w:hAnsi="Arial" w:cs="Arial"/>
          <w:sz w:val="22"/>
          <w:szCs w:val="22"/>
        </w:rPr>
      </w:pPr>
    </w:p>
    <w:p w14:paraId="4B65C5F3" w14:textId="77777777" w:rsidR="00730C3C" w:rsidRPr="004969EF" w:rsidRDefault="00730C3C" w:rsidP="004969EF">
      <w:pPr>
        <w:spacing w:line="360" w:lineRule="auto"/>
        <w:jc w:val="both"/>
        <w:rPr>
          <w:rFonts w:ascii="Arial" w:hAnsi="Arial" w:cs="Arial"/>
          <w:sz w:val="22"/>
          <w:szCs w:val="22"/>
        </w:rPr>
      </w:pPr>
    </w:p>
    <w:p w14:paraId="1EDA5561" w14:textId="77777777" w:rsidR="00730C3C" w:rsidRPr="004969EF" w:rsidRDefault="00730C3C" w:rsidP="004969EF">
      <w:pPr>
        <w:spacing w:line="360" w:lineRule="auto"/>
        <w:jc w:val="both"/>
        <w:rPr>
          <w:rFonts w:ascii="Arial" w:hAnsi="Arial" w:cs="Arial"/>
          <w:sz w:val="22"/>
          <w:szCs w:val="22"/>
        </w:rPr>
      </w:pPr>
    </w:p>
    <w:p w14:paraId="576A2163" w14:textId="77777777" w:rsidR="00730C3C" w:rsidRPr="004969EF" w:rsidRDefault="00730C3C" w:rsidP="004969EF">
      <w:pPr>
        <w:spacing w:line="360" w:lineRule="auto"/>
        <w:jc w:val="both"/>
        <w:rPr>
          <w:rFonts w:ascii="Arial" w:hAnsi="Arial" w:cs="Arial"/>
          <w:sz w:val="22"/>
          <w:szCs w:val="22"/>
        </w:rPr>
      </w:pPr>
    </w:p>
    <w:p w14:paraId="2F774362" w14:textId="77777777" w:rsidR="00730C3C" w:rsidRPr="004969EF" w:rsidRDefault="00730C3C" w:rsidP="004969EF">
      <w:pPr>
        <w:spacing w:line="360" w:lineRule="auto"/>
        <w:jc w:val="both"/>
        <w:rPr>
          <w:rFonts w:ascii="Arial" w:hAnsi="Arial" w:cs="Arial"/>
          <w:sz w:val="22"/>
          <w:szCs w:val="22"/>
        </w:rPr>
      </w:pPr>
    </w:p>
    <w:p w14:paraId="57922C1A" w14:textId="77777777" w:rsidR="00730C3C" w:rsidRPr="004969EF" w:rsidRDefault="00730C3C" w:rsidP="004969EF">
      <w:pPr>
        <w:spacing w:line="360" w:lineRule="auto"/>
        <w:jc w:val="both"/>
        <w:rPr>
          <w:rFonts w:ascii="Arial" w:hAnsi="Arial" w:cs="Arial"/>
          <w:sz w:val="22"/>
          <w:szCs w:val="22"/>
        </w:rPr>
      </w:pPr>
    </w:p>
    <w:p w14:paraId="3A43D7FB" w14:textId="77777777" w:rsidR="00804B94" w:rsidRPr="004969EF" w:rsidRDefault="00804B94" w:rsidP="004969EF">
      <w:pPr>
        <w:spacing w:line="360" w:lineRule="auto"/>
        <w:jc w:val="both"/>
        <w:rPr>
          <w:rFonts w:ascii="Arial" w:hAnsi="Arial" w:cs="Arial"/>
          <w:sz w:val="22"/>
          <w:szCs w:val="22"/>
        </w:rPr>
      </w:pPr>
    </w:p>
    <w:p w14:paraId="350684A4" w14:textId="77777777" w:rsidR="00804B94" w:rsidRPr="004969EF" w:rsidRDefault="00804B94" w:rsidP="004969EF">
      <w:pPr>
        <w:spacing w:line="360" w:lineRule="auto"/>
        <w:jc w:val="both"/>
        <w:rPr>
          <w:rFonts w:ascii="Arial" w:hAnsi="Arial" w:cs="Arial"/>
          <w:sz w:val="22"/>
          <w:szCs w:val="22"/>
        </w:rPr>
      </w:pPr>
    </w:p>
    <w:p w14:paraId="72CB7F2C" w14:textId="77777777" w:rsidR="00804B94" w:rsidRPr="004969EF" w:rsidRDefault="00804B94" w:rsidP="004969EF">
      <w:pPr>
        <w:spacing w:line="360" w:lineRule="auto"/>
        <w:jc w:val="both"/>
        <w:rPr>
          <w:rFonts w:ascii="Arial" w:hAnsi="Arial" w:cs="Arial"/>
          <w:sz w:val="22"/>
          <w:szCs w:val="22"/>
        </w:rPr>
      </w:pPr>
    </w:p>
    <w:sdt>
      <w:sdtPr>
        <w:rPr>
          <w:rFonts w:ascii="Arial" w:hAnsi="Arial" w:cs="Arial"/>
          <w:color w:val="auto"/>
          <w:sz w:val="22"/>
          <w:szCs w:val="22"/>
        </w:rPr>
        <w:id w:val="2128114732"/>
        <w:docPartObj>
          <w:docPartGallery w:val="Table of Contents"/>
          <w:docPartUnique/>
        </w:docPartObj>
      </w:sdtPr>
      <w:sdtEndPr>
        <w:rPr>
          <w:rFonts w:eastAsia="Times New Roman"/>
          <w:noProof/>
          <w:lang w:val="en-GB" w:eastAsia="en-GB"/>
        </w:rPr>
      </w:sdtEndPr>
      <w:sdtContent>
        <w:p w14:paraId="6CE96D5A" w14:textId="337F8DB6" w:rsidR="00F63527" w:rsidRPr="004969EF" w:rsidRDefault="00F63527" w:rsidP="004969EF">
          <w:pPr>
            <w:pStyle w:val="TOCHeading"/>
            <w:spacing w:line="360" w:lineRule="auto"/>
            <w:jc w:val="both"/>
            <w:rPr>
              <w:rFonts w:ascii="Arial" w:hAnsi="Arial" w:cs="Arial"/>
              <w:color w:val="auto"/>
              <w:sz w:val="22"/>
              <w:szCs w:val="22"/>
            </w:rPr>
          </w:pPr>
          <w:r w:rsidRPr="004969EF">
            <w:rPr>
              <w:rFonts w:ascii="Arial" w:hAnsi="Arial" w:cs="Arial"/>
              <w:color w:val="auto"/>
              <w:sz w:val="22"/>
              <w:szCs w:val="22"/>
            </w:rPr>
            <w:t>Table of Contents</w:t>
          </w:r>
        </w:p>
        <w:p w14:paraId="53A3E3F0" w14:textId="3AB1BA8B" w:rsidR="00DF75BF" w:rsidRPr="004969EF" w:rsidRDefault="00F63527" w:rsidP="004969EF">
          <w:pPr>
            <w:pStyle w:val="TOC1"/>
            <w:tabs>
              <w:tab w:val="right" w:leader="dot" w:pos="9016"/>
            </w:tabs>
            <w:spacing w:line="360" w:lineRule="auto"/>
            <w:jc w:val="both"/>
            <w:rPr>
              <w:rFonts w:ascii="Arial" w:hAnsi="Arial" w:cs="Arial"/>
              <w:b w:val="0"/>
              <w:bCs w:val="0"/>
              <w:i w:val="0"/>
              <w:iCs w:val="0"/>
              <w:noProof/>
              <w:sz w:val="22"/>
              <w:szCs w:val="22"/>
            </w:rPr>
          </w:pPr>
          <w:r w:rsidRPr="004969EF">
            <w:rPr>
              <w:rFonts w:ascii="Arial" w:hAnsi="Arial" w:cs="Arial"/>
              <w:b w:val="0"/>
              <w:bCs w:val="0"/>
              <w:i w:val="0"/>
              <w:iCs w:val="0"/>
              <w:sz w:val="22"/>
              <w:szCs w:val="22"/>
            </w:rPr>
            <w:fldChar w:fldCharType="begin"/>
          </w:r>
          <w:r w:rsidRPr="004969EF">
            <w:rPr>
              <w:rFonts w:ascii="Arial" w:hAnsi="Arial" w:cs="Arial"/>
              <w:i w:val="0"/>
              <w:iCs w:val="0"/>
              <w:sz w:val="22"/>
              <w:szCs w:val="22"/>
            </w:rPr>
            <w:instrText xml:space="preserve"> TOC \o "1-3" \h \z \u </w:instrText>
          </w:r>
          <w:r w:rsidRPr="004969EF">
            <w:rPr>
              <w:rFonts w:ascii="Arial" w:hAnsi="Arial" w:cs="Arial"/>
              <w:b w:val="0"/>
              <w:bCs w:val="0"/>
              <w:i w:val="0"/>
              <w:iCs w:val="0"/>
              <w:sz w:val="22"/>
              <w:szCs w:val="22"/>
            </w:rPr>
            <w:fldChar w:fldCharType="separate"/>
          </w:r>
          <w:hyperlink w:anchor="_Toc226379356" w:history="1">
            <w:r w:rsidR="00DF75BF" w:rsidRPr="004969EF">
              <w:rPr>
                <w:rStyle w:val="Hyperlink"/>
                <w:rFonts w:ascii="Arial" w:hAnsi="Arial" w:cs="Arial"/>
                <w:noProof/>
                <w:sz w:val="22"/>
                <w:szCs w:val="22"/>
                <w:lang w:bidi="en-GB"/>
              </w:rPr>
              <w:t>Disclaimer</w:t>
            </w:r>
            <w:r w:rsidR="00DF75BF" w:rsidRPr="004969EF">
              <w:rPr>
                <w:rFonts w:ascii="Arial" w:hAnsi="Arial" w:cs="Arial"/>
                <w:noProof/>
                <w:webHidden/>
                <w:sz w:val="22"/>
                <w:szCs w:val="22"/>
              </w:rPr>
              <w:tab/>
            </w:r>
            <w:r w:rsidR="00DF75BF" w:rsidRPr="004969EF">
              <w:rPr>
                <w:rFonts w:ascii="Arial" w:hAnsi="Arial" w:cs="Arial"/>
                <w:noProof/>
                <w:webHidden/>
                <w:sz w:val="22"/>
                <w:szCs w:val="22"/>
              </w:rPr>
              <w:fldChar w:fldCharType="begin"/>
            </w:r>
            <w:r w:rsidR="00DF75BF" w:rsidRPr="004969EF">
              <w:rPr>
                <w:rFonts w:ascii="Arial" w:hAnsi="Arial" w:cs="Arial"/>
                <w:noProof/>
                <w:webHidden/>
                <w:sz w:val="22"/>
                <w:szCs w:val="22"/>
              </w:rPr>
              <w:instrText xml:space="preserve"> PAGEREF _Toc226379356 \h </w:instrText>
            </w:r>
            <w:r w:rsidR="00DF75BF" w:rsidRPr="004969EF">
              <w:rPr>
                <w:rFonts w:ascii="Arial" w:hAnsi="Arial" w:cs="Arial"/>
                <w:noProof/>
                <w:webHidden/>
                <w:sz w:val="22"/>
                <w:szCs w:val="22"/>
              </w:rPr>
            </w:r>
            <w:r w:rsidR="00DF75BF" w:rsidRPr="004969EF">
              <w:rPr>
                <w:rFonts w:ascii="Arial" w:hAnsi="Arial" w:cs="Arial"/>
                <w:noProof/>
                <w:webHidden/>
                <w:sz w:val="22"/>
                <w:szCs w:val="22"/>
              </w:rPr>
              <w:fldChar w:fldCharType="separate"/>
            </w:r>
            <w:r w:rsidR="00DF75BF" w:rsidRPr="004969EF">
              <w:rPr>
                <w:rFonts w:ascii="Arial" w:hAnsi="Arial" w:cs="Arial"/>
                <w:noProof/>
                <w:webHidden/>
                <w:sz w:val="22"/>
                <w:szCs w:val="22"/>
              </w:rPr>
              <w:t>1</w:t>
            </w:r>
            <w:r w:rsidR="00DF75BF" w:rsidRPr="004969EF">
              <w:rPr>
                <w:rFonts w:ascii="Arial" w:hAnsi="Arial" w:cs="Arial"/>
                <w:noProof/>
                <w:webHidden/>
                <w:sz w:val="22"/>
                <w:szCs w:val="22"/>
              </w:rPr>
              <w:fldChar w:fldCharType="end"/>
            </w:r>
          </w:hyperlink>
        </w:p>
        <w:p w14:paraId="516C4E9F" w14:textId="147956FA" w:rsidR="00DF75BF" w:rsidRPr="004969EF" w:rsidRDefault="00DF75BF" w:rsidP="004969EF">
          <w:pPr>
            <w:pStyle w:val="TOC1"/>
            <w:tabs>
              <w:tab w:val="right" w:leader="dot" w:pos="9016"/>
            </w:tabs>
            <w:spacing w:line="360" w:lineRule="auto"/>
            <w:jc w:val="both"/>
            <w:rPr>
              <w:rFonts w:ascii="Arial" w:hAnsi="Arial" w:cs="Arial"/>
              <w:b w:val="0"/>
              <w:bCs w:val="0"/>
              <w:i w:val="0"/>
              <w:iCs w:val="0"/>
              <w:noProof/>
              <w:sz w:val="22"/>
              <w:szCs w:val="22"/>
            </w:rPr>
          </w:pPr>
          <w:hyperlink w:anchor="_Toc226379357" w:history="1">
            <w:r w:rsidRPr="004969EF">
              <w:rPr>
                <w:rStyle w:val="Hyperlink"/>
                <w:rFonts w:ascii="Arial" w:hAnsi="Arial" w:cs="Arial"/>
                <w:noProof/>
                <w:sz w:val="22"/>
                <w:szCs w:val="22"/>
                <w:lang w:bidi="en-GB"/>
              </w:rPr>
              <w:t>CHAPTER 1</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_Toc226379357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7</w:t>
            </w:r>
            <w:r w:rsidRPr="004969EF">
              <w:rPr>
                <w:rFonts w:ascii="Arial" w:hAnsi="Arial" w:cs="Arial"/>
                <w:noProof/>
                <w:webHidden/>
                <w:sz w:val="22"/>
                <w:szCs w:val="22"/>
              </w:rPr>
              <w:fldChar w:fldCharType="end"/>
            </w:r>
          </w:hyperlink>
        </w:p>
        <w:p w14:paraId="4310FAD6" w14:textId="7F99DCDC" w:rsidR="00DF75BF" w:rsidRPr="004969EF" w:rsidRDefault="00DF75BF" w:rsidP="004969EF">
          <w:pPr>
            <w:pStyle w:val="TOC1"/>
            <w:tabs>
              <w:tab w:val="right" w:leader="dot" w:pos="9016"/>
            </w:tabs>
            <w:spacing w:line="360" w:lineRule="auto"/>
            <w:jc w:val="both"/>
            <w:rPr>
              <w:rFonts w:ascii="Arial" w:hAnsi="Arial" w:cs="Arial"/>
              <w:b w:val="0"/>
              <w:bCs w:val="0"/>
              <w:i w:val="0"/>
              <w:iCs w:val="0"/>
              <w:noProof/>
              <w:sz w:val="22"/>
              <w:szCs w:val="22"/>
            </w:rPr>
          </w:pPr>
          <w:hyperlink w:anchor="_Toc226379358" w:history="1">
            <w:r w:rsidRPr="004969EF">
              <w:rPr>
                <w:rStyle w:val="Hyperlink"/>
                <w:rFonts w:ascii="Arial" w:hAnsi="Arial" w:cs="Arial"/>
                <w:noProof/>
                <w:sz w:val="22"/>
                <w:szCs w:val="22"/>
                <w:lang w:bidi="en-GB"/>
              </w:rPr>
              <w:t>CHAPTER 2 – Background Information and Analysis</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_Toc226379358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12</w:t>
            </w:r>
            <w:r w:rsidRPr="004969EF">
              <w:rPr>
                <w:rFonts w:ascii="Arial" w:hAnsi="Arial" w:cs="Arial"/>
                <w:noProof/>
                <w:webHidden/>
                <w:sz w:val="22"/>
                <w:szCs w:val="22"/>
              </w:rPr>
              <w:fldChar w:fldCharType="end"/>
            </w:r>
          </w:hyperlink>
        </w:p>
        <w:p w14:paraId="7D73ABBF" w14:textId="2122A15A" w:rsidR="00DF75BF" w:rsidRPr="004969EF" w:rsidRDefault="00DF75BF" w:rsidP="004969EF">
          <w:pPr>
            <w:pStyle w:val="TOC1"/>
            <w:tabs>
              <w:tab w:val="right" w:leader="dot" w:pos="9016"/>
            </w:tabs>
            <w:spacing w:line="360" w:lineRule="auto"/>
            <w:jc w:val="both"/>
            <w:rPr>
              <w:rFonts w:ascii="Arial" w:hAnsi="Arial" w:cs="Arial"/>
              <w:b w:val="0"/>
              <w:bCs w:val="0"/>
              <w:i w:val="0"/>
              <w:iCs w:val="0"/>
              <w:noProof/>
              <w:sz w:val="22"/>
              <w:szCs w:val="22"/>
            </w:rPr>
          </w:pPr>
          <w:hyperlink w:anchor="_Toc226379359" w:history="1">
            <w:r w:rsidRPr="004969EF">
              <w:rPr>
                <w:rStyle w:val="Hyperlink"/>
                <w:rFonts w:ascii="Arial" w:hAnsi="Arial" w:cs="Arial"/>
                <w:noProof/>
                <w:sz w:val="22"/>
                <w:szCs w:val="22"/>
                <w:lang w:bidi="en-GB"/>
              </w:rPr>
              <w:t>CHAPTER 3</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_Toc226379359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23</w:t>
            </w:r>
            <w:r w:rsidRPr="004969EF">
              <w:rPr>
                <w:rFonts w:ascii="Arial" w:hAnsi="Arial" w:cs="Arial"/>
                <w:noProof/>
                <w:webHidden/>
                <w:sz w:val="22"/>
                <w:szCs w:val="22"/>
              </w:rPr>
              <w:fldChar w:fldCharType="end"/>
            </w:r>
          </w:hyperlink>
        </w:p>
        <w:p w14:paraId="5990AD94" w14:textId="2ED82B48" w:rsidR="00DF75BF" w:rsidRPr="004969EF" w:rsidRDefault="00DF75BF" w:rsidP="004969EF">
          <w:pPr>
            <w:pStyle w:val="TOC2"/>
            <w:spacing w:line="360" w:lineRule="auto"/>
            <w:jc w:val="both"/>
            <w:rPr>
              <w:rFonts w:ascii="Arial" w:hAnsi="Arial" w:cs="Arial"/>
              <w:b w:val="0"/>
              <w:bCs w:val="0"/>
              <w:noProof/>
              <w:sz w:val="22"/>
              <w:szCs w:val="22"/>
            </w:rPr>
          </w:pPr>
          <w:hyperlink w:anchor="_Toc226379360" w:history="1">
            <w:r w:rsidRPr="004969EF">
              <w:rPr>
                <w:rStyle w:val="Hyperlink"/>
                <w:rFonts w:ascii="Arial" w:hAnsi="Arial" w:cs="Arial"/>
                <w:noProof/>
                <w:sz w:val="22"/>
                <w:szCs w:val="22"/>
              </w:rPr>
              <w:t>3.1 – Introduction</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_Toc226379360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23</w:t>
            </w:r>
            <w:r w:rsidRPr="004969EF">
              <w:rPr>
                <w:rFonts w:ascii="Arial" w:hAnsi="Arial" w:cs="Arial"/>
                <w:noProof/>
                <w:webHidden/>
                <w:sz w:val="22"/>
                <w:szCs w:val="22"/>
              </w:rPr>
              <w:fldChar w:fldCharType="end"/>
            </w:r>
          </w:hyperlink>
        </w:p>
        <w:p w14:paraId="1E5FF5E3" w14:textId="110621CA" w:rsidR="00DF75BF" w:rsidRPr="004969EF" w:rsidRDefault="00DF75BF" w:rsidP="004969EF">
          <w:pPr>
            <w:pStyle w:val="TOC2"/>
            <w:spacing w:line="360" w:lineRule="auto"/>
            <w:jc w:val="both"/>
            <w:rPr>
              <w:rFonts w:ascii="Arial" w:hAnsi="Arial" w:cs="Arial"/>
              <w:b w:val="0"/>
              <w:bCs w:val="0"/>
              <w:noProof/>
              <w:sz w:val="22"/>
              <w:szCs w:val="22"/>
            </w:rPr>
          </w:pPr>
          <w:hyperlink w:anchor="_Toc226379361" w:history="1">
            <w:r w:rsidRPr="004969EF">
              <w:rPr>
                <w:rStyle w:val="Hyperlink"/>
                <w:rFonts w:ascii="Arial" w:hAnsi="Arial" w:cs="Arial"/>
                <w:noProof/>
                <w:sz w:val="22"/>
                <w:szCs w:val="22"/>
              </w:rPr>
              <w:t>3.2 – Search Strategy</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_Toc226379361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23</w:t>
            </w:r>
            <w:r w:rsidRPr="004969EF">
              <w:rPr>
                <w:rFonts w:ascii="Arial" w:hAnsi="Arial" w:cs="Arial"/>
                <w:noProof/>
                <w:webHidden/>
                <w:sz w:val="22"/>
                <w:szCs w:val="22"/>
              </w:rPr>
              <w:fldChar w:fldCharType="end"/>
            </w:r>
          </w:hyperlink>
        </w:p>
        <w:p w14:paraId="6268C740" w14:textId="56831EDC" w:rsidR="00DF75BF" w:rsidRPr="004969EF" w:rsidRDefault="00DF75BF" w:rsidP="004969EF">
          <w:pPr>
            <w:pStyle w:val="TOC2"/>
            <w:tabs>
              <w:tab w:val="left" w:pos="880"/>
            </w:tabs>
            <w:spacing w:line="360" w:lineRule="auto"/>
            <w:jc w:val="both"/>
            <w:rPr>
              <w:rFonts w:ascii="Arial" w:hAnsi="Arial" w:cs="Arial"/>
              <w:b w:val="0"/>
              <w:bCs w:val="0"/>
              <w:noProof/>
              <w:sz w:val="22"/>
              <w:szCs w:val="22"/>
            </w:rPr>
          </w:pPr>
          <w:hyperlink w:anchor="_Toc226379362" w:history="1">
            <w:r w:rsidRPr="004969EF">
              <w:rPr>
                <w:rStyle w:val="Hyperlink"/>
                <w:rFonts w:ascii="Arial" w:hAnsi="Arial" w:cs="Arial"/>
                <w:noProof/>
                <w:sz w:val="22"/>
                <w:szCs w:val="22"/>
              </w:rPr>
              <w:t>3.3-</w:t>
            </w:r>
            <w:r w:rsidRPr="004969EF">
              <w:rPr>
                <w:rFonts w:ascii="Arial" w:hAnsi="Arial" w:cs="Arial"/>
                <w:b w:val="0"/>
                <w:bCs w:val="0"/>
                <w:noProof/>
                <w:sz w:val="22"/>
                <w:szCs w:val="22"/>
              </w:rPr>
              <w:tab/>
            </w:r>
            <w:r w:rsidRPr="004969EF">
              <w:rPr>
                <w:rStyle w:val="Hyperlink"/>
                <w:rFonts w:ascii="Arial" w:hAnsi="Arial" w:cs="Arial"/>
                <w:noProof/>
                <w:sz w:val="22"/>
                <w:szCs w:val="22"/>
              </w:rPr>
              <w:t>Searching for Information</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_Toc226379362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24</w:t>
            </w:r>
            <w:r w:rsidRPr="004969EF">
              <w:rPr>
                <w:rFonts w:ascii="Arial" w:hAnsi="Arial" w:cs="Arial"/>
                <w:noProof/>
                <w:webHidden/>
                <w:sz w:val="22"/>
                <w:szCs w:val="22"/>
              </w:rPr>
              <w:fldChar w:fldCharType="end"/>
            </w:r>
          </w:hyperlink>
        </w:p>
        <w:p w14:paraId="68B0CE85" w14:textId="7D9C3505" w:rsidR="00DF75BF" w:rsidRPr="004969EF" w:rsidRDefault="00DF75BF" w:rsidP="004969EF">
          <w:pPr>
            <w:pStyle w:val="TOC2"/>
            <w:tabs>
              <w:tab w:val="left" w:pos="880"/>
            </w:tabs>
            <w:spacing w:line="360" w:lineRule="auto"/>
            <w:jc w:val="both"/>
            <w:rPr>
              <w:rFonts w:ascii="Arial" w:hAnsi="Arial" w:cs="Arial"/>
              <w:b w:val="0"/>
              <w:bCs w:val="0"/>
              <w:noProof/>
              <w:sz w:val="22"/>
              <w:szCs w:val="22"/>
            </w:rPr>
          </w:pPr>
          <w:hyperlink w:anchor="_Toc226379363" w:history="1">
            <w:r w:rsidRPr="004969EF">
              <w:rPr>
                <w:rStyle w:val="Hyperlink"/>
                <w:rFonts w:ascii="Arial" w:hAnsi="Arial" w:cs="Arial"/>
                <w:noProof/>
                <w:sz w:val="22"/>
                <w:szCs w:val="22"/>
              </w:rPr>
              <w:t>3.3</w:t>
            </w:r>
            <w:r w:rsidRPr="004969EF">
              <w:rPr>
                <w:rFonts w:ascii="Arial" w:hAnsi="Arial" w:cs="Arial"/>
                <w:b w:val="0"/>
                <w:bCs w:val="0"/>
                <w:noProof/>
                <w:sz w:val="22"/>
                <w:szCs w:val="22"/>
              </w:rPr>
              <w:tab/>
            </w:r>
            <w:r w:rsidRPr="004969EF">
              <w:rPr>
                <w:rStyle w:val="Hyperlink"/>
                <w:rFonts w:ascii="Arial" w:hAnsi="Arial" w:cs="Arial"/>
                <w:noProof/>
                <w:sz w:val="22"/>
                <w:szCs w:val="22"/>
              </w:rPr>
              <w:t>– Research Validation</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_Toc226379363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24</w:t>
            </w:r>
            <w:r w:rsidRPr="004969EF">
              <w:rPr>
                <w:rFonts w:ascii="Arial" w:hAnsi="Arial" w:cs="Arial"/>
                <w:noProof/>
                <w:webHidden/>
                <w:sz w:val="22"/>
                <w:szCs w:val="22"/>
              </w:rPr>
              <w:fldChar w:fldCharType="end"/>
            </w:r>
          </w:hyperlink>
        </w:p>
        <w:p w14:paraId="61EFB036" w14:textId="095207D0" w:rsidR="00DF75BF" w:rsidRPr="004969EF" w:rsidRDefault="00DF75BF" w:rsidP="004969EF">
          <w:pPr>
            <w:pStyle w:val="TOC2"/>
            <w:tabs>
              <w:tab w:val="left" w:pos="880"/>
            </w:tabs>
            <w:spacing w:line="360" w:lineRule="auto"/>
            <w:jc w:val="both"/>
            <w:rPr>
              <w:rFonts w:ascii="Arial" w:hAnsi="Arial" w:cs="Arial"/>
              <w:b w:val="0"/>
              <w:bCs w:val="0"/>
              <w:noProof/>
              <w:sz w:val="22"/>
              <w:szCs w:val="22"/>
            </w:rPr>
          </w:pPr>
          <w:hyperlink w:anchor="_Toc226379364" w:history="1">
            <w:r w:rsidRPr="004969EF">
              <w:rPr>
                <w:rStyle w:val="Hyperlink"/>
                <w:rFonts w:ascii="Arial" w:hAnsi="Arial" w:cs="Arial"/>
                <w:noProof/>
                <w:sz w:val="22"/>
                <w:szCs w:val="22"/>
              </w:rPr>
              <w:t>3.4</w:t>
            </w:r>
            <w:r w:rsidRPr="004969EF">
              <w:rPr>
                <w:rFonts w:ascii="Arial" w:hAnsi="Arial" w:cs="Arial"/>
                <w:b w:val="0"/>
                <w:bCs w:val="0"/>
                <w:noProof/>
                <w:sz w:val="22"/>
                <w:szCs w:val="22"/>
              </w:rPr>
              <w:tab/>
            </w:r>
            <w:r w:rsidRPr="004969EF">
              <w:rPr>
                <w:rStyle w:val="Hyperlink"/>
                <w:rFonts w:ascii="Arial" w:hAnsi="Arial" w:cs="Arial"/>
                <w:noProof/>
                <w:sz w:val="22"/>
                <w:szCs w:val="22"/>
              </w:rPr>
              <w:t>- Inclusion and Exclusion Criteria</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_Toc226379364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25</w:t>
            </w:r>
            <w:r w:rsidRPr="004969EF">
              <w:rPr>
                <w:rFonts w:ascii="Arial" w:hAnsi="Arial" w:cs="Arial"/>
                <w:noProof/>
                <w:webHidden/>
                <w:sz w:val="22"/>
                <w:szCs w:val="22"/>
              </w:rPr>
              <w:fldChar w:fldCharType="end"/>
            </w:r>
          </w:hyperlink>
        </w:p>
        <w:p w14:paraId="4347F709" w14:textId="2B40DF61" w:rsidR="00DF75BF" w:rsidRPr="004969EF" w:rsidRDefault="00DF75BF" w:rsidP="004969EF">
          <w:pPr>
            <w:pStyle w:val="TOC2"/>
            <w:tabs>
              <w:tab w:val="left" w:pos="880"/>
            </w:tabs>
            <w:spacing w:line="360" w:lineRule="auto"/>
            <w:jc w:val="both"/>
            <w:rPr>
              <w:rFonts w:ascii="Arial" w:hAnsi="Arial" w:cs="Arial"/>
              <w:b w:val="0"/>
              <w:bCs w:val="0"/>
              <w:noProof/>
              <w:sz w:val="22"/>
              <w:szCs w:val="22"/>
            </w:rPr>
          </w:pPr>
          <w:hyperlink w:anchor="_Toc226379365" w:history="1">
            <w:r w:rsidRPr="004969EF">
              <w:rPr>
                <w:rStyle w:val="Hyperlink"/>
                <w:rFonts w:ascii="Arial" w:hAnsi="Arial" w:cs="Arial"/>
                <w:noProof/>
                <w:sz w:val="22"/>
                <w:szCs w:val="22"/>
              </w:rPr>
              <w:t>3.5</w:t>
            </w:r>
            <w:r w:rsidRPr="004969EF">
              <w:rPr>
                <w:rFonts w:ascii="Arial" w:hAnsi="Arial" w:cs="Arial"/>
                <w:b w:val="0"/>
                <w:bCs w:val="0"/>
                <w:noProof/>
                <w:sz w:val="22"/>
                <w:szCs w:val="22"/>
              </w:rPr>
              <w:tab/>
            </w:r>
            <w:r w:rsidRPr="004969EF">
              <w:rPr>
                <w:rStyle w:val="Hyperlink"/>
                <w:rFonts w:ascii="Arial" w:hAnsi="Arial" w:cs="Arial"/>
                <w:noProof/>
                <w:sz w:val="22"/>
                <w:szCs w:val="22"/>
              </w:rPr>
              <w:t>– Analysing Research</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_Toc226379365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26</w:t>
            </w:r>
            <w:r w:rsidRPr="004969EF">
              <w:rPr>
                <w:rFonts w:ascii="Arial" w:hAnsi="Arial" w:cs="Arial"/>
                <w:noProof/>
                <w:webHidden/>
                <w:sz w:val="22"/>
                <w:szCs w:val="22"/>
              </w:rPr>
              <w:fldChar w:fldCharType="end"/>
            </w:r>
          </w:hyperlink>
        </w:p>
        <w:p w14:paraId="3ADCF1EE" w14:textId="5445736A" w:rsidR="00DF75BF" w:rsidRPr="004969EF" w:rsidRDefault="00DF75BF" w:rsidP="004969EF">
          <w:pPr>
            <w:pStyle w:val="TOC2"/>
            <w:spacing w:line="360" w:lineRule="auto"/>
            <w:jc w:val="both"/>
            <w:rPr>
              <w:rFonts w:ascii="Arial" w:hAnsi="Arial" w:cs="Arial"/>
              <w:b w:val="0"/>
              <w:bCs w:val="0"/>
              <w:noProof/>
              <w:sz w:val="22"/>
              <w:szCs w:val="22"/>
            </w:rPr>
          </w:pPr>
          <w:hyperlink w:anchor="_Toc226379366" w:history="1">
            <w:r w:rsidRPr="004969EF">
              <w:rPr>
                <w:rStyle w:val="Hyperlink"/>
                <w:rFonts w:ascii="Arial" w:hAnsi="Arial" w:cs="Arial"/>
                <w:noProof/>
                <w:sz w:val="22"/>
                <w:szCs w:val="22"/>
              </w:rPr>
              <w:t>3.8 – Chapter Conclusion</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_Toc226379366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27</w:t>
            </w:r>
            <w:r w:rsidRPr="004969EF">
              <w:rPr>
                <w:rFonts w:ascii="Arial" w:hAnsi="Arial" w:cs="Arial"/>
                <w:noProof/>
                <w:webHidden/>
                <w:sz w:val="22"/>
                <w:szCs w:val="22"/>
              </w:rPr>
              <w:fldChar w:fldCharType="end"/>
            </w:r>
          </w:hyperlink>
        </w:p>
        <w:p w14:paraId="493A133F" w14:textId="22E7D07F" w:rsidR="00DF75BF" w:rsidRPr="004969EF" w:rsidRDefault="00DF75BF" w:rsidP="004969EF">
          <w:pPr>
            <w:pStyle w:val="TOC1"/>
            <w:tabs>
              <w:tab w:val="right" w:leader="dot" w:pos="9016"/>
            </w:tabs>
            <w:spacing w:line="360" w:lineRule="auto"/>
            <w:jc w:val="both"/>
            <w:rPr>
              <w:rFonts w:ascii="Arial" w:hAnsi="Arial" w:cs="Arial"/>
              <w:b w:val="0"/>
              <w:bCs w:val="0"/>
              <w:i w:val="0"/>
              <w:iCs w:val="0"/>
              <w:noProof/>
              <w:sz w:val="22"/>
              <w:szCs w:val="22"/>
            </w:rPr>
          </w:pPr>
          <w:hyperlink w:anchor="_Toc226379367" w:history="1">
            <w:r w:rsidRPr="004969EF">
              <w:rPr>
                <w:rStyle w:val="Hyperlink"/>
                <w:rFonts w:ascii="Arial" w:hAnsi="Arial" w:cs="Arial"/>
                <w:noProof/>
                <w:sz w:val="22"/>
                <w:szCs w:val="22"/>
                <w:lang w:bidi="en-GB"/>
              </w:rPr>
              <w:t>CHAPTER 4</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_Toc226379367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27</w:t>
            </w:r>
            <w:r w:rsidRPr="004969EF">
              <w:rPr>
                <w:rFonts w:ascii="Arial" w:hAnsi="Arial" w:cs="Arial"/>
                <w:noProof/>
                <w:webHidden/>
                <w:sz w:val="22"/>
                <w:szCs w:val="22"/>
              </w:rPr>
              <w:fldChar w:fldCharType="end"/>
            </w:r>
          </w:hyperlink>
        </w:p>
        <w:p w14:paraId="54014548" w14:textId="48679070" w:rsidR="00DF75BF" w:rsidRPr="004969EF" w:rsidRDefault="00DF75BF" w:rsidP="004969EF">
          <w:pPr>
            <w:pStyle w:val="TOC2"/>
            <w:spacing w:line="360" w:lineRule="auto"/>
            <w:jc w:val="both"/>
            <w:rPr>
              <w:rFonts w:ascii="Arial" w:hAnsi="Arial" w:cs="Arial"/>
              <w:b w:val="0"/>
              <w:bCs w:val="0"/>
              <w:noProof/>
              <w:sz w:val="22"/>
              <w:szCs w:val="22"/>
            </w:rPr>
          </w:pPr>
          <w:hyperlink w:anchor="_Toc226379368" w:history="1">
            <w:r w:rsidRPr="004969EF">
              <w:rPr>
                <w:rStyle w:val="Hyperlink"/>
                <w:rFonts w:ascii="Arial" w:hAnsi="Arial" w:cs="Arial"/>
                <w:noProof/>
                <w:sz w:val="22"/>
                <w:szCs w:val="22"/>
              </w:rPr>
              <w:t>4.1 – Introduction (100 word approx.)</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_Toc226379368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27</w:t>
            </w:r>
            <w:r w:rsidRPr="004969EF">
              <w:rPr>
                <w:rFonts w:ascii="Arial" w:hAnsi="Arial" w:cs="Arial"/>
                <w:noProof/>
                <w:webHidden/>
                <w:sz w:val="22"/>
                <w:szCs w:val="22"/>
              </w:rPr>
              <w:fldChar w:fldCharType="end"/>
            </w:r>
          </w:hyperlink>
        </w:p>
        <w:p w14:paraId="4FCBBC7D" w14:textId="779053A0" w:rsidR="00DF75BF" w:rsidRPr="004969EF" w:rsidRDefault="00DF75BF" w:rsidP="004969EF">
          <w:pPr>
            <w:pStyle w:val="TOC2"/>
            <w:spacing w:line="360" w:lineRule="auto"/>
            <w:jc w:val="both"/>
            <w:rPr>
              <w:rFonts w:ascii="Arial" w:hAnsi="Arial" w:cs="Arial"/>
              <w:b w:val="0"/>
              <w:bCs w:val="0"/>
              <w:noProof/>
              <w:sz w:val="22"/>
              <w:szCs w:val="22"/>
            </w:rPr>
          </w:pPr>
          <w:hyperlink w:anchor="_Toc226379369" w:history="1">
            <w:r w:rsidRPr="004969EF">
              <w:rPr>
                <w:rStyle w:val="Hyperlink"/>
                <w:rFonts w:ascii="Arial" w:hAnsi="Arial" w:cs="Arial"/>
                <w:noProof/>
                <w:sz w:val="22"/>
                <w:szCs w:val="22"/>
              </w:rPr>
              <w:t>4.2 – Thematic Analysis</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_Toc226379369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28</w:t>
            </w:r>
            <w:r w:rsidRPr="004969EF">
              <w:rPr>
                <w:rFonts w:ascii="Arial" w:hAnsi="Arial" w:cs="Arial"/>
                <w:noProof/>
                <w:webHidden/>
                <w:sz w:val="22"/>
                <w:szCs w:val="22"/>
              </w:rPr>
              <w:fldChar w:fldCharType="end"/>
            </w:r>
          </w:hyperlink>
        </w:p>
        <w:p w14:paraId="560ADF60" w14:textId="50A55668" w:rsidR="00DF75BF" w:rsidRPr="004969EF" w:rsidRDefault="00DF75BF" w:rsidP="004969EF">
          <w:pPr>
            <w:pStyle w:val="TOC2"/>
            <w:spacing w:line="360" w:lineRule="auto"/>
            <w:jc w:val="both"/>
            <w:rPr>
              <w:rFonts w:ascii="Arial" w:hAnsi="Arial" w:cs="Arial"/>
              <w:b w:val="0"/>
              <w:bCs w:val="0"/>
              <w:noProof/>
              <w:sz w:val="22"/>
              <w:szCs w:val="22"/>
            </w:rPr>
          </w:pPr>
          <w:hyperlink w:anchor="_Toc226379370" w:history="1">
            <w:r w:rsidRPr="004969EF">
              <w:rPr>
                <w:rStyle w:val="Hyperlink"/>
                <w:rFonts w:ascii="Arial" w:hAnsi="Arial" w:cs="Arial"/>
                <w:noProof/>
                <w:sz w:val="22"/>
                <w:szCs w:val="22"/>
              </w:rPr>
              <w:t>4.3 – Theme 1: School-Based Practices and the Early Recognition of ADHD</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_Toc226379370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3</w:t>
            </w:r>
            <w:r w:rsidRPr="004969EF">
              <w:rPr>
                <w:rFonts w:ascii="Arial" w:hAnsi="Arial" w:cs="Arial"/>
                <w:noProof/>
                <w:webHidden/>
                <w:sz w:val="22"/>
                <w:szCs w:val="22"/>
              </w:rPr>
              <w:t>0</w:t>
            </w:r>
            <w:r w:rsidRPr="004969EF">
              <w:rPr>
                <w:rFonts w:ascii="Arial" w:hAnsi="Arial" w:cs="Arial"/>
                <w:noProof/>
                <w:webHidden/>
                <w:sz w:val="22"/>
                <w:szCs w:val="22"/>
              </w:rPr>
              <w:fldChar w:fldCharType="end"/>
            </w:r>
          </w:hyperlink>
        </w:p>
        <w:p w14:paraId="7A284927" w14:textId="7D3C71A1" w:rsidR="00DF75BF" w:rsidRPr="004969EF" w:rsidRDefault="00DF75BF" w:rsidP="004969EF">
          <w:pPr>
            <w:pStyle w:val="TOC2"/>
            <w:spacing w:line="360" w:lineRule="auto"/>
            <w:jc w:val="both"/>
            <w:rPr>
              <w:rFonts w:ascii="Arial" w:hAnsi="Arial" w:cs="Arial"/>
              <w:b w:val="0"/>
              <w:bCs w:val="0"/>
              <w:noProof/>
              <w:sz w:val="22"/>
              <w:szCs w:val="22"/>
            </w:rPr>
          </w:pPr>
          <w:hyperlink w:anchor="_Toc226379371" w:history="1">
            <w:r w:rsidRPr="004969EF">
              <w:rPr>
                <w:rStyle w:val="Hyperlink"/>
                <w:rFonts w:ascii="Arial" w:hAnsi="Arial" w:cs="Arial"/>
                <w:noProof/>
                <w:sz w:val="22"/>
                <w:szCs w:val="22"/>
              </w:rPr>
              <w:t>4.4 – Theme 2: Local Authority and Service-Level Variation in Referral Pathways</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_Toc226379371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3</w:t>
            </w:r>
            <w:r w:rsidRPr="004969EF">
              <w:rPr>
                <w:rFonts w:ascii="Arial" w:hAnsi="Arial" w:cs="Arial"/>
                <w:noProof/>
                <w:webHidden/>
                <w:sz w:val="22"/>
                <w:szCs w:val="22"/>
              </w:rPr>
              <w:t>6</w:t>
            </w:r>
            <w:r w:rsidRPr="004969EF">
              <w:rPr>
                <w:rFonts w:ascii="Arial" w:hAnsi="Arial" w:cs="Arial"/>
                <w:noProof/>
                <w:webHidden/>
                <w:sz w:val="22"/>
                <w:szCs w:val="22"/>
              </w:rPr>
              <w:fldChar w:fldCharType="end"/>
            </w:r>
          </w:hyperlink>
        </w:p>
        <w:p w14:paraId="768B50DB" w14:textId="3CEB6A65" w:rsidR="00DF75BF" w:rsidRPr="004969EF" w:rsidRDefault="00DF75BF" w:rsidP="004969EF">
          <w:pPr>
            <w:pStyle w:val="TOC2"/>
            <w:spacing w:line="360" w:lineRule="auto"/>
            <w:jc w:val="both"/>
            <w:rPr>
              <w:rFonts w:ascii="Arial" w:hAnsi="Arial" w:cs="Arial"/>
              <w:b w:val="0"/>
              <w:bCs w:val="0"/>
              <w:noProof/>
              <w:sz w:val="22"/>
              <w:szCs w:val="22"/>
            </w:rPr>
          </w:pPr>
          <w:hyperlink w:anchor="_Toc226379372" w:history="1">
            <w:r w:rsidRPr="004969EF">
              <w:rPr>
                <w:rStyle w:val="Hyperlink"/>
                <w:rFonts w:ascii="Arial" w:hAnsi="Arial" w:cs="Arial"/>
                <w:noProof/>
                <w:sz w:val="22"/>
                <w:szCs w:val="22"/>
              </w:rPr>
              <w:t>4.5 – Theme 3: Parental Perceptions, Cultural Meanings, and Help-Seeking.)</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_Toc226379372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4</w:t>
            </w:r>
            <w:r w:rsidRPr="004969EF">
              <w:rPr>
                <w:rFonts w:ascii="Arial" w:hAnsi="Arial" w:cs="Arial"/>
                <w:noProof/>
                <w:webHidden/>
                <w:sz w:val="22"/>
                <w:szCs w:val="22"/>
              </w:rPr>
              <w:t>0</w:t>
            </w:r>
            <w:r w:rsidRPr="004969EF">
              <w:rPr>
                <w:rFonts w:ascii="Arial" w:hAnsi="Arial" w:cs="Arial"/>
                <w:noProof/>
                <w:webHidden/>
                <w:sz w:val="22"/>
                <w:szCs w:val="22"/>
              </w:rPr>
              <w:fldChar w:fldCharType="end"/>
            </w:r>
          </w:hyperlink>
        </w:p>
        <w:p w14:paraId="59A9CCC8" w14:textId="08F64803" w:rsidR="00DF75BF" w:rsidRPr="004969EF" w:rsidRDefault="00DF75BF" w:rsidP="004969EF">
          <w:pPr>
            <w:pStyle w:val="TOC2"/>
            <w:spacing w:line="360" w:lineRule="auto"/>
            <w:jc w:val="both"/>
            <w:rPr>
              <w:rFonts w:ascii="Arial" w:hAnsi="Arial" w:cs="Arial"/>
              <w:b w:val="0"/>
              <w:bCs w:val="0"/>
              <w:noProof/>
              <w:sz w:val="22"/>
              <w:szCs w:val="22"/>
            </w:rPr>
          </w:pPr>
          <w:hyperlink w:anchor="_Toc226379373" w:history="1">
            <w:r w:rsidRPr="004969EF">
              <w:rPr>
                <w:rStyle w:val="Hyperlink"/>
                <w:rFonts w:ascii="Arial" w:hAnsi="Arial" w:cs="Arial"/>
                <w:noProof/>
                <w:sz w:val="22"/>
                <w:szCs w:val="22"/>
              </w:rPr>
              <w:t>4.5 – Theme 4: Consequences of Under-Recognition and Delayed Referral for Children</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_Toc226379373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43</w:t>
            </w:r>
            <w:r w:rsidRPr="004969EF">
              <w:rPr>
                <w:rFonts w:ascii="Arial" w:hAnsi="Arial" w:cs="Arial"/>
                <w:noProof/>
                <w:webHidden/>
                <w:sz w:val="22"/>
                <w:szCs w:val="22"/>
              </w:rPr>
              <w:fldChar w:fldCharType="end"/>
            </w:r>
          </w:hyperlink>
        </w:p>
        <w:p w14:paraId="6221EBCC" w14:textId="24F64127" w:rsidR="00DF75BF" w:rsidRPr="004969EF" w:rsidRDefault="00DF75BF" w:rsidP="004969EF">
          <w:pPr>
            <w:pStyle w:val="TOC2"/>
            <w:spacing w:line="360" w:lineRule="auto"/>
            <w:jc w:val="both"/>
            <w:rPr>
              <w:rFonts w:ascii="Arial" w:hAnsi="Arial" w:cs="Arial"/>
              <w:b w:val="0"/>
              <w:bCs w:val="0"/>
              <w:noProof/>
              <w:sz w:val="22"/>
              <w:szCs w:val="22"/>
            </w:rPr>
          </w:pPr>
          <w:hyperlink w:anchor="_Toc226379374" w:history="1">
            <w:r w:rsidRPr="004969EF">
              <w:rPr>
                <w:rStyle w:val="Hyperlink"/>
                <w:rFonts w:ascii="Arial" w:hAnsi="Arial" w:cs="Arial"/>
                <w:noProof/>
                <w:sz w:val="22"/>
                <w:szCs w:val="22"/>
              </w:rPr>
              <w:t>4.6 – Chapter Conclusion (200 words approx.)</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_Toc226379374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46</w:t>
            </w:r>
            <w:r w:rsidRPr="004969EF">
              <w:rPr>
                <w:rFonts w:ascii="Arial" w:hAnsi="Arial" w:cs="Arial"/>
                <w:noProof/>
                <w:webHidden/>
                <w:sz w:val="22"/>
                <w:szCs w:val="22"/>
              </w:rPr>
              <w:fldChar w:fldCharType="end"/>
            </w:r>
          </w:hyperlink>
        </w:p>
        <w:p w14:paraId="4A5FD477" w14:textId="4767911E" w:rsidR="00DF75BF" w:rsidRPr="004969EF" w:rsidRDefault="00DF75BF" w:rsidP="004969EF">
          <w:pPr>
            <w:pStyle w:val="TOC1"/>
            <w:tabs>
              <w:tab w:val="right" w:leader="dot" w:pos="9016"/>
            </w:tabs>
            <w:spacing w:line="360" w:lineRule="auto"/>
            <w:jc w:val="both"/>
            <w:rPr>
              <w:rFonts w:ascii="Arial" w:hAnsi="Arial" w:cs="Arial"/>
              <w:b w:val="0"/>
              <w:bCs w:val="0"/>
              <w:i w:val="0"/>
              <w:iCs w:val="0"/>
              <w:noProof/>
              <w:sz w:val="22"/>
              <w:szCs w:val="22"/>
            </w:rPr>
          </w:pPr>
          <w:hyperlink w:anchor="_Toc226379375" w:history="1">
            <w:r w:rsidRPr="004969EF">
              <w:rPr>
                <w:rStyle w:val="Hyperlink"/>
                <w:rFonts w:ascii="Arial" w:hAnsi="Arial" w:cs="Arial"/>
                <w:noProof/>
                <w:sz w:val="22"/>
                <w:szCs w:val="22"/>
                <w:lang w:bidi="en-GB"/>
              </w:rPr>
              <w:t>CHAPTER 5 – Conclusion and Recommendations (1,000 words approx.)</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_Toc226379375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46</w:t>
            </w:r>
            <w:r w:rsidRPr="004969EF">
              <w:rPr>
                <w:rFonts w:ascii="Arial" w:hAnsi="Arial" w:cs="Arial"/>
                <w:noProof/>
                <w:webHidden/>
                <w:sz w:val="22"/>
                <w:szCs w:val="22"/>
              </w:rPr>
              <w:fldChar w:fldCharType="end"/>
            </w:r>
          </w:hyperlink>
        </w:p>
        <w:p w14:paraId="5966AD86" w14:textId="3159B7B1" w:rsidR="00DF75BF" w:rsidRPr="004969EF" w:rsidRDefault="00DF75BF" w:rsidP="004969EF">
          <w:pPr>
            <w:pStyle w:val="TOC2"/>
            <w:spacing w:line="360" w:lineRule="auto"/>
            <w:jc w:val="both"/>
            <w:rPr>
              <w:rFonts w:ascii="Arial" w:hAnsi="Arial" w:cs="Arial"/>
              <w:b w:val="0"/>
              <w:bCs w:val="0"/>
              <w:noProof/>
              <w:sz w:val="22"/>
              <w:szCs w:val="22"/>
            </w:rPr>
          </w:pPr>
          <w:hyperlink w:anchor="_Toc226379376" w:history="1">
            <w:r w:rsidRPr="004969EF">
              <w:rPr>
                <w:rStyle w:val="Hyperlink"/>
                <w:rFonts w:ascii="Arial" w:hAnsi="Arial" w:cs="Arial"/>
                <w:noProof/>
                <w:sz w:val="22"/>
                <w:szCs w:val="22"/>
              </w:rPr>
              <w:t>5.1 – Overall Conclusion</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_Toc226379376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46</w:t>
            </w:r>
            <w:r w:rsidRPr="004969EF">
              <w:rPr>
                <w:rFonts w:ascii="Arial" w:hAnsi="Arial" w:cs="Arial"/>
                <w:noProof/>
                <w:webHidden/>
                <w:sz w:val="22"/>
                <w:szCs w:val="22"/>
              </w:rPr>
              <w:fldChar w:fldCharType="end"/>
            </w:r>
          </w:hyperlink>
        </w:p>
        <w:p w14:paraId="531BD4C8" w14:textId="2E5D5122" w:rsidR="00DF75BF" w:rsidRPr="004969EF" w:rsidRDefault="00DF75BF" w:rsidP="004969EF">
          <w:pPr>
            <w:pStyle w:val="TOC2"/>
            <w:spacing w:line="360" w:lineRule="auto"/>
            <w:jc w:val="both"/>
            <w:rPr>
              <w:rFonts w:ascii="Arial" w:hAnsi="Arial" w:cs="Arial"/>
              <w:b w:val="0"/>
              <w:bCs w:val="0"/>
              <w:noProof/>
              <w:sz w:val="22"/>
              <w:szCs w:val="22"/>
            </w:rPr>
          </w:pPr>
          <w:hyperlink w:anchor="_Toc226379377" w:history="1">
            <w:r w:rsidRPr="004969EF">
              <w:rPr>
                <w:rStyle w:val="Hyperlink"/>
                <w:rFonts w:ascii="Arial" w:hAnsi="Arial" w:cs="Arial"/>
                <w:noProof/>
                <w:sz w:val="22"/>
                <w:szCs w:val="22"/>
              </w:rPr>
              <w:t>5.2 – Recommendations</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_Toc226379377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47</w:t>
            </w:r>
            <w:r w:rsidRPr="004969EF">
              <w:rPr>
                <w:rFonts w:ascii="Arial" w:hAnsi="Arial" w:cs="Arial"/>
                <w:noProof/>
                <w:webHidden/>
                <w:sz w:val="22"/>
                <w:szCs w:val="22"/>
              </w:rPr>
              <w:fldChar w:fldCharType="end"/>
            </w:r>
          </w:hyperlink>
        </w:p>
        <w:p w14:paraId="6DBED418" w14:textId="142D0C7D" w:rsidR="00DF75BF" w:rsidRPr="004969EF" w:rsidRDefault="00DF75BF" w:rsidP="004969EF">
          <w:pPr>
            <w:pStyle w:val="TOC1"/>
            <w:tabs>
              <w:tab w:val="right" w:leader="dot" w:pos="9016"/>
            </w:tabs>
            <w:spacing w:line="360" w:lineRule="auto"/>
            <w:jc w:val="both"/>
            <w:rPr>
              <w:rFonts w:ascii="Arial" w:hAnsi="Arial" w:cs="Arial"/>
              <w:b w:val="0"/>
              <w:bCs w:val="0"/>
              <w:i w:val="0"/>
              <w:iCs w:val="0"/>
              <w:noProof/>
              <w:sz w:val="22"/>
              <w:szCs w:val="22"/>
            </w:rPr>
          </w:pPr>
          <w:hyperlink w:anchor="_Toc226379378" w:history="1">
            <w:r w:rsidRPr="004969EF">
              <w:rPr>
                <w:rStyle w:val="Hyperlink"/>
                <w:rFonts w:ascii="Arial" w:hAnsi="Arial" w:cs="Arial"/>
                <w:noProof/>
                <w:sz w:val="22"/>
                <w:szCs w:val="22"/>
                <w:lang w:bidi="en-GB"/>
              </w:rPr>
              <w:t>5.2.1 – Recommendation 1</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_Toc226379378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47</w:t>
            </w:r>
            <w:r w:rsidRPr="004969EF">
              <w:rPr>
                <w:rFonts w:ascii="Arial" w:hAnsi="Arial" w:cs="Arial"/>
                <w:noProof/>
                <w:webHidden/>
                <w:sz w:val="22"/>
                <w:szCs w:val="22"/>
              </w:rPr>
              <w:fldChar w:fldCharType="end"/>
            </w:r>
          </w:hyperlink>
        </w:p>
        <w:p w14:paraId="4CDB9BF2" w14:textId="00103A52" w:rsidR="00DF75BF" w:rsidRPr="004969EF" w:rsidRDefault="00DF75BF" w:rsidP="004969EF">
          <w:pPr>
            <w:pStyle w:val="TOC1"/>
            <w:tabs>
              <w:tab w:val="right" w:leader="dot" w:pos="9016"/>
            </w:tabs>
            <w:spacing w:line="360" w:lineRule="auto"/>
            <w:jc w:val="both"/>
            <w:rPr>
              <w:rFonts w:ascii="Arial" w:hAnsi="Arial" w:cs="Arial"/>
              <w:b w:val="0"/>
              <w:bCs w:val="0"/>
              <w:i w:val="0"/>
              <w:iCs w:val="0"/>
              <w:noProof/>
              <w:sz w:val="22"/>
              <w:szCs w:val="22"/>
            </w:rPr>
          </w:pPr>
          <w:hyperlink w:anchor="_Toc226379379" w:history="1">
            <w:r w:rsidRPr="004969EF">
              <w:rPr>
                <w:rStyle w:val="Hyperlink"/>
                <w:rFonts w:ascii="Arial" w:hAnsi="Arial" w:cs="Arial"/>
                <w:noProof/>
                <w:sz w:val="22"/>
                <w:szCs w:val="22"/>
                <w:lang w:bidi="en-GB"/>
              </w:rPr>
              <w:t>5.2.2 – Recommendation 2</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_Toc226379379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47</w:t>
            </w:r>
            <w:r w:rsidRPr="004969EF">
              <w:rPr>
                <w:rFonts w:ascii="Arial" w:hAnsi="Arial" w:cs="Arial"/>
                <w:noProof/>
                <w:webHidden/>
                <w:sz w:val="22"/>
                <w:szCs w:val="22"/>
              </w:rPr>
              <w:fldChar w:fldCharType="end"/>
            </w:r>
          </w:hyperlink>
        </w:p>
        <w:p w14:paraId="1FFA7D3D" w14:textId="3C7AC93D" w:rsidR="00DF75BF" w:rsidRPr="004969EF" w:rsidRDefault="00DF75BF" w:rsidP="004969EF">
          <w:pPr>
            <w:pStyle w:val="TOC1"/>
            <w:tabs>
              <w:tab w:val="right" w:leader="dot" w:pos="9016"/>
            </w:tabs>
            <w:spacing w:line="360" w:lineRule="auto"/>
            <w:jc w:val="both"/>
            <w:rPr>
              <w:rFonts w:ascii="Arial" w:hAnsi="Arial" w:cs="Arial"/>
              <w:b w:val="0"/>
              <w:bCs w:val="0"/>
              <w:i w:val="0"/>
              <w:iCs w:val="0"/>
              <w:noProof/>
              <w:sz w:val="22"/>
              <w:szCs w:val="22"/>
            </w:rPr>
          </w:pPr>
          <w:hyperlink w:anchor="_Toc226379380" w:history="1">
            <w:r w:rsidRPr="004969EF">
              <w:rPr>
                <w:rStyle w:val="Hyperlink"/>
                <w:rFonts w:ascii="Arial" w:hAnsi="Arial" w:cs="Arial"/>
                <w:noProof/>
                <w:sz w:val="22"/>
                <w:szCs w:val="22"/>
                <w:lang w:bidi="en-GB"/>
              </w:rPr>
              <w:t>5.2.3 – Recommendation 3</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_Toc226379380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47</w:t>
            </w:r>
            <w:r w:rsidRPr="004969EF">
              <w:rPr>
                <w:rFonts w:ascii="Arial" w:hAnsi="Arial" w:cs="Arial"/>
                <w:noProof/>
                <w:webHidden/>
                <w:sz w:val="22"/>
                <w:szCs w:val="22"/>
              </w:rPr>
              <w:fldChar w:fldCharType="end"/>
            </w:r>
          </w:hyperlink>
        </w:p>
        <w:p w14:paraId="67A35D55" w14:textId="10104790" w:rsidR="00DF75BF" w:rsidRPr="004969EF" w:rsidRDefault="00DF75BF" w:rsidP="004969EF">
          <w:pPr>
            <w:pStyle w:val="TOC1"/>
            <w:tabs>
              <w:tab w:val="right" w:leader="dot" w:pos="9016"/>
            </w:tabs>
            <w:spacing w:line="360" w:lineRule="auto"/>
            <w:jc w:val="both"/>
            <w:rPr>
              <w:rFonts w:ascii="Arial" w:hAnsi="Arial" w:cs="Arial"/>
              <w:b w:val="0"/>
              <w:bCs w:val="0"/>
              <w:i w:val="0"/>
              <w:iCs w:val="0"/>
              <w:noProof/>
              <w:sz w:val="22"/>
              <w:szCs w:val="22"/>
            </w:rPr>
          </w:pPr>
          <w:hyperlink w:anchor="_Toc226379381" w:history="1">
            <w:r w:rsidRPr="004969EF">
              <w:rPr>
                <w:rStyle w:val="Hyperlink"/>
                <w:rFonts w:ascii="Arial" w:hAnsi="Arial" w:cs="Arial"/>
                <w:noProof/>
                <w:sz w:val="22"/>
                <w:szCs w:val="22"/>
                <w:lang w:bidi="en-GB"/>
              </w:rPr>
              <w:t>6.1 – References</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_Toc226379381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47</w:t>
            </w:r>
            <w:r w:rsidRPr="004969EF">
              <w:rPr>
                <w:rFonts w:ascii="Arial" w:hAnsi="Arial" w:cs="Arial"/>
                <w:noProof/>
                <w:webHidden/>
                <w:sz w:val="22"/>
                <w:szCs w:val="22"/>
              </w:rPr>
              <w:fldChar w:fldCharType="end"/>
            </w:r>
          </w:hyperlink>
        </w:p>
        <w:p w14:paraId="01406D5C" w14:textId="2C4EDF27" w:rsidR="00DF75BF" w:rsidRPr="004969EF" w:rsidRDefault="00DF75BF" w:rsidP="004969EF">
          <w:pPr>
            <w:pStyle w:val="TOC1"/>
            <w:tabs>
              <w:tab w:val="right" w:leader="dot" w:pos="9016"/>
            </w:tabs>
            <w:spacing w:line="360" w:lineRule="auto"/>
            <w:jc w:val="both"/>
            <w:rPr>
              <w:rFonts w:ascii="Arial" w:hAnsi="Arial" w:cs="Arial"/>
              <w:b w:val="0"/>
              <w:bCs w:val="0"/>
              <w:i w:val="0"/>
              <w:iCs w:val="0"/>
              <w:noProof/>
              <w:sz w:val="22"/>
              <w:szCs w:val="22"/>
            </w:rPr>
          </w:pPr>
          <w:hyperlink w:anchor="_Toc226379382" w:history="1">
            <w:r w:rsidRPr="004969EF">
              <w:rPr>
                <w:rStyle w:val="Hyperlink"/>
                <w:rFonts w:ascii="Arial" w:hAnsi="Arial" w:cs="Arial"/>
                <w:noProof/>
                <w:sz w:val="22"/>
                <w:szCs w:val="22"/>
                <w:lang w:bidi="en-GB"/>
              </w:rPr>
              <w:t>6.2.1 – Appendix A</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_Toc226379382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51</w:t>
            </w:r>
            <w:r w:rsidRPr="004969EF">
              <w:rPr>
                <w:rFonts w:ascii="Arial" w:hAnsi="Arial" w:cs="Arial"/>
                <w:noProof/>
                <w:webHidden/>
                <w:sz w:val="22"/>
                <w:szCs w:val="22"/>
              </w:rPr>
              <w:fldChar w:fldCharType="end"/>
            </w:r>
          </w:hyperlink>
        </w:p>
        <w:p w14:paraId="1FB00FFB" w14:textId="44BF033E" w:rsidR="00DF75BF" w:rsidRPr="004969EF" w:rsidRDefault="00DF75BF" w:rsidP="004969EF">
          <w:pPr>
            <w:pStyle w:val="TOC1"/>
            <w:tabs>
              <w:tab w:val="right" w:leader="dot" w:pos="9016"/>
            </w:tabs>
            <w:spacing w:line="360" w:lineRule="auto"/>
            <w:jc w:val="both"/>
            <w:rPr>
              <w:rFonts w:ascii="Arial" w:hAnsi="Arial" w:cs="Arial"/>
              <w:b w:val="0"/>
              <w:bCs w:val="0"/>
              <w:i w:val="0"/>
              <w:iCs w:val="0"/>
              <w:noProof/>
              <w:sz w:val="22"/>
              <w:szCs w:val="22"/>
            </w:rPr>
          </w:pPr>
          <w:hyperlink w:anchor="_Toc226379383" w:history="1">
            <w:r w:rsidRPr="004969EF">
              <w:rPr>
                <w:rStyle w:val="Hyperlink"/>
                <w:rFonts w:ascii="Arial" w:hAnsi="Arial" w:cs="Arial"/>
                <w:noProof/>
                <w:sz w:val="22"/>
                <w:szCs w:val="22"/>
                <w:lang w:bidi="en-GB"/>
              </w:rPr>
              <w:t>6.2.2 – Appendix B</w:t>
            </w:r>
            <w:r w:rsidRPr="004969EF">
              <w:rPr>
                <w:rFonts w:ascii="Arial" w:hAnsi="Arial" w:cs="Arial"/>
                <w:noProof/>
                <w:webHidden/>
                <w:sz w:val="22"/>
                <w:szCs w:val="22"/>
              </w:rPr>
              <w:tab/>
            </w:r>
            <w:r w:rsidRPr="004969EF">
              <w:rPr>
                <w:rFonts w:ascii="Arial" w:hAnsi="Arial" w:cs="Arial"/>
                <w:noProof/>
                <w:webHidden/>
                <w:sz w:val="22"/>
                <w:szCs w:val="22"/>
              </w:rPr>
              <w:fldChar w:fldCharType="begin"/>
            </w:r>
            <w:r w:rsidRPr="004969EF">
              <w:rPr>
                <w:rFonts w:ascii="Arial" w:hAnsi="Arial" w:cs="Arial"/>
                <w:noProof/>
                <w:webHidden/>
                <w:sz w:val="22"/>
                <w:szCs w:val="22"/>
              </w:rPr>
              <w:instrText xml:space="preserve"> PAGEREF _Toc226379383 \h </w:instrText>
            </w:r>
            <w:r w:rsidRPr="004969EF">
              <w:rPr>
                <w:rFonts w:ascii="Arial" w:hAnsi="Arial" w:cs="Arial"/>
                <w:noProof/>
                <w:webHidden/>
                <w:sz w:val="22"/>
                <w:szCs w:val="22"/>
              </w:rPr>
            </w:r>
            <w:r w:rsidRPr="004969EF">
              <w:rPr>
                <w:rFonts w:ascii="Arial" w:hAnsi="Arial" w:cs="Arial"/>
                <w:noProof/>
                <w:webHidden/>
                <w:sz w:val="22"/>
                <w:szCs w:val="22"/>
              </w:rPr>
              <w:fldChar w:fldCharType="separate"/>
            </w:r>
            <w:r w:rsidRPr="004969EF">
              <w:rPr>
                <w:rFonts w:ascii="Arial" w:hAnsi="Arial" w:cs="Arial"/>
                <w:noProof/>
                <w:webHidden/>
                <w:sz w:val="22"/>
                <w:szCs w:val="22"/>
              </w:rPr>
              <w:t>72</w:t>
            </w:r>
            <w:r w:rsidRPr="004969EF">
              <w:rPr>
                <w:rFonts w:ascii="Arial" w:hAnsi="Arial" w:cs="Arial"/>
                <w:noProof/>
                <w:webHidden/>
                <w:sz w:val="22"/>
                <w:szCs w:val="22"/>
              </w:rPr>
              <w:fldChar w:fldCharType="end"/>
            </w:r>
          </w:hyperlink>
        </w:p>
        <w:p w14:paraId="52151513" w14:textId="4061D472" w:rsidR="00F63527" w:rsidRPr="004969EF" w:rsidRDefault="00F63527" w:rsidP="004969EF">
          <w:pPr>
            <w:spacing w:line="360" w:lineRule="auto"/>
            <w:jc w:val="both"/>
            <w:rPr>
              <w:rFonts w:ascii="Arial" w:hAnsi="Arial" w:cs="Arial"/>
              <w:sz w:val="22"/>
              <w:szCs w:val="22"/>
            </w:rPr>
          </w:pPr>
          <w:r w:rsidRPr="004969EF">
            <w:rPr>
              <w:rFonts w:ascii="Arial" w:hAnsi="Arial" w:cs="Arial"/>
              <w:b/>
              <w:bCs/>
              <w:noProof/>
              <w:sz w:val="22"/>
              <w:szCs w:val="22"/>
            </w:rPr>
            <w:fldChar w:fldCharType="end"/>
          </w:r>
        </w:p>
      </w:sdtContent>
    </w:sdt>
    <w:p w14:paraId="756C3EE0" w14:textId="77777777" w:rsidR="00804B94" w:rsidRPr="004969EF" w:rsidRDefault="00804B94" w:rsidP="004969EF">
      <w:pPr>
        <w:spacing w:line="360" w:lineRule="auto"/>
        <w:jc w:val="both"/>
        <w:rPr>
          <w:rFonts w:ascii="Arial" w:hAnsi="Arial" w:cs="Arial"/>
          <w:sz w:val="22"/>
          <w:szCs w:val="22"/>
        </w:rPr>
      </w:pPr>
    </w:p>
    <w:p w14:paraId="3EF52184" w14:textId="77777777" w:rsidR="00804B94" w:rsidRPr="004969EF" w:rsidRDefault="00804B94" w:rsidP="004969EF">
      <w:pPr>
        <w:spacing w:line="360" w:lineRule="auto"/>
        <w:jc w:val="both"/>
        <w:rPr>
          <w:rFonts w:ascii="Arial" w:hAnsi="Arial" w:cs="Arial"/>
          <w:sz w:val="22"/>
          <w:szCs w:val="22"/>
        </w:rPr>
      </w:pPr>
    </w:p>
    <w:p w14:paraId="52F0D83D" w14:textId="77777777" w:rsidR="00804B94" w:rsidRPr="004969EF" w:rsidRDefault="00804B94" w:rsidP="004969EF">
      <w:pPr>
        <w:spacing w:line="360" w:lineRule="auto"/>
        <w:jc w:val="both"/>
        <w:rPr>
          <w:rFonts w:ascii="Arial" w:hAnsi="Arial" w:cs="Arial"/>
          <w:sz w:val="22"/>
          <w:szCs w:val="22"/>
        </w:rPr>
      </w:pPr>
    </w:p>
    <w:p w14:paraId="4DF07CEB" w14:textId="24CE0847" w:rsidR="00804B94" w:rsidRPr="004969EF" w:rsidRDefault="00F63527" w:rsidP="004969EF">
      <w:pPr>
        <w:spacing w:line="360" w:lineRule="auto"/>
        <w:jc w:val="both"/>
        <w:rPr>
          <w:rFonts w:ascii="Arial" w:hAnsi="Arial" w:cs="Arial"/>
          <w:sz w:val="22"/>
          <w:szCs w:val="22"/>
        </w:rPr>
      </w:pPr>
      <w:r w:rsidRPr="004969EF">
        <w:rPr>
          <w:rFonts w:ascii="Arial" w:hAnsi="Arial" w:cs="Arial"/>
          <w:sz w:val="22"/>
          <w:szCs w:val="22"/>
        </w:rPr>
        <w:t xml:space="preserve"> </w:t>
      </w:r>
    </w:p>
    <w:p w14:paraId="61CFD6DF" w14:textId="77777777" w:rsidR="00804B94" w:rsidRPr="004969EF" w:rsidRDefault="00804B94" w:rsidP="004969EF">
      <w:pPr>
        <w:spacing w:line="360" w:lineRule="auto"/>
        <w:jc w:val="both"/>
        <w:rPr>
          <w:rFonts w:ascii="Arial" w:hAnsi="Arial" w:cs="Arial"/>
          <w:sz w:val="22"/>
          <w:szCs w:val="22"/>
        </w:rPr>
      </w:pPr>
    </w:p>
    <w:p w14:paraId="417D68A4" w14:textId="77777777" w:rsidR="00804B94" w:rsidRPr="004969EF" w:rsidRDefault="00804B94" w:rsidP="004969EF">
      <w:pPr>
        <w:spacing w:line="360" w:lineRule="auto"/>
        <w:jc w:val="both"/>
        <w:rPr>
          <w:rFonts w:ascii="Arial" w:hAnsi="Arial" w:cs="Arial"/>
          <w:sz w:val="22"/>
          <w:szCs w:val="22"/>
        </w:rPr>
      </w:pPr>
    </w:p>
    <w:p w14:paraId="201F102A" w14:textId="77777777" w:rsidR="00804B94" w:rsidRPr="004969EF" w:rsidRDefault="00804B94" w:rsidP="004969EF">
      <w:pPr>
        <w:spacing w:line="360" w:lineRule="auto"/>
        <w:jc w:val="both"/>
        <w:rPr>
          <w:rFonts w:ascii="Arial" w:hAnsi="Arial" w:cs="Arial"/>
          <w:sz w:val="22"/>
          <w:szCs w:val="22"/>
        </w:rPr>
      </w:pPr>
    </w:p>
    <w:p w14:paraId="5D0A8789" w14:textId="77777777" w:rsidR="00804B94" w:rsidRPr="004969EF" w:rsidRDefault="00804B94" w:rsidP="004969EF">
      <w:pPr>
        <w:spacing w:line="360" w:lineRule="auto"/>
        <w:jc w:val="both"/>
        <w:rPr>
          <w:rFonts w:ascii="Arial" w:hAnsi="Arial" w:cs="Arial"/>
          <w:sz w:val="22"/>
          <w:szCs w:val="22"/>
        </w:rPr>
      </w:pPr>
    </w:p>
    <w:p w14:paraId="786DF943" w14:textId="77777777" w:rsidR="00804B94" w:rsidRPr="004969EF" w:rsidRDefault="00804B94" w:rsidP="004969EF">
      <w:pPr>
        <w:spacing w:line="360" w:lineRule="auto"/>
        <w:jc w:val="both"/>
        <w:rPr>
          <w:rFonts w:ascii="Arial" w:hAnsi="Arial" w:cs="Arial"/>
          <w:sz w:val="22"/>
          <w:szCs w:val="22"/>
        </w:rPr>
      </w:pPr>
    </w:p>
    <w:p w14:paraId="612D2BA4" w14:textId="77777777" w:rsidR="00804B94" w:rsidRPr="004969EF" w:rsidRDefault="00804B94" w:rsidP="004969EF">
      <w:pPr>
        <w:spacing w:line="360" w:lineRule="auto"/>
        <w:jc w:val="both"/>
        <w:rPr>
          <w:rFonts w:ascii="Arial" w:hAnsi="Arial" w:cs="Arial"/>
          <w:sz w:val="22"/>
          <w:szCs w:val="22"/>
        </w:rPr>
      </w:pPr>
    </w:p>
    <w:p w14:paraId="44606545" w14:textId="77777777" w:rsidR="00804B94" w:rsidRPr="004969EF" w:rsidRDefault="00804B94" w:rsidP="004969EF">
      <w:pPr>
        <w:spacing w:line="360" w:lineRule="auto"/>
        <w:jc w:val="both"/>
        <w:rPr>
          <w:rFonts w:ascii="Arial" w:hAnsi="Arial" w:cs="Arial"/>
          <w:sz w:val="22"/>
          <w:szCs w:val="22"/>
        </w:rPr>
      </w:pPr>
    </w:p>
    <w:p w14:paraId="19556EF2" w14:textId="77777777" w:rsidR="00804B94" w:rsidRPr="004969EF" w:rsidRDefault="00804B94" w:rsidP="004969EF">
      <w:pPr>
        <w:spacing w:line="360" w:lineRule="auto"/>
        <w:jc w:val="both"/>
        <w:rPr>
          <w:rFonts w:ascii="Arial" w:hAnsi="Arial" w:cs="Arial"/>
          <w:sz w:val="22"/>
          <w:szCs w:val="22"/>
        </w:rPr>
      </w:pPr>
    </w:p>
    <w:p w14:paraId="4CA19B6B" w14:textId="77777777" w:rsidR="00804B94" w:rsidRPr="004969EF" w:rsidRDefault="00804B94" w:rsidP="004969EF">
      <w:pPr>
        <w:spacing w:line="360" w:lineRule="auto"/>
        <w:jc w:val="both"/>
        <w:rPr>
          <w:rFonts w:ascii="Arial" w:hAnsi="Arial" w:cs="Arial"/>
          <w:sz w:val="22"/>
          <w:szCs w:val="22"/>
        </w:rPr>
      </w:pPr>
    </w:p>
    <w:p w14:paraId="5C4D72C1" w14:textId="77777777" w:rsidR="00804B94" w:rsidRPr="004969EF" w:rsidRDefault="00804B94" w:rsidP="004969EF">
      <w:pPr>
        <w:spacing w:line="360" w:lineRule="auto"/>
        <w:jc w:val="both"/>
        <w:rPr>
          <w:rFonts w:ascii="Arial" w:hAnsi="Arial" w:cs="Arial"/>
          <w:sz w:val="22"/>
          <w:szCs w:val="22"/>
        </w:rPr>
      </w:pPr>
    </w:p>
    <w:p w14:paraId="63FE4DFF" w14:textId="77777777" w:rsidR="00804B94" w:rsidRPr="004969EF" w:rsidRDefault="00804B94" w:rsidP="004969EF">
      <w:pPr>
        <w:spacing w:line="360" w:lineRule="auto"/>
        <w:jc w:val="both"/>
        <w:rPr>
          <w:rFonts w:ascii="Arial" w:hAnsi="Arial" w:cs="Arial"/>
          <w:sz w:val="22"/>
          <w:szCs w:val="22"/>
        </w:rPr>
      </w:pPr>
    </w:p>
    <w:p w14:paraId="47780902" w14:textId="77777777" w:rsidR="00804B94" w:rsidRPr="004969EF" w:rsidRDefault="00804B94" w:rsidP="004969EF">
      <w:pPr>
        <w:spacing w:line="360" w:lineRule="auto"/>
        <w:jc w:val="both"/>
        <w:rPr>
          <w:rFonts w:ascii="Arial" w:hAnsi="Arial" w:cs="Arial"/>
          <w:sz w:val="22"/>
          <w:szCs w:val="22"/>
        </w:rPr>
      </w:pPr>
    </w:p>
    <w:p w14:paraId="53DEFD74" w14:textId="77777777" w:rsidR="00804B94" w:rsidRPr="004969EF" w:rsidRDefault="00804B94" w:rsidP="004969EF">
      <w:pPr>
        <w:spacing w:line="360" w:lineRule="auto"/>
        <w:jc w:val="both"/>
        <w:rPr>
          <w:rFonts w:ascii="Arial" w:hAnsi="Arial" w:cs="Arial"/>
          <w:sz w:val="22"/>
          <w:szCs w:val="22"/>
        </w:rPr>
      </w:pPr>
    </w:p>
    <w:p w14:paraId="2FF5C10C" w14:textId="77777777" w:rsidR="00804B94" w:rsidRPr="004969EF" w:rsidRDefault="00804B94" w:rsidP="004969EF">
      <w:pPr>
        <w:spacing w:line="360" w:lineRule="auto"/>
        <w:jc w:val="both"/>
        <w:rPr>
          <w:rFonts w:ascii="Arial" w:hAnsi="Arial" w:cs="Arial"/>
          <w:sz w:val="22"/>
          <w:szCs w:val="22"/>
        </w:rPr>
      </w:pPr>
    </w:p>
    <w:p w14:paraId="612C6762" w14:textId="77777777" w:rsidR="00804B94" w:rsidRPr="004969EF" w:rsidRDefault="00804B94" w:rsidP="004969EF">
      <w:pPr>
        <w:spacing w:line="360" w:lineRule="auto"/>
        <w:jc w:val="both"/>
        <w:rPr>
          <w:rFonts w:ascii="Arial" w:hAnsi="Arial" w:cs="Arial"/>
          <w:sz w:val="22"/>
          <w:szCs w:val="22"/>
        </w:rPr>
      </w:pPr>
    </w:p>
    <w:p w14:paraId="66BE3F66" w14:textId="77777777" w:rsidR="00730C3C" w:rsidRPr="004969EF" w:rsidRDefault="00730C3C" w:rsidP="004969EF">
      <w:pPr>
        <w:pStyle w:val="Heading1"/>
        <w:spacing w:line="360" w:lineRule="auto"/>
        <w:ind w:left="0"/>
        <w:jc w:val="both"/>
        <w:rPr>
          <w:rFonts w:cs="Arial"/>
          <w:sz w:val="22"/>
          <w:szCs w:val="22"/>
        </w:rPr>
      </w:pPr>
    </w:p>
    <w:p w14:paraId="58452D18" w14:textId="68E75396" w:rsidR="00730C3C" w:rsidRPr="004969EF" w:rsidRDefault="00730C3C" w:rsidP="004969EF">
      <w:pPr>
        <w:pStyle w:val="Heading1"/>
        <w:spacing w:line="360" w:lineRule="auto"/>
        <w:ind w:left="0"/>
        <w:jc w:val="both"/>
        <w:rPr>
          <w:rFonts w:cs="Arial"/>
          <w:b w:val="0"/>
          <w:sz w:val="22"/>
          <w:szCs w:val="22"/>
        </w:rPr>
      </w:pPr>
      <w:bookmarkStart w:id="1" w:name="_Toc226379357"/>
      <w:r w:rsidRPr="004969EF">
        <w:rPr>
          <w:rFonts w:cs="Arial"/>
          <w:sz w:val="22"/>
          <w:szCs w:val="22"/>
        </w:rPr>
        <w:t>CHAPTER 1</w:t>
      </w:r>
      <w:bookmarkEnd w:id="1"/>
    </w:p>
    <w:p w14:paraId="69941E5D" w14:textId="77777777" w:rsidR="00EF6341" w:rsidRPr="004969EF" w:rsidRDefault="00EF6341" w:rsidP="004969EF">
      <w:pPr>
        <w:pStyle w:val="BodyText"/>
        <w:spacing w:line="360" w:lineRule="auto"/>
        <w:jc w:val="both"/>
        <w:rPr>
          <w:rFonts w:cs="Arial"/>
          <w:sz w:val="22"/>
          <w:szCs w:val="22"/>
        </w:rPr>
      </w:pPr>
    </w:p>
    <w:p w14:paraId="7EB24CC9" w14:textId="62A422A8" w:rsidR="00BD2909" w:rsidRPr="004969EF" w:rsidRDefault="00BD2909" w:rsidP="004969EF">
      <w:pPr>
        <w:pStyle w:val="paragraph"/>
        <w:spacing w:before="0" w:beforeAutospacing="0" w:after="0" w:afterAutospacing="0" w:line="360" w:lineRule="auto"/>
        <w:jc w:val="both"/>
        <w:textAlignment w:val="baseline"/>
        <w:rPr>
          <w:rFonts w:ascii="Arial" w:hAnsi="Arial" w:cs="Arial"/>
          <w:sz w:val="22"/>
          <w:szCs w:val="22"/>
        </w:rPr>
      </w:pPr>
      <w:r w:rsidRPr="004969EF">
        <w:rPr>
          <w:rStyle w:val="normaltextrun"/>
          <w:rFonts w:ascii="Arial" w:hAnsi="Arial" w:cs="Arial"/>
          <w:sz w:val="22"/>
          <w:szCs w:val="22"/>
        </w:rPr>
        <w:t>1.1 Introduction</w:t>
      </w:r>
    </w:p>
    <w:p w14:paraId="6A4ADA8B" w14:textId="21DF8998" w:rsidR="006748FE" w:rsidRPr="004969EF" w:rsidRDefault="006748FE" w:rsidP="004969EF">
      <w:pPr>
        <w:spacing w:line="360" w:lineRule="auto"/>
        <w:jc w:val="both"/>
        <w:rPr>
          <w:rFonts w:ascii="Arial" w:hAnsi="Arial" w:cs="Arial"/>
          <w:sz w:val="22"/>
          <w:szCs w:val="22"/>
        </w:rPr>
      </w:pPr>
      <w:r w:rsidRPr="004969EF">
        <w:rPr>
          <w:rFonts w:ascii="Arial" w:hAnsi="Arial" w:cs="Arial"/>
          <w:sz w:val="22"/>
          <w:szCs w:val="22"/>
        </w:rPr>
        <w:t xml:space="preserve">Attention-Deficit/Hyperactivity Disorder (ADHD) is recognised in the ICD-11 as a neurodevelopmental condition that involves ongoing patterns of inattention, hyperactivity and impulsivity (World Health Organization, 2019). Although ADHD is well known in both clinical and educational settings, the way it is spotted in everyday practice is not always the same. </w:t>
      </w:r>
      <w:r w:rsidRPr="004969EF">
        <w:rPr>
          <w:rFonts w:ascii="Arial" w:hAnsi="Arial" w:cs="Arial"/>
          <w:sz w:val="22"/>
          <w:szCs w:val="22"/>
        </w:rPr>
        <w:lastRenderedPageBreak/>
        <w:t>Schools are often expected to notice early signs, yet recognition can differ between places. This happens not only because teachers judge things differently, but also because of wider pressures on the system, gaps in training, and how cultural and social ideas shape the way children’s behaviour is seen. Current guidance says that ADHD does not look the same in everyone, and children may show inattentive, hyperactive-impulsive or combined types (National Institute for Health and Care Excellence, 2018). However, not all children show obvious or disruptive behaviours, and in practice, finding it early often depends on how adults understand more subtle patterns rather than clear signs. This can make it harder to recognise, especially when staff are not sure what ADHD looks like in the classroom or rely on old ideas (</w:t>
      </w:r>
      <w:proofErr w:type="spellStart"/>
      <w:r w:rsidRPr="004969EF">
        <w:rPr>
          <w:rFonts w:ascii="Arial" w:hAnsi="Arial" w:cs="Arial"/>
          <w:sz w:val="22"/>
          <w:szCs w:val="22"/>
        </w:rPr>
        <w:t>Aldabbagh</w:t>
      </w:r>
      <w:proofErr w:type="spellEnd"/>
      <w:r w:rsidRPr="004969EF">
        <w:rPr>
          <w:rFonts w:ascii="Arial" w:hAnsi="Arial" w:cs="Arial"/>
          <w:sz w:val="22"/>
          <w:szCs w:val="22"/>
        </w:rPr>
        <w:t xml:space="preserve"> </w:t>
      </w:r>
      <w:proofErr w:type="gramStart"/>
      <w:r w:rsidR="003B75FB" w:rsidRPr="004969EF">
        <w:rPr>
          <w:rFonts w:ascii="Arial" w:hAnsi="Arial" w:cs="Arial"/>
          <w:sz w:val="22"/>
          <w:szCs w:val="22"/>
        </w:rPr>
        <w:t>et al.,</w:t>
      </w:r>
      <w:r w:rsidRPr="004969EF">
        <w:rPr>
          <w:rFonts w:ascii="Arial" w:hAnsi="Arial" w:cs="Arial"/>
          <w:sz w:val="22"/>
          <w:szCs w:val="22"/>
        </w:rPr>
        <w:t>,</w:t>
      </w:r>
      <w:proofErr w:type="gramEnd"/>
      <w:r w:rsidRPr="004969EF">
        <w:rPr>
          <w:rFonts w:ascii="Arial" w:hAnsi="Arial" w:cs="Arial"/>
          <w:sz w:val="22"/>
          <w:szCs w:val="22"/>
        </w:rPr>
        <w:t xml:space="preserve"> 2024). Research also shows that limited training and confidence among school staff can affect how ADHD is seen, and this often leads to delays in getting help (Ward </w:t>
      </w:r>
      <w:proofErr w:type="gramStart"/>
      <w:r w:rsidR="003B75FB" w:rsidRPr="004969EF">
        <w:rPr>
          <w:rFonts w:ascii="Arial" w:hAnsi="Arial" w:cs="Arial"/>
          <w:sz w:val="22"/>
          <w:szCs w:val="22"/>
        </w:rPr>
        <w:t>et al.,</w:t>
      </w:r>
      <w:r w:rsidRPr="004969EF">
        <w:rPr>
          <w:rFonts w:ascii="Arial" w:hAnsi="Arial" w:cs="Arial"/>
          <w:sz w:val="22"/>
          <w:szCs w:val="22"/>
        </w:rPr>
        <w:t>,</w:t>
      </w:r>
      <w:proofErr w:type="gramEnd"/>
      <w:r w:rsidRPr="004969EF">
        <w:rPr>
          <w:rFonts w:ascii="Arial" w:hAnsi="Arial" w:cs="Arial"/>
          <w:sz w:val="22"/>
          <w:szCs w:val="22"/>
        </w:rPr>
        <w:t xml:space="preserve"> 2021).</w:t>
      </w:r>
    </w:p>
    <w:p w14:paraId="54AF008E" w14:textId="77777777" w:rsidR="006748FE" w:rsidRPr="004969EF" w:rsidRDefault="006748FE" w:rsidP="004969EF">
      <w:pPr>
        <w:spacing w:line="360" w:lineRule="auto"/>
        <w:jc w:val="both"/>
        <w:rPr>
          <w:rFonts w:ascii="Arial" w:hAnsi="Arial" w:cs="Arial"/>
          <w:sz w:val="22"/>
          <w:szCs w:val="22"/>
        </w:rPr>
      </w:pPr>
      <w:r w:rsidRPr="004969EF">
        <w:rPr>
          <w:rFonts w:ascii="Arial" w:hAnsi="Arial" w:cs="Arial"/>
          <w:sz w:val="22"/>
          <w:szCs w:val="22"/>
        </w:rPr>
        <w:t>These issues happen within a system that is already under pressure. NHS England reports that demand is increasing, waiting times are long, and services work differently in different parts of the country (NHS England, 2024a). However, these reports do not always show how these pressures affect day-to-day work in schools. National reviews suggest that ADHD is still not always spotted or diagnosed, especially in some groups (NHS England, 2025b). Although there is limited data about different ethnic groups in the UK, this is an area where more research is needed to understand the full extent of these differences. Early identification needs schools, local authorities and health services to work together, but these systems do not always fit well together. The SEND Code of Practice (Department for Education, 2015) sets out what should happen to provide support early on, but how it is carried out varies between areas (Local Government Association, 2025). This means that getting help and recognition can depend not just on a child’s needs, but also on how much money and support the local area and schools have.</w:t>
      </w:r>
    </w:p>
    <w:p w14:paraId="37320B62" w14:textId="13A9A382" w:rsidR="006748FE" w:rsidRPr="004969EF" w:rsidRDefault="006748FE" w:rsidP="004969EF">
      <w:pPr>
        <w:spacing w:line="360" w:lineRule="auto"/>
        <w:jc w:val="both"/>
        <w:rPr>
          <w:rFonts w:ascii="Arial" w:hAnsi="Arial" w:cs="Arial"/>
          <w:sz w:val="22"/>
          <w:szCs w:val="22"/>
        </w:rPr>
      </w:pPr>
      <w:r w:rsidRPr="004969EF">
        <w:rPr>
          <w:rFonts w:ascii="Arial" w:hAnsi="Arial" w:cs="Arial"/>
          <w:sz w:val="22"/>
          <w:szCs w:val="22"/>
        </w:rPr>
        <w:t xml:space="preserve">Research shows that how teachers understand behaviour can be affected by cultural expectations (Diener </w:t>
      </w:r>
      <w:r w:rsidR="00825038" w:rsidRPr="004969EF">
        <w:rPr>
          <w:rFonts w:ascii="Arial" w:hAnsi="Arial" w:cs="Arial"/>
          <w:sz w:val="22"/>
          <w:szCs w:val="22"/>
        </w:rPr>
        <w:t>et al.,</w:t>
      </w:r>
      <w:r w:rsidRPr="004969EF">
        <w:rPr>
          <w:rFonts w:ascii="Arial" w:hAnsi="Arial" w:cs="Arial"/>
          <w:sz w:val="22"/>
          <w:szCs w:val="22"/>
        </w:rPr>
        <w:t xml:space="preserve"> 2025). This means that spotting ADHD is not just about the behaviour itself, but also about how that behaviour is interpreted in context. Because of this, different views can delay or stop referrals being made, and this may affect children from ethnic minority backgrounds. Teachers’ views of students can also be shaped by hidden assumptions, which change how behaviour is seen in class (</w:t>
      </w:r>
      <w:proofErr w:type="spellStart"/>
      <w:r w:rsidRPr="004969EF">
        <w:rPr>
          <w:rFonts w:ascii="Arial" w:hAnsi="Arial" w:cs="Arial"/>
          <w:sz w:val="22"/>
          <w:szCs w:val="22"/>
        </w:rPr>
        <w:t>Krämer</w:t>
      </w:r>
      <w:proofErr w:type="spellEnd"/>
      <w:r w:rsidRPr="004969EF">
        <w:rPr>
          <w:rFonts w:ascii="Arial" w:hAnsi="Arial" w:cs="Arial"/>
          <w:sz w:val="22"/>
          <w:szCs w:val="22"/>
        </w:rPr>
        <w:t xml:space="preserve"> and Zimmermann, 2025). This shows that recognition is not just about seeing symptoms, but also about how those actions are viewed in practice. ADHD is also seen as part of a wider group of conditions that need joined-up support from health and education teams (</w:t>
      </w:r>
      <w:proofErr w:type="spellStart"/>
      <w:r w:rsidRPr="004969EF">
        <w:rPr>
          <w:rFonts w:ascii="Arial" w:hAnsi="Arial" w:cs="Arial"/>
          <w:sz w:val="22"/>
          <w:szCs w:val="22"/>
        </w:rPr>
        <w:t>Ogundele</w:t>
      </w:r>
      <w:proofErr w:type="spellEnd"/>
      <w:r w:rsidRPr="004969EF">
        <w:rPr>
          <w:rFonts w:ascii="Arial" w:hAnsi="Arial" w:cs="Arial"/>
          <w:sz w:val="22"/>
          <w:szCs w:val="22"/>
        </w:rPr>
        <w:t xml:space="preserve"> and Morton, 2022). When this working together is not good enough, early recognition and support can suffer. Being culturally aware is therefore important in shaping how professionals understand things and how families get in touch with services.</w:t>
      </w:r>
    </w:p>
    <w:p w14:paraId="0745CF95" w14:textId="36A6E0F5" w:rsidR="006748FE" w:rsidRPr="004969EF" w:rsidRDefault="006748FE" w:rsidP="004969EF">
      <w:pPr>
        <w:spacing w:line="360" w:lineRule="auto"/>
        <w:jc w:val="both"/>
        <w:rPr>
          <w:rFonts w:ascii="Arial" w:hAnsi="Arial" w:cs="Arial"/>
          <w:sz w:val="22"/>
          <w:szCs w:val="22"/>
        </w:rPr>
      </w:pPr>
      <w:r w:rsidRPr="004969EF">
        <w:rPr>
          <w:rFonts w:ascii="Arial" w:hAnsi="Arial" w:cs="Arial"/>
          <w:sz w:val="22"/>
          <w:szCs w:val="22"/>
        </w:rPr>
        <w:lastRenderedPageBreak/>
        <w:t xml:space="preserve">Even with current rules and guidance, finding and referring ADHD cases in England is not always done in the same way. Differences in how behaviour is seen in schools can be part of the problem, as what teachers think plays a big part in deciding if concerns are taken seriously (Diener </w:t>
      </w:r>
      <w:r w:rsidR="00825038" w:rsidRPr="004969EF">
        <w:rPr>
          <w:rFonts w:ascii="Arial" w:hAnsi="Arial" w:cs="Arial"/>
          <w:sz w:val="22"/>
          <w:szCs w:val="22"/>
        </w:rPr>
        <w:t>et al.,</w:t>
      </w:r>
      <w:r w:rsidRPr="004969EF">
        <w:rPr>
          <w:rFonts w:ascii="Arial" w:hAnsi="Arial" w:cs="Arial"/>
          <w:sz w:val="22"/>
          <w:szCs w:val="22"/>
        </w:rPr>
        <w:t xml:space="preserve"> 2025). New evidence shows that children from ethnic minority backgrounds might be especially affected, and this raises important questions about how school practices, local support and parents’ views contribute to these differences.</w:t>
      </w:r>
    </w:p>
    <w:p w14:paraId="58B5930F" w14:textId="13BB92B3" w:rsidR="006748FE" w:rsidRPr="004969EF" w:rsidRDefault="006748FE" w:rsidP="004969EF">
      <w:pPr>
        <w:spacing w:line="360" w:lineRule="auto"/>
        <w:jc w:val="both"/>
        <w:rPr>
          <w:rFonts w:ascii="Arial" w:hAnsi="Arial" w:cs="Arial"/>
          <w:sz w:val="22"/>
          <w:szCs w:val="22"/>
        </w:rPr>
      </w:pPr>
      <w:r w:rsidRPr="004969EF">
        <w:rPr>
          <w:rFonts w:ascii="Arial" w:hAnsi="Arial" w:cs="Arial"/>
          <w:sz w:val="22"/>
          <w:szCs w:val="22"/>
        </w:rPr>
        <w:t>This dissertation looks at how school practices, local authority support and parents’ views contribute to ADHD being missed or not referred among ethnic minority children in England. The study uses existing research, including academic papers, policy documents and national reports, to look at how system pressures, professional understanding and cultural views might lead to delays in identification. A secondary research design is used, and sources are checked using the CRAAP framework to make sure they are reliable and relevant. The information is looked at using a thematic approach, where findings are grouped into key themes. These are then considered alongside theories to get a better understanding of the issue. The aim is that the results will help improve education and health systems by making staff more aware, improving communication with families and finding areas where rules and practice need to change.</w:t>
      </w:r>
    </w:p>
    <w:p w14:paraId="18072CD8" w14:textId="77777777" w:rsidR="00BD2909" w:rsidRPr="004969EF" w:rsidRDefault="00BD2909" w:rsidP="004969EF">
      <w:pPr>
        <w:pStyle w:val="ListParagraph"/>
        <w:spacing w:line="360" w:lineRule="auto"/>
        <w:ind w:left="720" w:firstLine="0"/>
        <w:jc w:val="both"/>
        <w:rPr>
          <w:rFonts w:ascii="Arial" w:eastAsia="Times New Roman" w:hAnsi="Arial" w:cs="Arial"/>
          <w:sz w:val="22"/>
          <w:szCs w:val="22"/>
        </w:rPr>
      </w:pPr>
      <w:r w:rsidRPr="004969EF">
        <w:rPr>
          <w:rStyle w:val="eop"/>
          <w:rFonts w:ascii="Arial" w:hAnsi="Arial" w:cs="Arial"/>
          <w:sz w:val="22"/>
          <w:szCs w:val="22"/>
        </w:rPr>
        <w:t> </w:t>
      </w:r>
    </w:p>
    <w:p w14:paraId="66501BF4" w14:textId="112A42DA" w:rsidR="00BD2909" w:rsidRPr="004969EF" w:rsidRDefault="00BD2909" w:rsidP="004969EF">
      <w:pPr>
        <w:pStyle w:val="paragraph"/>
        <w:spacing w:before="0" w:beforeAutospacing="0" w:after="0" w:afterAutospacing="0" w:line="360" w:lineRule="auto"/>
        <w:jc w:val="both"/>
        <w:textAlignment w:val="baseline"/>
        <w:rPr>
          <w:rFonts w:ascii="Arial" w:hAnsi="Arial" w:cs="Arial"/>
          <w:sz w:val="22"/>
          <w:szCs w:val="22"/>
        </w:rPr>
      </w:pPr>
      <w:r w:rsidRPr="004969EF">
        <w:rPr>
          <w:rStyle w:val="normaltextrun"/>
          <w:rFonts w:ascii="Arial" w:hAnsi="Arial" w:cs="Arial"/>
          <w:sz w:val="22"/>
          <w:szCs w:val="22"/>
        </w:rPr>
        <w:t xml:space="preserve">1.2 Definitions and Terminology </w:t>
      </w:r>
    </w:p>
    <w:p w14:paraId="1D536377" w14:textId="6CC8FFE8" w:rsidR="00BA6A40" w:rsidRDefault="00BA6A40"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t xml:space="preserve">To ensure clarity </w:t>
      </w:r>
      <w:r w:rsidRPr="004969EF">
        <w:rPr>
          <w:rFonts w:ascii="Arial" w:hAnsi="Arial" w:cs="Arial"/>
          <w:sz w:val="22"/>
          <w:szCs w:val="22"/>
          <w:shd w:val="clear" w:color="auto" w:fill="FFFFFF"/>
        </w:rPr>
        <w:t>this section defines the key terms used in the dissertation and explains how they are applied in this study. The research draws on education, health and social care literature, so clarifying terminology at the outset supports consistent interpretation across chapters. Defining terms early helps prevent confusion later, particularly where different disciplines use the same words in different ways.</w:t>
      </w:r>
    </w:p>
    <w:p w14:paraId="760E4B4F" w14:textId="77777777" w:rsidR="002C2F2B" w:rsidRPr="004969EF" w:rsidRDefault="002C2F2B" w:rsidP="004969EF">
      <w:pPr>
        <w:spacing w:line="360" w:lineRule="auto"/>
        <w:jc w:val="both"/>
        <w:rPr>
          <w:rFonts w:ascii="Arial" w:hAnsi="Arial" w:cs="Arial"/>
          <w:sz w:val="22"/>
          <w:szCs w:val="22"/>
        </w:rPr>
      </w:pPr>
    </w:p>
    <w:p w14:paraId="231B7D89"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Table 1. Key Terms Used in This Study</w:t>
      </w:r>
    </w:p>
    <w:tbl>
      <w:tblPr>
        <w:tblStyle w:val="TableGrid"/>
        <w:tblW w:w="9129" w:type="dxa"/>
        <w:tblLook w:val="04A0" w:firstRow="1" w:lastRow="0" w:firstColumn="1" w:lastColumn="0" w:noHBand="0" w:noVBand="1"/>
      </w:tblPr>
      <w:tblGrid>
        <w:gridCol w:w="2357"/>
        <w:gridCol w:w="3403"/>
        <w:gridCol w:w="3369"/>
      </w:tblGrid>
      <w:tr w:rsidR="00222DD4" w:rsidRPr="004969EF" w14:paraId="6310FEC4" w14:textId="77777777" w:rsidTr="00081E84">
        <w:tc>
          <w:tcPr>
            <w:tcW w:w="2357" w:type="dxa"/>
          </w:tcPr>
          <w:p w14:paraId="70ABB82C" w14:textId="77777777" w:rsidR="00BA6A40" w:rsidRPr="004969EF" w:rsidRDefault="00BA6A40" w:rsidP="004969EF">
            <w:pPr>
              <w:spacing w:line="360" w:lineRule="auto"/>
              <w:jc w:val="both"/>
              <w:rPr>
                <w:rFonts w:ascii="Arial" w:hAnsi="Arial" w:cs="Arial"/>
                <w:b/>
                <w:bCs/>
                <w:sz w:val="22"/>
                <w:szCs w:val="22"/>
              </w:rPr>
            </w:pPr>
            <w:r w:rsidRPr="004969EF">
              <w:rPr>
                <w:rFonts w:ascii="Arial" w:hAnsi="Arial" w:cs="Arial"/>
                <w:b/>
                <w:bCs/>
                <w:sz w:val="22"/>
                <w:szCs w:val="22"/>
              </w:rPr>
              <w:t>Term</w:t>
            </w:r>
          </w:p>
        </w:tc>
        <w:tc>
          <w:tcPr>
            <w:tcW w:w="3403" w:type="dxa"/>
          </w:tcPr>
          <w:p w14:paraId="06C57429" w14:textId="77777777" w:rsidR="00BA6A40" w:rsidRPr="004969EF" w:rsidRDefault="00BA6A40" w:rsidP="004969EF">
            <w:pPr>
              <w:spacing w:line="360" w:lineRule="auto"/>
              <w:jc w:val="both"/>
              <w:rPr>
                <w:rFonts w:ascii="Arial" w:hAnsi="Arial" w:cs="Arial"/>
                <w:b/>
                <w:bCs/>
                <w:sz w:val="22"/>
                <w:szCs w:val="22"/>
              </w:rPr>
            </w:pPr>
            <w:r w:rsidRPr="004969EF">
              <w:rPr>
                <w:rFonts w:ascii="Arial" w:hAnsi="Arial" w:cs="Arial"/>
                <w:b/>
                <w:bCs/>
                <w:sz w:val="22"/>
                <w:szCs w:val="22"/>
              </w:rPr>
              <w:t>Definition</w:t>
            </w:r>
          </w:p>
        </w:tc>
        <w:tc>
          <w:tcPr>
            <w:tcW w:w="3369" w:type="dxa"/>
          </w:tcPr>
          <w:p w14:paraId="60060C41" w14:textId="77777777" w:rsidR="00BA6A40" w:rsidRPr="004969EF" w:rsidRDefault="00BA6A40" w:rsidP="004969EF">
            <w:pPr>
              <w:spacing w:line="360" w:lineRule="auto"/>
              <w:jc w:val="both"/>
              <w:rPr>
                <w:rFonts w:ascii="Arial" w:hAnsi="Arial" w:cs="Arial"/>
                <w:b/>
                <w:bCs/>
                <w:sz w:val="22"/>
                <w:szCs w:val="22"/>
              </w:rPr>
            </w:pPr>
            <w:r w:rsidRPr="004969EF">
              <w:rPr>
                <w:rFonts w:ascii="Arial" w:hAnsi="Arial" w:cs="Arial"/>
                <w:b/>
                <w:bCs/>
                <w:sz w:val="22"/>
                <w:szCs w:val="22"/>
              </w:rPr>
              <w:t>Relevance to This Study</w:t>
            </w:r>
          </w:p>
        </w:tc>
      </w:tr>
      <w:tr w:rsidR="00222DD4" w:rsidRPr="004969EF" w14:paraId="447DC51F" w14:textId="77777777" w:rsidTr="00081E84">
        <w:tc>
          <w:tcPr>
            <w:tcW w:w="2357" w:type="dxa"/>
          </w:tcPr>
          <w:p w14:paraId="1E0A8749"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ADHD</w:t>
            </w:r>
          </w:p>
        </w:tc>
        <w:tc>
          <w:tcPr>
            <w:tcW w:w="3403" w:type="dxa"/>
          </w:tcPr>
          <w:p w14:paraId="14F4CC72"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A neurodevelopmental condition characterised by persistent patterns of inattention, hyperactivity and impulsivity (World Health Organization, 2019). Symptoms vary widely and may be influenced by co</w:t>
            </w:r>
            <w:r w:rsidRPr="004969EF">
              <w:rPr>
                <w:rFonts w:ascii="Cambria Math" w:hAnsi="Cambria Math" w:cs="Cambria Math"/>
                <w:sz w:val="22"/>
                <w:szCs w:val="22"/>
              </w:rPr>
              <w:t>‑</w:t>
            </w:r>
            <w:r w:rsidRPr="004969EF">
              <w:rPr>
                <w:rFonts w:ascii="Arial" w:hAnsi="Arial" w:cs="Arial"/>
                <w:sz w:val="22"/>
                <w:szCs w:val="22"/>
              </w:rPr>
              <w:t xml:space="preserve">occurring conditions such as anxiety, depression, autism </w:t>
            </w:r>
            <w:r w:rsidRPr="004969EF">
              <w:rPr>
                <w:rFonts w:ascii="Arial" w:hAnsi="Arial" w:cs="Arial"/>
                <w:sz w:val="22"/>
                <w:szCs w:val="22"/>
              </w:rPr>
              <w:lastRenderedPageBreak/>
              <w:t>spectrum conditions and learning difficulties (NICE, 2018).</w:t>
            </w:r>
          </w:p>
        </w:tc>
        <w:tc>
          <w:tcPr>
            <w:tcW w:w="3369" w:type="dxa"/>
          </w:tcPr>
          <w:p w14:paraId="0E53EB7D"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lastRenderedPageBreak/>
              <w:t>Variability in symptom visibility affects how behaviours are interpreted in schools, shaping whether children are recognised or overlooked.</w:t>
            </w:r>
          </w:p>
        </w:tc>
      </w:tr>
      <w:tr w:rsidR="00222DD4" w:rsidRPr="004969EF" w14:paraId="173D4BDA" w14:textId="77777777" w:rsidTr="00081E84">
        <w:tc>
          <w:tcPr>
            <w:tcW w:w="2357" w:type="dxa"/>
          </w:tcPr>
          <w:p w14:paraId="27FFFE45"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Early identification</w:t>
            </w:r>
          </w:p>
        </w:tc>
        <w:tc>
          <w:tcPr>
            <w:tcW w:w="3403" w:type="dxa"/>
          </w:tcPr>
          <w:p w14:paraId="22CA65E6"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 xml:space="preserve">Recognition of emerging attentional, behavioural or regulatory difficulties before formal diagnosis, aligned with the SEND graduated response (DfE &amp; </w:t>
            </w:r>
            <w:proofErr w:type="spellStart"/>
            <w:r w:rsidRPr="004969EF">
              <w:rPr>
                <w:rFonts w:ascii="Arial" w:hAnsi="Arial" w:cs="Arial"/>
                <w:sz w:val="22"/>
                <w:szCs w:val="22"/>
              </w:rPr>
              <w:t>DoH</w:t>
            </w:r>
            <w:proofErr w:type="spellEnd"/>
            <w:r w:rsidRPr="004969EF">
              <w:rPr>
                <w:rFonts w:ascii="Arial" w:hAnsi="Arial" w:cs="Arial"/>
                <w:sz w:val="22"/>
                <w:szCs w:val="22"/>
              </w:rPr>
              <w:t>, 2015).</w:t>
            </w:r>
          </w:p>
        </w:tc>
        <w:tc>
          <w:tcPr>
            <w:tcW w:w="3369" w:type="dxa"/>
          </w:tcPr>
          <w:p w14:paraId="49B3F14F"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Disparities often arise at this early stage, making it a critical point for understanding under-recognition among ethnic minority children.</w:t>
            </w:r>
          </w:p>
        </w:tc>
      </w:tr>
      <w:tr w:rsidR="00222DD4" w:rsidRPr="004969EF" w14:paraId="1556C1D8" w14:textId="77777777" w:rsidTr="00081E84">
        <w:tc>
          <w:tcPr>
            <w:tcW w:w="2357" w:type="dxa"/>
          </w:tcPr>
          <w:p w14:paraId="2593B01B"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Diagnosis</w:t>
            </w:r>
          </w:p>
        </w:tc>
        <w:tc>
          <w:tcPr>
            <w:tcW w:w="3403" w:type="dxa"/>
          </w:tcPr>
          <w:p w14:paraId="2DD7C158"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Formal clinical assessment conducted within health services.</w:t>
            </w:r>
          </w:p>
        </w:tc>
        <w:tc>
          <w:tcPr>
            <w:tcW w:w="3369" w:type="dxa"/>
          </w:tcPr>
          <w:p w14:paraId="49211606"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Distinguishing this from early identification helps identify where delays and inequalities occur in the pathway to support.</w:t>
            </w:r>
          </w:p>
        </w:tc>
      </w:tr>
      <w:tr w:rsidR="00222DD4" w:rsidRPr="004969EF" w14:paraId="7FC45BAC" w14:textId="77777777" w:rsidTr="00081E84">
        <w:tc>
          <w:tcPr>
            <w:tcW w:w="2357" w:type="dxa"/>
          </w:tcPr>
          <w:p w14:paraId="3C5730E5"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Under-recognition</w:t>
            </w:r>
          </w:p>
        </w:tc>
        <w:tc>
          <w:tcPr>
            <w:tcW w:w="3403" w:type="dxa"/>
          </w:tcPr>
          <w:p w14:paraId="77FB8838"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When ADHD-related needs are present but not identified, acknowledged, or escalated appropriately (NHS England, 2024).</w:t>
            </w:r>
          </w:p>
        </w:tc>
        <w:tc>
          <w:tcPr>
            <w:tcW w:w="3369" w:type="dxa"/>
          </w:tcPr>
          <w:p w14:paraId="07A5D40B"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Central to the research focus on why ethnic minority children experience delayed or missed identification.</w:t>
            </w:r>
          </w:p>
        </w:tc>
      </w:tr>
      <w:tr w:rsidR="00222DD4" w:rsidRPr="004969EF" w14:paraId="7258F068" w14:textId="77777777" w:rsidTr="00081E84">
        <w:tc>
          <w:tcPr>
            <w:tcW w:w="2357" w:type="dxa"/>
          </w:tcPr>
          <w:p w14:paraId="2AFDBFBC"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Cultural competence</w:t>
            </w:r>
          </w:p>
        </w:tc>
        <w:tc>
          <w:tcPr>
            <w:tcW w:w="3403" w:type="dxa"/>
          </w:tcPr>
          <w:p w14:paraId="63B158A6"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The ability of practitioners and services to recognise, respect and respond appropriately to the cultural and social contexts of families (Birmingham Children’s Trust, 2018).</w:t>
            </w:r>
          </w:p>
        </w:tc>
        <w:tc>
          <w:tcPr>
            <w:tcW w:w="3369" w:type="dxa"/>
          </w:tcPr>
          <w:p w14:paraId="25A2D1D7"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Influences how behaviour, communication, and help</w:t>
            </w:r>
            <w:r w:rsidRPr="004969EF">
              <w:rPr>
                <w:rFonts w:ascii="Cambria Math" w:hAnsi="Cambria Math" w:cs="Cambria Math"/>
                <w:sz w:val="22"/>
                <w:szCs w:val="22"/>
              </w:rPr>
              <w:t>‑</w:t>
            </w:r>
            <w:r w:rsidRPr="004969EF">
              <w:rPr>
                <w:rFonts w:ascii="Arial" w:hAnsi="Arial" w:cs="Arial"/>
                <w:sz w:val="22"/>
                <w:szCs w:val="22"/>
              </w:rPr>
              <w:t>seeking are interpreted, shaping whether concerns are recognised and acted upon.</w:t>
            </w:r>
          </w:p>
        </w:tc>
      </w:tr>
      <w:tr w:rsidR="00222DD4" w:rsidRPr="004969EF" w14:paraId="4AEC9AAF" w14:textId="77777777" w:rsidTr="00081E84">
        <w:tc>
          <w:tcPr>
            <w:tcW w:w="2357" w:type="dxa"/>
          </w:tcPr>
          <w:p w14:paraId="590BB4AD"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Ethnic minority</w:t>
            </w:r>
          </w:p>
        </w:tc>
        <w:tc>
          <w:tcPr>
            <w:tcW w:w="3403" w:type="dxa"/>
          </w:tcPr>
          <w:p w14:paraId="311F2418"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 xml:space="preserve">Groups </w:t>
            </w:r>
            <w:proofErr w:type="spellStart"/>
            <w:r w:rsidRPr="004969EF">
              <w:rPr>
                <w:rFonts w:ascii="Arial" w:hAnsi="Arial" w:cs="Arial"/>
                <w:sz w:val="22"/>
                <w:szCs w:val="22"/>
              </w:rPr>
              <w:t>minoritised</w:t>
            </w:r>
            <w:proofErr w:type="spellEnd"/>
            <w:r w:rsidRPr="004969EF">
              <w:rPr>
                <w:rFonts w:ascii="Arial" w:hAnsi="Arial" w:cs="Arial"/>
                <w:sz w:val="22"/>
                <w:szCs w:val="22"/>
              </w:rPr>
              <w:t xml:space="preserve"> within the UK population, with diverse cultural, linguistic and religious identities. BAME is used only where it reflects terminology in policy or datasets.</w:t>
            </w:r>
          </w:p>
        </w:tc>
        <w:tc>
          <w:tcPr>
            <w:tcW w:w="3369" w:type="dxa"/>
          </w:tcPr>
          <w:p w14:paraId="12B87EFE"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Essential for examining disparities in ADHD recognition and avoiding homogenisation of different communities’ experiences.</w:t>
            </w:r>
          </w:p>
        </w:tc>
      </w:tr>
      <w:tr w:rsidR="004E679C" w:rsidRPr="004969EF" w14:paraId="68DE05B6" w14:textId="77777777" w:rsidTr="00081E84">
        <w:tc>
          <w:tcPr>
            <w:tcW w:w="2357" w:type="dxa"/>
          </w:tcPr>
          <w:p w14:paraId="71F6FF31"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SEN pathway</w:t>
            </w:r>
          </w:p>
        </w:tc>
        <w:tc>
          <w:tcPr>
            <w:tcW w:w="3403" w:type="dxa"/>
          </w:tcPr>
          <w:p w14:paraId="2BA8EFEA"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The school-based process through which children’s needs are identified, monitored, and supported prior to referral, including the graduated response and assess plan do review cycle.</w:t>
            </w:r>
          </w:p>
        </w:tc>
        <w:tc>
          <w:tcPr>
            <w:tcW w:w="3369" w:type="dxa"/>
          </w:tcPr>
          <w:p w14:paraId="0B08BA41"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Represents the earliest point at which disparities in recognition can emerge, particularly for ethnic minority children.</w:t>
            </w:r>
          </w:p>
        </w:tc>
      </w:tr>
    </w:tbl>
    <w:p w14:paraId="288DF681" w14:textId="77777777" w:rsidR="00BA6A40" w:rsidRPr="004969EF" w:rsidRDefault="00BA6A40" w:rsidP="004969EF">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69366F1A" w14:textId="77777777" w:rsidR="00BA6A40" w:rsidRPr="004969EF" w:rsidRDefault="00BA6A40" w:rsidP="004969EF">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68513A25" w14:textId="219CE64A" w:rsidR="00BA6A40" w:rsidRPr="004969EF" w:rsidRDefault="00BA6A40" w:rsidP="004969EF">
      <w:pPr>
        <w:spacing w:line="360" w:lineRule="auto"/>
        <w:jc w:val="both"/>
        <w:rPr>
          <w:rFonts w:ascii="Arial" w:hAnsi="Arial" w:cs="Arial"/>
          <w:sz w:val="22"/>
          <w:szCs w:val="22"/>
        </w:rPr>
      </w:pPr>
      <w:r w:rsidRPr="004969EF">
        <w:rPr>
          <w:rStyle w:val="normaltextrun"/>
          <w:rFonts w:ascii="Arial" w:hAnsi="Arial" w:cs="Arial"/>
          <w:b/>
          <w:bCs/>
          <w:sz w:val="22"/>
          <w:szCs w:val="22"/>
        </w:rPr>
        <w:t>Acronyms and Abbreviations</w:t>
      </w:r>
    </w:p>
    <w:tbl>
      <w:tblPr>
        <w:tblStyle w:val="TableGrid"/>
        <w:tblW w:w="9341" w:type="dxa"/>
        <w:tblLook w:val="04A0" w:firstRow="1" w:lastRow="0" w:firstColumn="1" w:lastColumn="0" w:noHBand="0" w:noVBand="1"/>
      </w:tblPr>
      <w:tblGrid>
        <w:gridCol w:w="1733"/>
        <w:gridCol w:w="7608"/>
      </w:tblGrid>
      <w:tr w:rsidR="00222DD4" w:rsidRPr="004969EF" w14:paraId="0ECD4AE7" w14:textId="77777777" w:rsidTr="00BA6A40">
        <w:tc>
          <w:tcPr>
            <w:tcW w:w="1733" w:type="dxa"/>
          </w:tcPr>
          <w:p w14:paraId="0F308765" w14:textId="77777777" w:rsidR="00BA6A40" w:rsidRPr="004969EF" w:rsidRDefault="00BA6A40" w:rsidP="004969EF">
            <w:pPr>
              <w:spacing w:line="360" w:lineRule="auto"/>
              <w:jc w:val="both"/>
              <w:rPr>
                <w:rFonts w:ascii="Arial" w:hAnsi="Arial" w:cs="Arial"/>
                <w:sz w:val="22"/>
                <w:szCs w:val="22"/>
              </w:rPr>
            </w:pPr>
            <w:r w:rsidRPr="004969EF">
              <w:rPr>
                <w:rStyle w:val="Strong"/>
                <w:rFonts w:ascii="Arial" w:hAnsi="Arial" w:cs="Arial"/>
                <w:bCs w:val="0"/>
                <w:sz w:val="22"/>
                <w:szCs w:val="22"/>
              </w:rPr>
              <w:t>ADHD</w:t>
            </w:r>
            <w:r w:rsidRPr="004969EF">
              <w:rPr>
                <w:rStyle w:val="apple-converted-space"/>
                <w:rFonts w:ascii="Arial" w:hAnsi="Arial" w:cs="Arial"/>
                <w:sz w:val="22"/>
                <w:szCs w:val="22"/>
              </w:rPr>
              <w:t xml:space="preserve"> </w:t>
            </w:r>
          </w:p>
        </w:tc>
        <w:tc>
          <w:tcPr>
            <w:tcW w:w="7608" w:type="dxa"/>
          </w:tcPr>
          <w:p w14:paraId="53C6DB06"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Attention-Deficit/Hyperactivity Disorder</w:t>
            </w:r>
          </w:p>
        </w:tc>
      </w:tr>
      <w:tr w:rsidR="00222DD4" w:rsidRPr="004969EF" w14:paraId="0CD027A6" w14:textId="77777777" w:rsidTr="00BA6A40">
        <w:tc>
          <w:tcPr>
            <w:tcW w:w="1733" w:type="dxa"/>
          </w:tcPr>
          <w:p w14:paraId="3F544F3A" w14:textId="77777777" w:rsidR="00BA6A40" w:rsidRPr="004969EF" w:rsidRDefault="00BA6A40" w:rsidP="004969EF">
            <w:pPr>
              <w:spacing w:line="360" w:lineRule="auto"/>
              <w:jc w:val="both"/>
              <w:rPr>
                <w:rFonts w:ascii="Arial" w:hAnsi="Arial" w:cs="Arial"/>
                <w:sz w:val="22"/>
                <w:szCs w:val="22"/>
              </w:rPr>
            </w:pPr>
            <w:r w:rsidRPr="004969EF">
              <w:rPr>
                <w:rStyle w:val="Strong"/>
                <w:rFonts w:ascii="Arial" w:eastAsia="Calibri Light" w:hAnsi="Arial" w:cs="Arial"/>
                <w:sz w:val="22"/>
                <w:szCs w:val="22"/>
              </w:rPr>
              <w:t>DfE</w:t>
            </w:r>
            <w:r w:rsidRPr="004969EF">
              <w:rPr>
                <w:rStyle w:val="apple-converted-space"/>
                <w:rFonts w:ascii="Arial" w:hAnsi="Arial" w:cs="Arial"/>
                <w:sz w:val="22"/>
                <w:szCs w:val="22"/>
              </w:rPr>
              <w:t xml:space="preserve"> </w:t>
            </w:r>
          </w:p>
        </w:tc>
        <w:tc>
          <w:tcPr>
            <w:tcW w:w="7608" w:type="dxa"/>
          </w:tcPr>
          <w:p w14:paraId="20703C90"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Department for Education</w:t>
            </w:r>
          </w:p>
        </w:tc>
      </w:tr>
      <w:tr w:rsidR="00222DD4" w:rsidRPr="004969EF" w14:paraId="57307447" w14:textId="77777777" w:rsidTr="00BA6A40">
        <w:tc>
          <w:tcPr>
            <w:tcW w:w="1733" w:type="dxa"/>
          </w:tcPr>
          <w:p w14:paraId="288DBBC9" w14:textId="77777777" w:rsidR="00BA6A40" w:rsidRPr="004969EF" w:rsidRDefault="00BA6A40" w:rsidP="004969EF">
            <w:pPr>
              <w:spacing w:line="360" w:lineRule="auto"/>
              <w:jc w:val="both"/>
              <w:rPr>
                <w:rFonts w:ascii="Arial" w:hAnsi="Arial" w:cs="Arial"/>
                <w:sz w:val="22"/>
                <w:szCs w:val="22"/>
              </w:rPr>
            </w:pPr>
            <w:r w:rsidRPr="004969EF">
              <w:rPr>
                <w:rStyle w:val="Strong"/>
                <w:rFonts w:ascii="Arial" w:eastAsia="Calibri Light" w:hAnsi="Arial" w:cs="Arial"/>
                <w:sz w:val="22"/>
                <w:szCs w:val="22"/>
              </w:rPr>
              <w:t>ICD</w:t>
            </w:r>
            <w:r w:rsidRPr="004969EF">
              <w:rPr>
                <w:rStyle w:val="Strong"/>
                <w:rFonts w:ascii="Arial" w:eastAsia="Calibri Light" w:hAnsi="Arial" w:cs="Arial"/>
                <w:sz w:val="22"/>
                <w:szCs w:val="22"/>
              </w:rPr>
              <w:noBreakHyphen/>
              <w:t>11</w:t>
            </w:r>
          </w:p>
        </w:tc>
        <w:tc>
          <w:tcPr>
            <w:tcW w:w="7608" w:type="dxa"/>
          </w:tcPr>
          <w:p w14:paraId="6069D580"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International Classification of Diseases, 11th Revision</w:t>
            </w:r>
          </w:p>
        </w:tc>
      </w:tr>
      <w:tr w:rsidR="00222DD4" w:rsidRPr="004969EF" w14:paraId="24A5FFFB" w14:textId="77777777" w:rsidTr="00BA6A40">
        <w:tc>
          <w:tcPr>
            <w:tcW w:w="1733" w:type="dxa"/>
          </w:tcPr>
          <w:p w14:paraId="78E9AD65" w14:textId="77777777" w:rsidR="00BA6A40" w:rsidRPr="004969EF" w:rsidRDefault="00BA6A40" w:rsidP="004969EF">
            <w:pPr>
              <w:spacing w:line="360" w:lineRule="auto"/>
              <w:jc w:val="both"/>
              <w:rPr>
                <w:rFonts w:ascii="Arial" w:hAnsi="Arial" w:cs="Arial"/>
                <w:sz w:val="22"/>
                <w:szCs w:val="22"/>
              </w:rPr>
            </w:pPr>
            <w:r w:rsidRPr="004969EF">
              <w:rPr>
                <w:rStyle w:val="Strong"/>
                <w:rFonts w:ascii="Arial" w:eastAsia="Calibri Light" w:hAnsi="Arial" w:cs="Arial"/>
                <w:sz w:val="22"/>
                <w:szCs w:val="22"/>
              </w:rPr>
              <w:t>LA</w:t>
            </w:r>
          </w:p>
        </w:tc>
        <w:tc>
          <w:tcPr>
            <w:tcW w:w="7608" w:type="dxa"/>
          </w:tcPr>
          <w:p w14:paraId="37ADE138"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Local Authority</w:t>
            </w:r>
          </w:p>
        </w:tc>
      </w:tr>
      <w:tr w:rsidR="00222DD4" w:rsidRPr="004969EF" w14:paraId="4878E87F" w14:textId="77777777" w:rsidTr="00BA6A40">
        <w:tc>
          <w:tcPr>
            <w:tcW w:w="1733" w:type="dxa"/>
          </w:tcPr>
          <w:p w14:paraId="0F5A0379" w14:textId="77777777" w:rsidR="00BA6A40" w:rsidRPr="004969EF" w:rsidRDefault="00BA6A40" w:rsidP="004969EF">
            <w:pPr>
              <w:spacing w:line="360" w:lineRule="auto"/>
              <w:jc w:val="both"/>
              <w:rPr>
                <w:rFonts w:ascii="Arial" w:hAnsi="Arial" w:cs="Arial"/>
                <w:sz w:val="22"/>
                <w:szCs w:val="22"/>
              </w:rPr>
            </w:pPr>
            <w:r w:rsidRPr="004969EF">
              <w:rPr>
                <w:rStyle w:val="Strong"/>
                <w:rFonts w:ascii="Arial" w:eastAsia="Calibri Light" w:hAnsi="Arial" w:cs="Arial"/>
                <w:sz w:val="22"/>
                <w:szCs w:val="22"/>
              </w:rPr>
              <w:t>NHS</w:t>
            </w:r>
            <w:r w:rsidRPr="004969EF">
              <w:rPr>
                <w:rStyle w:val="apple-converted-space"/>
                <w:rFonts w:ascii="Arial" w:hAnsi="Arial" w:cs="Arial"/>
                <w:sz w:val="22"/>
                <w:szCs w:val="22"/>
              </w:rPr>
              <w:t xml:space="preserve"> </w:t>
            </w:r>
          </w:p>
        </w:tc>
        <w:tc>
          <w:tcPr>
            <w:tcW w:w="7608" w:type="dxa"/>
          </w:tcPr>
          <w:p w14:paraId="0B43F0C8"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National Health Service</w:t>
            </w:r>
          </w:p>
        </w:tc>
      </w:tr>
      <w:tr w:rsidR="00222DD4" w:rsidRPr="004969EF" w14:paraId="54B9C9B8" w14:textId="77777777" w:rsidTr="00BA6A40">
        <w:tc>
          <w:tcPr>
            <w:tcW w:w="1733" w:type="dxa"/>
          </w:tcPr>
          <w:p w14:paraId="617C20AF" w14:textId="77777777" w:rsidR="00BA6A40" w:rsidRPr="004969EF" w:rsidRDefault="00BA6A40" w:rsidP="004969EF">
            <w:pPr>
              <w:spacing w:line="360" w:lineRule="auto"/>
              <w:jc w:val="both"/>
              <w:rPr>
                <w:rFonts w:ascii="Arial" w:hAnsi="Arial" w:cs="Arial"/>
                <w:sz w:val="22"/>
                <w:szCs w:val="22"/>
              </w:rPr>
            </w:pPr>
            <w:r w:rsidRPr="004969EF">
              <w:rPr>
                <w:rStyle w:val="Strong"/>
                <w:rFonts w:ascii="Arial" w:eastAsia="Calibri Light" w:hAnsi="Arial" w:cs="Arial"/>
                <w:sz w:val="22"/>
                <w:szCs w:val="22"/>
              </w:rPr>
              <w:t>NICE</w:t>
            </w:r>
          </w:p>
        </w:tc>
        <w:tc>
          <w:tcPr>
            <w:tcW w:w="7608" w:type="dxa"/>
          </w:tcPr>
          <w:p w14:paraId="71FEBD87"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National Institute for Health and Care Excellence</w:t>
            </w:r>
          </w:p>
        </w:tc>
      </w:tr>
      <w:tr w:rsidR="00222DD4" w:rsidRPr="004969EF" w14:paraId="2ACC6AF2" w14:textId="77777777" w:rsidTr="00BA6A40">
        <w:tc>
          <w:tcPr>
            <w:tcW w:w="1733" w:type="dxa"/>
          </w:tcPr>
          <w:p w14:paraId="767C8469" w14:textId="77777777" w:rsidR="00BA6A40" w:rsidRPr="004969EF" w:rsidRDefault="00BA6A40" w:rsidP="004969EF">
            <w:pPr>
              <w:spacing w:line="360" w:lineRule="auto"/>
              <w:jc w:val="both"/>
              <w:rPr>
                <w:rFonts w:ascii="Arial" w:hAnsi="Arial" w:cs="Arial"/>
                <w:sz w:val="22"/>
                <w:szCs w:val="22"/>
              </w:rPr>
            </w:pPr>
            <w:r w:rsidRPr="004969EF">
              <w:rPr>
                <w:rStyle w:val="Strong"/>
                <w:rFonts w:ascii="Arial" w:eastAsia="Calibri Light" w:hAnsi="Arial" w:cs="Arial"/>
                <w:sz w:val="22"/>
                <w:szCs w:val="22"/>
              </w:rPr>
              <w:t>SEN</w:t>
            </w:r>
          </w:p>
        </w:tc>
        <w:tc>
          <w:tcPr>
            <w:tcW w:w="7608" w:type="dxa"/>
          </w:tcPr>
          <w:p w14:paraId="21F0B7EB"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Special Educational Needs</w:t>
            </w:r>
          </w:p>
        </w:tc>
      </w:tr>
      <w:tr w:rsidR="00222DD4" w:rsidRPr="004969EF" w14:paraId="59DD0EB3" w14:textId="77777777" w:rsidTr="00BA6A40">
        <w:tc>
          <w:tcPr>
            <w:tcW w:w="1733" w:type="dxa"/>
          </w:tcPr>
          <w:p w14:paraId="7F2F7EB5" w14:textId="77777777" w:rsidR="00BA6A40" w:rsidRPr="004969EF" w:rsidRDefault="00BA6A40" w:rsidP="004969EF">
            <w:pPr>
              <w:spacing w:line="360" w:lineRule="auto"/>
              <w:jc w:val="both"/>
              <w:rPr>
                <w:rFonts w:ascii="Arial" w:hAnsi="Arial" w:cs="Arial"/>
                <w:sz w:val="22"/>
                <w:szCs w:val="22"/>
              </w:rPr>
            </w:pPr>
            <w:r w:rsidRPr="004969EF">
              <w:rPr>
                <w:rStyle w:val="Strong"/>
                <w:rFonts w:ascii="Arial" w:eastAsia="Calibri Light" w:hAnsi="Arial" w:cs="Arial"/>
                <w:sz w:val="22"/>
                <w:szCs w:val="22"/>
              </w:rPr>
              <w:t>SEN pathway</w:t>
            </w:r>
          </w:p>
        </w:tc>
        <w:tc>
          <w:tcPr>
            <w:tcW w:w="7608" w:type="dxa"/>
          </w:tcPr>
          <w:p w14:paraId="5C1CD9D1"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School-based process for identifying and supporting Special Educational Needs prior to referral</w:t>
            </w:r>
          </w:p>
        </w:tc>
      </w:tr>
      <w:tr w:rsidR="00222DD4" w:rsidRPr="004969EF" w14:paraId="7715A524" w14:textId="77777777" w:rsidTr="00BA6A40">
        <w:tc>
          <w:tcPr>
            <w:tcW w:w="1733" w:type="dxa"/>
          </w:tcPr>
          <w:p w14:paraId="1089D8D3" w14:textId="77777777" w:rsidR="00BA6A40" w:rsidRPr="004969EF" w:rsidRDefault="00BA6A40" w:rsidP="004969EF">
            <w:pPr>
              <w:spacing w:line="360" w:lineRule="auto"/>
              <w:jc w:val="both"/>
              <w:rPr>
                <w:rFonts w:ascii="Arial" w:hAnsi="Arial" w:cs="Arial"/>
                <w:sz w:val="22"/>
                <w:szCs w:val="22"/>
              </w:rPr>
            </w:pPr>
            <w:r w:rsidRPr="004969EF">
              <w:rPr>
                <w:rStyle w:val="Strong"/>
                <w:rFonts w:ascii="Arial" w:eastAsia="Calibri Light" w:hAnsi="Arial" w:cs="Arial"/>
                <w:sz w:val="22"/>
                <w:szCs w:val="22"/>
              </w:rPr>
              <w:t>SEND</w:t>
            </w:r>
          </w:p>
        </w:tc>
        <w:tc>
          <w:tcPr>
            <w:tcW w:w="7608" w:type="dxa"/>
          </w:tcPr>
          <w:p w14:paraId="134FCA6E" w14:textId="77777777" w:rsidR="00BA6A40" w:rsidRPr="004969EF" w:rsidRDefault="00BA6A40" w:rsidP="004969EF">
            <w:pPr>
              <w:spacing w:line="360" w:lineRule="auto"/>
              <w:jc w:val="both"/>
              <w:rPr>
                <w:rFonts w:ascii="Arial" w:hAnsi="Arial" w:cs="Arial"/>
                <w:sz w:val="22"/>
                <w:szCs w:val="22"/>
              </w:rPr>
            </w:pPr>
            <w:r w:rsidRPr="004969EF">
              <w:rPr>
                <w:rFonts w:ascii="Arial" w:hAnsi="Arial" w:cs="Arial"/>
                <w:sz w:val="22"/>
                <w:szCs w:val="22"/>
              </w:rPr>
              <w:t>Special Educational Needs and Disability</w:t>
            </w:r>
          </w:p>
        </w:tc>
      </w:tr>
    </w:tbl>
    <w:p w14:paraId="146D455A" w14:textId="77777777" w:rsidR="00BA6A40" w:rsidRPr="004969EF" w:rsidRDefault="00BA6A40" w:rsidP="004969EF">
      <w:pPr>
        <w:spacing w:line="360" w:lineRule="auto"/>
        <w:jc w:val="both"/>
        <w:rPr>
          <w:rStyle w:val="normaltextrun"/>
          <w:rFonts w:ascii="Arial" w:hAnsi="Arial" w:cs="Arial"/>
          <w:b/>
          <w:bCs/>
          <w:sz w:val="22"/>
          <w:szCs w:val="22"/>
        </w:rPr>
      </w:pPr>
    </w:p>
    <w:p w14:paraId="05F1D7FD" w14:textId="77777777" w:rsidR="00BA6A40" w:rsidRPr="004969EF" w:rsidRDefault="00BA6A40" w:rsidP="004969EF">
      <w:pPr>
        <w:pStyle w:val="paragraph"/>
        <w:spacing w:before="0" w:beforeAutospacing="0" w:after="0" w:afterAutospacing="0" w:line="360" w:lineRule="auto"/>
        <w:jc w:val="both"/>
        <w:textAlignment w:val="baseline"/>
        <w:rPr>
          <w:rStyle w:val="normaltextrun"/>
          <w:rFonts w:ascii="Arial" w:hAnsi="Arial" w:cs="Arial"/>
          <w:sz w:val="22"/>
          <w:szCs w:val="22"/>
        </w:rPr>
      </w:pPr>
    </w:p>
    <w:p w14:paraId="165773A7" w14:textId="7E98B922" w:rsidR="00BD2909" w:rsidRPr="004969EF" w:rsidRDefault="00BD2909" w:rsidP="004969EF">
      <w:pPr>
        <w:pStyle w:val="paragraph"/>
        <w:spacing w:before="0" w:beforeAutospacing="0" w:after="0" w:afterAutospacing="0" w:line="360" w:lineRule="auto"/>
        <w:jc w:val="both"/>
        <w:textAlignment w:val="baseline"/>
        <w:rPr>
          <w:rFonts w:ascii="Arial" w:hAnsi="Arial" w:cs="Arial"/>
          <w:sz w:val="22"/>
          <w:szCs w:val="22"/>
        </w:rPr>
      </w:pPr>
      <w:r w:rsidRPr="004969EF">
        <w:rPr>
          <w:rStyle w:val="normaltextrun"/>
          <w:rFonts w:ascii="Arial" w:hAnsi="Arial" w:cs="Arial"/>
          <w:sz w:val="22"/>
          <w:szCs w:val="22"/>
        </w:rPr>
        <w:t xml:space="preserve">1.3 Rationale for Research </w:t>
      </w:r>
    </w:p>
    <w:p w14:paraId="17A03ADE" w14:textId="1CF8DA82" w:rsidR="00F47756" w:rsidRPr="00F47756" w:rsidRDefault="00F47756" w:rsidP="004969EF">
      <w:pPr>
        <w:spacing w:before="100" w:beforeAutospacing="1" w:after="100" w:afterAutospacing="1" w:line="360" w:lineRule="auto"/>
        <w:jc w:val="both"/>
        <w:rPr>
          <w:rFonts w:ascii="Arial" w:hAnsi="Arial" w:cs="Arial"/>
          <w:sz w:val="22"/>
          <w:szCs w:val="22"/>
        </w:rPr>
      </w:pPr>
      <w:r w:rsidRPr="00F47756">
        <w:rPr>
          <w:rFonts w:ascii="Arial" w:hAnsi="Arial" w:cs="Arial"/>
          <w:sz w:val="22"/>
          <w:szCs w:val="22"/>
        </w:rPr>
        <w:t xml:space="preserve">This research focuses on early recognition of ADHD among ethnic minority children in England because there is a need to better understand the barriers that may shape how concerns are noticed and acted on in the early stages. Although national guidance emphasises the importance of identifying ADHD early and coordinating support across services (NICE, 2018), recent reports indicate that recognition remains uneven across schools and local areas, influenced by pressures on both education and health systems (NHS England, 2024a). National reviews have also highlighted </w:t>
      </w:r>
      <w:r w:rsidRPr="004969EF">
        <w:rPr>
          <w:rFonts w:ascii="Arial" w:hAnsi="Arial" w:cs="Arial"/>
          <w:sz w:val="22"/>
          <w:szCs w:val="22"/>
        </w:rPr>
        <w:t>those children</w:t>
      </w:r>
      <w:r w:rsidRPr="00F47756">
        <w:rPr>
          <w:rFonts w:ascii="Arial" w:hAnsi="Arial" w:cs="Arial"/>
          <w:sz w:val="22"/>
          <w:szCs w:val="22"/>
        </w:rPr>
        <w:t xml:space="preserve"> from marginalised groups may be more likely to experience delays or missed recognition, suggesting that inequalities can emerge long before formal assessment pathways are reached (NHS England, 2025b). This makes the topic socially significant and relevant to current debates about fairness within the SEND system.</w:t>
      </w:r>
    </w:p>
    <w:p w14:paraId="78FF1A75" w14:textId="7EADCE1C" w:rsidR="00F47756" w:rsidRPr="00F47756" w:rsidRDefault="00F47756" w:rsidP="004969EF">
      <w:pPr>
        <w:spacing w:before="100" w:beforeAutospacing="1" w:after="100" w:afterAutospacing="1" w:line="360" w:lineRule="auto"/>
        <w:jc w:val="both"/>
        <w:rPr>
          <w:rFonts w:ascii="Arial" w:hAnsi="Arial" w:cs="Arial"/>
          <w:sz w:val="22"/>
          <w:szCs w:val="22"/>
        </w:rPr>
      </w:pPr>
      <w:r w:rsidRPr="00F47756">
        <w:rPr>
          <w:rFonts w:ascii="Arial" w:hAnsi="Arial" w:cs="Arial"/>
          <w:sz w:val="22"/>
          <w:szCs w:val="22"/>
        </w:rPr>
        <w:t xml:space="preserve">Recent literature has examined aspects of this issue, but much of the research has been fragmented, focusing on individual factors rather than how they interact. Studies show that teachers vary in their confidence and understanding of ADHD, which affects how behaviours are interpreted in the classroom (Ward </w:t>
      </w:r>
      <w:r w:rsidR="002C2F2B" w:rsidRPr="004969EF">
        <w:rPr>
          <w:rFonts w:ascii="Arial" w:hAnsi="Arial" w:cs="Arial"/>
          <w:sz w:val="22"/>
          <w:szCs w:val="22"/>
        </w:rPr>
        <w:t>et al.,</w:t>
      </w:r>
      <w:r w:rsidRPr="00F47756">
        <w:rPr>
          <w:rFonts w:ascii="Arial" w:hAnsi="Arial" w:cs="Arial"/>
          <w:sz w:val="22"/>
          <w:szCs w:val="22"/>
        </w:rPr>
        <w:t xml:space="preserve"> 2021; Moore </w:t>
      </w:r>
      <w:r w:rsidR="002C2F2B" w:rsidRPr="004969EF">
        <w:rPr>
          <w:rFonts w:ascii="Arial" w:hAnsi="Arial" w:cs="Arial"/>
          <w:sz w:val="22"/>
          <w:szCs w:val="22"/>
        </w:rPr>
        <w:t>et al.,</w:t>
      </w:r>
      <w:r w:rsidRPr="00F47756">
        <w:rPr>
          <w:rFonts w:ascii="Arial" w:hAnsi="Arial" w:cs="Arial"/>
          <w:sz w:val="22"/>
          <w:szCs w:val="22"/>
        </w:rPr>
        <w:t xml:space="preserve"> 2018). Other work highlights gaps between teacher perceptions and children’s lived experiences, indicating that recognition is shaped by interpretation as much as by behaviour itself (McDougal </w:t>
      </w:r>
      <w:r w:rsidR="002C2F2B" w:rsidRPr="004969EF">
        <w:rPr>
          <w:rFonts w:ascii="Arial" w:hAnsi="Arial" w:cs="Arial"/>
          <w:sz w:val="22"/>
          <w:szCs w:val="22"/>
        </w:rPr>
        <w:t>et al.,</w:t>
      </w:r>
      <w:r w:rsidRPr="00F47756">
        <w:rPr>
          <w:rFonts w:ascii="Arial" w:hAnsi="Arial" w:cs="Arial"/>
          <w:sz w:val="22"/>
          <w:szCs w:val="22"/>
        </w:rPr>
        <w:t xml:space="preserve"> 2022). Research on families shows that parental beliefs, cultural expectations and experiences of stigma can influence whether concerns are raised, particularly among ethnic minority communities </w:t>
      </w:r>
      <w:r w:rsidRPr="00F47756">
        <w:rPr>
          <w:rFonts w:ascii="Arial" w:hAnsi="Arial" w:cs="Arial"/>
          <w:sz w:val="22"/>
          <w:szCs w:val="22"/>
        </w:rPr>
        <w:lastRenderedPageBreak/>
        <w:t xml:space="preserve">(Vincent </w:t>
      </w:r>
      <w:r w:rsidR="002C2F2B" w:rsidRPr="004969EF">
        <w:rPr>
          <w:rFonts w:ascii="Arial" w:hAnsi="Arial" w:cs="Arial"/>
          <w:sz w:val="22"/>
          <w:szCs w:val="22"/>
        </w:rPr>
        <w:t>et al.,</w:t>
      </w:r>
      <w:r w:rsidRPr="00F47756">
        <w:rPr>
          <w:rFonts w:ascii="Arial" w:hAnsi="Arial" w:cs="Arial"/>
          <w:sz w:val="22"/>
          <w:szCs w:val="22"/>
        </w:rPr>
        <w:t xml:space="preserve"> 2025; </w:t>
      </w:r>
      <w:proofErr w:type="spellStart"/>
      <w:r w:rsidRPr="00F47756">
        <w:rPr>
          <w:rFonts w:ascii="Arial" w:hAnsi="Arial" w:cs="Arial"/>
          <w:sz w:val="22"/>
          <w:szCs w:val="22"/>
        </w:rPr>
        <w:t>Shefer</w:t>
      </w:r>
      <w:proofErr w:type="spellEnd"/>
      <w:r w:rsidRPr="00F47756">
        <w:rPr>
          <w:rFonts w:ascii="Arial" w:hAnsi="Arial" w:cs="Arial"/>
          <w:sz w:val="22"/>
          <w:szCs w:val="22"/>
        </w:rPr>
        <w:t xml:space="preserve"> </w:t>
      </w:r>
      <w:proofErr w:type="gramStart"/>
      <w:r w:rsidR="003B75FB" w:rsidRPr="004969EF">
        <w:rPr>
          <w:rFonts w:ascii="Arial" w:hAnsi="Arial" w:cs="Arial"/>
          <w:sz w:val="22"/>
          <w:szCs w:val="22"/>
        </w:rPr>
        <w:t>et al.,</w:t>
      </w:r>
      <w:r w:rsidRPr="00F47756">
        <w:rPr>
          <w:rFonts w:ascii="Arial" w:hAnsi="Arial" w:cs="Arial"/>
          <w:sz w:val="22"/>
          <w:szCs w:val="22"/>
        </w:rPr>
        <w:t>,</w:t>
      </w:r>
      <w:proofErr w:type="gramEnd"/>
      <w:r w:rsidRPr="00F47756">
        <w:rPr>
          <w:rFonts w:ascii="Arial" w:hAnsi="Arial" w:cs="Arial"/>
          <w:sz w:val="22"/>
          <w:szCs w:val="22"/>
        </w:rPr>
        <w:t xml:space="preserve"> 2013). Migration experiences and differing cultural views of child development further shape how behaviours are understood and whether help is sought (De Haas, 2021). At a structural level, pressures within local authority SEND systems contribute to delays and variation in access to specialist support (LGA, 2025; UK Parliament, 2024).</w:t>
      </w:r>
    </w:p>
    <w:p w14:paraId="75E17D56" w14:textId="4796D1E1" w:rsidR="00BD2909" w:rsidRPr="004969EF" w:rsidRDefault="00F47756" w:rsidP="002C2F2B">
      <w:pPr>
        <w:spacing w:before="100" w:beforeAutospacing="1" w:after="100" w:afterAutospacing="1" w:line="360" w:lineRule="auto"/>
        <w:jc w:val="both"/>
        <w:rPr>
          <w:rFonts w:ascii="Arial" w:hAnsi="Arial" w:cs="Arial"/>
          <w:sz w:val="22"/>
          <w:szCs w:val="22"/>
        </w:rPr>
      </w:pPr>
      <w:r w:rsidRPr="00F47756">
        <w:rPr>
          <w:rFonts w:ascii="Arial" w:hAnsi="Arial" w:cs="Arial"/>
          <w:sz w:val="22"/>
          <w:szCs w:val="22"/>
        </w:rPr>
        <w:t>This dissertation sets out to address these gaps by examining how school-based practices, parental perceptions and local authority structures come together to shape early recognition and referral. By analysing these factors in combination, the study aims to provide a clearer understanding of where inequalities may emerge and how early identification processes could be made more culturally responsive and fair for children from ethnic minority backgrounds</w:t>
      </w:r>
      <w:r w:rsidR="00BD2909" w:rsidRPr="004969EF">
        <w:rPr>
          <w:rStyle w:val="eop"/>
          <w:rFonts w:ascii="Arial" w:hAnsi="Arial" w:cs="Arial"/>
          <w:sz w:val="22"/>
          <w:szCs w:val="22"/>
        </w:rPr>
        <w:t> </w:t>
      </w:r>
    </w:p>
    <w:p w14:paraId="748FB7FD" w14:textId="12B9A7A8" w:rsidR="00923362" w:rsidRPr="004969EF" w:rsidRDefault="00BD2909" w:rsidP="004969EF">
      <w:pPr>
        <w:pStyle w:val="paragraph"/>
        <w:spacing w:before="0" w:beforeAutospacing="0" w:after="0" w:afterAutospacing="0" w:line="360" w:lineRule="auto"/>
        <w:jc w:val="both"/>
        <w:textAlignment w:val="baseline"/>
        <w:rPr>
          <w:rStyle w:val="eop"/>
          <w:rFonts w:ascii="Arial" w:hAnsi="Arial" w:cs="Arial"/>
          <w:b/>
          <w:bCs/>
          <w:sz w:val="22"/>
          <w:szCs w:val="22"/>
        </w:rPr>
      </w:pPr>
      <w:r w:rsidRPr="004969EF">
        <w:rPr>
          <w:rStyle w:val="normaltextrun"/>
          <w:rFonts w:ascii="Arial" w:hAnsi="Arial" w:cs="Arial"/>
          <w:b/>
          <w:bCs/>
          <w:sz w:val="22"/>
          <w:szCs w:val="22"/>
        </w:rPr>
        <w:t>1.4 Aim and Objectives</w:t>
      </w:r>
    </w:p>
    <w:p w14:paraId="208E991D" w14:textId="6059974B" w:rsidR="00923362" w:rsidRPr="004969EF" w:rsidRDefault="00923362" w:rsidP="004969EF">
      <w:pPr>
        <w:pStyle w:val="paragraph"/>
        <w:spacing w:before="0" w:beforeAutospacing="0" w:after="0" w:afterAutospacing="0" w:line="360" w:lineRule="auto"/>
        <w:jc w:val="both"/>
        <w:textAlignment w:val="baseline"/>
        <w:rPr>
          <w:rFonts w:ascii="Arial" w:hAnsi="Arial" w:cs="Arial"/>
          <w:sz w:val="22"/>
          <w:szCs w:val="22"/>
        </w:rPr>
      </w:pPr>
      <w:r w:rsidRPr="004969EF">
        <w:rPr>
          <w:rFonts w:ascii="Arial" w:hAnsi="Arial" w:cs="Arial"/>
          <w:sz w:val="22"/>
          <w:szCs w:val="22"/>
        </w:rPr>
        <w:t>The aim of this study is to explore how education and health services can reduce barriers to fair and timely ADHD recognition and referral for children from ethnic minority backgrounds in England. Although national guidance highlights the importance of early identification and coordinated support (NICE, 2018; Department for Education, 2015), recent reports show that experiences still vary across schools, families and local authorities (NHS England, 2025a; NHS England, 2025b). By looking at policy, practice and evidence together, this study aims to build a clearer understanding of where challenges arise and how early identification processes could be made more culturally inclusive and equitable.</w:t>
      </w:r>
    </w:p>
    <w:p w14:paraId="680DFA7A" w14:textId="77777777" w:rsidR="002E0C27" w:rsidRPr="004969EF" w:rsidRDefault="002E0C27" w:rsidP="004969EF">
      <w:pPr>
        <w:pStyle w:val="paragraph"/>
        <w:spacing w:before="0" w:beforeAutospacing="0" w:after="0" w:afterAutospacing="0" w:line="360" w:lineRule="auto"/>
        <w:jc w:val="both"/>
        <w:textAlignment w:val="baseline"/>
        <w:rPr>
          <w:rFonts w:ascii="Arial" w:hAnsi="Arial" w:cs="Arial"/>
          <w:sz w:val="22"/>
          <w:szCs w:val="22"/>
        </w:rPr>
      </w:pPr>
    </w:p>
    <w:p w14:paraId="1994BF5C" w14:textId="77777777" w:rsidR="00923362" w:rsidRPr="004969EF" w:rsidRDefault="00923362" w:rsidP="004969EF">
      <w:pPr>
        <w:spacing w:line="360" w:lineRule="auto"/>
        <w:jc w:val="both"/>
        <w:rPr>
          <w:rFonts w:ascii="Arial" w:hAnsi="Arial" w:cs="Arial"/>
          <w:sz w:val="22"/>
          <w:szCs w:val="22"/>
        </w:rPr>
      </w:pPr>
      <w:r w:rsidRPr="004969EF">
        <w:rPr>
          <w:rStyle w:val="Strong"/>
          <w:rFonts w:ascii="Arial" w:eastAsia="Calibri Light" w:hAnsi="Arial" w:cs="Arial"/>
          <w:b w:val="0"/>
          <w:bCs w:val="0"/>
          <w:sz w:val="22"/>
          <w:szCs w:val="22"/>
        </w:rPr>
        <w:t>Objectives</w:t>
      </w:r>
    </w:p>
    <w:p w14:paraId="7A7DED62" w14:textId="77777777" w:rsidR="00923362" w:rsidRPr="004969EF" w:rsidRDefault="00923362" w:rsidP="00250E65">
      <w:pPr>
        <w:pStyle w:val="NormalWeb"/>
        <w:numPr>
          <w:ilvl w:val="0"/>
          <w:numId w:val="18"/>
        </w:numPr>
        <w:spacing w:line="360" w:lineRule="auto"/>
        <w:jc w:val="both"/>
        <w:rPr>
          <w:rFonts w:ascii="Arial" w:hAnsi="Arial" w:cs="Arial"/>
          <w:sz w:val="22"/>
          <w:szCs w:val="22"/>
        </w:rPr>
      </w:pPr>
      <w:r w:rsidRPr="004969EF">
        <w:rPr>
          <w:rStyle w:val="Strong"/>
          <w:rFonts w:ascii="Arial" w:eastAsia="Calibri Light" w:hAnsi="Arial" w:cs="Arial"/>
          <w:b w:val="0"/>
          <w:bCs w:val="0"/>
          <w:sz w:val="22"/>
          <w:szCs w:val="22"/>
        </w:rPr>
        <w:t>To review current approaches to ADHD identification and inter</w:t>
      </w:r>
      <w:r w:rsidRPr="004969EF">
        <w:rPr>
          <w:rStyle w:val="Strong"/>
          <w:rFonts w:ascii="Arial" w:eastAsia="Calibri Light" w:hAnsi="Arial" w:cs="Arial"/>
          <w:b w:val="0"/>
          <w:bCs w:val="0"/>
          <w:sz w:val="22"/>
          <w:szCs w:val="22"/>
        </w:rPr>
        <w:noBreakHyphen/>
        <w:t>agency work across education and health services in England</w:t>
      </w:r>
      <w:r w:rsidRPr="004969EF">
        <w:rPr>
          <w:rFonts w:ascii="Arial" w:hAnsi="Arial" w:cs="Arial"/>
          <w:sz w:val="22"/>
          <w:szCs w:val="22"/>
        </w:rPr>
        <w:t>, using national guidance such as NICE (2018) and the SEND Code of Practice (Department for Education, 2015).</w:t>
      </w:r>
    </w:p>
    <w:p w14:paraId="4C08B4F3" w14:textId="2F01584A" w:rsidR="00923362" w:rsidRPr="004969EF" w:rsidRDefault="00923362" w:rsidP="00250E65">
      <w:pPr>
        <w:pStyle w:val="NormalWeb"/>
        <w:numPr>
          <w:ilvl w:val="0"/>
          <w:numId w:val="18"/>
        </w:numPr>
        <w:spacing w:line="360" w:lineRule="auto"/>
        <w:jc w:val="both"/>
        <w:rPr>
          <w:rFonts w:ascii="Arial" w:hAnsi="Arial" w:cs="Arial"/>
          <w:sz w:val="22"/>
          <w:szCs w:val="22"/>
        </w:rPr>
      </w:pPr>
      <w:r w:rsidRPr="004969EF">
        <w:rPr>
          <w:rStyle w:val="Strong"/>
          <w:rFonts w:ascii="Arial" w:eastAsia="Calibri Light" w:hAnsi="Arial" w:cs="Arial"/>
          <w:b w:val="0"/>
          <w:bCs w:val="0"/>
          <w:sz w:val="22"/>
          <w:szCs w:val="22"/>
        </w:rPr>
        <w:t>To examine how cultural, structural and institutional barriers affect recognition, referral and support for children from ethnic minority backgrounds</w:t>
      </w:r>
      <w:r w:rsidRPr="004969EF">
        <w:rPr>
          <w:rFonts w:ascii="Arial" w:hAnsi="Arial" w:cs="Arial"/>
          <w:sz w:val="22"/>
          <w:szCs w:val="22"/>
        </w:rPr>
        <w:t>, including the role of teacher awareness and school</w:t>
      </w:r>
      <w:r w:rsidRPr="004969EF">
        <w:rPr>
          <w:rFonts w:ascii="Arial" w:hAnsi="Arial" w:cs="Arial"/>
          <w:sz w:val="22"/>
          <w:szCs w:val="22"/>
        </w:rPr>
        <w:noBreakHyphen/>
        <w:t xml:space="preserve">based practices (Vincent </w:t>
      </w:r>
      <w:r w:rsidR="002C2F2B" w:rsidRPr="004969EF">
        <w:rPr>
          <w:rFonts w:ascii="Arial" w:hAnsi="Arial" w:cs="Arial"/>
          <w:sz w:val="22"/>
          <w:szCs w:val="22"/>
        </w:rPr>
        <w:t>et al.,</w:t>
      </w:r>
      <w:r w:rsidRPr="004969EF">
        <w:rPr>
          <w:rFonts w:ascii="Arial" w:hAnsi="Arial" w:cs="Arial"/>
          <w:sz w:val="22"/>
          <w:szCs w:val="22"/>
        </w:rPr>
        <w:t xml:space="preserve"> 2025; Ward </w:t>
      </w:r>
      <w:r w:rsidR="002C2F2B" w:rsidRPr="004969EF">
        <w:rPr>
          <w:rFonts w:ascii="Arial" w:hAnsi="Arial" w:cs="Arial"/>
          <w:sz w:val="22"/>
          <w:szCs w:val="22"/>
        </w:rPr>
        <w:t>et al.,</w:t>
      </w:r>
      <w:r w:rsidRPr="004969EF">
        <w:rPr>
          <w:rFonts w:ascii="Arial" w:hAnsi="Arial" w:cs="Arial"/>
          <w:sz w:val="22"/>
          <w:szCs w:val="22"/>
        </w:rPr>
        <w:t xml:space="preserve"> 2021).</w:t>
      </w:r>
    </w:p>
    <w:p w14:paraId="05129AEF" w14:textId="77777777" w:rsidR="00923362" w:rsidRPr="004969EF" w:rsidRDefault="00923362" w:rsidP="00250E65">
      <w:pPr>
        <w:pStyle w:val="NormalWeb"/>
        <w:numPr>
          <w:ilvl w:val="0"/>
          <w:numId w:val="18"/>
        </w:numPr>
        <w:spacing w:line="360" w:lineRule="auto"/>
        <w:jc w:val="both"/>
        <w:rPr>
          <w:rFonts w:ascii="Arial" w:hAnsi="Arial" w:cs="Arial"/>
          <w:sz w:val="22"/>
          <w:szCs w:val="22"/>
        </w:rPr>
      </w:pPr>
      <w:r w:rsidRPr="004969EF">
        <w:rPr>
          <w:rStyle w:val="Strong"/>
          <w:rFonts w:ascii="Arial" w:eastAsia="Calibri Light" w:hAnsi="Arial" w:cs="Arial"/>
          <w:b w:val="0"/>
          <w:bCs w:val="0"/>
          <w:sz w:val="22"/>
          <w:szCs w:val="22"/>
        </w:rPr>
        <w:t>To evaluate how national frameworks, including NICE and NHS England strategies, address issues of equity and inclusion</w:t>
      </w:r>
      <w:r w:rsidRPr="004969EF">
        <w:rPr>
          <w:rFonts w:ascii="Arial" w:hAnsi="Arial" w:cs="Arial"/>
          <w:sz w:val="22"/>
          <w:szCs w:val="22"/>
        </w:rPr>
        <w:t xml:space="preserve"> in ADHD identification and support (NHS England, 2025b; Parliament, 2024).</w:t>
      </w:r>
    </w:p>
    <w:p w14:paraId="35CE6F55" w14:textId="77777777" w:rsidR="00923362" w:rsidRPr="004969EF" w:rsidRDefault="00923362" w:rsidP="00250E65">
      <w:pPr>
        <w:pStyle w:val="NormalWeb"/>
        <w:numPr>
          <w:ilvl w:val="0"/>
          <w:numId w:val="18"/>
        </w:numPr>
        <w:spacing w:line="360" w:lineRule="auto"/>
        <w:jc w:val="both"/>
        <w:rPr>
          <w:rFonts w:ascii="Arial" w:hAnsi="Arial" w:cs="Arial"/>
          <w:sz w:val="22"/>
          <w:szCs w:val="22"/>
        </w:rPr>
      </w:pPr>
      <w:r w:rsidRPr="004969EF">
        <w:rPr>
          <w:rStyle w:val="Strong"/>
          <w:rFonts w:ascii="Arial" w:eastAsia="Calibri Light" w:hAnsi="Arial" w:cs="Arial"/>
          <w:b w:val="0"/>
          <w:bCs w:val="0"/>
          <w:sz w:val="22"/>
          <w:szCs w:val="22"/>
        </w:rPr>
        <w:t>To suggest practical recommendations for improving communication, training and culturally responsive practice across education and health services</w:t>
      </w:r>
      <w:r w:rsidRPr="004969EF">
        <w:rPr>
          <w:rFonts w:ascii="Arial" w:hAnsi="Arial" w:cs="Arial"/>
          <w:sz w:val="22"/>
          <w:szCs w:val="22"/>
        </w:rPr>
        <w:t>, drawing on recent SEND reform briefings (LGA, 2025).</w:t>
      </w:r>
    </w:p>
    <w:p w14:paraId="4FCBBEC2" w14:textId="32089AFF" w:rsidR="00BD2909" w:rsidRPr="004969EF" w:rsidRDefault="00BD2909" w:rsidP="004969EF">
      <w:pPr>
        <w:pStyle w:val="paragraph"/>
        <w:spacing w:before="0" w:beforeAutospacing="0" w:after="0" w:afterAutospacing="0" w:line="360" w:lineRule="auto"/>
        <w:jc w:val="both"/>
        <w:textAlignment w:val="baseline"/>
        <w:rPr>
          <w:rFonts w:ascii="Arial" w:hAnsi="Arial" w:cs="Arial"/>
          <w:sz w:val="22"/>
          <w:szCs w:val="22"/>
        </w:rPr>
      </w:pPr>
      <w:r w:rsidRPr="004969EF">
        <w:rPr>
          <w:rStyle w:val="eop"/>
          <w:rFonts w:ascii="Arial" w:hAnsi="Arial" w:cs="Arial"/>
          <w:sz w:val="22"/>
          <w:szCs w:val="22"/>
        </w:rPr>
        <w:t> </w:t>
      </w:r>
      <w:r w:rsidRPr="004969EF">
        <w:rPr>
          <w:rStyle w:val="normaltextrun"/>
          <w:rFonts w:ascii="Arial" w:hAnsi="Arial" w:cs="Arial"/>
          <w:sz w:val="22"/>
          <w:szCs w:val="22"/>
        </w:rPr>
        <w:t xml:space="preserve">1.5 Conclusion </w:t>
      </w:r>
    </w:p>
    <w:p w14:paraId="0F2EE5EE" w14:textId="77777777" w:rsidR="00C4361E" w:rsidRPr="004969EF" w:rsidRDefault="00C4361E" w:rsidP="004969EF">
      <w:pPr>
        <w:spacing w:line="360" w:lineRule="auto"/>
        <w:jc w:val="both"/>
        <w:rPr>
          <w:rFonts w:ascii="Arial" w:hAnsi="Arial" w:cs="Arial"/>
          <w:sz w:val="22"/>
          <w:szCs w:val="22"/>
        </w:rPr>
      </w:pPr>
      <w:r w:rsidRPr="004969EF">
        <w:rPr>
          <w:rFonts w:ascii="Arial" w:hAnsi="Arial" w:cs="Arial"/>
          <w:sz w:val="22"/>
          <w:szCs w:val="22"/>
        </w:rPr>
        <w:lastRenderedPageBreak/>
        <w:t>This chapter has introduced ADHD as a complex and varied neurodevelopmental condition, highlighting how differences in presentation can affect recognition in childhood. It has outlined current pressures within education, health and local authority systems in England, including increasing demand, long waiting times and variation in access to assessment. Evidence from national reports and research has raised concerns about unequal recognition, particularly for children from ethnic minority backgrounds, where early signs may be overlooked or misinterpreted within pre-referral processes.</w:t>
      </w:r>
    </w:p>
    <w:p w14:paraId="1537A545" w14:textId="77777777" w:rsidR="00C4361E" w:rsidRPr="004969EF" w:rsidRDefault="00C4361E" w:rsidP="004969EF">
      <w:pPr>
        <w:spacing w:line="360" w:lineRule="auto"/>
        <w:jc w:val="both"/>
        <w:rPr>
          <w:rFonts w:ascii="Arial" w:hAnsi="Arial" w:cs="Arial"/>
          <w:sz w:val="22"/>
          <w:szCs w:val="22"/>
        </w:rPr>
      </w:pPr>
      <w:r w:rsidRPr="004969EF">
        <w:rPr>
          <w:rFonts w:ascii="Arial" w:hAnsi="Arial" w:cs="Arial"/>
          <w:sz w:val="22"/>
          <w:szCs w:val="22"/>
        </w:rPr>
        <w:t>The chapter has also established the focus of this study, which is to examine how school-based practices, local authority support structures and parental perceptions interact to influence early identification and referral. By bringing these areas together, the research aims to identify gaps in communication, training and system coordination that may contribute to delayed recognition and unequal access to support.</w:t>
      </w:r>
    </w:p>
    <w:p w14:paraId="12CBF853" w14:textId="77777777" w:rsidR="00C4361E" w:rsidRPr="004969EF" w:rsidRDefault="00C4361E" w:rsidP="004969EF">
      <w:pPr>
        <w:spacing w:line="360" w:lineRule="auto"/>
        <w:jc w:val="both"/>
        <w:rPr>
          <w:rFonts w:ascii="Arial" w:hAnsi="Arial" w:cs="Arial"/>
          <w:sz w:val="22"/>
          <w:szCs w:val="22"/>
        </w:rPr>
      </w:pPr>
      <w:r w:rsidRPr="004969EF">
        <w:rPr>
          <w:rFonts w:ascii="Arial" w:hAnsi="Arial" w:cs="Arial"/>
          <w:sz w:val="22"/>
          <w:szCs w:val="22"/>
        </w:rPr>
        <w:t>The following chapter will provide the background to this study by exploring the historical development of ADHD, relevant theoretical frameworks, and the wider international and UK context. This will offer a broader understanding of how recognition and referral processes have developed over time and how they currently operate across different systems.</w:t>
      </w:r>
    </w:p>
    <w:p w14:paraId="1E1A58B1" w14:textId="77777777" w:rsidR="00804B94" w:rsidRPr="004969EF" w:rsidRDefault="00804B94" w:rsidP="004969EF">
      <w:pPr>
        <w:spacing w:line="360" w:lineRule="auto"/>
        <w:jc w:val="both"/>
        <w:rPr>
          <w:rFonts w:ascii="Arial" w:hAnsi="Arial" w:cs="Arial"/>
          <w:sz w:val="22"/>
          <w:szCs w:val="22"/>
        </w:rPr>
      </w:pPr>
    </w:p>
    <w:p w14:paraId="33D4B98F" w14:textId="15905268" w:rsidR="000D0641" w:rsidRPr="004969EF" w:rsidRDefault="000D0641" w:rsidP="004969EF">
      <w:pPr>
        <w:pStyle w:val="Heading1"/>
        <w:spacing w:line="360" w:lineRule="auto"/>
        <w:ind w:left="0"/>
        <w:jc w:val="both"/>
        <w:rPr>
          <w:rFonts w:cs="Arial"/>
          <w:sz w:val="22"/>
          <w:szCs w:val="22"/>
        </w:rPr>
      </w:pPr>
      <w:bookmarkStart w:id="2" w:name="_Toc226379358"/>
      <w:r w:rsidRPr="004969EF">
        <w:rPr>
          <w:rFonts w:cs="Arial"/>
          <w:sz w:val="22"/>
          <w:szCs w:val="22"/>
        </w:rPr>
        <w:t xml:space="preserve">CHAPTER 2 – </w:t>
      </w:r>
      <w:r w:rsidR="00BD2909" w:rsidRPr="004969EF">
        <w:rPr>
          <w:rFonts w:cs="Arial"/>
          <w:sz w:val="22"/>
          <w:szCs w:val="22"/>
        </w:rPr>
        <w:t xml:space="preserve">Background </w:t>
      </w:r>
      <w:r w:rsidR="00F44833" w:rsidRPr="004969EF">
        <w:rPr>
          <w:rFonts w:cs="Arial"/>
          <w:sz w:val="22"/>
          <w:szCs w:val="22"/>
        </w:rPr>
        <w:t xml:space="preserve">Information and </w:t>
      </w:r>
      <w:r w:rsidR="00BD2909" w:rsidRPr="004969EF">
        <w:rPr>
          <w:rFonts w:cs="Arial"/>
          <w:sz w:val="22"/>
          <w:szCs w:val="22"/>
        </w:rPr>
        <w:t>Analysis</w:t>
      </w:r>
      <w:bookmarkEnd w:id="2"/>
    </w:p>
    <w:p w14:paraId="6BA7DF87" w14:textId="77777777" w:rsidR="00BD2909" w:rsidRPr="004969EF" w:rsidRDefault="00BD2909" w:rsidP="004969EF">
      <w:pPr>
        <w:pStyle w:val="paragraph"/>
        <w:spacing w:before="0" w:beforeAutospacing="0" w:after="0" w:afterAutospacing="0" w:line="360" w:lineRule="auto"/>
        <w:jc w:val="both"/>
        <w:textAlignment w:val="baseline"/>
        <w:rPr>
          <w:rFonts w:ascii="Arial" w:hAnsi="Arial" w:cs="Arial"/>
          <w:sz w:val="22"/>
          <w:szCs w:val="22"/>
        </w:rPr>
      </w:pPr>
      <w:r w:rsidRPr="004969EF">
        <w:rPr>
          <w:rStyle w:val="eop"/>
          <w:rFonts w:ascii="Arial" w:eastAsia="Calibri Light" w:hAnsi="Arial" w:cs="Arial"/>
          <w:sz w:val="22"/>
          <w:szCs w:val="22"/>
        </w:rPr>
        <w:t> </w:t>
      </w:r>
    </w:p>
    <w:p w14:paraId="223734F5" w14:textId="36C1D993" w:rsidR="00BD2909" w:rsidRPr="004969EF" w:rsidRDefault="00BD2909" w:rsidP="004969EF">
      <w:pPr>
        <w:pStyle w:val="paragraph"/>
        <w:spacing w:before="0" w:beforeAutospacing="0" w:after="0" w:afterAutospacing="0" w:line="360" w:lineRule="auto"/>
        <w:jc w:val="both"/>
        <w:textAlignment w:val="baseline"/>
        <w:rPr>
          <w:rFonts w:ascii="Arial" w:hAnsi="Arial" w:cs="Arial"/>
          <w:sz w:val="22"/>
          <w:szCs w:val="22"/>
        </w:rPr>
      </w:pPr>
      <w:r w:rsidRPr="004969EF">
        <w:rPr>
          <w:rStyle w:val="normaltextrun"/>
          <w:rFonts w:ascii="Arial" w:hAnsi="Arial" w:cs="Arial"/>
          <w:sz w:val="22"/>
          <w:szCs w:val="22"/>
        </w:rPr>
        <w:t xml:space="preserve">2.1 Introduction </w:t>
      </w:r>
    </w:p>
    <w:p w14:paraId="4BC77973" w14:textId="1AE0A25F" w:rsidR="00C57254" w:rsidRPr="004969EF" w:rsidRDefault="00C57254" w:rsidP="004969EF">
      <w:pPr>
        <w:spacing w:line="360" w:lineRule="auto"/>
        <w:jc w:val="both"/>
        <w:rPr>
          <w:rFonts w:ascii="Arial" w:hAnsi="Arial" w:cs="Arial"/>
          <w:sz w:val="22"/>
          <w:szCs w:val="22"/>
        </w:rPr>
      </w:pPr>
      <w:r w:rsidRPr="004969EF">
        <w:rPr>
          <w:rFonts w:ascii="Arial" w:hAnsi="Arial" w:cs="Arial"/>
          <w:sz w:val="22"/>
          <w:szCs w:val="22"/>
        </w:rPr>
        <w:t>The purpose of this chapter is to provide a structured background for understanding the under-recognition and referral of ADHD among children from ethnic minority backgrounds in England. Establishing this foundation is important, as it allows for a clearer understanding of how historical developments, theoretical perspectives and policy frameworks shape current identification practices.</w:t>
      </w:r>
    </w:p>
    <w:p w14:paraId="3E8AFB55" w14:textId="77777777" w:rsidR="00C57254" w:rsidRPr="004969EF" w:rsidRDefault="00C57254" w:rsidP="004969EF">
      <w:pPr>
        <w:spacing w:line="360" w:lineRule="auto"/>
        <w:jc w:val="both"/>
        <w:rPr>
          <w:rFonts w:ascii="Arial" w:hAnsi="Arial" w:cs="Arial"/>
          <w:sz w:val="22"/>
          <w:szCs w:val="22"/>
        </w:rPr>
      </w:pPr>
      <w:r w:rsidRPr="004969EF">
        <w:rPr>
          <w:rFonts w:ascii="Arial" w:hAnsi="Arial" w:cs="Arial"/>
          <w:sz w:val="22"/>
          <w:szCs w:val="22"/>
        </w:rPr>
        <w:t>To begin with, the chapter outlines the historical development of ADHD, showing how changing diagnostic systems and broader perspectives on disability have influenced how the condition is understood. It then introduces key theoretical frameworks, including attribution theory, discourse theory, Bronfenbrenner’s ecological systems theory and intersectionality, which provide different ways of explaining how behaviour is interpreted and responded to within educational and institutional contexts.</w:t>
      </w:r>
    </w:p>
    <w:p w14:paraId="74D8BB73" w14:textId="77777777" w:rsidR="00C57254" w:rsidRPr="004969EF" w:rsidRDefault="00C57254" w:rsidP="004969EF">
      <w:pPr>
        <w:spacing w:line="360" w:lineRule="auto"/>
        <w:jc w:val="both"/>
        <w:rPr>
          <w:rFonts w:ascii="Arial" w:hAnsi="Arial" w:cs="Arial"/>
          <w:sz w:val="22"/>
          <w:szCs w:val="22"/>
        </w:rPr>
      </w:pPr>
    </w:p>
    <w:p w14:paraId="399C273C" w14:textId="77777777" w:rsidR="00C57254" w:rsidRPr="004969EF" w:rsidRDefault="00C57254" w:rsidP="004969EF">
      <w:pPr>
        <w:spacing w:line="360" w:lineRule="auto"/>
        <w:jc w:val="both"/>
        <w:rPr>
          <w:rFonts w:ascii="Arial" w:hAnsi="Arial" w:cs="Arial"/>
          <w:sz w:val="22"/>
          <w:szCs w:val="22"/>
        </w:rPr>
      </w:pPr>
      <w:r w:rsidRPr="004969EF">
        <w:rPr>
          <w:rFonts w:ascii="Arial" w:hAnsi="Arial" w:cs="Arial"/>
          <w:sz w:val="22"/>
          <w:szCs w:val="22"/>
        </w:rPr>
        <w:t xml:space="preserve">The chapter then examines international evidence to highlight how recognition of ADHD varies across systems, before focusing on the UK context. Particular attention is given to national policies, local practices and service pressures, showing how differences in implementation contribute to variation in identification and referral. This chapter therefore establishes that </w:t>
      </w:r>
      <w:r w:rsidRPr="004969EF">
        <w:rPr>
          <w:rFonts w:ascii="Arial" w:hAnsi="Arial" w:cs="Arial"/>
          <w:sz w:val="22"/>
          <w:szCs w:val="22"/>
        </w:rPr>
        <w:lastRenderedPageBreak/>
        <w:t>under-recognition is shaped by the interaction between policy, practice and social factors, providing a foundation for the methodological approach outlined in the next chapter.</w:t>
      </w:r>
    </w:p>
    <w:p w14:paraId="1ADF7C27" w14:textId="3699F766" w:rsidR="00BD2909" w:rsidRPr="004969EF" w:rsidRDefault="00BD2909" w:rsidP="004969EF">
      <w:pPr>
        <w:pStyle w:val="paragraph"/>
        <w:spacing w:before="0" w:beforeAutospacing="0" w:after="0" w:afterAutospacing="0" w:line="360" w:lineRule="auto"/>
        <w:jc w:val="both"/>
        <w:textAlignment w:val="baseline"/>
        <w:rPr>
          <w:rFonts w:ascii="Arial" w:hAnsi="Arial" w:cs="Arial"/>
          <w:sz w:val="22"/>
          <w:szCs w:val="22"/>
        </w:rPr>
      </w:pPr>
      <w:r w:rsidRPr="004969EF">
        <w:rPr>
          <w:rStyle w:val="eop"/>
          <w:rFonts w:ascii="Arial" w:eastAsia="Calibri Light" w:hAnsi="Arial" w:cs="Arial"/>
          <w:sz w:val="22"/>
          <w:szCs w:val="22"/>
        </w:rPr>
        <w:t> </w:t>
      </w:r>
    </w:p>
    <w:p w14:paraId="52457009" w14:textId="71C74210" w:rsidR="00BD2909" w:rsidRPr="004969EF" w:rsidRDefault="00BD2909" w:rsidP="004969EF">
      <w:pPr>
        <w:pStyle w:val="paragraph"/>
        <w:spacing w:before="0" w:beforeAutospacing="0" w:after="0" w:afterAutospacing="0" w:line="360" w:lineRule="auto"/>
        <w:jc w:val="both"/>
        <w:textAlignment w:val="baseline"/>
        <w:rPr>
          <w:rFonts w:ascii="Arial" w:hAnsi="Arial" w:cs="Arial"/>
          <w:sz w:val="22"/>
          <w:szCs w:val="22"/>
        </w:rPr>
      </w:pPr>
      <w:r w:rsidRPr="004969EF">
        <w:rPr>
          <w:rStyle w:val="normaltextrun"/>
          <w:rFonts w:ascii="Arial" w:hAnsi="Arial" w:cs="Arial"/>
          <w:sz w:val="22"/>
          <w:szCs w:val="22"/>
        </w:rPr>
        <w:t xml:space="preserve">2.2 Historical Background </w:t>
      </w:r>
    </w:p>
    <w:p w14:paraId="0A6DB774" w14:textId="08DC2B4C"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 xml:space="preserve">The historical </w:t>
      </w:r>
      <w:r w:rsidRPr="004969EF">
        <w:rPr>
          <w:rFonts w:ascii="Arial" w:hAnsi="Arial" w:cs="Arial"/>
          <w:sz w:val="22"/>
          <w:szCs w:val="22"/>
        </w:rPr>
        <w:t>background of</w:t>
      </w:r>
      <w:r w:rsidRPr="005A7742">
        <w:rPr>
          <w:rFonts w:ascii="Arial" w:hAnsi="Arial" w:cs="Arial"/>
          <w:sz w:val="22"/>
          <w:szCs w:val="22"/>
        </w:rPr>
        <w:t xml:space="preserve"> attention deficit hyperactivity disorder (ADHD) has been shaped by evolving interpretations of children’s behaviour across medical, educational, and social </w:t>
      </w:r>
      <w:r w:rsidRPr="004969EF">
        <w:rPr>
          <w:rFonts w:ascii="Arial" w:hAnsi="Arial" w:cs="Arial"/>
          <w:sz w:val="22"/>
          <w:szCs w:val="22"/>
        </w:rPr>
        <w:t>circles</w:t>
      </w:r>
      <w:r w:rsidRPr="005A7742">
        <w:rPr>
          <w:rFonts w:ascii="Arial" w:hAnsi="Arial" w:cs="Arial"/>
          <w:sz w:val="22"/>
          <w:szCs w:val="22"/>
        </w:rPr>
        <w:t xml:space="preserve">. Before the formal recognition of ADHD, traits such as inattention and impulsivity were usually </w:t>
      </w:r>
      <w:r w:rsidRPr="004969EF">
        <w:rPr>
          <w:rFonts w:ascii="Arial" w:hAnsi="Arial" w:cs="Arial"/>
          <w:sz w:val="22"/>
          <w:szCs w:val="22"/>
        </w:rPr>
        <w:t>looked at as a from a moral</w:t>
      </w:r>
      <w:r w:rsidRPr="005A7742">
        <w:rPr>
          <w:rFonts w:ascii="Arial" w:hAnsi="Arial" w:cs="Arial"/>
          <w:sz w:val="22"/>
          <w:szCs w:val="22"/>
        </w:rPr>
        <w:t xml:space="preserve"> or disciplinary </w:t>
      </w:r>
      <w:r w:rsidRPr="004969EF">
        <w:rPr>
          <w:rFonts w:ascii="Arial" w:hAnsi="Arial" w:cs="Arial"/>
          <w:sz w:val="22"/>
          <w:szCs w:val="22"/>
        </w:rPr>
        <w:t xml:space="preserve">point of </w:t>
      </w:r>
      <w:r w:rsidR="009019D5" w:rsidRPr="004969EF">
        <w:rPr>
          <w:rFonts w:ascii="Arial" w:hAnsi="Arial" w:cs="Arial"/>
          <w:sz w:val="22"/>
          <w:szCs w:val="22"/>
        </w:rPr>
        <w:t>view, rather</w:t>
      </w:r>
      <w:r w:rsidRPr="005A7742">
        <w:rPr>
          <w:rFonts w:ascii="Arial" w:hAnsi="Arial" w:cs="Arial"/>
          <w:sz w:val="22"/>
          <w:szCs w:val="22"/>
        </w:rPr>
        <w:t xml:space="preserve"> than being seen as neurodevelopmental conditions (Lange </w:t>
      </w:r>
      <w:proofErr w:type="gramStart"/>
      <w:r w:rsidR="003B75FB" w:rsidRPr="004969EF">
        <w:rPr>
          <w:rFonts w:ascii="Arial" w:hAnsi="Arial" w:cs="Arial"/>
          <w:sz w:val="22"/>
          <w:szCs w:val="22"/>
        </w:rPr>
        <w:t>et al.,</w:t>
      </w:r>
      <w:r w:rsidRPr="005A7742">
        <w:rPr>
          <w:rFonts w:ascii="Arial" w:hAnsi="Arial" w:cs="Arial"/>
          <w:sz w:val="22"/>
          <w:szCs w:val="22"/>
        </w:rPr>
        <w:t>,</w:t>
      </w:r>
      <w:proofErr w:type="gramEnd"/>
      <w:r w:rsidRPr="005A7742">
        <w:rPr>
          <w:rFonts w:ascii="Arial" w:hAnsi="Arial" w:cs="Arial"/>
          <w:sz w:val="22"/>
          <w:szCs w:val="22"/>
        </w:rPr>
        <w:t xml:space="preserve"> 2010; Martinez-</w:t>
      </w:r>
      <w:proofErr w:type="spellStart"/>
      <w:r w:rsidRPr="005A7742">
        <w:rPr>
          <w:rFonts w:ascii="Arial" w:hAnsi="Arial" w:cs="Arial"/>
          <w:sz w:val="22"/>
          <w:szCs w:val="22"/>
        </w:rPr>
        <w:t>Badía</w:t>
      </w:r>
      <w:proofErr w:type="spellEnd"/>
      <w:r w:rsidRPr="005A7742">
        <w:rPr>
          <w:rFonts w:ascii="Arial" w:hAnsi="Arial" w:cs="Arial"/>
          <w:sz w:val="22"/>
          <w:szCs w:val="22"/>
        </w:rPr>
        <w:t xml:space="preserve">, 2015). According to Lange </w:t>
      </w:r>
      <w:r w:rsidR="003B75FB" w:rsidRPr="004969EF">
        <w:rPr>
          <w:rFonts w:ascii="Arial" w:hAnsi="Arial" w:cs="Arial"/>
          <w:sz w:val="22"/>
          <w:szCs w:val="22"/>
        </w:rPr>
        <w:t>et al.,</w:t>
      </w:r>
      <w:r w:rsidRPr="005A7742">
        <w:rPr>
          <w:rFonts w:ascii="Arial" w:hAnsi="Arial" w:cs="Arial"/>
          <w:sz w:val="22"/>
          <w:szCs w:val="22"/>
        </w:rPr>
        <w:t xml:space="preserve"> (2010), these behaviours were often dismissed a</w:t>
      </w:r>
      <w:r w:rsidRPr="004969EF">
        <w:rPr>
          <w:rFonts w:ascii="Arial" w:hAnsi="Arial" w:cs="Arial"/>
          <w:sz w:val="22"/>
          <w:szCs w:val="22"/>
        </w:rPr>
        <w:t xml:space="preserve">nd seen a </w:t>
      </w:r>
      <w:r w:rsidRPr="005A7742">
        <w:rPr>
          <w:rFonts w:ascii="Arial" w:hAnsi="Arial" w:cs="Arial"/>
          <w:sz w:val="22"/>
          <w:szCs w:val="22"/>
        </w:rPr>
        <w:t xml:space="preserve">simple </w:t>
      </w:r>
      <w:r w:rsidRPr="004969EF">
        <w:rPr>
          <w:rFonts w:ascii="Arial" w:hAnsi="Arial" w:cs="Arial"/>
          <w:sz w:val="22"/>
          <w:szCs w:val="22"/>
        </w:rPr>
        <w:t>misbehaviour</w:t>
      </w:r>
      <w:r w:rsidRPr="005A7742">
        <w:rPr>
          <w:rFonts w:ascii="Arial" w:hAnsi="Arial" w:cs="Arial"/>
          <w:sz w:val="22"/>
          <w:szCs w:val="22"/>
        </w:rPr>
        <w:t xml:space="preserve">. Early clinical views, as noted by Mahone and </w:t>
      </w:r>
      <w:proofErr w:type="spellStart"/>
      <w:r w:rsidRPr="005A7742">
        <w:rPr>
          <w:rFonts w:ascii="Arial" w:hAnsi="Arial" w:cs="Arial"/>
          <w:sz w:val="22"/>
          <w:szCs w:val="22"/>
        </w:rPr>
        <w:t>Denckla</w:t>
      </w:r>
      <w:proofErr w:type="spellEnd"/>
      <w:r w:rsidRPr="005A7742">
        <w:rPr>
          <w:rFonts w:ascii="Arial" w:hAnsi="Arial" w:cs="Arial"/>
          <w:sz w:val="22"/>
          <w:szCs w:val="22"/>
        </w:rPr>
        <w:t xml:space="preserve"> (2017), only reinforced this perspective. </w:t>
      </w:r>
      <w:r w:rsidR="00023AD2" w:rsidRPr="004969EF">
        <w:rPr>
          <w:rFonts w:ascii="Arial" w:hAnsi="Arial" w:cs="Arial"/>
          <w:sz w:val="22"/>
          <w:szCs w:val="22"/>
        </w:rPr>
        <w:t>Therefore</w:t>
      </w:r>
      <w:r w:rsidRPr="005A7742">
        <w:rPr>
          <w:rFonts w:ascii="Arial" w:hAnsi="Arial" w:cs="Arial"/>
          <w:sz w:val="22"/>
          <w:szCs w:val="22"/>
        </w:rPr>
        <w:t>, the standard responses were punishment or exclusion. This set a precedent for how children were handled within the education system.</w:t>
      </w:r>
    </w:p>
    <w:p w14:paraId="2E238647"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 </w:t>
      </w:r>
    </w:p>
    <w:p w14:paraId="23E320EB"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 By the mid-nineteenth century, children who failed to meet behavioural expectations were frequently placed in institutions like the Eastern Counties Asylum for Idiots and Imbeciles (1859), a move that reflected a system focused on containment (Open University, 2026). Even after the Elementary Education Act 1870 made schooling compulsory, the rigid demand for stillness meant many children could not actually engage with their lessons (Open University, 2026). Legislative frameworks like the Mental Deficiency Act 1913 only worsened this by introducing labels such as “moral defective,” while the later Education Act 1944 used the category “educational subnormal” (Open University, 2026). It is evident that while behavioural differences were present, they were managed in ways that effectively blocked access to learning.</w:t>
      </w:r>
    </w:p>
    <w:p w14:paraId="5B72AA04"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 </w:t>
      </w:r>
    </w:p>
    <w:p w14:paraId="58F142B4" w14:textId="39F1BC52"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 xml:space="preserve">These interpretations persisted well into the twentieth century. Early thinking was heavily influenced by George Still’s (1902) description of a “defect in moral control,” which focused on character rather than neurological differences (Mahone and </w:t>
      </w:r>
      <w:proofErr w:type="spellStart"/>
      <w:r w:rsidRPr="005A7742">
        <w:rPr>
          <w:rFonts w:ascii="Arial" w:hAnsi="Arial" w:cs="Arial"/>
          <w:sz w:val="22"/>
          <w:szCs w:val="22"/>
        </w:rPr>
        <w:t>Denckla</w:t>
      </w:r>
      <w:proofErr w:type="spellEnd"/>
      <w:r w:rsidRPr="005A7742">
        <w:rPr>
          <w:rFonts w:ascii="Arial" w:hAnsi="Arial" w:cs="Arial"/>
          <w:sz w:val="22"/>
          <w:szCs w:val="22"/>
        </w:rPr>
        <w:t xml:space="preserve">, 2017). It was not until 1980 that the DSM-III formally identified </w:t>
      </w:r>
      <w:proofErr w:type="gramStart"/>
      <w:r w:rsidRPr="005A7742">
        <w:rPr>
          <w:rFonts w:ascii="Arial" w:hAnsi="Arial" w:cs="Arial"/>
          <w:sz w:val="22"/>
          <w:szCs w:val="22"/>
        </w:rPr>
        <w:t>Attention Deficit Disorder</w:t>
      </w:r>
      <w:proofErr w:type="gramEnd"/>
      <w:r w:rsidRPr="005A7742">
        <w:rPr>
          <w:rFonts w:ascii="Arial" w:hAnsi="Arial" w:cs="Arial"/>
          <w:sz w:val="22"/>
          <w:szCs w:val="22"/>
        </w:rPr>
        <w:t xml:space="preserve"> as a specific condition (</w:t>
      </w:r>
      <w:proofErr w:type="spellStart"/>
      <w:r w:rsidRPr="005A7742">
        <w:rPr>
          <w:rFonts w:ascii="Arial" w:hAnsi="Arial" w:cs="Arial"/>
          <w:sz w:val="22"/>
          <w:szCs w:val="22"/>
        </w:rPr>
        <w:t>Vahia</w:t>
      </w:r>
      <w:proofErr w:type="spellEnd"/>
      <w:r w:rsidRPr="005A7742">
        <w:rPr>
          <w:rFonts w:ascii="Arial" w:hAnsi="Arial" w:cs="Arial"/>
          <w:sz w:val="22"/>
          <w:szCs w:val="22"/>
        </w:rPr>
        <w:t xml:space="preserve">, 2013). This medical </w:t>
      </w:r>
      <w:r w:rsidR="006707C7" w:rsidRPr="004969EF">
        <w:rPr>
          <w:rFonts w:ascii="Arial" w:hAnsi="Arial" w:cs="Arial"/>
          <w:sz w:val="22"/>
          <w:szCs w:val="22"/>
        </w:rPr>
        <w:t>reconceptualization</w:t>
      </w:r>
      <w:r w:rsidRPr="005A7742">
        <w:rPr>
          <w:rFonts w:ascii="Arial" w:hAnsi="Arial" w:cs="Arial"/>
          <w:sz w:val="22"/>
          <w:szCs w:val="22"/>
        </w:rPr>
        <w:t xml:space="preserve"> has been explored in more recent historical analyses, such as those by Robertson (2025). Historically, children with these attentional needs were often segregated or excluded from mainstream settings, with very little recognition of their actual requirements (Open University, 2026).</w:t>
      </w:r>
    </w:p>
    <w:p w14:paraId="3A98D8C5"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 </w:t>
      </w:r>
    </w:p>
    <w:p w14:paraId="14C0CE31" w14:textId="1A9B09E4"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 xml:space="preserve">A shift in perspective began to surface in the late twentieth century. The Warnock Report (1978) was a major turning point, introducing the concept of special educational needs (SEN) and shifting the burden of support onto the school system. This philosophy was later codified </w:t>
      </w:r>
      <w:r w:rsidRPr="005A7742">
        <w:rPr>
          <w:rFonts w:ascii="Arial" w:hAnsi="Arial" w:cs="Arial"/>
          <w:sz w:val="22"/>
          <w:szCs w:val="22"/>
        </w:rPr>
        <w:lastRenderedPageBreak/>
        <w:t xml:space="preserve">in the Education Act 1981 and further developed through the Education Acts of 1993 and 1996, which established the role of the Special Educational Needs Coordinator (SENCO) (Open University, 2026). Despite this progress, ADHD recognition remained patchy. As Lange </w:t>
      </w:r>
      <w:r w:rsidR="003B75FB" w:rsidRPr="004969EF">
        <w:rPr>
          <w:rFonts w:ascii="Arial" w:hAnsi="Arial" w:cs="Arial"/>
          <w:sz w:val="22"/>
          <w:szCs w:val="22"/>
        </w:rPr>
        <w:t>et al.,</w:t>
      </w:r>
      <w:r w:rsidRPr="005A7742">
        <w:rPr>
          <w:rFonts w:ascii="Arial" w:hAnsi="Arial" w:cs="Arial"/>
          <w:sz w:val="22"/>
          <w:szCs w:val="22"/>
        </w:rPr>
        <w:t xml:space="preserve"> (2010) and Mahone and </w:t>
      </w:r>
      <w:proofErr w:type="spellStart"/>
      <w:r w:rsidRPr="005A7742">
        <w:rPr>
          <w:rFonts w:ascii="Arial" w:hAnsi="Arial" w:cs="Arial"/>
          <w:sz w:val="22"/>
          <w:szCs w:val="22"/>
        </w:rPr>
        <w:t>Denckla</w:t>
      </w:r>
      <w:proofErr w:type="spellEnd"/>
      <w:r w:rsidRPr="005A7742">
        <w:rPr>
          <w:rFonts w:ascii="Arial" w:hAnsi="Arial" w:cs="Arial"/>
          <w:sz w:val="22"/>
          <w:szCs w:val="22"/>
        </w:rPr>
        <w:t xml:space="preserve"> (2017) argue, symptoms were still frequently misinterpreted through a disciplinary lens, showing a gap between high-level policy and classroom reality.</w:t>
      </w:r>
    </w:p>
    <w:p w14:paraId="43B2F25C"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 </w:t>
      </w:r>
    </w:p>
    <w:p w14:paraId="430894FB"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The 2006 House of Commons inquiry into SEN highlighted that recognition was often delayed and provision was inconsistent. Modern legislation has attempted to fix these structural issues. Under Section 6 of the Equality Act 2010, disability is defined by its long-term impact on daily life, while Section 20 requires schools to provide "reasonable adjustments" (Equality Act 2010).</w:t>
      </w:r>
    </w:p>
    <w:p w14:paraId="3B4827B1"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 </w:t>
      </w:r>
    </w:p>
    <w:p w14:paraId="5A278837"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The Children and Families Act 2014 further modernised this framework. Section 20 of the Act defines SEN based on the support a child requires, rather than just labelling their behaviour. This era also saw the introduction of Education, Health and Care (EHC) plans to coordinate services. The SEND Code of Practice (Department for Education, 2015) now serves as the statutory guide for implementing these changes.</w:t>
      </w:r>
    </w:p>
    <w:p w14:paraId="39A19ACB"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 </w:t>
      </w:r>
    </w:p>
    <w:p w14:paraId="07BC3E68" w14:textId="429A9BF3"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However, professional practice still faces hurdles. The Department for Education (2021) suggests that many teachers lack the confidence to identify ADHD, which can slow down the assessment process. In many classrooms, behaviours are still "labelled" instead of being understood as an underlying need (</w:t>
      </w:r>
      <w:proofErr w:type="spellStart"/>
      <w:r w:rsidRPr="005A7742">
        <w:rPr>
          <w:rFonts w:ascii="Arial" w:hAnsi="Arial" w:cs="Arial"/>
          <w:sz w:val="22"/>
          <w:szCs w:val="22"/>
        </w:rPr>
        <w:t>Aldabbagh</w:t>
      </w:r>
      <w:proofErr w:type="spellEnd"/>
      <w:r w:rsidRPr="005A7742">
        <w:rPr>
          <w:rFonts w:ascii="Arial" w:hAnsi="Arial" w:cs="Arial"/>
          <w:sz w:val="22"/>
          <w:szCs w:val="22"/>
        </w:rPr>
        <w:t xml:space="preserve"> </w:t>
      </w:r>
      <w:r w:rsidR="0076415F" w:rsidRPr="004969EF">
        <w:rPr>
          <w:rFonts w:ascii="Arial" w:hAnsi="Arial" w:cs="Arial"/>
          <w:sz w:val="22"/>
          <w:szCs w:val="22"/>
        </w:rPr>
        <w:t>et al.,</w:t>
      </w:r>
      <w:r w:rsidRPr="005A7742">
        <w:rPr>
          <w:rFonts w:ascii="Arial" w:hAnsi="Arial" w:cs="Arial"/>
          <w:sz w:val="22"/>
          <w:szCs w:val="22"/>
        </w:rPr>
        <w:t xml:space="preserve"> 2024). Training gaps (Ward </w:t>
      </w:r>
      <w:r w:rsidR="0076415F" w:rsidRPr="004969EF">
        <w:rPr>
          <w:rFonts w:ascii="Arial" w:hAnsi="Arial" w:cs="Arial"/>
          <w:sz w:val="22"/>
          <w:szCs w:val="22"/>
        </w:rPr>
        <w:t>et al.,</w:t>
      </w:r>
      <w:r w:rsidRPr="005A7742">
        <w:rPr>
          <w:rFonts w:ascii="Arial" w:hAnsi="Arial" w:cs="Arial"/>
          <w:sz w:val="22"/>
          <w:szCs w:val="22"/>
        </w:rPr>
        <w:t xml:space="preserve"> 2021) and cultural biases (Russell </w:t>
      </w:r>
      <w:r w:rsidR="0076415F" w:rsidRPr="004969EF">
        <w:rPr>
          <w:rFonts w:ascii="Arial" w:hAnsi="Arial" w:cs="Arial"/>
          <w:sz w:val="22"/>
          <w:szCs w:val="22"/>
        </w:rPr>
        <w:t>et al.,</w:t>
      </w:r>
      <w:r w:rsidRPr="005A7742">
        <w:rPr>
          <w:rFonts w:ascii="Arial" w:hAnsi="Arial" w:cs="Arial"/>
          <w:sz w:val="22"/>
          <w:szCs w:val="22"/>
        </w:rPr>
        <w:t xml:space="preserve"> 2023; Diener </w:t>
      </w:r>
      <w:r w:rsidR="0076415F" w:rsidRPr="004969EF">
        <w:rPr>
          <w:rFonts w:ascii="Arial" w:hAnsi="Arial" w:cs="Arial"/>
          <w:sz w:val="22"/>
          <w:szCs w:val="22"/>
        </w:rPr>
        <w:t>et al.,</w:t>
      </w:r>
      <w:r w:rsidRPr="005A7742">
        <w:rPr>
          <w:rFonts w:ascii="Arial" w:hAnsi="Arial" w:cs="Arial"/>
          <w:sz w:val="22"/>
          <w:szCs w:val="22"/>
        </w:rPr>
        <w:t xml:space="preserve"> 2025) also mean that a child’s experience often depends on their specific environment. Furthermore, the lack of coordination between different agencies continues to cause delays (</w:t>
      </w:r>
      <w:proofErr w:type="spellStart"/>
      <w:r w:rsidRPr="005A7742">
        <w:rPr>
          <w:rFonts w:ascii="Arial" w:hAnsi="Arial" w:cs="Arial"/>
          <w:sz w:val="22"/>
          <w:szCs w:val="22"/>
        </w:rPr>
        <w:t>Ogundele</w:t>
      </w:r>
      <w:proofErr w:type="spellEnd"/>
      <w:r w:rsidRPr="005A7742">
        <w:rPr>
          <w:rFonts w:ascii="Arial" w:hAnsi="Arial" w:cs="Arial"/>
          <w:sz w:val="22"/>
          <w:szCs w:val="22"/>
        </w:rPr>
        <w:t xml:space="preserve"> and Ayyash, 2023).</w:t>
      </w:r>
    </w:p>
    <w:p w14:paraId="5BB2DB65"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 </w:t>
      </w:r>
    </w:p>
    <w:p w14:paraId="779793B2"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The SENCO remains the central figure in this process, though their work is often limited by system-wide resource pressures (Department for Education, 2022). Research into behaviour management (Department for Education, 2012) shows that many teachers feel underprepared, while reports on well-being (Department for Education, 2019) link the management of these complex needs to high levels of stress.</w:t>
      </w:r>
    </w:p>
    <w:p w14:paraId="0D0A03FC"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 </w:t>
      </w:r>
    </w:p>
    <w:p w14:paraId="544798D0"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Current developments reflect these ongoing struggles. Recent DfE (2025) conversations on SEND highlight that early identification remains a primary concern, and evidence given to Parliament (2024) confirms that behavioural symptoms are still often misread. While NICE (2018) guidelines push for better care pathways, the actual implementation remains uneven.</w:t>
      </w:r>
    </w:p>
    <w:p w14:paraId="59BE3B3A"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lastRenderedPageBreak/>
        <w:t> </w:t>
      </w:r>
    </w:p>
    <w:p w14:paraId="71F30DD6" w14:textId="77777777" w:rsidR="005A7742" w:rsidRPr="005A7742" w:rsidRDefault="005A7742" w:rsidP="004969EF">
      <w:pPr>
        <w:spacing w:line="360" w:lineRule="auto"/>
        <w:jc w:val="both"/>
        <w:rPr>
          <w:rFonts w:ascii="Arial" w:hAnsi="Arial" w:cs="Arial"/>
          <w:sz w:val="22"/>
          <w:szCs w:val="22"/>
        </w:rPr>
      </w:pPr>
      <w:r w:rsidRPr="005A7742">
        <w:rPr>
          <w:rFonts w:ascii="Arial" w:hAnsi="Arial" w:cs="Arial"/>
          <w:sz w:val="22"/>
          <w:szCs w:val="22"/>
        </w:rPr>
        <w:t>Taken together, these legal and professional changes explain why ADHD recognition looks the way it does today. They show that while the law has evolved, local school cultures and wider interpretations of behaviour still dictate whether a child is identified for support. This remains a critical issue for children from ethnic minority backgrounds, who face a higher risk of being overlooked by the current system</w:t>
      </w:r>
    </w:p>
    <w:p w14:paraId="1466CEEB" w14:textId="77777777" w:rsidR="005A7742" w:rsidRPr="005A7742" w:rsidRDefault="005A7742" w:rsidP="004969EF">
      <w:pPr>
        <w:spacing w:line="360" w:lineRule="auto"/>
        <w:jc w:val="both"/>
        <w:rPr>
          <w:rFonts w:ascii="Arial" w:hAnsi="Arial" w:cs="Arial"/>
          <w:sz w:val="22"/>
          <w:szCs w:val="22"/>
        </w:rPr>
      </w:pPr>
    </w:p>
    <w:p w14:paraId="4C48092F" w14:textId="405D81CF" w:rsidR="00BD2909" w:rsidRPr="004969EF" w:rsidRDefault="00BD2909" w:rsidP="004969EF">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r w:rsidRPr="004969EF">
        <w:rPr>
          <w:rStyle w:val="normaltextrun"/>
          <w:rFonts w:ascii="Arial" w:hAnsi="Arial" w:cs="Arial"/>
          <w:b/>
          <w:bCs/>
          <w:sz w:val="22"/>
          <w:szCs w:val="22"/>
          <w:u w:val="single"/>
        </w:rPr>
        <w:t xml:space="preserve">2.3 Theoretical Background </w:t>
      </w:r>
    </w:p>
    <w:p w14:paraId="5E49B571" w14:textId="77777777" w:rsidR="0076415F" w:rsidRPr="004969EF" w:rsidRDefault="0076415F" w:rsidP="004969EF">
      <w:pPr>
        <w:pStyle w:val="paragraph"/>
        <w:spacing w:before="0" w:beforeAutospacing="0" w:after="0" w:afterAutospacing="0" w:line="360" w:lineRule="auto"/>
        <w:jc w:val="both"/>
        <w:textAlignment w:val="baseline"/>
        <w:rPr>
          <w:rFonts w:ascii="Arial" w:hAnsi="Arial" w:cs="Arial"/>
          <w:sz w:val="22"/>
          <w:szCs w:val="22"/>
        </w:rPr>
      </w:pPr>
    </w:p>
    <w:p w14:paraId="02952F9D" w14:textId="6872FC3A" w:rsidR="00BD2909" w:rsidRPr="004969EF" w:rsidRDefault="00BD2909" w:rsidP="004969EF">
      <w:pPr>
        <w:spacing w:line="360" w:lineRule="auto"/>
        <w:jc w:val="both"/>
        <w:rPr>
          <w:rStyle w:val="eop"/>
          <w:rFonts w:ascii="Arial" w:hAnsi="Arial" w:cs="Arial"/>
          <w:sz w:val="22"/>
          <w:szCs w:val="22"/>
        </w:rPr>
      </w:pPr>
      <w:r w:rsidRPr="004969EF">
        <w:rPr>
          <w:rStyle w:val="normaltextrun"/>
          <w:rFonts w:ascii="Arial" w:hAnsi="Arial" w:cs="Arial"/>
          <w:b/>
          <w:bCs/>
          <w:sz w:val="22"/>
          <w:szCs w:val="22"/>
        </w:rPr>
        <w:t>Key Theories and Concepts:</w:t>
      </w:r>
      <w:r w:rsidRPr="004969EF">
        <w:rPr>
          <w:rStyle w:val="eop"/>
          <w:rFonts w:ascii="Arial" w:eastAsia="Calibri Light" w:hAnsi="Arial" w:cs="Arial"/>
          <w:sz w:val="22"/>
          <w:szCs w:val="22"/>
        </w:rPr>
        <w:t> </w:t>
      </w:r>
    </w:p>
    <w:p w14:paraId="133987A0" w14:textId="155526EF" w:rsidR="006707C7"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shd w:val="clear" w:color="auto" w:fill="FFFFFF"/>
        </w:rPr>
        <w:t xml:space="preserve">This study draws on four theoretical perspectives that support understanding of behavioural recognition within educational and institutional contexts: attribution theory, discourse theory, Bronfenbrenner’s ecological systems theory and intersectionality. These frameworks help explain how behaviour may be interpreted within schools, how institutional language and policy shape understanding, and how wider social factors may influence recognition and support. Table:2 provides a summary of the key elements of each </w:t>
      </w:r>
      <w:r w:rsidRPr="004969EF">
        <w:rPr>
          <w:rFonts w:ascii="Arial" w:hAnsi="Arial" w:cs="Arial"/>
          <w:sz w:val="22"/>
          <w:szCs w:val="22"/>
          <w:shd w:val="clear" w:color="auto" w:fill="FFFFFF"/>
        </w:rPr>
        <w:t>theory</w:t>
      </w:r>
      <w:r w:rsidRPr="004969EF">
        <w:rPr>
          <w:rFonts w:ascii="Arial" w:hAnsi="Arial" w:cs="Arial"/>
          <w:sz w:val="22"/>
          <w:szCs w:val="22"/>
          <w:shd w:val="clear" w:color="auto" w:fill="FFFFFF"/>
        </w:rPr>
        <w:t>.</w:t>
      </w:r>
    </w:p>
    <w:p w14:paraId="7EC36960" w14:textId="77777777" w:rsidR="002C2F2B" w:rsidRPr="004969EF" w:rsidRDefault="002C2F2B" w:rsidP="004969EF">
      <w:pPr>
        <w:spacing w:line="360" w:lineRule="auto"/>
        <w:jc w:val="both"/>
        <w:rPr>
          <w:rFonts w:ascii="Arial" w:hAnsi="Arial" w:cs="Arial"/>
          <w:sz w:val="22"/>
          <w:szCs w:val="22"/>
          <w:shd w:val="clear" w:color="auto" w:fill="FFFFFF"/>
        </w:rPr>
      </w:pPr>
    </w:p>
    <w:p w14:paraId="2114B3F5" w14:textId="77777777" w:rsidR="006707C7" w:rsidRPr="002C2F2B" w:rsidRDefault="006707C7" w:rsidP="004969EF">
      <w:pPr>
        <w:spacing w:line="360" w:lineRule="auto"/>
        <w:jc w:val="both"/>
        <w:rPr>
          <w:rFonts w:ascii="Arial" w:hAnsi="Arial" w:cs="Arial"/>
          <w:b/>
          <w:bCs/>
          <w:sz w:val="22"/>
          <w:szCs w:val="22"/>
          <w:shd w:val="clear" w:color="auto" w:fill="FFFFFF"/>
        </w:rPr>
      </w:pPr>
      <w:r w:rsidRPr="002C2F2B">
        <w:rPr>
          <w:rFonts w:ascii="Arial" w:hAnsi="Arial" w:cs="Arial"/>
          <w:b/>
          <w:bCs/>
          <w:sz w:val="22"/>
          <w:szCs w:val="22"/>
          <w:shd w:val="clear" w:color="auto" w:fill="FFFFFF"/>
        </w:rPr>
        <w:t>Table:2</w:t>
      </w:r>
    </w:p>
    <w:tbl>
      <w:tblPr>
        <w:tblStyle w:val="TableGrid"/>
        <w:tblW w:w="0" w:type="auto"/>
        <w:tblLook w:val="04A0" w:firstRow="1" w:lastRow="0" w:firstColumn="1" w:lastColumn="0" w:noHBand="0" w:noVBand="1"/>
      </w:tblPr>
      <w:tblGrid>
        <w:gridCol w:w="3005"/>
        <w:gridCol w:w="3005"/>
        <w:gridCol w:w="3006"/>
      </w:tblGrid>
      <w:tr w:rsidR="00222DD4" w:rsidRPr="004969EF" w14:paraId="2DD0D18C" w14:textId="77777777" w:rsidTr="00081E84">
        <w:tc>
          <w:tcPr>
            <w:tcW w:w="3005" w:type="dxa"/>
          </w:tcPr>
          <w:p w14:paraId="324885A3" w14:textId="77777777" w:rsidR="006707C7" w:rsidRPr="004969EF" w:rsidRDefault="006707C7" w:rsidP="004969EF">
            <w:pPr>
              <w:spacing w:line="360" w:lineRule="auto"/>
              <w:jc w:val="both"/>
              <w:rPr>
                <w:rFonts w:ascii="Arial" w:hAnsi="Arial" w:cs="Arial"/>
                <w:b/>
                <w:bCs/>
                <w:sz w:val="22"/>
                <w:szCs w:val="22"/>
                <w:shd w:val="clear" w:color="auto" w:fill="FFFFFF"/>
              </w:rPr>
            </w:pPr>
            <w:r w:rsidRPr="004969EF">
              <w:rPr>
                <w:rFonts w:ascii="Arial" w:hAnsi="Arial" w:cs="Arial"/>
                <w:b/>
                <w:bCs/>
                <w:sz w:val="22"/>
                <w:szCs w:val="22"/>
              </w:rPr>
              <w:t>Theory</w:t>
            </w:r>
          </w:p>
        </w:tc>
        <w:tc>
          <w:tcPr>
            <w:tcW w:w="3005" w:type="dxa"/>
          </w:tcPr>
          <w:p w14:paraId="233B8A92" w14:textId="77777777" w:rsidR="006707C7" w:rsidRPr="004969EF" w:rsidRDefault="006707C7" w:rsidP="004969EF">
            <w:pPr>
              <w:spacing w:line="360" w:lineRule="auto"/>
              <w:jc w:val="both"/>
              <w:rPr>
                <w:rFonts w:ascii="Arial" w:hAnsi="Arial" w:cs="Arial"/>
                <w:b/>
                <w:bCs/>
                <w:sz w:val="22"/>
                <w:szCs w:val="22"/>
                <w:shd w:val="clear" w:color="auto" w:fill="FFFFFF"/>
              </w:rPr>
            </w:pPr>
            <w:r w:rsidRPr="004969EF">
              <w:rPr>
                <w:rFonts w:ascii="Arial" w:hAnsi="Arial" w:cs="Arial"/>
                <w:b/>
                <w:bCs/>
                <w:sz w:val="22"/>
                <w:szCs w:val="22"/>
              </w:rPr>
              <w:t>Key concepts</w:t>
            </w:r>
          </w:p>
        </w:tc>
        <w:tc>
          <w:tcPr>
            <w:tcW w:w="3006" w:type="dxa"/>
          </w:tcPr>
          <w:p w14:paraId="3E3FBA09" w14:textId="77777777" w:rsidR="006707C7" w:rsidRPr="004969EF" w:rsidRDefault="006707C7" w:rsidP="004969EF">
            <w:pPr>
              <w:spacing w:line="360" w:lineRule="auto"/>
              <w:jc w:val="both"/>
              <w:rPr>
                <w:rFonts w:ascii="Arial" w:hAnsi="Arial" w:cs="Arial"/>
                <w:b/>
                <w:bCs/>
                <w:sz w:val="22"/>
                <w:szCs w:val="22"/>
                <w:shd w:val="clear" w:color="auto" w:fill="FFFFFF"/>
              </w:rPr>
            </w:pPr>
            <w:r w:rsidRPr="004969EF">
              <w:rPr>
                <w:rFonts w:ascii="Arial" w:hAnsi="Arial" w:cs="Arial"/>
                <w:b/>
                <w:bCs/>
                <w:sz w:val="22"/>
                <w:szCs w:val="22"/>
              </w:rPr>
              <w:t>Relevance to this study</w:t>
            </w:r>
          </w:p>
        </w:tc>
      </w:tr>
      <w:tr w:rsidR="00222DD4" w:rsidRPr="004969EF" w14:paraId="24DF25D0" w14:textId="77777777" w:rsidTr="00081E84">
        <w:tc>
          <w:tcPr>
            <w:tcW w:w="3005" w:type="dxa"/>
          </w:tcPr>
          <w:p w14:paraId="3F03BF60" w14:textId="77777777" w:rsidR="006707C7" w:rsidRPr="004969EF"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t>Attribution theory (ScienceDirect, 2011)</w:t>
            </w:r>
          </w:p>
        </w:tc>
        <w:tc>
          <w:tcPr>
            <w:tcW w:w="3005" w:type="dxa"/>
          </w:tcPr>
          <w:p w14:paraId="0DD1A5B6" w14:textId="77777777" w:rsidR="006707C7" w:rsidRPr="004969EF"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t>Explains how individuals interpret behaviour by assigning causes. Key attribution dimensions include locus (internal or external causes), stability (stable or unstable causes), and controllability (whether the cause is under personal control).</w:t>
            </w:r>
          </w:p>
        </w:tc>
        <w:tc>
          <w:tcPr>
            <w:tcW w:w="3006" w:type="dxa"/>
          </w:tcPr>
          <w:p w14:paraId="3ECEF6CE" w14:textId="77777777" w:rsidR="006707C7" w:rsidRPr="004969EF"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t>Helps explain how teachers or professionals interpret behavioural difficulties and whether behaviour is attributed to personal behaviour, environmental influences, or developmental conditions</w:t>
            </w:r>
          </w:p>
        </w:tc>
      </w:tr>
      <w:tr w:rsidR="00222DD4" w:rsidRPr="004969EF" w14:paraId="1B9F5D7A" w14:textId="77777777" w:rsidTr="00081E84">
        <w:tc>
          <w:tcPr>
            <w:tcW w:w="3005" w:type="dxa"/>
          </w:tcPr>
          <w:p w14:paraId="1FBA6266" w14:textId="77777777" w:rsidR="006707C7" w:rsidRPr="004969EF"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t>Discourse theory (</w:t>
            </w:r>
            <w:proofErr w:type="spellStart"/>
            <w:r w:rsidRPr="004969EF">
              <w:rPr>
                <w:rFonts w:ascii="Arial" w:hAnsi="Arial" w:cs="Arial"/>
                <w:sz w:val="22"/>
                <w:szCs w:val="22"/>
              </w:rPr>
              <w:t>Angermuller</w:t>
            </w:r>
            <w:proofErr w:type="spellEnd"/>
            <w:r w:rsidRPr="004969EF">
              <w:rPr>
                <w:rFonts w:ascii="Arial" w:hAnsi="Arial" w:cs="Arial"/>
                <w:sz w:val="22"/>
                <w:szCs w:val="22"/>
              </w:rPr>
              <w:t>, 2015)</w:t>
            </w:r>
          </w:p>
        </w:tc>
        <w:tc>
          <w:tcPr>
            <w:tcW w:w="3005" w:type="dxa"/>
          </w:tcPr>
          <w:p w14:paraId="4C5DA19F" w14:textId="77777777" w:rsidR="006707C7" w:rsidRPr="004969EF"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t xml:space="preserve">Examines how language, knowledge and institutional narratives shape how social issues are understood. Discourse analysis focuses on how meanings are constructed through policy, </w:t>
            </w:r>
            <w:r w:rsidRPr="004969EF">
              <w:rPr>
                <w:rFonts w:ascii="Arial" w:hAnsi="Arial" w:cs="Arial"/>
                <w:sz w:val="22"/>
                <w:szCs w:val="22"/>
              </w:rPr>
              <w:lastRenderedPageBreak/>
              <w:t>professional communication and institutional practices.</w:t>
            </w:r>
          </w:p>
        </w:tc>
        <w:tc>
          <w:tcPr>
            <w:tcW w:w="3006" w:type="dxa"/>
          </w:tcPr>
          <w:p w14:paraId="3F0E1DF0" w14:textId="77777777" w:rsidR="006707C7" w:rsidRPr="004969EF"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lastRenderedPageBreak/>
              <w:t>Relevant for analysing how behavioural difficulties and ADHD are described within education policy, professional guidance and local authority frameworks.</w:t>
            </w:r>
          </w:p>
        </w:tc>
      </w:tr>
      <w:tr w:rsidR="00222DD4" w:rsidRPr="004969EF" w14:paraId="67EC5262" w14:textId="77777777" w:rsidTr="00081E84">
        <w:tc>
          <w:tcPr>
            <w:tcW w:w="3005" w:type="dxa"/>
          </w:tcPr>
          <w:p w14:paraId="4BD1CA44" w14:textId="77777777" w:rsidR="006707C7" w:rsidRPr="004969EF"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lastRenderedPageBreak/>
              <w:t>Bronfenbrenner’s ecological systems theory (Guy-Evans, 2025)</w:t>
            </w:r>
          </w:p>
        </w:tc>
        <w:tc>
          <w:tcPr>
            <w:tcW w:w="3005" w:type="dxa"/>
          </w:tcPr>
          <w:p w14:paraId="4A496E57" w14:textId="44B9F799" w:rsidR="006707C7" w:rsidRPr="004969EF"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t xml:space="preserve">Describes development as shaped by nested environmental systems: microsystem (family, school), mesosystem (connections between environments), </w:t>
            </w:r>
            <w:r w:rsidR="00825038" w:rsidRPr="004969EF">
              <w:rPr>
                <w:rFonts w:ascii="Arial" w:hAnsi="Arial" w:cs="Arial"/>
                <w:sz w:val="22"/>
                <w:szCs w:val="22"/>
              </w:rPr>
              <w:t>exosystemic</w:t>
            </w:r>
            <w:r w:rsidRPr="004969EF">
              <w:rPr>
                <w:rFonts w:ascii="Arial" w:hAnsi="Arial" w:cs="Arial"/>
                <w:sz w:val="22"/>
                <w:szCs w:val="22"/>
              </w:rPr>
              <w:t xml:space="preserve"> (external institutions influencing development), macrosystem (cultural values and policy frameworks), and chronosystem (changes over time).</w:t>
            </w:r>
          </w:p>
        </w:tc>
        <w:tc>
          <w:tcPr>
            <w:tcW w:w="3006" w:type="dxa"/>
          </w:tcPr>
          <w:p w14:paraId="7E1ADF10" w14:textId="77777777" w:rsidR="006707C7" w:rsidRPr="004969EF"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t>Helps explain how behavioural recognition may be influenced by interactions between family environments, school practices and wider institutional systems.</w:t>
            </w:r>
          </w:p>
        </w:tc>
      </w:tr>
      <w:tr w:rsidR="00222DD4" w:rsidRPr="004969EF" w14:paraId="4AA4E5BB" w14:textId="77777777" w:rsidTr="00081E84">
        <w:tc>
          <w:tcPr>
            <w:tcW w:w="3005" w:type="dxa"/>
          </w:tcPr>
          <w:p w14:paraId="70217741" w14:textId="77777777" w:rsidR="006707C7" w:rsidRPr="004969EF"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t>Intersectionality (Barts Health NHS Trust, 2025)</w:t>
            </w:r>
          </w:p>
        </w:tc>
        <w:tc>
          <w:tcPr>
            <w:tcW w:w="3005" w:type="dxa"/>
          </w:tcPr>
          <w:p w14:paraId="4EE8E9E7" w14:textId="77777777" w:rsidR="006707C7" w:rsidRPr="004969EF"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t>Examines how overlapping social identities, such as ethnicity and socioeconomic background, interact with systems of power and inequality within institutions.</w:t>
            </w:r>
          </w:p>
        </w:tc>
        <w:tc>
          <w:tcPr>
            <w:tcW w:w="3006" w:type="dxa"/>
          </w:tcPr>
          <w:p w14:paraId="58623555" w14:textId="77777777" w:rsidR="006707C7" w:rsidRPr="004969EF" w:rsidRDefault="006707C7"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t>Supports analysis of how social and structural factors may shape experiences of behavioural recognition and access to support within institutional systems.</w:t>
            </w:r>
          </w:p>
        </w:tc>
      </w:tr>
    </w:tbl>
    <w:p w14:paraId="524B635B" w14:textId="77777777" w:rsidR="0058671D" w:rsidRPr="004969EF" w:rsidRDefault="0058671D" w:rsidP="004969EF">
      <w:pPr>
        <w:pStyle w:val="paragraph"/>
        <w:spacing w:before="0" w:beforeAutospacing="0" w:after="0" w:afterAutospacing="0" w:line="360" w:lineRule="auto"/>
        <w:jc w:val="both"/>
        <w:textAlignment w:val="baseline"/>
        <w:rPr>
          <w:rStyle w:val="normaltextrun"/>
          <w:rFonts w:ascii="Arial" w:hAnsi="Arial" w:cs="Arial"/>
          <w:sz w:val="22"/>
          <w:szCs w:val="22"/>
        </w:rPr>
      </w:pPr>
    </w:p>
    <w:p w14:paraId="47B42191" w14:textId="3152D894" w:rsidR="006707C7" w:rsidRPr="004969EF" w:rsidRDefault="00BD2909" w:rsidP="00250E65">
      <w:pPr>
        <w:pStyle w:val="paragraph"/>
        <w:numPr>
          <w:ilvl w:val="0"/>
          <w:numId w:val="19"/>
        </w:numPr>
        <w:spacing w:before="0" w:beforeAutospacing="0" w:after="0" w:afterAutospacing="0" w:line="360" w:lineRule="auto"/>
        <w:jc w:val="both"/>
        <w:textAlignment w:val="baseline"/>
        <w:rPr>
          <w:rStyle w:val="eop"/>
          <w:rFonts w:ascii="Arial" w:hAnsi="Arial" w:cs="Arial"/>
          <w:sz w:val="22"/>
          <w:szCs w:val="22"/>
        </w:rPr>
      </w:pPr>
      <w:r w:rsidRPr="004969EF">
        <w:rPr>
          <w:rStyle w:val="normaltextrun"/>
          <w:rFonts w:ascii="Arial" w:hAnsi="Arial" w:cs="Arial"/>
          <w:b/>
          <w:bCs/>
          <w:sz w:val="22"/>
          <w:szCs w:val="22"/>
        </w:rPr>
        <w:t>Application of Theories:</w:t>
      </w:r>
      <w:r w:rsidRPr="004969EF">
        <w:rPr>
          <w:rStyle w:val="eop"/>
          <w:rFonts w:ascii="Arial" w:eastAsia="Calibri Light" w:hAnsi="Arial" w:cs="Arial"/>
          <w:sz w:val="22"/>
          <w:szCs w:val="22"/>
        </w:rPr>
        <w:t> </w:t>
      </w:r>
    </w:p>
    <w:p w14:paraId="0871F1DC" w14:textId="206E56AB" w:rsidR="006707C7" w:rsidRPr="004969EF" w:rsidRDefault="006707C7" w:rsidP="004969EF">
      <w:pPr>
        <w:spacing w:line="360" w:lineRule="auto"/>
        <w:jc w:val="both"/>
        <w:rPr>
          <w:rFonts w:ascii="Arial" w:hAnsi="Arial" w:cs="Arial"/>
          <w:sz w:val="22"/>
          <w:szCs w:val="22"/>
        </w:rPr>
      </w:pPr>
      <w:r w:rsidRPr="004969EF">
        <w:rPr>
          <w:rFonts w:ascii="Arial" w:hAnsi="Arial" w:cs="Arial"/>
          <w:sz w:val="22"/>
          <w:szCs w:val="22"/>
        </w:rPr>
        <w:t>Attribution theory is frequently used in studies examining how behaviour is interpreted within educational sections. Russo and Oliveros (2024) investigated attribution retraining among child educators to explore how behavioural problems are explained within educational settings. The study examined whether educators attributed behavioural difficulties to internal factors such as motivation and behaviour or to developmental conditions. The findings showed that training improved educators’ understanding of behavioural differences and increased consideration of developmental explanations. This is directly relevant to this study because teachers’ attribution styles influence whether behaviours are seen as intentional, culturally shaped, or indicative of ADHD, which can contribute to under-recognition and delayed referral for children from ethnic minority backgrounds.</w:t>
      </w:r>
    </w:p>
    <w:p w14:paraId="1A95C68D" w14:textId="35469175" w:rsidR="006707C7" w:rsidRDefault="006707C7" w:rsidP="004969EF">
      <w:pPr>
        <w:spacing w:line="360" w:lineRule="auto"/>
        <w:jc w:val="both"/>
        <w:rPr>
          <w:rFonts w:ascii="Arial" w:hAnsi="Arial" w:cs="Arial"/>
          <w:sz w:val="22"/>
          <w:szCs w:val="22"/>
        </w:rPr>
      </w:pPr>
      <w:r w:rsidRPr="004969EF">
        <w:rPr>
          <w:rFonts w:ascii="Arial" w:hAnsi="Arial" w:cs="Arial"/>
          <w:sz w:val="22"/>
          <w:szCs w:val="22"/>
        </w:rPr>
        <w:t xml:space="preserve">Discourse theory examines how institutional language within policy, professional guidance and educational frameworks shapes how behavioural and social conditions are understood. </w:t>
      </w:r>
      <w:proofErr w:type="spellStart"/>
      <w:r w:rsidRPr="004969EF">
        <w:rPr>
          <w:rFonts w:ascii="Arial" w:hAnsi="Arial" w:cs="Arial"/>
          <w:sz w:val="22"/>
          <w:szCs w:val="22"/>
        </w:rPr>
        <w:t>Angermuller</w:t>
      </w:r>
      <w:proofErr w:type="spellEnd"/>
      <w:r w:rsidRPr="004969EF">
        <w:rPr>
          <w:rFonts w:ascii="Arial" w:hAnsi="Arial" w:cs="Arial"/>
          <w:sz w:val="22"/>
          <w:szCs w:val="22"/>
        </w:rPr>
        <w:t xml:space="preserve"> (2015) explains that discourse analysis explores how policy narratives and </w:t>
      </w:r>
      <w:r w:rsidRPr="004969EF">
        <w:rPr>
          <w:rFonts w:ascii="Arial" w:hAnsi="Arial" w:cs="Arial"/>
          <w:sz w:val="22"/>
          <w:szCs w:val="22"/>
        </w:rPr>
        <w:lastRenderedPageBreak/>
        <w:t xml:space="preserve">professional language construct particular understandings of social issues. Similarly, Nguyet </w:t>
      </w:r>
      <w:r w:rsidR="003B75FB" w:rsidRPr="004969EF">
        <w:rPr>
          <w:rFonts w:ascii="Arial" w:hAnsi="Arial" w:cs="Arial"/>
          <w:sz w:val="22"/>
          <w:szCs w:val="22"/>
        </w:rPr>
        <w:t>et al.,</w:t>
      </w:r>
      <w:r w:rsidRPr="004969EF">
        <w:rPr>
          <w:rFonts w:ascii="Arial" w:hAnsi="Arial" w:cs="Arial"/>
          <w:sz w:val="22"/>
          <w:szCs w:val="22"/>
        </w:rPr>
        <w:t xml:space="preserve"> (2025) conducted a longitudinal population-based study examining the long-term impact of ADHD on children’s quality of life. These findings illustrate how professional narratives and policy frameworks may influence how behavioural difficulties are interpreted and addressed within school systems and local authority support structures. This matters for the research question because the language used in school policies and local authority guidance shapes how behavioural difficulties are framed, which can influence referral thresholds and contribute to the under-recognition of ADHD in minority ethnic groups. This is particularly relevant for ethnic minority families, as technical terminology and institutional jargon can act as language barriers, making it harder to interpret behavioural information or engage confidently with school and local authority processes.</w:t>
      </w:r>
    </w:p>
    <w:p w14:paraId="6F471748" w14:textId="77777777" w:rsidR="002C2F2B" w:rsidRPr="004969EF" w:rsidRDefault="002C2F2B" w:rsidP="004969EF">
      <w:pPr>
        <w:spacing w:line="360" w:lineRule="auto"/>
        <w:jc w:val="both"/>
        <w:rPr>
          <w:rFonts w:ascii="Arial" w:hAnsi="Arial" w:cs="Arial"/>
          <w:sz w:val="22"/>
          <w:szCs w:val="22"/>
        </w:rPr>
      </w:pPr>
    </w:p>
    <w:p w14:paraId="2AACE7CF" w14:textId="485B3282" w:rsidR="006707C7" w:rsidRDefault="006707C7" w:rsidP="004969EF">
      <w:pPr>
        <w:spacing w:line="360" w:lineRule="auto"/>
        <w:jc w:val="both"/>
        <w:rPr>
          <w:rFonts w:ascii="Arial" w:hAnsi="Arial" w:cs="Arial"/>
          <w:sz w:val="22"/>
          <w:szCs w:val="22"/>
        </w:rPr>
      </w:pPr>
      <w:r w:rsidRPr="004969EF">
        <w:rPr>
          <w:rFonts w:ascii="Arial" w:hAnsi="Arial" w:cs="Arial"/>
          <w:sz w:val="22"/>
          <w:szCs w:val="22"/>
        </w:rPr>
        <w:t>Bronfenbrenner’s ecological systems theory (Bronfenbrenner, 1979) explains how children’s development is shaped by interacting environmental systems, including immediate settings such as family and school (microsystem), the relationships between these settings (mesosystem), and wider institutional structures (</w:t>
      </w:r>
      <w:proofErr w:type="spellStart"/>
      <w:r w:rsidRPr="004969EF">
        <w:rPr>
          <w:rFonts w:ascii="Arial" w:hAnsi="Arial" w:cs="Arial"/>
          <w:sz w:val="22"/>
          <w:szCs w:val="22"/>
        </w:rPr>
        <w:t>exosystem</w:t>
      </w:r>
      <w:proofErr w:type="spellEnd"/>
      <w:r w:rsidRPr="004969EF">
        <w:rPr>
          <w:rFonts w:ascii="Arial" w:hAnsi="Arial" w:cs="Arial"/>
          <w:sz w:val="22"/>
          <w:szCs w:val="22"/>
        </w:rPr>
        <w:t xml:space="preserve"> and macrosystem). Russell </w:t>
      </w:r>
      <w:r w:rsidR="003B75FB" w:rsidRPr="004969EF">
        <w:rPr>
          <w:rFonts w:ascii="Arial" w:hAnsi="Arial" w:cs="Arial"/>
          <w:sz w:val="22"/>
          <w:szCs w:val="22"/>
        </w:rPr>
        <w:t>et al.,</w:t>
      </w:r>
      <w:r w:rsidRPr="004969EF">
        <w:rPr>
          <w:rFonts w:ascii="Arial" w:hAnsi="Arial" w:cs="Arial"/>
          <w:sz w:val="22"/>
          <w:szCs w:val="22"/>
        </w:rPr>
        <w:t xml:space="preserve"> (2023) conducted a secondary analysis of qualitative data from the </w:t>
      </w:r>
      <w:proofErr w:type="spellStart"/>
      <w:r w:rsidRPr="004969EF">
        <w:rPr>
          <w:rFonts w:ascii="Arial" w:hAnsi="Arial" w:cs="Arial"/>
          <w:sz w:val="22"/>
          <w:szCs w:val="22"/>
        </w:rPr>
        <w:t>CATCh-uS</w:t>
      </w:r>
      <w:proofErr w:type="spellEnd"/>
      <w:r w:rsidRPr="004969EF">
        <w:rPr>
          <w:rFonts w:ascii="Arial" w:hAnsi="Arial" w:cs="Arial"/>
          <w:sz w:val="22"/>
          <w:szCs w:val="22"/>
        </w:rPr>
        <w:t xml:space="preserve"> mixed-methods study examining the educational experiences of young people with ADHD in the UK. The study explored how school environments, teacher relationships and wider educational structures influenced pupils’ experiences of support. The findings showed that school practices, family contexts and institutional systems played an important role in shaping how ADHD was recognised and supported within education (Russell </w:t>
      </w:r>
      <w:proofErr w:type="gramStart"/>
      <w:r w:rsidR="003B75FB" w:rsidRPr="004969EF">
        <w:rPr>
          <w:rFonts w:ascii="Arial" w:hAnsi="Arial" w:cs="Arial"/>
          <w:sz w:val="22"/>
          <w:szCs w:val="22"/>
        </w:rPr>
        <w:t>et al.,</w:t>
      </w:r>
      <w:r w:rsidRPr="004969EF">
        <w:rPr>
          <w:rFonts w:ascii="Arial" w:hAnsi="Arial" w:cs="Arial"/>
          <w:sz w:val="22"/>
          <w:szCs w:val="22"/>
        </w:rPr>
        <w:t>,</w:t>
      </w:r>
      <w:proofErr w:type="gramEnd"/>
      <w:r w:rsidRPr="004969EF">
        <w:rPr>
          <w:rFonts w:ascii="Arial" w:hAnsi="Arial" w:cs="Arial"/>
          <w:sz w:val="22"/>
          <w:szCs w:val="22"/>
        </w:rPr>
        <w:t xml:space="preserve"> 2023).</w:t>
      </w:r>
    </w:p>
    <w:p w14:paraId="6DAD87FB" w14:textId="77777777" w:rsidR="002C2F2B" w:rsidRPr="004969EF" w:rsidRDefault="002C2F2B" w:rsidP="004969EF">
      <w:pPr>
        <w:spacing w:line="360" w:lineRule="auto"/>
        <w:jc w:val="both"/>
        <w:rPr>
          <w:rFonts w:ascii="Arial" w:hAnsi="Arial" w:cs="Arial"/>
          <w:sz w:val="22"/>
          <w:szCs w:val="22"/>
        </w:rPr>
      </w:pPr>
    </w:p>
    <w:p w14:paraId="64F22AB1" w14:textId="2F0148F3" w:rsidR="006707C7" w:rsidRDefault="006707C7" w:rsidP="004969EF">
      <w:pPr>
        <w:spacing w:line="360" w:lineRule="auto"/>
        <w:jc w:val="both"/>
        <w:rPr>
          <w:rFonts w:ascii="Arial" w:hAnsi="Arial" w:cs="Arial"/>
          <w:sz w:val="22"/>
          <w:szCs w:val="22"/>
        </w:rPr>
      </w:pPr>
      <w:r w:rsidRPr="004969EF">
        <w:rPr>
          <w:rFonts w:ascii="Arial" w:hAnsi="Arial" w:cs="Arial"/>
          <w:sz w:val="22"/>
          <w:szCs w:val="22"/>
        </w:rPr>
        <w:t xml:space="preserve">Similar patterns are reported in qualitative research from England, where parents describe barriers when trying to access support for their children (Saxton </w:t>
      </w:r>
      <w:proofErr w:type="gramStart"/>
      <w:r w:rsidR="003B75FB" w:rsidRPr="004969EF">
        <w:rPr>
          <w:rFonts w:ascii="Arial" w:hAnsi="Arial" w:cs="Arial"/>
          <w:sz w:val="22"/>
          <w:szCs w:val="22"/>
        </w:rPr>
        <w:t>et al.,</w:t>
      </w:r>
      <w:r w:rsidRPr="004969EF">
        <w:rPr>
          <w:rFonts w:ascii="Arial" w:hAnsi="Arial" w:cs="Arial"/>
          <w:sz w:val="22"/>
          <w:szCs w:val="22"/>
        </w:rPr>
        <w:t>,</w:t>
      </w:r>
      <w:proofErr w:type="gramEnd"/>
      <w:r w:rsidRPr="004969EF">
        <w:rPr>
          <w:rFonts w:ascii="Arial" w:hAnsi="Arial" w:cs="Arial"/>
          <w:sz w:val="22"/>
          <w:szCs w:val="22"/>
        </w:rPr>
        <w:t xml:space="preserve"> 2025). Based on 22 parent interviews, the study identified key issues including poor communication between services, children being misunderstood, and wider system failures. Parents also reported delays and a lack of clear guidance, with support often only provided once difficulties have built up and begin to affect learning or behaviour. This suggests that services tend to respond late rather than identifying and supporting children early. This reflects Russell </w:t>
      </w:r>
      <w:r w:rsidR="003B75FB" w:rsidRPr="004969EF">
        <w:rPr>
          <w:rFonts w:ascii="Arial" w:hAnsi="Arial" w:cs="Arial"/>
          <w:sz w:val="22"/>
          <w:szCs w:val="22"/>
        </w:rPr>
        <w:t>et al.,</w:t>
      </w:r>
      <w:r w:rsidRPr="004969EF">
        <w:rPr>
          <w:rFonts w:ascii="Arial" w:hAnsi="Arial" w:cs="Arial"/>
          <w:sz w:val="22"/>
          <w:szCs w:val="22"/>
        </w:rPr>
        <w:t xml:space="preserve"> (2023), where recognition is also shaped by the interaction between school, family and wider systems rather than a single factor. While the small sample size means the findings cannot represent all families, they provide detailed insight into how system-level factors can affect access to support, linking to the ecological model.</w:t>
      </w:r>
    </w:p>
    <w:p w14:paraId="5F586C1D" w14:textId="5E388C92" w:rsidR="00BB5150" w:rsidRDefault="00BB5150" w:rsidP="004969EF">
      <w:pPr>
        <w:spacing w:line="360" w:lineRule="auto"/>
        <w:jc w:val="both"/>
        <w:rPr>
          <w:rFonts w:ascii="Arial" w:hAnsi="Arial" w:cs="Arial"/>
          <w:sz w:val="22"/>
          <w:szCs w:val="22"/>
        </w:rPr>
      </w:pPr>
    </w:p>
    <w:p w14:paraId="3A75966E" w14:textId="77777777" w:rsidR="00BB5150" w:rsidRPr="004969EF" w:rsidRDefault="00BB5150" w:rsidP="004969EF">
      <w:pPr>
        <w:spacing w:line="360" w:lineRule="auto"/>
        <w:jc w:val="both"/>
        <w:rPr>
          <w:rFonts w:ascii="Arial" w:hAnsi="Arial" w:cs="Arial"/>
          <w:sz w:val="22"/>
          <w:szCs w:val="22"/>
        </w:rPr>
      </w:pPr>
    </w:p>
    <w:p w14:paraId="3FA309BA" w14:textId="77777777" w:rsidR="00CB1261" w:rsidRPr="004969EF" w:rsidRDefault="00CB1261" w:rsidP="004969EF">
      <w:pPr>
        <w:pStyle w:val="paragraph"/>
        <w:spacing w:before="0" w:beforeAutospacing="0" w:after="0" w:afterAutospacing="0" w:line="360" w:lineRule="auto"/>
        <w:jc w:val="both"/>
        <w:textAlignment w:val="baseline"/>
        <w:rPr>
          <w:rFonts w:ascii="Arial" w:hAnsi="Arial" w:cs="Arial"/>
          <w:sz w:val="22"/>
          <w:szCs w:val="22"/>
          <w:u w:val="single"/>
        </w:rPr>
      </w:pPr>
      <w:r w:rsidRPr="004969EF">
        <w:rPr>
          <w:rStyle w:val="normaltextrun"/>
          <w:rFonts w:ascii="Arial" w:hAnsi="Arial" w:cs="Arial"/>
          <w:b/>
          <w:bCs/>
          <w:sz w:val="22"/>
          <w:szCs w:val="22"/>
          <w:u w:val="single"/>
        </w:rPr>
        <w:t>Critical Evaluation:</w:t>
      </w:r>
      <w:r w:rsidRPr="004969EF">
        <w:rPr>
          <w:rStyle w:val="eop"/>
          <w:rFonts w:ascii="Arial" w:eastAsia="Calibri Light" w:hAnsi="Arial" w:cs="Arial"/>
          <w:sz w:val="22"/>
          <w:szCs w:val="22"/>
          <w:u w:val="single"/>
        </w:rPr>
        <w:t> </w:t>
      </w:r>
    </w:p>
    <w:p w14:paraId="0F42CAFA" w14:textId="77777777" w:rsidR="00B2206D" w:rsidRPr="004969EF" w:rsidRDefault="00CB1261" w:rsidP="004969EF">
      <w:pPr>
        <w:pStyle w:val="NormalWeb"/>
        <w:spacing w:line="360" w:lineRule="auto"/>
        <w:jc w:val="both"/>
        <w:rPr>
          <w:rFonts w:ascii="Arial" w:hAnsi="Arial" w:cs="Arial"/>
          <w:sz w:val="22"/>
          <w:szCs w:val="22"/>
        </w:rPr>
      </w:pPr>
      <w:r w:rsidRPr="004969EF">
        <w:rPr>
          <w:rFonts w:ascii="Arial" w:hAnsi="Arial" w:cs="Arial"/>
          <w:sz w:val="22"/>
          <w:szCs w:val="22"/>
        </w:rPr>
        <w:lastRenderedPageBreak/>
        <w:t xml:space="preserve">Each theory provides useful insight into how behaviour may be understood within educational and institutional contexts. </w:t>
      </w:r>
      <w:r w:rsidR="00B2206D" w:rsidRPr="004969EF">
        <w:rPr>
          <w:rFonts w:ascii="Arial" w:hAnsi="Arial" w:cs="Arial"/>
          <w:sz w:val="22"/>
          <w:szCs w:val="22"/>
        </w:rPr>
        <w:t>Attribution theory offers a useful lens for understanding how teachers interpret behavioural difficulties, particularly through concepts such as locus, stability and controllability. Its strength lies in explaining how perceptions of effort, ability and responsibility shape professional responses (Weiner, 2008). However, the theory has been criticised for focusing too heavily on individual cognitive processes while overlooking wider social and structural influences that shape behaviour (Schmitt, 2015). This limitation is important for this study, as teacher interpretations may be influenced not only by personal beliefs but also by institutional pressures and cultural assumptions.</w:t>
      </w:r>
    </w:p>
    <w:p w14:paraId="1071A121" w14:textId="2746FEC6" w:rsidR="00B2206D" w:rsidRPr="00B2206D" w:rsidRDefault="00B2206D" w:rsidP="004969EF">
      <w:pPr>
        <w:spacing w:before="100" w:beforeAutospacing="1" w:after="100" w:afterAutospacing="1" w:line="360" w:lineRule="auto"/>
        <w:jc w:val="both"/>
        <w:rPr>
          <w:rFonts w:ascii="Arial" w:hAnsi="Arial" w:cs="Arial"/>
          <w:sz w:val="22"/>
          <w:szCs w:val="22"/>
        </w:rPr>
      </w:pPr>
      <w:r w:rsidRPr="00B2206D">
        <w:rPr>
          <w:rFonts w:ascii="Arial" w:hAnsi="Arial" w:cs="Arial"/>
          <w:sz w:val="22"/>
          <w:szCs w:val="22"/>
        </w:rPr>
        <w:t xml:space="preserve">Discourse theory provides a valuable framework for analysing how institutional language and policy narratives shape understandings of behavioural and social issues. De </w:t>
      </w:r>
      <w:proofErr w:type="spellStart"/>
      <w:r w:rsidRPr="00B2206D">
        <w:rPr>
          <w:rFonts w:ascii="Arial" w:hAnsi="Arial" w:cs="Arial"/>
          <w:sz w:val="22"/>
          <w:szCs w:val="22"/>
        </w:rPr>
        <w:t>Cleen</w:t>
      </w:r>
      <w:proofErr w:type="spellEnd"/>
      <w:r w:rsidRPr="00B2206D">
        <w:rPr>
          <w:rFonts w:ascii="Arial" w:hAnsi="Arial" w:cs="Arial"/>
          <w:sz w:val="22"/>
          <w:szCs w:val="22"/>
        </w:rPr>
        <w:t xml:space="preserve"> </w:t>
      </w:r>
      <w:r w:rsidR="003B75FB" w:rsidRPr="004969EF">
        <w:rPr>
          <w:rFonts w:ascii="Arial" w:hAnsi="Arial" w:cs="Arial"/>
          <w:sz w:val="22"/>
          <w:szCs w:val="22"/>
        </w:rPr>
        <w:t>et al.,</w:t>
      </w:r>
      <w:r w:rsidRPr="00B2206D">
        <w:rPr>
          <w:rFonts w:ascii="Arial" w:hAnsi="Arial" w:cs="Arial"/>
          <w:sz w:val="22"/>
          <w:szCs w:val="22"/>
        </w:rPr>
        <w:t xml:space="preserve"> (2020) highlight that discourse approaches help reveal how professional language constructs particular interpretations of problems such as ADHD. However, discourse analysis has been critiqued for prioritising language and interpretation at the expense of material or structural conditions that also influence institutional practice (ResearchGate, 2018). This debate is relevant here, as policy language may shape referral thresholds while still interacting with broader inequalities in education systems.</w:t>
      </w:r>
    </w:p>
    <w:p w14:paraId="723F2D53" w14:textId="77777777" w:rsidR="00B2206D" w:rsidRPr="00B2206D" w:rsidRDefault="00B2206D" w:rsidP="004969EF">
      <w:pPr>
        <w:spacing w:before="100" w:beforeAutospacing="1" w:after="100" w:afterAutospacing="1" w:line="360" w:lineRule="auto"/>
        <w:jc w:val="both"/>
        <w:rPr>
          <w:rFonts w:ascii="Arial" w:hAnsi="Arial" w:cs="Arial"/>
          <w:sz w:val="22"/>
          <w:szCs w:val="22"/>
        </w:rPr>
      </w:pPr>
      <w:r w:rsidRPr="00B2206D">
        <w:rPr>
          <w:rFonts w:ascii="Arial" w:hAnsi="Arial" w:cs="Arial"/>
          <w:sz w:val="22"/>
          <w:szCs w:val="22"/>
        </w:rPr>
        <w:t xml:space="preserve">Bronfenbrenner’s ecological systems theory offers a comprehensive model for understanding how children’s development is shaped by interactions across multiple environmental systems. Its strength lies in recognising the influence of family, school and wider institutional structures on behavioural recognition (El </w:t>
      </w:r>
      <w:proofErr w:type="spellStart"/>
      <w:r w:rsidRPr="00B2206D">
        <w:rPr>
          <w:rFonts w:ascii="Arial" w:hAnsi="Arial" w:cs="Arial"/>
          <w:sz w:val="22"/>
          <w:szCs w:val="22"/>
        </w:rPr>
        <w:t>Zaatari</w:t>
      </w:r>
      <w:proofErr w:type="spellEnd"/>
      <w:r w:rsidRPr="00B2206D">
        <w:rPr>
          <w:rFonts w:ascii="Arial" w:hAnsi="Arial" w:cs="Arial"/>
          <w:sz w:val="22"/>
          <w:szCs w:val="22"/>
        </w:rPr>
        <w:t xml:space="preserve"> and </w:t>
      </w:r>
      <w:proofErr w:type="spellStart"/>
      <w:r w:rsidRPr="00B2206D">
        <w:rPr>
          <w:rFonts w:ascii="Arial" w:hAnsi="Arial" w:cs="Arial"/>
          <w:sz w:val="22"/>
          <w:szCs w:val="22"/>
        </w:rPr>
        <w:t>Maalouf</w:t>
      </w:r>
      <w:proofErr w:type="spellEnd"/>
      <w:r w:rsidRPr="00B2206D">
        <w:rPr>
          <w:rFonts w:ascii="Arial" w:hAnsi="Arial" w:cs="Arial"/>
          <w:sz w:val="22"/>
          <w:szCs w:val="22"/>
        </w:rPr>
        <w:t>, 2022). Nonetheless, the model has been criticised for its complexity, as the interactions between systems can be difficult to measure empirically (Spear and Kirkman, 2024). This limitation matters for this study because ADHD recognition is influenced by multiple overlapping systems, making it challenging to isolate the impact of any single factor.</w:t>
      </w:r>
    </w:p>
    <w:p w14:paraId="7CBACE26" w14:textId="07CCC236" w:rsidR="00B2206D" w:rsidRPr="00B2206D" w:rsidRDefault="00B2206D" w:rsidP="004969EF">
      <w:pPr>
        <w:spacing w:before="100" w:beforeAutospacing="1" w:after="100" w:afterAutospacing="1" w:line="360" w:lineRule="auto"/>
        <w:jc w:val="both"/>
        <w:rPr>
          <w:rFonts w:ascii="Arial" w:hAnsi="Arial" w:cs="Arial"/>
          <w:sz w:val="22"/>
          <w:szCs w:val="22"/>
        </w:rPr>
      </w:pPr>
      <w:r w:rsidRPr="00B2206D">
        <w:rPr>
          <w:rFonts w:ascii="Arial" w:hAnsi="Arial" w:cs="Arial"/>
          <w:sz w:val="22"/>
          <w:szCs w:val="22"/>
        </w:rPr>
        <w:t xml:space="preserve">Intersectionality provides an important framework for examining how overlapping social identities, such as ethnicity and socioeconomic background, shape experiences within institutions. Bastia </w:t>
      </w:r>
      <w:r w:rsidR="003B75FB" w:rsidRPr="004969EF">
        <w:rPr>
          <w:rFonts w:ascii="Arial" w:hAnsi="Arial" w:cs="Arial"/>
          <w:sz w:val="22"/>
          <w:szCs w:val="22"/>
        </w:rPr>
        <w:t>et al.,</w:t>
      </w:r>
      <w:r w:rsidRPr="00B2206D">
        <w:rPr>
          <w:rFonts w:ascii="Arial" w:hAnsi="Arial" w:cs="Arial"/>
          <w:sz w:val="22"/>
          <w:szCs w:val="22"/>
        </w:rPr>
        <w:t xml:space="preserve"> (2022) emphasise that intersectional analysis highlights how systems of power and inequality interact to influence outcomes. However, the framework has been critiqued for being conceptually broad and difficult to operationalise consistently in empirical research (Severs, </w:t>
      </w:r>
      <w:proofErr w:type="spellStart"/>
      <w:r w:rsidRPr="00B2206D">
        <w:rPr>
          <w:rFonts w:ascii="Arial" w:hAnsi="Arial" w:cs="Arial"/>
          <w:sz w:val="22"/>
          <w:szCs w:val="22"/>
        </w:rPr>
        <w:t>Celis</w:t>
      </w:r>
      <w:proofErr w:type="spellEnd"/>
      <w:r w:rsidRPr="00B2206D">
        <w:rPr>
          <w:rFonts w:ascii="Arial" w:hAnsi="Arial" w:cs="Arial"/>
          <w:sz w:val="22"/>
          <w:szCs w:val="22"/>
        </w:rPr>
        <w:t xml:space="preserve"> and </w:t>
      </w:r>
      <w:proofErr w:type="spellStart"/>
      <w:r w:rsidRPr="00B2206D">
        <w:rPr>
          <w:rFonts w:ascii="Arial" w:hAnsi="Arial" w:cs="Arial"/>
          <w:sz w:val="22"/>
          <w:szCs w:val="22"/>
        </w:rPr>
        <w:t>Erzeel</w:t>
      </w:r>
      <w:proofErr w:type="spellEnd"/>
      <w:r w:rsidRPr="00B2206D">
        <w:rPr>
          <w:rFonts w:ascii="Arial" w:hAnsi="Arial" w:cs="Arial"/>
          <w:sz w:val="22"/>
          <w:szCs w:val="22"/>
        </w:rPr>
        <w:t>, 2016). Despite this, intersectionality remains highly relevant for understanding how ethnic minority children may face compounded barriers in behavioural recognition and access to support.</w:t>
      </w:r>
    </w:p>
    <w:p w14:paraId="1787DF7C" w14:textId="1518B682" w:rsidR="00BD2909" w:rsidRPr="004969EF" w:rsidRDefault="00B2206D" w:rsidP="004969EF">
      <w:pPr>
        <w:spacing w:before="100" w:beforeAutospacing="1" w:after="100" w:afterAutospacing="1" w:line="360" w:lineRule="auto"/>
        <w:jc w:val="both"/>
        <w:rPr>
          <w:rFonts w:ascii="Arial" w:hAnsi="Arial" w:cs="Arial"/>
          <w:sz w:val="22"/>
          <w:szCs w:val="22"/>
        </w:rPr>
      </w:pPr>
      <w:r w:rsidRPr="00B2206D">
        <w:rPr>
          <w:rFonts w:ascii="Arial" w:hAnsi="Arial" w:cs="Arial"/>
          <w:sz w:val="22"/>
          <w:szCs w:val="22"/>
        </w:rPr>
        <w:lastRenderedPageBreak/>
        <w:t>Taken together, these theories offer complementary perspectives for analysing behavioural recognition within educational and institutional contexts. While each framework has limitations, their combined use provides a multi</w:t>
      </w:r>
      <w:r w:rsidRPr="00B2206D">
        <w:rPr>
          <w:rFonts w:ascii="Arial" w:hAnsi="Arial" w:cs="Arial"/>
          <w:sz w:val="22"/>
          <w:szCs w:val="22"/>
        </w:rPr>
        <w:noBreakHyphen/>
        <w:t>layered understanding of how individual interpretations, institutional narratives, environmental systems and social inequalities interact to shape recognition and referral processes.</w:t>
      </w:r>
    </w:p>
    <w:p w14:paraId="529565AC" w14:textId="77777777" w:rsidR="00BD2909" w:rsidRPr="004969EF" w:rsidRDefault="00BD2909" w:rsidP="004969EF">
      <w:pPr>
        <w:pStyle w:val="paragraph"/>
        <w:spacing w:before="0" w:beforeAutospacing="0" w:after="0" w:afterAutospacing="0" w:line="360" w:lineRule="auto"/>
        <w:jc w:val="both"/>
        <w:textAlignment w:val="baseline"/>
        <w:rPr>
          <w:rFonts w:ascii="Arial" w:hAnsi="Arial" w:cs="Arial"/>
          <w:sz w:val="22"/>
          <w:szCs w:val="22"/>
        </w:rPr>
      </w:pPr>
      <w:r w:rsidRPr="004969EF">
        <w:rPr>
          <w:rStyle w:val="normaltextrun"/>
          <w:rFonts w:ascii="Arial" w:hAnsi="Arial" w:cs="Arial"/>
          <w:sz w:val="22"/>
          <w:szCs w:val="22"/>
        </w:rPr>
        <w:t>2.4 International Context (400 words approx.)</w:t>
      </w:r>
      <w:r w:rsidRPr="004969EF">
        <w:rPr>
          <w:rStyle w:val="eop"/>
          <w:rFonts w:ascii="Arial" w:eastAsia="Calibri Light" w:hAnsi="Arial" w:cs="Arial"/>
          <w:sz w:val="22"/>
          <w:szCs w:val="22"/>
        </w:rPr>
        <w:t> </w:t>
      </w:r>
    </w:p>
    <w:p w14:paraId="486A5837" w14:textId="77777777" w:rsidR="00BD2909" w:rsidRPr="004969EF" w:rsidRDefault="00BD2909" w:rsidP="004969EF">
      <w:pPr>
        <w:pStyle w:val="paragraph"/>
        <w:spacing w:before="0" w:beforeAutospacing="0" w:after="0" w:afterAutospacing="0" w:line="360" w:lineRule="auto"/>
        <w:jc w:val="both"/>
        <w:textAlignment w:val="baseline"/>
        <w:rPr>
          <w:rFonts w:ascii="Arial" w:hAnsi="Arial" w:cs="Arial"/>
          <w:sz w:val="22"/>
          <w:szCs w:val="22"/>
        </w:rPr>
      </w:pPr>
      <w:r w:rsidRPr="004969EF">
        <w:rPr>
          <w:rStyle w:val="eop"/>
          <w:rFonts w:ascii="Arial" w:eastAsia="Calibri Light" w:hAnsi="Arial" w:cs="Arial"/>
          <w:sz w:val="22"/>
          <w:szCs w:val="22"/>
        </w:rPr>
        <w:t> </w:t>
      </w:r>
    </w:p>
    <w:p w14:paraId="32C722ED" w14:textId="77777777" w:rsidR="00BD2909" w:rsidRPr="004969EF" w:rsidRDefault="00BD2909" w:rsidP="00250E65">
      <w:pPr>
        <w:pStyle w:val="paragraph"/>
        <w:numPr>
          <w:ilvl w:val="0"/>
          <w:numId w:val="1"/>
        </w:numPr>
        <w:tabs>
          <w:tab w:val="clear" w:pos="720"/>
          <w:tab w:val="num" w:pos="0"/>
        </w:tabs>
        <w:spacing w:before="0" w:beforeAutospacing="0" w:after="0" w:afterAutospacing="0" w:line="360" w:lineRule="auto"/>
        <w:ind w:left="0" w:firstLine="0"/>
        <w:jc w:val="both"/>
        <w:textAlignment w:val="baseline"/>
        <w:rPr>
          <w:rFonts w:ascii="Arial" w:hAnsi="Arial" w:cs="Arial"/>
          <w:sz w:val="22"/>
          <w:szCs w:val="22"/>
        </w:rPr>
      </w:pPr>
      <w:r w:rsidRPr="004969EF">
        <w:rPr>
          <w:rStyle w:val="normaltextrun"/>
          <w:rFonts w:ascii="Arial" w:hAnsi="Arial" w:cs="Arial"/>
          <w:b/>
          <w:bCs/>
          <w:sz w:val="22"/>
          <w:szCs w:val="22"/>
        </w:rPr>
        <w:t>Global Perspective:</w:t>
      </w:r>
      <w:r w:rsidRPr="004969EF">
        <w:rPr>
          <w:rStyle w:val="eop"/>
          <w:rFonts w:ascii="Arial" w:eastAsia="Calibri Light" w:hAnsi="Arial" w:cs="Arial"/>
          <w:sz w:val="22"/>
          <w:szCs w:val="22"/>
        </w:rPr>
        <w:t> </w:t>
      </w:r>
    </w:p>
    <w:p w14:paraId="1C93BBFC" w14:textId="77777777" w:rsidR="00BD2909" w:rsidRPr="004969EF" w:rsidRDefault="00BD2909" w:rsidP="00250E65">
      <w:pPr>
        <w:pStyle w:val="paragraph"/>
        <w:numPr>
          <w:ilvl w:val="0"/>
          <w:numId w:val="2"/>
        </w:numPr>
        <w:tabs>
          <w:tab w:val="clear" w:pos="720"/>
          <w:tab w:val="num" w:pos="0"/>
        </w:tabs>
        <w:spacing w:before="0" w:beforeAutospacing="0" w:after="0" w:afterAutospacing="0" w:line="360" w:lineRule="auto"/>
        <w:ind w:firstLine="0"/>
        <w:jc w:val="both"/>
        <w:textAlignment w:val="baseline"/>
        <w:rPr>
          <w:rFonts w:ascii="Arial" w:hAnsi="Arial" w:cs="Arial"/>
          <w:sz w:val="22"/>
          <w:szCs w:val="22"/>
        </w:rPr>
      </w:pPr>
      <w:r w:rsidRPr="004969EF">
        <w:rPr>
          <w:rStyle w:val="normaltextrun"/>
          <w:rFonts w:ascii="Arial" w:hAnsi="Arial" w:cs="Arial"/>
          <w:sz w:val="22"/>
          <w:szCs w:val="22"/>
        </w:rPr>
        <w:t>Discuss how the topic is viewed and addressed in different parts of the world.</w:t>
      </w:r>
      <w:r w:rsidRPr="004969EF">
        <w:rPr>
          <w:rStyle w:val="eop"/>
          <w:rFonts w:ascii="Arial" w:eastAsia="Calibri Light" w:hAnsi="Arial" w:cs="Arial"/>
          <w:sz w:val="22"/>
          <w:szCs w:val="22"/>
        </w:rPr>
        <w:t> </w:t>
      </w:r>
    </w:p>
    <w:p w14:paraId="6A9F7CE0" w14:textId="77777777" w:rsidR="00BD2909" w:rsidRPr="004969EF" w:rsidRDefault="00BD2909" w:rsidP="00250E65">
      <w:pPr>
        <w:pStyle w:val="paragraph"/>
        <w:numPr>
          <w:ilvl w:val="0"/>
          <w:numId w:val="3"/>
        </w:numPr>
        <w:tabs>
          <w:tab w:val="clear" w:pos="720"/>
          <w:tab w:val="num" w:pos="0"/>
        </w:tabs>
        <w:spacing w:before="0" w:beforeAutospacing="0" w:after="0" w:afterAutospacing="0" w:line="360" w:lineRule="auto"/>
        <w:ind w:firstLine="0"/>
        <w:jc w:val="both"/>
        <w:textAlignment w:val="baseline"/>
        <w:rPr>
          <w:rFonts w:ascii="Arial" w:hAnsi="Arial" w:cs="Arial"/>
          <w:sz w:val="22"/>
          <w:szCs w:val="22"/>
        </w:rPr>
      </w:pPr>
      <w:r w:rsidRPr="004969EF">
        <w:rPr>
          <w:rStyle w:val="normaltextrun"/>
          <w:rFonts w:ascii="Arial" w:hAnsi="Arial" w:cs="Arial"/>
          <w:sz w:val="22"/>
          <w:szCs w:val="22"/>
        </w:rPr>
        <w:t>Highlight key international trends, policies, and practices related to the topic.</w:t>
      </w:r>
      <w:r w:rsidRPr="004969EF">
        <w:rPr>
          <w:rStyle w:val="eop"/>
          <w:rFonts w:ascii="Arial" w:eastAsia="Calibri Light" w:hAnsi="Arial" w:cs="Arial"/>
          <w:sz w:val="22"/>
          <w:szCs w:val="22"/>
        </w:rPr>
        <w:t> </w:t>
      </w:r>
    </w:p>
    <w:p w14:paraId="03867E69" w14:textId="77777777" w:rsidR="00BD2909" w:rsidRPr="004969EF" w:rsidRDefault="00BD2909" w:rsidP="00250E65">
      <w:pPr>
        <w:pStyle w:val="paragraph"/>
        <w:numPr>
          <w:ilvl w:val="0"/>
          <w:numId w:val="4"/>
        </w:numPr>
        <w:tabs>
          <w:tab w:val="clear" w:pos="720"/>
          <w:tab w:val="num" w:pos="0"/>
        </w:tabs>
        <w:spacing w:before="0" w:beforeAutospacing="0" w:after="0" w:afterAutospacing="0" w:line="360" w:lineRule="auto"/>
        <w:ind w:left="0" w:firstLine="0"/>
        <w:jc w:val="both"/>
        <w:textAlignment w:val="baseline"/>
        <w:rPr>
          <w:rFonts w:ascii="Arial" w:hAnsi="Arial" w:cs="Arial"/>
          <w:sz w:val="22"/>
          <w:szCs w:val="22"/>
        </w:rPr>
      </w:pPr>
      <w:r w:rsidRPr="004969EF">
        <w:rPr>
          <w:rStyle w:val="normaltextrun"/>
          <w:rFonts w:ascii="Arial" w:hAnsi="Arial" w:cs="Arial"/>
          <w:b/>
          <w:bCs/>
          <w:sz w:val="22"/>
          <w:szCs w:val="22"/>
        </w:rPr>
        <w:t>Comparative Analysis:</w:t>
      </w:r>
      <w:r w:rsidRPr="004969EF">
        <w:rPr>
          <w:rStyle w:val="eop"/>
          <w:rFonts w:ascii="Arial" w:eastAsia="Calibri Light" w:hAnsi="Arial" w:cs="Arial"/>
          <w:sz w:val="22"/>
          <w:szCs w:val="22"/>
        </w:rPr>
        <w:t> </w:t>
      </w:r>
    </w:p>
    <w:p w14:paraId="59AC3E3C" w14:textId="77777777" w:rsidR="00BD2909" w:rsidRPr="004969EF" w:rsidRDefault="00BD2909" w:rsidP="00250E65">
      <w:pPr>
        <w:pStyle w:val="paragraph"/>
        <w:numPr>
          <w:ilvl w:val="0"/>
          <w:numId w:val="5"/>
        </w:numPr>
        <w:tabs>
          <w:tab w:val="clear" w:pos="720"/>
          <w:tab w:val="num" w:pos="0"/>
        </w:tabs>
        <w:spacing w:before="0" w:beforeAutospacing="0" w:after="0" w:afterAutospacing="0" w:line="360" w:lineRule="auto"/>
        <w:ind w:firstLine="0"/>
        <w:jc w:val="both"/>
        <w:textAlignment w:val="baseline"/>
        <w:rPr>
          <w:rFonts w:ascii="Arial" w:hAnsi="Arial" w:cs="Arial"/>
          <w:sz w:val="22"/>
          <w:szCs w:val="22"/>
        </w:rPr>
      </w:pPr>
      <w:r w:rsidRPr="004969EF">
        <w:rPr>
          <w:rStyle w:val="normaltextrun"/>
          <w:rFonts w:ascii="Arial" w:hAnsi="Arial" w:cs="Arial"/>
          <w:sz w:val="22"/>
          <w:szCs w:val="22"/>
        </w:rPr>
        <w:t>Compare and contrast the approaches taken by different countries or regions.</w:t>
      </w:r>
      <w:r w:rsidRPr="004969EF">
        <w:rPr>
          <w:rStyle w:val="eop"/>
          <w:rFonts w:ascii="Arial" w:eastAsia="Calibri Light" w:hAnsi="Arial" w:cs="Arial"/>
          <w:sz w:val="22"/>
          <w:szCs w:val="22"/>
        </w:rPr>
        <w:t> </w:t>
      </w:r>
    </w:p>
    <w:p w14:paraId="3FDC7790" w14:textId="77777777" w:rsidR="00BD2909" w:rsidRPr="004969EF" w:rsidRDefault="00BD2909" w:rsidP="00250E65">
      <w:pPr>
        <w:pStyle w:val="paragraph"/>
        <w:numPr>
          <w:ilvl w:val="0"/>
          <w:numId w:val="6"/>
        </w:numPr>
        <w:tabs>
          <w:tab w:val="clear" w:pos="720"/>
          <w:tab w:val="num" w:pos="0"/>
        </w:tabs>
        <w:spacing w:before="0" w:beforeAutospacing="0" w:after="0" w:afterAutospacing="0" w:line="360" w:lineRule="auto"/>
        <w:ind w:firstLine="0"/>
        <w:jc w:val="both"/>
        <w:textAlignment w:val="baseline"/>
        <w:rPr>
          <w:rFonts w:ascii="Arial" w:hAnsi="Arial" w:cs="Arial"/>
          <w:sz w:val="22"/>
          <w:szCs w:val="22"/>
        </w:rPr>
      </w:pPr>
      <w:r w:rsidRPr="004969EF">
        <w:rPr>
          <w:rStyle w:val="normaltextrun"/>
          <w:rFonts w:ascii="Arial" w:hAnsi="Arial" w:cs="Arial"/>
          <w:sz w:val="22"/>
          <w:szCs w:val="22"/>
        </w:rPr>
        <w:t>Discuss any global initiatives or collaborations relevant to the topic.</w:t>
      </w:r>
      <w:r w:rsidRPr="004969EF">
        <w:rPr>
          <w:rStyle w:val="eop"/>
          <w:rFonts w:ascii="Arial" w:eastAsia="Calibri Light" w:hAnsi="Arial" w:cs="Arial"/>
          <w:sz w:val="22"/>
          <w:szCs w:val="22"/>
        </w:rPr>
        <w:t> </w:t>
      </w:r>
    </w:p>
    <w:p w14:paraId="07E39B25" w14:textId="77777777" w:rsidR="00BD2909" w:rsidRPr="004969EF" w:rsidRDefault="00BD2909" w:rsidP="00250E65">
      <w:pPr>
        <w:pStyle w:val="paragraph"/>
        <w:numPr>
          <w:ilvl w:val="0"/>
          <w:numId w:val="7"/>
        </w:numPr>
        <w:tabs>
          <w:tab w:val="clear" w:pos="720"/>
          <w:tab w:val="num" w:pos="0"/>
        </w:tabs>
        <w:spacing w:before="0" w:beforeAutospacing="0" w:after="0" w:afterAutospacing="0" w:line="360" w:lineRule="auto"/>
        <w:ind w:left="0" w:firstLine="0"/>
        <w:jc w:val="both"/>
        <w:textAlignment w:val="baseline"/>
        <w:rPr>
          <w:rFonts w:ascii="Arial" w:hAnsi="Arial" w:cs="Arial"/>
          <w:sz w:val="22"/>
          <w:szCs w:val="22"/>
        </w:rPr>
      </w:pPr>
      <w:r w:rsidRPr="004969EF">
        <w:rPr>
          <w:rStyle w:val="normaltextrun"/>
          <w:rFonts w:ascii="Arial" w:hAnsi="Arial" w:cs="Arial"/>
          <w:b/>
          <w:bCs/>
          <w:sz w:val="22"/>
          <w:szCs w:val="22"/>
        </w:rPr>
        <w:t>Case Studies:</w:t>
      </w:r>
      <w:r w:rsidRPr="004969EF">
        <w:rPr>
          <w:rStyle w:val="eop"/>
          <w:rFonts w:ascii="Arial" w:eastAsia="Calibri Light" w:hAnsi="Arial" w:cs="Arial"/>
          <w:sz w:val="22"/>
          <w:szCs w:val="22"/>
        </w:rPr>
        <w:t> </w:t>
      </w:r>
    </w:p>
    <w:p w14:paraId="41C38706" w14:textId="77777777" w:rsidR="00BD2909" w:rsidRPr="004969EF" w:rsidRDefault="00BD2909" w:rsidP="00250E65">
      <w:pPr>
        <w:pStyle w:val="paragraph"/>
        <w:numPr>
          <w:ilvl w:val="0"/>
          <w:numId w:val="8"/>
        </w:numPr>
        <w:tabs>
          <w:tab w:val="clear" w:pos="720"/>
          <w:tab w:val="num" w:pos="0"/>
        </w:tabs>
        <w:spacing w:before="0" w:beforeAutospacing="0" w:after="0" w:afterAutospacing="0" w:line="360" w:lineRule="auto"/>
        <w:ind w:firstLine="0"/>
        <w:jc w:val="both"/>
        <w:textAlignment w:val="baseline"/>
        <w:rPr>
          <w:rFonts w:ascii="Arial" w:hAnsi="Arial" w:cs="Arial"/>
          <w:sz w:val="22"/>
          <w:szCs w:val="22"/>
        </w:rPr>
      </w:pPr>
      <w:r w:rsidRPr="004969EF">
        <w:rPr>
          <w:rStyle w:val="normaltextrun"/>
          <w:rFonts w:ascii="Arial" w:hAnsi="Arial" w:cs="Arial"/>
          <w:sz w:val="22"/>
          <w:szCs w:val="22"/>
        </w:rPr>
        <w:t>Provide brief case studies or examples of how the topic is handled in various international contexts.</w:t>
      </w:r>
      <w:r w:rsidRPr="004969EF">
        <w:rPr>
          <w:rStyle w:val="eop"/>
          <w:rFonts w:ascii="Arial" w:eastAsia="Calibri Light" w:hAnsi="Arial" w:cs="Arial"/>
          <w:sz w:val="22"/>
          <w:szCs w:val="22"/>
        </w:rPr>
        <w:t> </w:t>
      </w:r>
    </w:p>
    <w:p w14:paraId="051FCDF2" w14:textId="77777777" w:rsidR="00BD2909" w:rsidRPr="004969EF" w:rsidRDefault="00BD2909" w:rsidP="00250E65">
      <w:pPr>
        <w:pStyle w:val="paragraph"/>
        <w:numPr>
          <w:ilvl w:val="0"/>
          <w:numId w:val="9"/>
        </w:numPr>
        <w:tabs>
          <w:tab w:val="clear" w:pos="720"/>
          <w:tab w:val="num" w:pos="0"/>
        </w:tabs>
        <w:spacing w:before="0" w:beforeAutospacing="0" w:after="0" w:afterAutospacing="0" w:line="360" w:lineRule="auto"/>
        <w:ind w:firstLine="0"/>
        <w:jc w:val="both"/>
        <w:textAlignment w:val="baseline"/>
        <w:rPr>
          <w:rFonts w:ascii="Arial" w:hAnsi="Arial" w:cs="Arial"/>
          <w:sz w:val="22"/>
          <w:szCs w:val="22"/>
        </w:rPr>
      </w:pPr>
      <w:r w:rsidRPr="004969EF">
        <w:rPr>
          <w:rStyle w:val="normaltextrun"/>
          <w:rFonts w:ascii="Arial" w:hAnsi="Arial" w:cs="Arial"/>
          <w:sz w:val="22"/>
          <w:szCs w:val="22"/>
        </w:rPr>
        <w:t>Highlight successes and challenges encountered in these contexts.</w:t>
      </w:r>
      <w:r w:rsidRPr="004969EF">
        <w:rPr>
          <w:rStyle w:val="eop"/>
          <w:rFonts w:ascii="Arial" w:eastAsia="Calibri Light" w:hAnsi="Arial" w:cs="Arial"/>
          <w:sz w:val="22"/>
          <w:szCs w:val="22"/>
        </w:rPr>
        <w:t> </w:t>
      </w:r>
    </w:p>
    <w:p w14:paraId="302C6B72" w14:textId="77777777" w:rsidR="00BD2909" w:rsidRPr="004969EF" w:rsidRDefault="00BD2909" w:rsidP="004969EF">
      <w:pPr>
        <w:pStyle w:val="paragraph"/>
        <w:spacing w:before="0" w:beforeAutospacing="0" w:after="0" w:afterAutospacing="0" w:line="360" w:lineRule="auto"/>
        <w:ind w:left="1080"/>
        <w:jc w:val="both"/>
        <w:textAlignment w:val="baseline"/>
        <w:rPr>
          <w:rFonts w:ascii="Arial" w:hAnsi="Arial" w:cs="Arial"/>
          <w:sz w:val="22"/>
          <w:szCs w:val="22"/>
        </w:rPr>
      </w:pPr>
      <w:r w:rsidRPr="004969EF">
        <w:rPr>
          <w:rStyle w:val="eop"/>
          <w:rFonts w:ascii="Arial" w:eastAsia="Calibri Light" w:hAnsi="Arial" w:cs="Arial"/>
          <w:sz w:val="22"/>
          <w:szCs w:val="22"/>
        </w:rPr>
        <w:t> </w:t>
      </w:r>
    </w:p>
    <w:p w14:paraId="6B2ECBDB" w14:textId="28ACC984" w:rsidR="00B776B3" w:rsidRPr="004969EF" w:rsidRDefault="00B776B3" w:rsidP="004969EF">
      <w:pPr>
        <w:pStyle w:val="paragraph"/>
        <w:spacing w:before="0" w:beforeAutospacing="0" w:after="0" w:afterAutospacing="0" w:line="360" w:lineRule="auto"/>
        <w:jc w:val="both"/>
        <w:textAlignment w:val="baseline"/>
        <w:rPr>
          <w:rFonts w:ascii="Arial" w:hAnsi="Arial" w:cs="Arial"/>
          <w:color w:val="0F4761"/>
          <w:sz w:val="22"/>
          <w:szCs w:val="22"/>
        </w:rPr>
      </w:pPr>
      <w:r w:rsidRPr="004969EF">
        <w:rPr>
          <w:rStyle w:val="normaltextrun"/>
          <w:rFonts w:ascii="Arial" w:hAnsi="Arial" w:cs="Arial"/>
          <w:color w:val="0F4761"/>
          <w:sz w:val="22"/>
          <w:szCs w:val="22"/>
        </w:rPr>
        <w:t>2.5 National/Local UK Context</w:t>
      </w:r>
    </w:p>
    <w:p w14:paraId="64F0C5E0" w14:textId="03329A18" w:rsidR="00652A03" w:rsidRDefault="00652A03" w:rsidP="004969EF">
      <w:pPr>
        <w:spacing w:line="360" w:lineRule="auto"/>
        <w:jc w:val="both"/>
        <w:rPr>
          <w:rFonts w:ascii="Arial" w:hAnsi="Arial" w:cs="Arial"/>
          <w:sz w:val="22"/>
          <w:szCs w:val="22"/>
        </w:rPr>
      </w:pPr>
      <w:r w:rsidRPr="004969EF">
        <w:rPr>
          <w:rFonts w:ascii="Arial" w:hAnsi="Arial" w:cs="Arial"/>
          <w:sz w:val="22"/>
          <w:szCs w:val="22"/>
        </w:rPr>
        <w:t xml:space="preserve">ADHD in the UK is increasingly recognised, reflected in rising diagnosis rates and growing demand for assessment (NIHR, 2024; NHS England, 2026). NHS England (2026) also reports sustained pressure on services and long waiting times, showing that demand is exceeding capacity. However, this does not mean that identification is consistent. </w:t>
      </w:r>
      <w:proofErr w:type="spellStart"/>
      <w:r w:rsidRPr="004969EF">
        <w:rPr>
          <w:rFonts w:ascii="Arial" w:hAnsi="Arial" w:cs="Arial"/>
          <w:sz w:val="22"/>
          <w:szCs w:val="22"/>
        </w:rPr>
        <w:t>Stiebahl</w:t>
      </w:r>
      <w:proofErr w:type="spellEnd"/>
      <w:r w:rsidRPr="004969EF">
        <w:rPr>
          <w:rFonts w:ascii="Arial" w:hAnsi="Arial" w:cs="Arial"/>
          <w:sz w:val="22"/>
          <w:szCs w:val="22"/>
        </w:rPr>
        <w:t xml:space="preserve"> (2026) highlights variation in diagnosis rates across regions in England, indicating that access to assessment differs depending on location. </w:t>
      </w:r>
    </w:p>
    <w:p w14:paraId="474E3A73" w14:textId="77777777" w:rsidR="000D1602" w:rsidRPr="004969EF" w:rsidRDefault="000D1602" w:rsidP="004969EF">
      <w:pPr>
        <w:spacing w:line="360" w:lineRule="auto"/>
        <w:jc w:val="both"/>
        <w:rPr>
          <w:rFonts w:ascii="Arial" w:hAnsi="Arial" w:cs="Arial"/>
          <w:sz w:val="22"/>
          <w:szCs w:val="22"/>
        </w:rPr>
      </w:pPr>
    </w:p>
    <w:p w14:paraId="03E41CE3" w14:textId="77777777" w:rsidR="00652A03" w:rsidRPr="004969EF" w:rsidRDefault="00652A03" w:rsidP="004969EF">
      <w:pPr>
        <w:spacing w:line="360" w:lineRule="auto"/>
        <w:jc w:val="both"/>
        <w:rPr>
          <w:rFonts w:ascii="Arial" w:hAnsi="Arial" w:cs="Arial"/>
          <w:sz w:val="22"/>
          <w:szCs w:val="22"/>
        </w:rPr>
      </w:pPr>
      <w:r w:rsidRPr="004969EF">
        <w:rPr>
          <w:rFonts w:ascii="Arial" w:hAnsi="Arial" w:cs="Arial"/>
          <w:sz w:val="22"/>
          <w:szCs w:val="22"/>
        </w:rPr>
        <w:t>This means that children with similar levels of need are not being identified in the same way, and that recognition depends on how services operate rather than need alone.</w:t>
      </w:r>
    </w:p>
    <w:p w14:paraId="6134E344" w14:textId="1F251C4F" w:rsidR="00652A03" w:rsidRDefault="00652A03" w:rsidP="004969EF">
      <w:pPr>
        <w:spacing w:line="360" w:lineRule="auto"/>
        <w:jc w:val="both"/>
        <w:rPr>
          <w:rFonts w:ascii="Arial" w:hAnsi="Arial" w:cs="Arial"/>
          <w:sz w:val="22"/>
          <w:szCs w:val="22"/>
        </w:rPr>
      </w:pPr>
      <w:r w:rsidRPr="004969EF">
        <w:rPr>
          <w:rFonts w:ascii="Arial" w:hAnsi="Arial" w:cs="Arial"/>
          <w:sz w:val="22"/>
          <w:szCs w:val="22"/>
        </w:rPr>
        <w:t>Within schools, ADHD is often identified through behaviour, meaning that referral depends on how teachers interpret what they see (CEN, 2017). This creates inconsistency, as the same behaviours may be understood differently across classrooms and schools. As a result, some children are referred early, while others are not recognised at all. This is particularly important in relation to under-recognition, as identification is shaped by school practice rather than purely clinical criteria.</w:t>
      </w:r>
    </w:p>
    <w:p w14:paraId="6DBBB499" w14:textId="77777777" w:rsidR="000D1602" w:rsidRPr="004969EF" w:rsidRDefault="000D1602" w:rsidP="004969EF">
      <w:pPr>
        <w:spacing w:line="360" w:lineRule="auto"/>
        <w:jc w:val="both"/>
        <w:rPr>
          <w:rFonts w:ascii="Arial" w:hAnsi="Arial" w:cs="Arial"/>
          <w:sz w:val="22"/>
          <w:szCs w:val="22"/>
        </w:rPr>
      </w:pPr>
    </w:p>
    <w:p w14:paraId="44FF8763" w14:textId="550C50BC" w:rsidR="00652A03" w:rsidRDefault="00652A03" w:rsidP="004969EF">
      <w:pPr>
        <w:spacing w:line="360" w:lineRule="auto"/>
        <w:jc w:val="both"/>
        <w:rPr>
          <w:rFonts w:ascii="Arial" w:hAnsi="Arial" w:cs="Arial"/>
          <w:sz w:val="22"/>
          <w:szCs w:val="22"/>
        </w:rPr>
      </w:pPr>
      <w:r w:rsidRPr="004969EF">
        <w:rPr>
          <w:rFonts w:ascii="Arial" w:hAnsi="Arial" w:cs="Arial"/>
          <w:sz w:val="22"/>
          <w:szCs w:val="22"/>
        </w:rPr>
        <w:lastRenderedPageBreak/>
        <w:t>The UK has a strong policy framework designed to support early identification and coordinated care. The Children and Families Act 2014 defines special educational needs under Section 20 and establishes a system of integrated support across education, health and social care in Section 21 (GOV.UK, 2014). Section 22 requires local authorities to identify children with additional needs, while Section 23 requires health services to inform local authorities where concerns arise. Together, these sections create a system where identification should happen early and across services, rather than relying on a single point of referral.</w:t>
      </w:r>
    </w:p>
    <w:p w14:paraId="54821F93" w14:textId="77777777" w:rsidR="000D1602" w:rsidRPr="004969EF" w:rsidRDefault="000D1602" w:rsidP="004969EF">
      <w:pPr>
        <w:spacing w:line="360" w:lineRule="auto"/>
        <w:jc w:val="both"/>
        <w:rPr>
          <w:rFonts w:ascii="Arial" w:hAnsi="Arial" w:cs="Arial"/>
          <w:sz w:val="22"/>
          <w:szCs w:val="22"/>
        </w:rPr>
      </w:pPr>
    </w:p>
    <w:p w14:paraId="19F9B915" w14:textId="77777777" w:rsidR="00652A03" w:rsidRPr="004969EF" w:rsidRDefault="00652A03" w:rsidP="004969EF">
      <w:pPr>
        <w:spacing w:line="360" w:lineRule="auto"/>
        <w:jc w:val="both"/>
        <w:rPr>
          <w:rFonts w:ascii="Arial" w:hAnsi="Arial" w:cs="Arial"/>
          <w:sz w:val="22"/>
          <w:szCs w:val="22"/>
        </w:rPr>
      </w:pPr>
      <w:r w:rsidRPr="004969EF">
        <w:rPr>
          <w:rFonts w:ascii="Arial" w:hAnsi="Arial" w:cs="Arial"/>
          <w:sz w:val="22"/>
          <w:szCs w:val="22"/>
        </w:rPr>
        <w:t>This is supported by the SEND Code of Practice (Department for Education, 2015), which sets out how schools should identify and support children through a graduated approach (assess, plan, do, review), and the Equality Act 2010, which requires reasonable adjustments where a child is disadvantaged (Department for Education, 2014). In theory, these frameworks should reduce under-referral by ensuring that children are recognised and supported at an early stage.</w:t>
      </w:r>
    </w:p>
    <w:p w14:paraId="3414E394" w14:textId="77777777" w:rsidR="000D1602" w:rsidRDefault="000D1602" w:rsidP="004969EF">
      <w:pPr>
        <w:spacing w:line="360" w:lineRule="auto"/>
        <w:jc w:val="both"/>
        <w:rPr>
          <w:rFonts w:ascii="Arial" w:hAnsi="Arial" w:cs="Arial"/>
          <w:sz w:val="22"/>
          <w:szCs w:val="22"/>
        </w:rPr>
      </w:pPr>
    </w:p>
    <w:p w14:paraId="1C3E257C" w14:textId="206B7BD6" w:rsidR="00652A03" w:rsidRDefault="00652A03" w:rsidP="004969EF">
      <w:pPr>
        <w:spacing w:line="360" w:lineRule="auto"/>
        <w:jc w:val="both"/>
        <w:rPr>
          <w:rFonts w:ascii="Arial" w:hAnsi="Arial" w:cs="Arial"/>
          <w:sz w:val="22"/>
          <w:szCs w:val="22"/>
        </w:rPr>
      </w:pPr>
      <w:r w:rsidRPr="004969EF">
        <w:rPr>
          <w:rFonts w:ascii="Arial" w:hAnsi="Arial" w:cs="Arial"/>
          <w:sz w:val="22"/>
          <w:szCs w:val="22"/>
        </w:rPr>
        <w:t xml:space="preserve">However, evidence shows that this does not happen consistently in practice. NHS England (2026) reports increasing demand and pressure on ADHD services, while </w:t>
      </w:r>
      <w:proofErr w:type="spellStart"/>
      <w:r w:rsidRPr="004969EF">
        <w:rPr>
          <w:rFonts w:ascii="Arial" w:hAnsi="Arial" w:cs="Arial"/>
          <w:sz w:val="22"/>
          <w:szCs w:val="22"/>
        </w:rPr>
        <w:t>Stiebahl</w:t>
      </w:r>
      <w:proofErr w:type="spellEnd"/>
      <w:r w:rsidRPr="004969EF">
        <w:rPr>
          <w:rFonts w:ascii="Arial" w:hAnsi="Arial" w:cs="Arial"/>
          <w:sz w:val="22"/>
          <w:szCs w:val="22"/>
        </w:rPr>
        <w:t xml:space="preserve"> (2026) highlights variation in diagnosis rates across regions. The Local Government Association (Local Government Association, 2025) further identifies strain within SEND systems, including rising demand and limited capacity. This means that, although systems are required to identify children early, some are still missed or delayed depending on local resources and service pressures. The issue is not that policy is absent, but that it is applied unevenly.</w:t>
      </w:r>
    </w:p>
    <w:p w14:paraId="567A76C4" w14:textId="77777777" w:rsidR="000D1602" w:rsidRPr="004969EF" w:rsidRDefault="000D1602" w:rsidP="004969EF">
      <w:pPr>
        <w:spacing w:line="360" w:lineRule="auto"/>
        <w:jc w:val="both"/>
        <w:rPr>
          <w:rFonts w:ascii="Arial" w:hAnsi="Arial" w:cs="Arial"/>
          <w:sz w:val="22"/>
          <w:szCs w:val="22"/>
        </w:rPr>
      </w:pPr>
    </w:p>
    <w:p w14:paraId="1730CB22" w14:textId="332B159F" w:rsidR="00652A03" w:rsidRDefault="00652A03" w:rsidP="004969EF">
      <w:pPr>
        <w:spacing w:line="360" w:lineRule="auto"/>
        <w:jc w:val="both"/>
        <w:rPr>
          <w:rFonts w:ascii="Arial" w:hAnsi="Arial" w:cs="Arial"/>
          <w:sz w:val="22"/>
          <w:szCs w:val="22"/>
        </w:rPr>
      </w:pPr>
      <w:r w:rsidRPr="004969EF">
        <w:rPr>
          <w:rFonts w:ascii="Arial" w:hAnsi="Arial" w:cs="Arial"/>
          <w:sz w:val="22"/>
          <w:szCs w:val="22"/>
        </w:rPr>
        <w:t>Locally in England this uneven implementation becomes more visible. ADHD Embrace (2026), a parent-led organisation, highlights the role of advocacy and peer support in helping families navigate referral pathways, particularly in the context of long waiting times. Similarly, BSWN (2025) identifies barriers to access within Black and minority communities, including limited awareness, mistrust of services and difficulties engaging with support. These organisations provide valuable support and improve access to information.</w:t>
      </w:r>
    </w:p>
    <w:p w14:paraId="16E93521" w14:textId="77777777" w:rsidR="000D1602" w:rsidRPr="004969EF" w:rsidRDefault="000D1602" w:rsidP="004969EF">
      <w:pPr>
        <w:spacing w:line="360" w:lineRule="auto"/>
        <w:jc w:val="both"/>
        <w:rPr>
          <w:rFonts w:ascii="Arial" w:hAnsi="Arial" w:cs="Arial"/>
          <w:sz w:val="22"/>
          <w:szCs w:val="22"/>
        </w:rPr>
      </w:pPr>
    </w:p>
    <w:p w14:paraId="45ED9CF6" w14:textId="7481B55C" w:rsidR="00652A03" w:rsidRDefault="00652A03" w:rsidP="004969EF">
      <w:pPr>
        <w:spacing w:line="360" w:lineRule="auto"/>
        <w:jc w:val="both"/>
        <w:rPr>
          <w:rFonts w:ascii="Arial" w:hAnsi="Arial" w:cs="Arial"/>
          <w:sz w:val="22"/>
          <w:szCs w:val="22"/>
        </w:rPr>
      </w:pPr>
      <w:r w:rsidRPr="004969EF">
        <w:rPr>
          <w:rFonts w:ascii="Arial" w:hAnsi="Arial" w:cs="Arial"/>
          <w:sz w:val="22"/>
          <w:szCs w:val="22"/>
        </w:rPr>
        <w:t xml:space="preserve">However, </w:t>
      </w:r>
      <w:r w:rsidR="000D1602">
        <w:rPr>
          <w:rFonts w:ascii="Arial" w:hAnsi="Arial" w:cs="Arial"/>
          <w:sz w:val="22"/>
          <w:szCs w:val="22"/>
        </w:rPr>
        <w:t xml:space="preserve">organisations such as these are present due to an </w:t>
      </w:r>
      <w:r w:rsidR="000D1602" w:rsidRPr="004969EF">
        <w:rPr>
          <w:rFonts w:ascii="Arial" w:hAnsi="Arial" w:cs="Arial"/>
          <w:sz w:val="22"/>
          <w:szCs w:val="22"/>
        </w:rPr>
        <w:t>existing</w:t>
      </w:r>
      <w:r w:rsidR="000D1602">
        <w:rPr>
          <w:rFonts w:ascii="Arial" w:hAnsi="Arial" w:cs="Arial"/>
          <w:sz w:val="22"/>
          <w:szCs w:val="22"/>
        </w:rPr>
        <w:t xml:space="preserve"> gap and need</w:t>
      </w:r>
      <w:r w:rsidRPr="004969EF">
        <w:rPr>
          <w:rFonts w:ascii="Arial" w:hAnsi="Arial" w:cs="Arial"/>
          <w:sz w:val="22"/>
          <w:szCs w:val="22"/>
        </w:rPr>
        <w:t xml:space="preserve">. If families rely on community organisations to understand ADHD and access support, then formal systems are not consistently identifying or supporting children early enough. This reflects the same pattern seen at policy </w:t>
      </w:r>
      <w:r w:rsidR="000D1602" w:rsidRPr="004969EF">
        <w:rPr>
          <w:rFonts w:ascii="Arial" w:hAnsi="Arial" w:cs="Arial"/>
          <w:sz w:val="22"/>
          <w:szCs w:val="22"/>
        </w:rPr>
        <w:t>level</w:t>
      </w:r>
      <w:r w:rsidR="000D1602">
        <w:rPr>
          <w:rFonts w:ascii="Arial" w:hAnsi="Arial" w:cs="Arial"/>
          <w:sz w:val="22"/>
          <w:szCs w:val="22"/>
        </w:rPr>
        <w:t xml:space="preserve">, </w:t>
      </w:r>
      <w:r w:rsidR="000D1602" w:rsidRPr="004969EF">
        <w:rPr>
          <w:rFonts w:ascii="Arial" w:hAnsi="Arial" w:cs="Arial"/>
          <w:sz w:val="22"/>
          <w:szCs w:val="22"/>
        </w:rPr>
        <w:t>the</w:t>
      </w:r>
      <w:r w:rsidRPr="004969EF">
        <w:rPr>
          <w:rFonts w:ascii="Arial" w:hAnsi="Arial" w:cs="Arial"/>
          <w:sz w:val="22"/>
          <w:szCs w:val="22"/>
        </w:rPr>
        <w:t xml:space="preserve"> issue is not the absence of support, but uneven access to it.</w:t>
      </w:r>
    </w:p>
    <w:p w14:paraId="6B458A48" w14:textId="77777777" w:rsidR="000D1602" w:rsidRPr="004969EF" w:rsidRDefault="000D1602" w:rsidP="004969EF">
      <w:pPr>
        <w:spacing w:line="360" w:lineRule="auto"/>
        <w:jc w:val="both"/>
        <w:rPr>
          <w:rFonts w:ascii="Arial" w:hAnsi="Arial" w:cs="Arial"/>
          <w:sz w:val="22"/>
          <w:szCs w:val="22"/>
        </w:rPr>
      </w:pPr>
    </w:p>
    <w:p w14:paraId="47AB5964" w14:textId="6C50CE92" w:rsidR="00652A03" w:rsidRDefault="00652A03" w:rsidP="004969EF">
      <w:pPr>
        <w:spacing w:line="360" w:lineRule="auto"/>
        <w:jc w:val="both"/>
        <w:rPr>
          <w:rFonts w:ascii="Arial" w:hAnsi="Arial" w:cs="Arial"/>
          <w:sz w:val="22"/>
          <w:szCs w:val="22"/>
        </w:rPr>
      </w:pPr>
      <w:r w:rsidRPr="004969EF">
        <w:rPr>
          <w:rFonts w:ascii="Arial" w:hAnsi="Arial" w:cs="Arial"/>
          <w:sz w:val="22"/>
          <w:szCs w:val="22"/>
        </w:rPr>
        <w:lastRenderedPageBreak/>
        <w:t>Variation at local level further reinforces this. Differences in school practice, local authority resources and service availability mean that outcomes are not consistent across areas (</w:t>
      </w:r>
      <w:proofErr w:type="spellStart"/>
      <w:r w:rsidRPr="004969EF">
        <w:rPr>
          <w:rFonts w:ascii="Arial" w:hAnsi="Arial" w:cs="Arial"/>
          <w:sz w:val="22"/>
          <w:szCs w:val="22"/>
        </w:rPr>
        <w:t>Stiebahl</w:t>
      </w:r>
      <w:proofErr w:type="spellEnd"/>
      <w:r w:rsidRPr="004969EF">
        <w:rPr>
          <w:rFonts w:ascii="Arial" w:hAnsi="Arial" w:cs="Arial"/>
          <w:sz w:val="22"/>
          <w:szCs w:val="22"/>
        </w:rPr>
        <w:t>, 2026). As a result, some children are identified and supported, while others with similar needs are not. This unevenness is central to understanding under-recognition, especially for children from ethnic minority backgrounds, where barriers to access and differences in engagement may further affect referral pathways.</w:t>
      </w:r>
    </w:p>
    <w:p w14:paraId="7311A628" w14:textId="77777777" w:rsidR="009A3F02" w:rsidRPr="004969EF" w:rsidRDefault="009A3F02" w:rsidP="004969EF">
      <w:pPr>
        <w:spacing w:line="360" w:lineRule="auto"/>
        <w:jc w:val="both"/>
        <w:rPr>
          <w:rFonts w:ascii="Arial" w:hAnsi="Arial" w:cs="Arial"/>
          <w:sz w:val="22"/>
          <w:szCs w:val="22"/>
        </w:rPr>
      </w:pPr>
    </w:p>
    <w:p w14:paraId="13912ADF" w14:textId="77777777" w:rsidR="00652A03" w:rsidRPr="004969EF" w:rsidRDefault="00652A03" w:rsidP="004969EF">
      <w:pPr>
        <w:pStyle w:val="paragraph"/>
        <w:spacing w:before="0" w:beforeAutospacing="0" w:after="0" w:afterAutospacing="0" w:line="360" w:lineRule="auto"/>
        <w:jc w:val="both"/>
        <w:textAlignment w:val="baseline"/>
        <w:rPr>
          <w:rFonts w:ascii="Arial" w:hAnsi="Arial" w:cs="Arial"/>
          <w:b/>
          <w:bCs/>
          <w:sz w:val="22"/>
          <w:szCs w:val="22"/>
        </w:rPr>
      </w:pPr>
      <w:r w:rsidRPr="004969EF">
        <w:rPr>
          <w:rStyle w:val="normaltextrun"/>
          <w:rFonts w:ascii="Arial" w:hAnsi="Arial" w:cs="Arial"/>
          <w:b/>
          <w:bCs/>
          <w:sz w:val="22"/>
          <w:szCs w:val="22"/>
        </w:rPr>
        <w:t xml:space="preserve">2.6 Conclusion </w:t>
      </w:r>
    </w:p>
    <w:p w14:paraId="2CA0FCFB" w14:textId="77777777" w:rsidR="008B187E" w:rsidRPr="004969EF" w:rsidRDefault="00BD2909" w:rsidP="004969EF">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4969EF">
        <w:rPr>
          <w:rStyle w:val="eop"/>
          <w:rFonts w:ascii="Arial" w:eastAsia="Calibri Light" w:hAnsi="Arial" w:cs="Arial"/>
          <w:sz w:val="22"/>
          <w:szCs w:val="22"/>
        </w:rPr>
        <w:t> </w:t>
      </w:r>
    </w:p>
    <w:p w14:paraId="73936E2A" w14:textId="1F3AC4EA" w:rsidR="00652A03" w:rsidRPr="004969EF" w:rsidRDefault="00652A03" w:rsidP="004969EF">
      <w:pPr>
        <w:pStyle w:val="paragraph"/>
        <w:spacing w:before="0" w:beforeAutospacing="0" w:after="0" w:afterAutospacing="0" w:line="360" w:lineRule="auto"/>
        <w:jc w:val="both"/>
        <w:textAlignment w:val="baseline"/>
        <w:rPr>
          <w:rFonts w:ascii="Arial" w:hAnsi="Arial" w:cs="Arial"/>
          <w:sz w:val="22"/>
          <w:szCs w:val="22"/>
        </w:rPr>
      </w:pPr>
      <w:r w:rsidRPr="004969EF">
        <w:rPr>
          <w:rFonts w:ascii="Arial" w:hAnsi="Arial" w:cs="Arial"/>
          <w:sz w:val="22"/>
          <w:szCs w:val="22"/>
        </w:rPr>
        <w:t>This chapter has provided a structured overview of the contextual factors necessary to understand the under-recognition and referral of ADHD among children from ethnic minority backgrounds in England. The key areas explored include:</w:t>
      </w:r>
    </w:p>
    <w:p w14:paraId="79F63398" w14:textId="77777777" w:rsidR="00652A03" w:rsidRPr="004969EF" w:rsidRDefault="00652A03" w:rsidP="004969EF">
      <w:pPr>
        <w:spacing w:line="360" w:lineRule="auto"/>
        <w:jc w:val="both"/>
        <w:rPr>
          <w:rFonts w:ascii="Arial" w:hAnsi="Arial" w:cs="Arial"/>
          <w:sz w:val="22"/>
          <w:szCs w:val="22"/>
        </w:rPr>
      </w:pPr>
      <w:r w:rsidRPr="004969EF">
        <w:rPr>
          <w:rFonts w:ascii="Arial" w:hAnsi="Arial" w:cs="Arial"/>
          <w:sz w:val="22"/>
          <w:szCs w:val="22"/>
        </w:rPr>
        <w:t>Historical Context: Demonstrated how ADHD has evolved through changing diagnostic systems and shifting perspectives on disability, shaping current approaches to recognition.</w:t>
      </w:r>
    </w:p>
    <w:p w14:paraId="7526559C" w14:textId="77777777" w:rsidR="00652A03" w:rsidRPr="004969EF" w:rsidRDefault="00652A03" w:rsidP="004969EF">
      <w:pPr>
        <w:spacing w:line="360" w:lineRule="auto"/>
        <w:jc w:val="both"/>
        <w:rPr>
          <w:rFonts w:ascii="Arial" w:hAnsi="Arial" w:cs="Arial"/>
          <w:sz w:val="22"/>
          <w:szCs w:val="22"/>
        </w:rPr>
      </w:pPr>
    </w:p>
    <w:p w14:paraId="5AAF4A91" w14:textId="77777777" w:rsidR="00652A03" w:rsidRPr="004969EF" w:rsidRDefault="00652A03" w:rsidP="004969EF">
      <w:pPr>
        <w:spacing w:line="360" w:lineRule="auto"/>
        <w:jc w:val="both"/>
        <w:rPr>
          <w:rFonts w:ascii="Arial" w:hAnsi="Arial" w:cs="Arial"/>
          <w:sz w:val="22"/>
          <w:szCs w:val="22"/>
        </w:rPr>
      </w:pPr>
      <w:r w:rsidRPr="004969EF">
        <w:rPr>
          <w:rFonts w:ascii="Arial" w:hAnsi="Arial" w:cs="Arial"/>
          <w:sz w:val="22"/>
          <w:szCs w:val="22"/>
        </w:rPr>
        <w:t>Theoretical Frameworks: Applied attribution theory, discourse theory, Bronfenbrenner’s ecological systems theory and intersectionality to explain how behaviour is interpreted, how institutions respond, and how inequalities may emerge.</w:t>
      </w:r>
    </w:p>
    <w:p w14:paraId="11CC7120" w14:textId="15D4928F" w:rsidR="00652A03" w:rsidRDefault="00652A03" w:rsidP="004969EF">
      <w:pPr>
        <w:spacing w:line="360" w:lineRule="auto"/>
        <w:jc w:val="both"/>
        <w:rPr>
          <w:rFonts w:ascii="Arial" w:hAnsi="Arial" w:cs="Arial"/>
          <w:sz w:val="22"/>
          <w:szCs w:val="22"/>
        </w:rPr>
      </w:pPr>
      <w:r w:rsidRPr="004969EF">
        <w:rPr>
          <w:rFonts w:ascii="Arial" w:hAnsi="Arial" w:cs="Arial"/>
          <w:sz w:val="22"/>
          <w:szCs w:val="22"/>
        </w:rPr>
        <w:t>International Context: Showed that while ADHD is recognised globally, identification and support vary depending on system structures, professional knowledge and cultural interpretations.</w:t>
      </w:r>
    </w:p>
    <w:p w14:paraId="17073205" w14:textId="77777777" w:rsidR="009A3F02" w:rsidRPr="004969EF" w:rsidRDefault="009A3F02" w:rsidP="004969EF">
      <w:pPr>
        <w:spacing w:line="360" w:lineRule="auto"/>
        <w:jc w:val="both"/>
        <w:rPr>
          <w:rFonts w:ascii="Arial" w:hAnsi="Arial" w:cs="Arial"/>
          <w:sz w:val="22"/>
          <w:szCs w:val="22"/>
        </w:rPr>
      </w:pPr>
    </w:p>
    <w:p w14:paraId="6B1C80EF" w14:textId="77777777" w:rsidR="00652A03" w:rsidRPr="004969EF" w:rsidRDefault="00652A03" w:rsidP="004969EF">
      <w:pPr>
        <w:spacing w:line="360" w:lineRule="auto"/>
        <w:jc w:val="both"/>
        <w:rPr>
          <w:rFonts w:ascii="Arial" w:hAnsi="Arial" w:cs="Arial"/>
          <w:sz w:val="22"/>
          <w:szCs w:val="22"/>
        </w:rPr>
      </w:pPr>
      <w:r w:rsidRPr="004969EF">
        <w:rPr>
          <w:rFonts w:ascii="Arial" w:hAnsi="Arial" w:cs="Arial"/>
          <w:sz w:val="22"/>
          <w:szCs w:val="22"/>
        </w:rPr>
        <w:t>UK Policy and Practice: Examined national frameworks such as the Children and Families Act 2014, SEND Code of Practice and Equality Act 2010, highlighting that although systems for early identification exist, their implementation is inconsistent in practice.</w:t>
      </w:r>
    </w:p>
    <w:p w14:paraId="3F8B4663" w14:textId="0A16BAE4" w:rsidR="00652A03" w:rsidRDefault="00652A03" w:rsidP="004969EF">
      <w:pPr>
        <w:spacing w:line="360" w:lineRule="auto"/>
        <w:jc w:val="both"/>
        <w:rPr>
          <w:rFonts w:ascii="Arial" w:hAnsi="Arial" w:cs="Arial"/>
          <w:sz w:val="22"/>
          <w:szCs w:val="22"/>
        </w:rPr>
      </w:pPr>
      <w:r w:rsidRPr="004969EF">
        <w:rPr>
          <w:rFonts w:ascii="Arial" w:hAnsi="Arial" w:cs="Arial"/>
          <w:sz w:val="22"/>
          <w:szCs w:val="22"/>
        </w:rPr>
        <w:t>Together, these sections demonstrate that the key issue is not the absence of policy, but uneven implementation across schools, local authorities, and services. This results in variation in identification and referral, meaning that children with similar needs are not consistently recognised, particularly those from ethnic minority backgrounds.</w:t>
      </w:r>
    </w:p>
    <w:p w14:paraId="250C84D6" w14:textId="77777777" w:rsidR="009A3F02" w:rsidRPr="004969EF" w:rsidRDefault="009A3F02" w:rsidP="004969EF">
      <w:pPr>
        <w:spacing w:line="360" w:lineRule="auto"/>
        <w:jc w:val="both"/>
        <w:rPr>
          <w:rFonts w:ascii="Arial" w:hAnsi="Arial" w:cs="Arial"/>
          <w:sz w:val="22"/>
          <w:szCs w:val="22"/>
        </w:rPr>
      </w:pPr>
    </w:p>
    <w:p w14:paraId="5D181DA7" w14:textId="77777777" w:rsidR="00652A03" w:rsidRPr="004969EF" w:rsidRDefault="00652A03" w:rsidP="004969EF">
      <w:pPr>
        <w:spacing w:line="360" w:lineRule="auto"/>
        <w:jc w:val="both"/>
        <w:rPr>
          <w:rFonts w:ascii="Arial" w:hAnsi="Arial" w:cs="Arial"/>
          <w:sz w:val="22"/>
          <w:szCs w:val="22"/>
        </w:rPr>
      </w:pPr>
      <w:r w:rsidRPr="004969EF">
        <w:rPr>
          <w:rFonts w:ascii="Arial" w:hAnsi="Arial" w:cs="Arial"/>
          <w:sz w:val="22"/>
          <w:szCs w:val="22"/>
        </w:rPr>
        <w:t>Looking ahead, the next chapter will outline the methodological approach used in this study. The insights developed here inform the research aims, justify the focus on under-recognition in England, and guide the selection of methods used to explore school-based practices, local authority support structures and parental perceptions.</w:t>
      </w:r>
    </w:p>
    <w:p w14:paraId="466B0331" w14:textId="77777777" w:rsidR="000D0641" w:rsidRPr="004969EF" w:rsidRDefault="000D0641" w:rsidP="004969EF">
      <w:pPr>
        <w:spacing w:line="360" w:lineRule="auto"/>
        <w:jc w:val="both"/>
        <w:rPr>
          <w:rFonts w:ascii="Arial" w:hAnsi="Arial" w:cs="Arial"/>
          <w:sz w:val="22"/>
          <w:szCs w:val="22"/>
        </w:rPr>
      </w:pPr>
    </w:p>
    <w:p w14:paraId="5DDAF423" w14:textId="77777777" w:rsidR="000D0641" w:rsidRPr="004969EF" w:rsidRDefault="000D0641" w:rsidP="004969EF">
      <w:pPr>
        <w:spacing w:line="360" w:lineRule="auto"/>
        <w:jc w:val="both"/>
        <w:rPr>
          <w:rFonts w:ascii="Arial" w:hAnsi="Arial" w:cs="Arial"/>
          <w:sz w:val="22"/>
          <w:szCs w:val="22"/>
        </w:rPr>
      </w:pPr>
    </w:p>
    <w:p w14:paraId="0775F236" w14:textId="77777777" w:rsidR="00292A36" w:rsidRPr="004969EF" w:rsidRDefault="00292A36" w:rsidP="004969EF">
      <w:pPr>
        <w:spacing w:line="360" w:lineRule="auto"/>
        <w:jc w:val="both"/>
        <w:rPr>
          <w:rFonts w:ascii="Arial" w:hAnsi="Arial" w:cs="Arial"/>
          <w:sz w:val="22"/>
          <w:szCs w:val="22"/>
        </w:rPr>
      </w:pPr>
    </w:p>
    <w:p w14:paraId="360ADA1A" w14:textId="77777777" w:rsidR="00292A36" w:rsidRPr="004969EF" w:rsidRDefault="00292A36" w:rsidP="004969EF">
      <w:pPr>
        <w:spacing w:line="360" w:lineRule="auto"/>
        <w:jc w:val="both"/>
        <w:rPr>
          <w:rFonts w:ascii="Arial" w:hAnsi="Arial" w:cs="Arial"/>
          <w:sz w:val="22"/>
          <w:szCs w:val="22"/>
        </w:rPr>
      </w:pPr>
    </w:p>
    <w:p w14:paraId="4E2D256A" w14:textId="77777777" w:rsidR="00880B2D" w:rsidRPr="004969EF" w:rsidRDefault="00880B2D" w:rsidP="004969EF">
      <w:pPr>
        <w:spacing w:line="360" w:lineRule="auto"/>
        <w:jc w:val="both"/>
        <w:rPr>
          <w:rFonts w:ascii="Arial" w:hAnsi="Arial" w:cs="Arial"/>
          <w:sz w:val="22"/>
          <w:szCs w:val="22"/>
        </w:rPr>
      </w:pPr>
    </w:p>
    <w:p w14:paraId="0A075791" w14:textId="77777777" w:rsidR="00880B2D" w:rsidRPr="004969EF" w:rsidRDefault="00880B2D" w:rsidP="004969EF">
      <w:pPr>
        <w:spacing w:line="360" w:lineRule="auto"/>
        <w:jc w:val="both"/>
        <w:rPr>
          <w:rFonts w:ascii="Arial" w:hAnsi="Arial" w:cs="Arial"/>
          <w:sz w:val="22"/>
          <w:szCs w:val="22"/>
        </w:rPr>
      </w:pPr>
    </w:p>
    <w:p w14:paraId="407ABDAE" w14:textId="4F32BB8B" w:rsidR="00880B2D" w:rsidRPr="004969EF" w:rsidRDefault="00880B2D" w:rsidP="004969EF">
      <w:pPr>
        <w:spacing w:line="360" w:lineRule="auto"/>
        <w:jc w:val="both"/>
        <w:rPr>
          <w:rFonts w:ascii="Arial" w:hAnsi="Arial" w:cs="Arial"/>
          <w:sz w:val="22"/>
          <w:szCs w:val="22"/>
        </w:rPr>
        <w:sectPr w:rsidR="00880B2D" w:rsidRPr="004969EF">
          <w:footerReference w:type="default" r:id="rId9"/>
          <w:pgSz w:w="11906" w:h="16838"/>
          <w:pgMar w:top="1440" w:right="1440" w:bottom="1440" w:left="1440" w:header="708" w:footer="708" w:gutter="0"/>
          <w:cols w:space="708"/>
          <w:docGrid w:linePitch="360"/>
        </w:sectPr>
      </w:pPr>
    </w:p>
    <w:p w14:paraId="54E48F7F" w14:textId="2C8B9831" w:rsidR="00652A03" w:rsidRPr="004969EF" w:rsidRDefault="00292A36" w:rsidP="004969EF">
      <w:pPr>
        <w:pStyle w:val="Heading1"/>
        <w:spacing w:line="360" w:lineRule="auto"/>
        <w:ind w:left="0"/>
        <w:jc w:val="both"/>
        <w:rPr>
          <w:rFonts w:cs="Arial"/>
          <w:sz w:val="22"/>
          <w:szCs w:val="22"/>
          <w:u w:val="single"/>
        </w:rPr>
      </w:pPr>
      <w:bookmarkStart w:id="3" w:name="_Toc226379359"/>
      <w:r w:rsidRPr="004969EF">
        <w:rPr>
          <w:rFonts w:cs="Arial"/>
          <w:sz w:val="22"/>
          <w:szCs w:val="22"/>
          <w:u w:val="single"/>
        </w:rPr>
        <w:lastRenderedPageBreak/>
        <w:t>CHAPTER 3</w:t>
      </w:r>
      <w:bookmarkEnd w:id="3"/>
      <w:r w:rsidR="00E325CF" w:rsidRPr="004969EF">
        <w:rPr>
          <w:rFonts w:cs="Arial"/>
          <w:sz w:val="22"/>
          <w:szCs w:val="22"/>
          <w:u w:val="single"/>
        </w:rPr>
        <w:t xml:space="preserve"> </w:t>
      </w:r>
    </w:p>
    <w:p w14:paraId="148AD149" w14:textId="77777777" w:rsidR="00652A03" w:rsidRPr="004969EF" w:rsidRDefault="00652A03" w:rsidP="004969EF">
      <w:pPr>
        <w:pStyle w:val="Heading1"/>
        <w:spacing w:line="360" w:lineRule="auto"/>
        <w:ind w:left="0"/>
        <w:jc w:val="both"/>
        <w:rPr>
          <w:rFonts w:cs="Arial"/>
          <w:sz w:val="22"/>
          <w:szCs w:val="22"/>
        </w:rPr>
      </w:pPr>
    </w:p>
    <w:p w14:paraId="287A4F3C" w14:textId="773E7EA5" w:rsidR="00652A03" w:rsidRPr="004969EF" w:rsidRDefault="00292A36" w:rsidP="004969EF">
      <w:pPr>
        <w:pStyle w:val="Heading2"/>
        <w:spacing w:line="360" w:lineRule="auto"/>
        <w:jc w:val="both"/>
        <w:rPr>
          <w:rFonts w:ascii="Arial" w:hAnsi="Arial" w:cs="Arial"/>
          <w:b/>
          <w:bCs/>
          <w:color w:val="auto"/>
          <w:sz w:val="22"/>
          <w:szCs w:val="22"/>
        </w:rPr>
      </w:pPr>
      <w:bookmarkStart w:id="4" w:name="_Toc226379360"/>
      <w:r w:rsidRPr="004969EF">
        <w:rPr>
          <w:rFonts w:ascii="Arial" w:hAnsi="Arial" w:cs="Arial"/>
          <w:b/>
          <w:bCs/>
          <w:color w:val="auto"/>
          <w:sz w:val="22"/>
          <w:szCs w:val="22"/>
        </w:rPr>
        <w:t>3.</w:t>
      </w:r>
      <w:r w:rsidR="005D7A1E" w:rsidRPr="004969EF">
        <w:rPr>
          <w:rFonts w:ascii="Arial" w:hAnsi="Arial" w:cs="Arial"/>
          <w:b/>
          <w:bCs/>
          <w:color w:val="auto"/>
          <w:sz w:val="22"/>
          <w:szCs w:val="22"/>
        </w:rPr>
        <w:t>1</w:t>
      </w:r>
      <w:r w:rsidRPr="004969EF">
        <w:rPr>
          <w:rFonts w:ascii="Arial" w:hAnsi="Arial" w:cs="Arial"/>
          <w:b/>
          <w:bCs/>
          <w:color w:val="auto"/>
          <w:sz w:val="22"/>
          <w:szCs w:val="22"/>
        </w:rPr>
        <w:t xml:space="preserve"> –</w:t>
      </w:r>
      <w:r w:rsidR="0021364B" w:rsidRPr="004969EF">
        <w:rPr>
          <w:rFonts w:ascii="Arial" w:hAnsi="Arial" w:cs="Arial"/>
          <w:b/>
          <w:bCs/>
          <w:color w:val="auto"/>
          <w:sz w:val="22"/>
          <w:szCs w:val="22"/>
        </w:rPr>
        <w:t xml:space="preserve"> </w:t>
      </w:r>
      <w:r w:rsidRPr="004969EF">
        <w:rPr>
          <w:rFonts w:ascii="Arial" w:hAnsi="Arial" w:cs="Arial"/>
          <w:b/>
          <w:bCs/>
          <w:color w:val="auto"/>
          <w:sz w:val="22"/>
          <w:szCs w:val="22"/>
        </w:rPr>
        <w:t>Introduction</w:t>
      </w:r>
      <w:bookmarkEnd w:id="4"/>
      <w:r w:rsidRPr="004969EF">
        <w:rPr>
          <w:rFonts w:ascii="Arial" w:hAnsi="Arial" w:cs="Arial"/>
          <w:b/>
          <w:bCs/>
          <w:color w:val="auto"/>
          <w:sz w:val="22"/>
          <w:szCs w:val="22"/>
        </w:rPr>
        <w:t xml:space="preserve"> </w:t>
      </w:r>
    </w:p>
    <w:p w14:paraId="42573222" w14:textId="77777777" w:rsidR="005F62B8" w:rsidRPr="004969EF" w:rsidRDefault="005F62B8" w:rsidP="004969EF">
      <w:pPr>
        <w:spacing w:line="360" w:lineRule="auto"/>
        <w:jc w:val="both"/>
        <w:rPr>
          <w:rFonts w:ascii="Arial" w:hAnsi="Arial" w:cs="Arial"/>
          <w:sz w:val="22"/>
          <w:szCs w:val="22"/>
          <w:shd w:val="clear" w:color="auto" w:fill="FFFFFF"/>
        </w:rPr>
      </w:pPr>
      <w:r w:rsidRPr="004969EF">
        <w:rPr>
          <w:rFonts w:ascii="Arial" w:hAnsi="Arial" w:cs="Arial"/>
          <w:sz w:val="22"/>
          <w:szCs w:val="22"/>
          <w:shd w:val="clear" w:color="auto" w:fill="FFFFFF"/>
        </w:rPr>
        <w:t>This chapter sets out how the research was carried out, including how sources were identified, selected, and analysed in relation to the research question. It explains the approach taken to locating relevant literature, alongside the criteria used to evaluate the quality and relevance of each source.</w:t>
      </w:r>
    </w:p>
    <w:p w14:paraId="294D224F" w14:textId="77777777" w:rsidR="00652A03" w:rsidRPr="004969EF" w:rsidRDefault="005F62B8"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br/>
      </w:r>
      <w:r w:rsidRPr="004969EF">
        <w:rPr>
          <w:rFonts w:ascii="Arial" w:hAnsi="Arial" w:cs="Arial"/>
          <w:sz w:val="22"/>
          <w:szCs w:val="22"/>
          <w:shd w:val="clear" w:color="auto" w:fill="FFFFFF"/>
        </w:rPr>
        <w:t>While the academic methods poster provided a visual summary of this process, this chapter expand on each stage in more detail to show how decisions were made throughout the research.</w:t>
      </w:r>
    </w:p>
    <w:p w14:paraId="5BC9194B" w14:textId="70F95C0C" w:rsidR="005F62B8" w:rsidRPr="004969EF" w:rsidRDefault="005F62B8"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br/>
      </w:r>
      <w:r w:rsidRPr="004969EF">
        <w:rPr>
          <w:rFonts w:ascii="Arial" w:hAnsi="Arial" w:cs="Arial"/>
          <w:sz w:val="22"/>
          <w:szCs w:val="22"/>
          <w:shd w:val="clear" w:color="auto" w:fill="FFFFFF"/>
        </w:rPr>
        <w:t xml:space="preserve">The focus of the study is the under-recognition and referral of ADHD among children from ethnic minority backgrounds in England, particularly at the pre-diagnostic stage. To explore this, a qualitative secondary research approach was adopted. This enabled existing studies to be examined in depth to identify patterns across the literature. As </w:t>
      </w:r>
      <w:proofErr w:type="spellStart"/>
      <w:r w:rsidRPr="004969EF">
        <w:rPr>
          <w:rFonts w:ascii="Arial" w:hAnsi="Arial" w:cs="Arial"/>
          <w:sz w:val="22"/>
          <w:szCs w:val="22"/>
          <w:shd w:val="clear" w:color="auto" w:fill="FFFFFF"/>
        </w:rPr>
        <w:t>Largan</w:t>
      </w:r>
      <w:proofErr w:type="spellEnd"/>
      <w:r w:rsidRPr="004969EF">
        <w:rPr>
          <w:rFonts w:ascii="Arial" w:hAnsi="Arial" w:cs="Arial"/>
          <w:sz w:val="22"/>
          <w:szCs w:val="22"/>
          <w:shd w:val="clear" w:color="auto" w:fill="FFFFFF"/>
        </w:rPr>
        <w:t xml:space="preserve"> and Morris (2019) suggest, this approach allows researchers to work with existing evidence to explore shared meanings and recurring issues.</w:t>
      </w:r>
    </w:p>
    <w:p w14:paraId="0D66F4CA" w14:textId="59FD2C26" w:rsidR="005F62B8" w:rsidRPr="004969EF" w:rsidRDefault="005F62B8"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br/>
      </w:r>
      <w:r w:rsidRPr="004969EF">
        <w:rPr>
          <w:rFonts w:ascii="Arial" w:hAnsi="Arial" w:cs="Arial"/>
          <w:sz w:val="22"/>
          <w:szCs w:val="22"/>
          <w:shd w:val="clear" w:color="auto" w:fill="FFFFFF"/>
        </w:rPr>
        <w:t>These methods support the identification of patterns across studies, forming the basis of the thematic findings presented in Chapter 4.</w:t>
      </w:r>
    </w:p>
    <w:p w14:paraId="60939DF8" w14:textId="77777777" w:rsidR="00652A03" w:rsidRPr="004969EF" w:rsidRDefault="00652A03" w:rsidP="004969EF">
      <w:pPr>
        <w:spacing w:line="360" w:lineRule="auto"/>
        <w:jc w:val="both"/>
        <w:rPr>
          <w:rFonts w:ascii="Arial" w:hAnsi="Arial" w:cs="Arial"/>
          <w:sz w:val="22"/>
          <w:szCs w:val="22"/>
        </w:rPr>
      </w:pPr>
    </w:p>
    <w:p w14:paraId="644CE1D2" w14:textId="7BBD96E0" w:rsidR="009E5B14" w:rsidRPr="004969EF" w:rsidRDefault="00292A36" w:rsidP="004969EF">
      <w:pPr>
        <w:pStyle w:val="Heading2"/>
        <w:spacing w:line="360" w:lineRule="auto"/>
        <w:jc w:val="both"/>
        <w:rPr>
          <w:rFonts w:ascii="Arial" w:hAnsi="Arial" w:cs="Arial"/>
          <w:b/>
          <w:bCs/>
          <w:color w:val="auto"/>
          <w:sz w:val="22"/>
          <w:szCs w:val="22"/>
        </w:rPr>
      </w:pPr>
      <w:bookmarkStart w:id="5" w:name="_Toc226379361"/>
      <w:r w:rsidRPr="004969EF">
        <w:rPr>
          <w:rFonts w:ascii="Arial" w:hAnsi="Arial" w:cs="Arial"/>
          <w:b/>
          <w:bCs/>
          <w:color w:val="auto"/>
          <w:sz w:val="22"/>
          <w:szCs w:val="22"/>
        </w:rPr>
        <w:t>3.</w:t>
      </w:r>
      <w:r w:rsidR="00E40B0D" w:rsidRPr="004969EF">
        <w:rPr>
          <w:rFonts w:ascii="Arial" w:hAnsi="Arial" w:cs="Arial"/>
          <w:b/>
          <w:bCs/>
          <w:color w:val="auto"/>
          <w:sz w:val="22"/>
          <w:szCs w:val="22"/>
        </w:rPr>
        <w:t>2</w:t>
      </w:r>
      <w:r w:rsidRPr="004969EF">
        <w:rPr>
          <w:rFonts w:ascii="Arial" w:hAnsi="Arial" w:cs="Arial"/>
          <w:b/>
          <w:bCs/>
          <w:color w:val="auto"/>
          <w:sz w:val="22"/>
          <w:szCs w:val="22"/>
        </w:rPr>
        <w:t xml:space="preserve"> – Search Strategy</w:t>
      </w:r>
      <w:bookmarkEnd w:id="5"/>
      <w:r w:rsidRPr="004969EF">
        <w:rPr>
          <w:rFonts w:ascii="Arial" w:hAnsi="Arial" w:cs="Arial"/>
          <w:b/>
          <w:bCs/>
          <w:color w:val="auto"/>
          <w:sz w:val="22"/>
          <w:szCs w:val="22"/>
        </w:rPr>
        <w:t xml:space="preserve"> </w:t>
      </w:r>
    </w:p>
    <w:p w14:paraId="6AF612BB" w14:textId="77777777" w:rsidR="002058F1" w:rsidRPr="004969EF" w:rsidRDefault="002058F1" w:rsidP="004969EF">
      <w:pPr>
        <w:spacing w:line="360" w:lineRule="auto"/>
        <w:jc w:val="both"/>
        <w:rPr>
          <w:rFonts w:ascii="Arial" w:hAnsi="Arial" w:cs="Arial"/>
          <w:sz w:val="22"/>
          <w:szCs w:val="22"/>
        </w:rPr>
      </w:pPr>
      <w:r w:rsidRPr="004969EF">
        <w:rPr>
          <w:rFonts w:ascii="Arial" w:hAnsi="Arial" w:cs="Arial"/>
          <w:sz w:val="22"/>
          <w:szCs w:val="22"/>
        </w:rPr>
        <w:t>A structured search strategy was developed using keywords derived directly from the research question. Core terms included ADHD, under-recognition, pre-diagnosis, ethnic minority, education, and referral. These were expanded with additional terms such as teacher perception, cultural bias, local authority, help-seeking, and structural inequality.</w:t>
      </w:r>
    </w:p>
    <w:p w14:paraId="7D397323" w14:textId="56EE707F" w:rsidR="002058F1" w:rsidRPr="004969EF" w:rsidRDefault="002058F1" w:rsidP="004969EF">
      <w:pPr>
        <w:spacing w:line="360" w:lineRule="auto"/>
        <w:jc w:val="both"/>
        <w:rPr>
          <w:rFonts w:ascii="Arial" w:hAnsi="Arial" w:cs="Arial"/>
          <w:sz w:val="22"/>
          <w:szCs w:val="22"/>
        </w:rPr>
      </w:pPr>
      <w:r w:rsidRPr="004969EF">
        <w:rPr>
          <w:rFonts w:ascii="Arial" w:hAnsi="Arial" w:cs="Arial"/>
          <w:sz w:val="22"/>
          <w:szCs w:val="22"/>
        </w:rPr>
        <w:t>Boolean operators were used to refine searches. As Alharbi and Stevenson (2020) explain, combining terms using AND narrows results, while OR broadens them. Example search strings included:</w:t>
      </w:r>
    </w:p>
    <w:p w14:paraId="145EAA55" w14:textId="77777777" w:rsidR="00983FB2" w:rsidRPr="004969EF" w:rsidRDefault="00983FB2" w:rsidP="004969EF">
      <w:pPr>
        <w:spacing w:line="360" w:lineRule="auto"/>
        <w:jc w:val="both"/>
        <w:rPr>
          <w:rFonts w:ascii="Arial" w:hAnsi="Arial" w:cs="Arial"/>
          <w:sz w:val="22"/>
          <w:szCs w:val="22"/>
        </w:rPr>
      </w:pPr>
    </w:p>
    <w:p w14:paraId="2002F270" w14:textId="3ABA90B7" w:rsidR="002058F1" w:rsidRPr="004969EF" w:rsidRDefault="00983FB2" w:rsidP="00250E65">
      <w:pPr>
        <w:pStyle w:val="ListParagraph"/>
        <w:numPr>
          <w:ilvl w:val="0"/>
          <w:numId w:val="25"/>
        </w:numPr>
        <w:spacing w:line="360" w:lineRule="auto"/>
        <w:jc w:val="both"/>
        <w:rPr>
          <w:rFonts w:ascii="Arial" w:hAnsi="Arial" w:cs="Arial"/>
          <w:sz w:val="22"/>
          <w:szCs w:val="22"/>
        </w:rPr>
      </w:pPr>
      <w:r w:rsidRPr="004969EF">
        <w:rPr>
          <w:rFonts w:ascii="Arial" w:hAnsi="Arial" w:cs="Arial"/>
          <w:sz w:val="22"/>
          <w:szCs w:val="22"/>
        </w:rPr>
        <w:t>“</w:t>
      </w:r>
      <w:r w:rsidR="002058F1" w:rsidRPr="004969EF">
        <w:rPr>
          <w:rFonts w:ascii="Arial" w:hAnsi="Arial" w:cs="Arial"/>
          <w:sz w:val="22"/>
          <w:szCs w:val="22"/>
        </w:rPr>
        <w:t>ADHD</w:t>
      </w:r>
      <w:r w:rsidRPr="004969EF">
        <w:rPr>
          <w:rFonts w:ascii="Arial" w:hAnsi="Arial" w:cs="Arial"/>
          <w:sz w:val="22"/>
          <w:szCs w:val="22"/>
        </w:rPr>
        <w:t>”</w:t>
      </w:r>
      <w:r w:rsidR="002058F1" w:rsidRPr="004969EF">
        <w:rPr>
          <w:rFonts w:ascii="Arial" w:hAnsi="Arial" w:cs="Arial"/>
          <w:sz w:val="22"/>
          <w:szCs w:val="22"/>
        </w:rPr>
        <w:t xml:space="preserve"> AND “ethnic minority” AND “school referral”</w:t>
      </w:r>
    </w:p>
    <w:p w14:paraId="2C1B7BBE" w14:textId="32D2F47F" w:rsidR="002058F1" w:rsidRPr="004969EF" w:rsidRDefault="00983FB2" w:rsidP="00250E65">
      <w:pPr>
        <w:pStyle w:val="ListParagraph"/>
        <w:numPr>
          <w:ilvl w:val="0"/>
          <w:numId w:val="25"/>
        </w:numPr>
        <w:spacing w:line="360" w:lineRule="auto"/>
        <w:jc w:val="both"/>
        <w:rPr>
          <w:rFonts w:ascii="Arial" w:hAnsi="Arial" w:cs="Arial"/>
          <w:sz w:val="22"/>
          <w:szCs w:val="22"/>
        </w:rPr>
      </w:pPr>
      <w:r w:rsidRPr="004969EF">
        <w:rPr>
          <w:rFonts w:ascii="Arial" w:hAnsi="Arial" w:cs="Arial"/>
          <w:sz w:val="22"/>
          <w:szCs w:val="22"/>
        </w:rPr>
        <w:t>“</w:t>
      </w:r>
      <w:r w:rsidR="00B14B6E" w:rsidRPr="004969EF">
        <w:rPr>
          <w:rFonts w:ascii="Arial" w:hAnsi="Arial" w:cs="Arial"/>
          <w:sz w:val="22"/>
          <w:szCs w:val="22"/>
        </w:rPr>
        <w:t>T</w:t>
      </w:r>
      <w:r w:rsidR="002058F1" w:rsidRPr="004969EF">
        <w:rPr>
          <w:rFonts w:ascii="Arial" w:hAnsi="Arial" w:cs="Arial"/>
          <w:sz w:val="22"/>
          <w:szCs w:val="22"/>
        </w:rPr>
        <w:t>eacher perception” AND “behaviour interpretation” AND “cultural bias”</w:t>
      </w:r>
    </w:p>
    <w:p w14:paraId="4C51E65C" w14:textId="022A9F4B" w:rsidR="002058F1" w:rsidRPr="004969EF" w:rsidRDefault="00983FB2" w:rsidP="00250E65">
      <w:pPr>
        <w:pStyle w:val="ListParagraph"/>
        <w:numPr>
          <w:ilvl w:val="0"/>
          <w:numId w:val="25"/>
        </w:numPr>
        <w:spacing w:line="360" w:lineRule="auto"/>
        <w:jc w:val="both"/>
        <w:rPr>
          <w:rFonts w:ascii="Arial" w:hAnsi="Arial" w:cs="Arial"/>
          <w:sz w:val="22"/>
          <w:szCs w:val="22"/>
        </w:rPr>
      </w:pPr>
      <w:r w:rsidRPr="004969EF">
        <w:rPr>
          <w:rFonts w:ascii="Arial" w:hAnsi="Arial" w:cs="Arial"/>
          <w:sz w:val="22"/>
          <w:szCs w:val="22"/>
        </w:rPr>
        <w:t>“</w:t>
      </w:r>
      <w:r w:rsidR="002058F1" w:rsidRPr="004969EF">
        <w:rPr>
          <w:rFonts w:ascii="Arial" w:hAnsi="Arial" w:cs="Arial"/>
          <w:sz w:val="22"/>
          <w:szCs w:val="22"/>
        </w:rPr>
        <w:t>ADHD under-recognition” AND “</w:t>
      </w:r>
      <w:r w:rsidR="00B14B6E" w:rsidRPr="004969EF">
        <w:rPr>
          <w:rFonts w:ascii="Arial" w:hAnsi="Arial" w:cs="Arial"/>
          <w:sz w:val="22"/>
          <w:szCs w:val="22"/>
        </w:rPr>
        <w:t>L</w:t>
      </w:r>
      <w:r w:rsidR="002058F1" w:rsidRPr="004969EF">
        <w:rPr>
          <w:rFonts w:ascii="Arial" w:hAnsi="Arial" w:cs="Arial"/>
          <w:sz w:val="22"/>
          <w:szCs w:val="22"/>
        </w:rPr>
        <w:t xml:space="preserve">ocal </w:t>
      </w:r>
      <w:r w:rsidR="00B14B6E" w:rsidRPr="004969EF">
        <w:rPr>
          <w:rFonts w:ascii="Arial" w:hAnsi="Arial" w:cs="Arial"/>
          <w:sz w:val="22"/>
          <w:szCs w:val="22"/>
        </w:rPr>
        <w:t>A</w:t>
      </w:r>
      <w:r w:rsidR="002058F1" w:rsidRPr="004969EF">
        <w:rPr>
          <w:rFonts w:ascii="Arial" w:hAnsi="Arial" w:cs="Arial"/>
          <w:sz w:val="22"/>
          <w:szCs w:val="22"/>
        </w:rPr>
        <w:t>uthority” AND “England”</w:t>
      </w:r>
    </w:p>
    <w:p w14:paraId="0CB6ABEE" w14:textId="77777777" w:rsidR="00983FB2" w:rsidRPr="004969EF" w:rsidRDefault="00983FB2" w:rsidP="004969EF">
      <w:pPr>
        <w:spacing w:line="360" w:lineRule="auto"/>
        <w:jc w:val="both"/>
        <w:rPr>
          <w:rFonts w:ascii="Arial" w:hAnsi="Arial" w:cs="Arial"/>
          <w:sz w:val="22"/>
          <w:szCs w:val="22"/>
        </w:rPr>
      </w:pPr>
    </w:p>
    <w:p w14:paraId="7CFF44D0" w14:textId="77777777" w:rsidR="002058F1" w:rsidRPr="004969EF" w:rsidRDefault="002058F1" w:rsidP="004969EF">
      <w:pPr>
        <w:spacing w:line="360" w:lineRule="auto"/>
        <w:jc w:val="both"/>
        <w:rPr>
          <w:rFonts w:ascii="Arial" w:hAnsi="Arial" w:cs="Arial"/>
          <w:sz w:val="22"/>
          <w:szCs w:val="22"/>
        </w:rPr>
      </w:pPr>
      <w:r w:rsidRPr="004969EF">
        <w:rPr>
          <w:rFonts w:ascii="Arial" w:hAnsi="Arial" w:cs="Arial"/>
          <w:sz w:val="22"/>
          <w:szCs w:val="22"/>
        </w:rPr>
        <w:lastRenderedPageBreak/>
        <w:t>Searches were conducted between October 2024 and February 2025, with an updated search in March 2025 to ensure the inclusion of recent studies.</w:t>
      </w:r>
    </w:p>
    <w:p w14:paraId="0293381E" w14:textId="118FBCB9" w:rsidR="00D13A82" w:rsidRPr="004969EF" w:rsidRDefault="002058F1" w:rsidP="004969EF">
      <w:pPr>
        <w:spacing w:line="360" w:lineRule="auto"/>
        <w:jc w:val="both"/>
        <w:rPr>
          <w:rFonts w:ascii="Arial" w:hAnsi="Arial" w:cs="Arial"/>
          <w:sz w:val="22"/>
          <w:szCs w:val="22"/>
        </w:rPr>
      </w:pPr>
      <w:r w:rsidRPr="004969EF">
        <w:rPr>
          <w:rFonts w:ascii="Arial" w:hAnsi="Arial" w:cs="Arial"/>
          <w:sz w:val="22"/>
          <w:szCs w:val="22"/>
        </w:rPr>
        <w:t>This approach ensured a balance between specificity and breadth, reducing the likelihood of irrelevant or overly narrow results.</w:t>
      </w:r>
    </w:p>
    <w:p w14:paraId="231D936A" w14:textId="201385C8" w:rsidR="002058F1" w:rsidRPr="004969EF" w:rsidRDefault="00292A36" w:rsidP="00250E65">
      <w:pPr>
        <w:pStyle w:val="Heading2"/>
        <w:numPr>
          <w:ilvl w:val="1"/>
          <w:numId w:val="21"/>
        </w:numPr>
        <w:spacing w:line="360" w:lineRule="auto"/>
        <w:jc w:val="both"/>
        <w:rPr>
          <w:rFonts w:ascii="Arial" w:hAnsi="Arial" w:cs="Arial"/>
          <w:b/>
          <w:bCs/>
          <w:color w:val="auto"/>
          <w:sz w:val="22"/>
          <w:szCs w:val="22"/>
          <w:u w:val="single"/>
        </w:rPr>
      </w:pPr>
      <w:r w:rsidRPr="004969EF">
        <w:rPr>
          <w:rFonts w:ascii="Arial" w:hAnsi="Arial" w:cs="Arial"/>
          <w:b/>
          <w:bCs/>
          <w:color w:val="auto"/>
          <w:sz w:val="22"/>
          <w:szCs w:val="22"/>
          <w:u w:val="single"/>
        </w:rPr>
        <w:t xml:space="preserve"> </w:t>
      </w:r>
      <w:bookmarkStart w:id="6" w:name="_Toc226379362"/>
      <w:r w:rsidRPr="004969EF">
        <w:rPr>
          <w:rFonts w:ascii="Arial" w:hAnsi="Arial" w:cs="Arial"/>
          <w:b/>
          <w:bCs/>
          <w:color w:val="auto"/>
          <w:sz w:val="22"/>
          <w:szCs w:val="22"/>
          <w:u w:val="single"/>
        </w:rPr>
        <w:t>Searching for Information</w:t>
      </w:r>
      <w:bookmarkEnd w:id="6"/>
      <w:r w:rsidRPr="004969EF">
        <w:rPr>
          <w:rFonts w:ascii="Arial" w:hAnsi="Arial" w:cs="Arial"/>
          <w:b/>
          <w:bCs/>
          <w:color w:val="auto"/>
          <w:sz w:val="22"/>
          <w:szCs w:val="22"/>
          <w:u w:val="single"/>
        </w:rPr>
        <w:t xml:space="preserve"> </w:t>
      </w:r>
    </w:p>
    <w:p w14:paraId="5DC6F97E" w14:textId="6BD09FD9" w:rsidR="002058F1" w:rsidRPr="004969EF" w:rsidRDefault="002058F1" w:rsidP="004969EF">
      <w:pPr>
        <w:spacing w:line="360" w:lineRule="auto"/>
        <w:jc w:val="both"/>
        <w:rPr>
          <w:rFonts w:ascii="Arial" w:hAnsi="Arial" w:cs="Arial"/>
          <w:sz w:val="22"/>
          <w:szCs w:val="22"/>
        </w:rPr>
      </w:pPr>
      <w:r w:rsidRPr="004969EF">
        <w:rPr>
          <w:rFonts w:ascii="Arial" w:hAnsi="Arial" w:cs="Arial"/>
          <w:sz w:val="22"/>
          <w:szCs w:val="22"/>
        </w:rPr>
        <w:t>Searches were conducted across multiple academic databases, including Google Scholar, PubMed, ScienceDirect, Wiley Online Library, and Taylor and Francis Online. These databases were selected to ensure coverage across health, education, and social care research.</w:t>
      </w:r>
    </w:p>
    <w:p w14:paraId="7E21D32A" w14:textId="6C67F937" w:rsidR="002058F1" w:rsidRPr="004969EF" w:rsidRDefault="002058F1" w:rsidP="004969EF">
      <w:pPr>
        <w:spacing w:line="360" w:lineRule="auto"/>
        <w:jc w:val="both"/>
        <w:rPr>
          <w:rFonts w:ascii="Arial" w:hAnsi="Arial" w:cs="Arial"/>
          <w:sz w:val="22"/>
          <w:szCs w:val="22"/>
        </w:rPr>
      </w:pPr>
      <w:r w:rsidRPr="004969EF">
        <w:rPr>
          <w:rFonts w:ascii="Arial" w:hAnsi="Arial" w:cs="Arial"/>
          <w:sz w:val="22"/>
          <w:szCs w:val="22"/>
        </w:rPr>
        <w:t>To improve relevance, filters were applied. These included limiting results to the last ten years, English language publications, and studies focusing on children or educational settings. UK-based research was prioritised to reflect the focus of the study, although relevant international studies were included where they contributed to understanding behavioural interpretation and educational contexts.</w:t>
      </w:r>
    </w:p>
    <w:p w14:paraId="39CF8AB0" w14:textId="162389BE" w:rsidR="002058F1" w:rsidRPr="004969EF" w:rsidRDefault="002058F1" w:rsidP="004969EF">
      <w:pPr>
        <w:spacing w:line="360" w:lineRule="auto"/>
        <w:jc w:val="both"/>
        <w:rPr>
          <w:rFonts w:ascii="Arial" w:hAnsi="Arial" w:cs="Arial"/>
          <w:sz w:val="22"/>
          <w:szCs w:val="22"/>
        </w:rPr>
      </w:pPr>
      <w:r w:rsidRPr="004969EF">
        <w:rPr>
          <w:rFonts w:ascii="Arial" w:hAnsi="Arial" w:cs="Arial"/>
          <w:sz w:val="22"/>
          <w:szCs w:val="22"/>
        </w:rPr>
        <w:t>Particular attention was given to research exploring how behavioural difficulties are understood in school settings, including the use of ADHD assessment tools and how interpretation may vary across cultural contexts. Studies examining stigma, acculturation, language barriers, and cultural competence were also included, as these factors can influence how behaviour is understood and whether referral takes place.</w:t>
      </w:r>
    </w:p>
    <w:p w14:paraId="5CA1BF61" w14:textId="2C716B06" w:rsidR="002058F1" w:rsidRPr="004969EF" w:rsidRDefault="002058F1" w:rsidP="004969EF">
      <w:pPr>
        <w:spacing w:line="360" w:lineRule="auto"/>
        <w:jc w:val="both"/>
        <w:rPr>
          <w:rFonts w:ascii="Arial" w:hAnsi="Arial" w:cs="Arial"/>
          <w:sz w:val="22"/>
          <w:szCs w:val="22"/>
        </w:rPr>
      </w:pPr>
      <w:r w:rsidRPr="004969EF">
        <w:rPr>
          <w:rFonts w:ascii="Arial" w:hAnsi="Arial" w:cs="Arial"/>
          <w:sz w:val="22"/>
          <w:szCs w:val="22"/>
        </w:rPr>
        <w:t>The search process developed over time. Initial searches produced broad results, which required refinement through additional terms such as teacher training, diagnostic inequality, and cultural understanding. This reflects a responsive and evolving approach rather than a fixed strategy.</w:t>
      </w:r>
    </w:p>
    <w:p w14:paraId="6F09D47B" w14:textId="509A169A" w:rsidR="00B575E2" w:rsidRPr="004969EF" w:rsidRDefault="002058F1" w:rsidP="004969EF">
      <w:pPr>
        <w:spacing w:line="360" w:lineRule="auto"/>
        <w:jc w:val="both"/>
        <w:rPr>
          <w:rFonts w:ascii="Arial" w:hAnsi="Arial" w:cs="Arial"/>
          <w:sz w:val="22"/>
          <w:szCs w:val="22"/>
        </w:rPr>
      </w:pPr>
      <w:r w:rsidRPr="004969EF">
        <w:rPr>
          <w:rFonts w:ascii="Arial" w:hAnsi="Arial" w:cs="Arial"/>
          <w:sz w:val="22"/>
          <w:szCs w:val="22"/>
        </w:rPr>
        <w:t xml:space="preserve">A source tracking table was used to record key study details, supporting transparency and organisation </w:t>
      </w:r>
      <w:r w:rsidR="00207B7E" w:rsidRPr="004969EF">
        <w:rPr>
          <w:rFonts w:ascii="Arial" w:hAnsi="Arial" w:cs="Arial"/>
          <w:sz w:val="22"/>
          <w:szCs w:val="22"/>
        </w:rPr>
        <w:t>(</w:t>
      </w:r>
      <w:hyperlink w:anchor="_6.2_–_Appendices" w:history="1">
        <w:r w:rsidR="00207B7E" w:rsidRPr="004969EF">
          <w:rPr>
            <w:rStyle w:val="Hyperlink"/>
            <w:rFonts w:ascii="Arial" w:hAnsi="Arial" w:cs="Arial"/>
            <w:sz w:val="22"/>
            <w:szCs w:val="22"/>
          </w:rPr>
          <w:t>App</w:t>
        </w:r>
        <w:r w:rsidR="00207B7E" w:rsidRPr="004969EF">
          <w:rPr>
            <w:rStyle w:val="Hyperlink"/>
            <w:rFonts w:ascii="Arial" w:hAnsi="Arial" w:cs="Arial"/>
            <w:sz w:val="22"/>
            <w:szCs w:val="22"/>
          </w:rPr>
          <w:t>e</w:t>
        </w:r>
        <w:r w:rsidR="00207B7E" w:rsidRPr="004969EF">
          <w:rPr>
            <w:rStyle w:val="Hyperlink"/>
            <w:rFonts w:ascii="Arial" w:hAnsi="Arial" w:cs="Arial"/>
            <w:sz w:val="22"/>
            <w:szCs w:val="22"/>
          </w:rPr>
          <w:t>n</w:t>
        </w:r>
        <w:r w:rsidR="00207B7E" w:rsidRPr="004969EF">
          <w:rPr>
            <w:rStyle w:val="Hyperlink"/>
            <w:rFonts w:ascii="Arial" w:hAnsi="Arial" w:cs="Arial"/>
            <w:sz w:val="22"/>
            <w:szCs w:val="22"/>
          </w:rPr>
          <w:t>dix</w:t>
        </w:r>
        <w:r w:rsidRPr="004969EF">
          <w:rPr>
            <w:rStyle w:val="Hyperlink"/>
            <w:rFonts w:ascii="Arial" w:hAnsi="Arial" w:cs="Arial"/>
            <w:sz w:val="22"/>
            <w:szCs w:val="22"/>
          </w:rPr>
          <w:t xml:space="preserve"> A</w:t>
        </w:r>
      </w:hyperlink>
      <w:r w:rsidRPr="004969EF">
        <w:rPr>
          <w:rFonts w:ascii="Arial" w:hAnsi="Arial" w:cs="Arial"/>
          <w:sz w:val="22"/>
          <w:szCs w:val="22"/>
        </w:rPr>
        <w:t>).</w:t>
      </w:r>
    </w:p>
    <w:p w14:paraId="17A35966" w14:textId="77777777" w:rsidR="000F57F4" w:rsidRPr="004969EF" w:rsidRDefault="00292A36" w:rsidP="00250E65">
      <w:pPr>
        <w:pStyle w:val="Heading2"/>
        <w:numPr>
          <w:ilvl w:val="1"/>
          <w:numId w:val="16"/>
        </w:numPr>
        <w:spacing w:line="360" w:lineRule="auto"/>
        <w:jc w:val="both"/>
        <w:rPr>
          <w:rFonts w:ascii="Arial" w:hAnsi="Arial" w:cs="Arial"/>
          <w:b/>
          <w:bCs/>
          <w:color w:val="auto"/>
          <w:sz w:val="22"/>
          <w:szCs w:val="22"/>
          <w:u w:val="single"/>
        </w:rPr>
      </w:pPr>
      <w:bookmarkStart w:id="7" w:name="_Toc226379363"/>
      <w:r w:rsidRPr="004969EF">
        <w:rPr>
          <w:rFonts w:ascii="Arial" w:hAnsi="Arial" w:cs="Arial"/>
          <w:b/>
          <w:bCs/>
          <w:color w:val="auto"/>
          <w:sz w:val="22"/>
          <w:szCs w:val="22"/>
          <w:u w:val="single"/>
        </w:rPr>
        <w:t>– Research Validation</w:t>
      </w:r>
      <w:bookmarkEnd w:id="7"/>
    </w:p>
    <w:p w14:paraId="72132185" w14:textId="6E0A2E69" w:rsidR="00C220C0" w:rsidRPr="004969EF" w:rsidRDefault="00292A36" w:rsidP="004969EF">
      <w:pPr>
        <w:pStyle w:val="Heading2"/>
        <w:spacing w:line="360" w:lineRule="auto"/>
        <w:jc w:val="both"/>
        <w:rPr>
          <w:rFonts w:ascii="Arial" w:hAnsi="Arial" w:cs="Arial"/>
          <w:color w:val="auto"/>
          <w:sz w:val="22"/>
          <w:szCs w:val="22"/>
        </w:rPr>
      </w:pPr>
      <w:r w:rsidRPr="004969EF">
        <w:rPr>
          <w:rFonts w:ascii="Arial" w:hAnsi="Arial" w:cs="Arial"/>
          <w:color w:val="auto"/>
          <w:sz w:val="22"/>
          <w:szCs w:val="22"/>
        </w:rPr>
        <w:t xml:space="preserve">  </w:t>
      </w:r>
    </w:p>
    <w:p w14:paraId="62F9D20B" w14:textId="77777777" w:rsidR="00C220C0" w:rsidRPr="004969EF" w:rsidRDefault="00C220C0" w:rsidP="004969EF">
      <w:pPr>
        <w:spacing w:line="360" w:lineRule="auto"/>
        <w:jc w:val="both"/>
        <w:rPr>
          <w:rFonts w:ascii="Arial" w:hAnsi="Arial" w:cs="Arial"/>
          <w:sz w:val="22"/>
          <w:szCs w:val="22"/>
          <w:shd w:val="clear" w:color="auto" w:fill="FFFFFF"/>
        </w:rPr>
      </w:pPr>
      <w:r w:rsidRPr="004969EF">
        <w:rPr>
          <w:rFonts w:ascii="Arial" w:hAnsi="Arial" w:cs="Arial"/>
          <w:sz w:val="22"/>
          <w:szCs w:val="22"/>
          <w:shd w:val="clear" w:color="auto" w:fill="FFFFFF"/>
        </w:rPr>
        <w:t>Studies were initially screened using titles and abstracts to assess their relevance to ADHD recognition, referral processes, and ethnic inequalities. This allowed for the early removal of sources that did not align with the research focus.</w:t>
      </w:r>
    </w:p>
    <w:p w14:paraId="71E1A09D" w14:textId="77777777" w:rsidR="00C220C0" w:rsidRPr="004969EF" w:rsidRDefault="00C220C0" w:rsidP="004969EF">
      <w:pPr>
        <w:spacing w:line="360" w:lineRule="auto"/>
        <w:jc w:val="both"/>
        <w:rPr>
          <w:rFonts w:ascii="Arial" w:hAnsi="Arial" w:cs="Arial"/>
          <w:sz w:val="22"/>
          <w:szCs w:val="22"/>
        </w:rPr>
      </w:pPr>
      <w:r w:rsidRPr="004969EF">
        <w:rPr>
          <w:rFonts w:ascii="Arial" w:hAnsi="Arial" w:cs="Arial"/>
          <w:sz w:val="22"/>
          <w:szCs w:val="22"/>
        </w:rPr>
        <w:br/>
        <w:t xml:space="preserve">The CRAAP framework was applied to evaluate each source in terms of currency, relevance, authority, accuracy, and purpose. This provided a consistent structure for assessing quality. </w:t>
      </w:r>
      <w:proofErr w:type="spellStart"/>
      <w:r w:rsidRPr="004969EF">
        <w:rPr>
          <w:rFonts w:ascii="Arial" w:hAnsi="Arial" w:cs="Arial"/>
          <w:sz w:val="22"/>
          <w:szCs w:val="22"/>
        </w:rPr>
        <w:t>Largan</w:t>
      </w:r>
      <w:proofErr w:type="spellEnd"/>
      <w:r w:rsidRPr="004969EF">
        <w:rPr>
          <w:rFonts w:ascii="Arial" w:hAnsi="Arial" w:cs="Arial"/>
          <w:sz w:val="22"/>
          <w:szCs w:val="22"/>
        </w:rPr>
        <w:t xml:space="preserve"> and Morris (2019) highlight that systematic selection processes strengthen the reliability of secondary research.</w:t>
      </w:r>
    </w:p>
    <w:p w14:paraId="6AA8E658" w14:textId="0E8726A1" w:rsidR="00C220C0" w:rsidRPr="004969EF" w:rsidRDefault="00C220C0"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lastRenderedPageBreak/>
        <w:br/>
      </w:r>
      <w:r w:rsidRPr="004969EF">
        <w:rPr>
          <w:rFonts w:ascii="Arial" w:hAnsi="Arial" w:cs="Arial"/>
          <w:sz w:val="22"/>
          <w:szCs w:val="22"/>
          <w:shd w:val="clear" w:color="auto" w:fill="FFFFFF"/>
        </w:rPr>
        <w:t>Inclusion decisions focused on relevance to early identification. Studies examining adult ADHD or post-diagnostic treatment were excluded. In contrast, research exploring teacher perceptions, cultural understanding, behavioural interpretation, and structural influences was retained.</w:t>
      </w:r>
    </w:p>
    <w:p w14:paraId="1C1CD00C" w14:textId="77777777" w:rsidR="00B575E2" w:rsidRPr="004969EF" w:rsidRDefault="00B575E2" w:rsidP="004969EF">
      <w:pPr>
        <w:spacing w:line="360" w:lineRule="auto"/>
        <w:jc w:val="both"/>
        <w:rPr>
          <w:rFonts w:ascii="Arial" w:hAnsi="Arial" w:cs="Arial"/>
          <w:sz w:val="22"/>
          <w:szCs w:val="22"/>
        </w:rPr>
      </w:pPr>
    </w:p>
    <w:p w14:paraId="0E7E3997" w14:textId="10F821EE" w:rsidR="0021364B" w:rsidRPr="004969EF" w:rsidRDefault="00292A36" w:rsidP="00250E65">
      <w:pPr>
        <w:pStyle w:val="Heading2"/>
        <w:numPr>
          <w:ilvl w:val="1"/>
          <w:numId w:val="16"/>
        </w:numPr>
        <w:spacing w:line="360" w:lineRule="auto"/>
        <w:jc w:val="both"/>
        <w:rPr>
          <w:rFonts w:ascii="Arial" w:hAnsi="Arial" w:cs="Arial"/>
          <w:color w:val="auto"/>
          <w:sz w:val="22"/>
          <w:szCs w:val="22"/>
        </w:rPr>
      </w:pPr>
      <w:bookmarkStart w:id="8" w:name="_Toc226379364"/>
      <w:r w:rsidRPr="004969EF">
        <w:rPr>
          <w:rStyle w:val="Heading2Char"/>
          <w:rFonts w:ascii="Arial" w:hAnsi="Arial" w:cs="Arial"/>
          <w:color w:val="auto"/>
          <w:sz w:val="22"/>
          <w:szCs w:val="22"/>
        </w:rPr>
        <w:t>- Inclusion and Exclusion Criteria</w:t>
      </w:r>
      <w:bookmarkEnd w:id="8"/>
      <w:r w:rsidRPr="004969EF">
        <w:rPr>
          <w:rStyle w:val="Heading2Char"/>
          <w:rFonts w:ascii="Arial" w:hAnsi="Arial" w:cs="Arial"/>
          <w:color w:val="auto"/>
          <w:sz w:val="22"/>
          <w:szCs w:val="22"/>
        </w:rPr>
        <w:t xml:space="preserve"> </w:t>
      </w:r>
      <w:r w:rsidR="00C17A49" w:rsidRPr="004969EF">
        <w:rPr>
          <w:rFonts w:ascii="Arial" w:hAnsi="Arial" w:cs="Arial"/>
          <w:color w:val="auto"/>
          <w:sz w:val="22"/>
          <w:szCs w:val="22"/>
        </w:rPr>
        <w:br/>
      </w:r>
    </w:p>
    <w:p w14:paraId="662AF6CA" w14:textId="77777777" w:rsidR="001837C9" w:rsidRPr="004969EF" w:rsidRDefault="001837C9" w:rsidP="004969EF">
      <w:pPr>
        <w:spacing w:line="360" w:lineRule="auto"/>
        <w:jc w:val="both"/>
        <w:rPr>
          <w:rFonts w:ascii="Arial" w:hAnsi="Arial" w:cs="Arial"/>
          <w:sz w:val="22"/>
          <w:szCs w:val="22"/>
          <w:shd w:val="clear" w:color="auto" w:fill="FFFFFF"/>
        </w:rPr>
      </w:pPr>
      <w:r w:rsidRPr="004969EF">
        <w:rPr>
          <w:rFonts w:ascii="Arial" w:hAnsi="Arial" w:cs="Arial"/>
          <w:sz w:val="22"/>
          <w:szCs w:val="22"/>
          <w:shd w:val="clear" w:color="auto" w:fill="FFFFFF"/>
        </w:rPr>
        <w:t>Studies were included if they were peer-reviewed, published within the last ten years, and focused on ADHD in children or young people. Priority was given to research addressing pre-diagnosis, under-recognition, referral pathways, behavioural interpretation, and experiences of ethnic minority groups.</w:t>
      </w:r>
    </w:p>
    <w:p w14:paraId="5E574911" w14:textId="77777777" w:rsidR="00B14B6E" w:rsidRPr="004969EF" w:rsidRDefault="001837C9"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br/>
      </w:r>
      <w:r w:rsidRPr="004969EF">
        <w:rPr>
          <w:rFonts w:ascii="Arial" w:hAnsi="Arial" w:cs="Arial"/>
          <w:sz w:val="22"/>
          <w:szCs w:val="22"/>
          <w:shd w:val="clear" w:color="auto" w:fill="FFFFFF"/>
        </w:rPr>
        <w:t>Additional studies were included where they explored cultural influences such as stigma, acculturation, language barriers, and cultural competence, particularly where these factors shaped how</w:t>
      </w:r>
      <w:r w:rsidR="00AD1365" w:rsidRPr="004969EF">
        <w:rPr>
          <w:rFonts w:ascii="Arial" w:hAnsi="Arial" w:cs="Arial"/>
          <w:sz w:val="22"/>
          <w:szCs w:val="22"/>
          <w:shd w:val="clear" w:color="auto" w:fill="FFFFFF"/>
        </w:rPr>
        <w:t xml:space="preserve"> </w:t>
      </w:r>
      <w:r w:rsidRPr="004969EF">
        <w:rPr>
          <w:rFonts w:ascii="Arial" w:hAnsi="Arial" w:cs="Arial"/>
          <w:sz w:val="22"/>
          <w:szCs w:val="22"/>
          <w:shd w:val="clear" w:color="auto" w:fill="FFFFFF"/>
        </w:rPr>
        <w:t>behaviour was interpreted in educational settings.</w:t>
      </w:r>
    </w:p>
    <w:p w14:paraId="194A9E1E" w14:textId="7724EAF9" w:rsidR="001837C9" w:rsidRPr="004969EF" w:rsidRDefault="001837C9"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br/>
      </w:r>
      <w:r w:rsidRPr="004969EF">
        <w:rPr>
          <w:rFonts w:ascii="Arial" w:hAnsi="Arial" w:cs="Arial"/>
          <w:sz w:val="22"/>
          <w:szCs w:val="22"/>
          <w:shd w:val="clear" w:color="auto" w:fill="FFFFFF"/>
        </w:rPr>
        <w:t>Studies were excluded if they focused on adult ADHD or individuals who had already received a formal diagnosis, as this did not align with the focus on early identification. Research centred on treatment, medication, or post-diagnostic support was also excluded for this reason.</w:t>
      </w:r>
    </w:p>
    <w:p w14:paraId="79EFA533" w14:textId="5EA0AC9A" w:rsidR="00B575E2" w:rsidRPr="004969EF" w:rsidRDefault="001837C9" w:rsidP="004969EF">
      <w:pPr>
        <w:spacing w:line="360" w:lineRule="auto"/>
        <w:jc w:val="both"/>
        <w:rPr>
          <w:rFonts w:ascii="Arial" w:hAnsi="Arial" w:cs="Arial"/>
          <w:sz w:val="22"/>
          <w:szCs w:val="22"/>
        </w:rPr>
      </w:pPr>
      <w:r w:rsidRPr="004969EF">
        <w:rPr>
          <w:rFonts w:ascii="Arial" w:hAnsi="Arial" w:cs="Arial"/>
          <w:sz w:val="22"/>
          <w:szCs w:val="22"/>
        </w:rPr>
        <w:br/>
      </w:r>
      <w:r w:rsidRPr="004969EF">
        <w:rPr>
          <w:rFonts w:ascii="Arial" w:hAnsi="Arial" w:cs="Arial"/>
          <w:sz w:val="22"/>
          <w:szCs w:val="22"/>
          <w:shd w:val="clear" w:color="auto" w:fill="FFFFFF"/>
        </w:rPr>
        <w:t>To maintain clarity, studies not related to educational contexts, behavioural interpretation, or referral processes were excluded</w:t>
      </w:r>
    </w:p>
    <w:p w14:paraId="229086F6" w14:textId="77777777" w:rsidR="00C220C0" w:rsidRPr="004969EF" w:rsidRDefault="00C220C0" w:rsidP="004969EF">
      <w:pPr>
        <w:spacing w:line="360" w:lineRule="auto"/>
        <w:jc w:val="both"/>
        <w:rPr>
          <w:rFonts w:ascii="Arial" w:hAnsi="Arial" w:cs="Arial"/>
          <w:sz w:val="22"/>
          <w:szCs w:val="22"/>
          <w:shd w:val="clear" w:color="auto" w:fill="FFFFFF"/>
        </w:rPr>
      </w:pPr>
      <w:r w:rsidRPr="004969EF">
        <w:rPr>
          <w:rFonts w:ascii="Arial" w:hAnsi="Arial" w:cs="Arial"/>
          <w:sz w:val="22"/>
          <w:szCs w:val="22"/>
          <w:shd w:val="clear" w:color="auto" w:fill="FFFFFF"/>
        </w:rPr>
        <w:t>Studies were included if they were peer-reviewed, published within the last ten years, and focused on ADHD in children or young people. Priority was given to research addressing pre-diagnosis, under-recognition, referral pathways, behavioural interpretation, and experiences of ethnic minority groups.</w:t>
      </w:r>
    </w:p>
    <w:p w14:paraId="1D965EEB" w14:textId="77777777" w:rsidR="00C220C0" w:rsidRPr="004969EF" w:rsidRDefault="00C220C0" w:rsidP="004969EF">
      <w:pPr>
        <w:spacing w:line="360" w:lineRule="auto"/>
        <w:jc w:val="both"/>
        <w:rPr>
          <w:rFonts w:ascii="Arial" w:hAnsi="Arial" w:cs="Arial"/>
          <w:sz w:val="22"/>
          <w:szCs w:val="22"/>
          <w:shd w:val="clear" w:color="auto" w:fill="FFFFFF"/>
        </w:rPr>
      </w:pPr>
      <w:r w:rsidRPr="004969EF">
        <w:rPr>
          <w:rFonts w:ascii="Arial" w:hAnsi="Arial" w:cs="Arial"/>
          <w:sz w:val="22"/>
          <w:szCs w:val="22"/>
        </w:rPr>
        <w:br/>
      </w:r>
      <w:r w:rsidRPr="004969EF">
        <w:rPr>
          <w:rFonts w:ascii="Arial" w:hAnsi="Arial" w:cs="Arial"/>
          <w:sz w:val="22"/>
          <w:szCs w:val="22"/>
          <w:shd w:val="clear" w:color="auto" w:fill="FFFFFF"/>
        </w:rPr>
        <w:t>Additional studies were included where they explored cultural influences such as stigma, acculturation, language barriers, and cultural competence, particularly where these factors shaped how behaviour was interpreted in educational settings.</w:t>
      </w:r>
      <w:r w:rsidRPr="004969EF">
        <w:rPr>
          <w:rFonts w:ascii="Arial" w:hAnsi="Arial" w:cs="Arial"/>
          <w:sz w:val="22"/>
          <w:szCs w:val="22"/>
        </w:rPr>
        <w:br/>
      </w:r>
      <w:r w:rsidRPr="004969EF">
        <w:rPr>
          <w:rFonts w:ascii="Arial" w:hAnsi="Arial" w:cs="Arial"/>
          <w:sz w:val="22"/>
          <w:szCs w:val="22"/>
          <w:shd w:val="clear" w:color="auto" w:fill="FFFFFF"/>
        </w:rPr>
        <w:t>Studies were excluded if they focused on adult ADHD or individuals who had already received a formal diagnosis, as this did not align with the focus on early identification. Research centred on treatment, medication, or post-diagnostic support was also excluded for this reason.</w:t>
      </w:r>
    </w:p>
    <w:p w14:paraId="2CC415CB" w14:textId="77777777" w:rsidR="00C220C0" w:rsidRPr="004969EF" w:rsidRDefault="00C220C0" w:rsidP="004969EF">
      <w:pPr>
        <w:spacing w:line="360" w:lineRule="auto"/>
        <w:jc w:val="both"/>
        <w:rPr>
          <w:rFonts w:ascii="Arial" w:hAnsi="Arial" w:cs="Arial"/>
          <w:sz w:val="22"/>
          <w:szCs w:val="22"/>
        </w:rPr>
      </w:pPr>
      <w:r w:rsidRPr="004969EF">
        <w:rPr>
          <w:rFonts w:ascii="Arial" w:hAnsi="Arial" w:cs="Arial"/>
          <w:sz w:val="22"/>
          <w:szCs w:val="22"/>
        </w:rPr>
        <w:br/>
      </w:r>
      <w:r w:rsidRPr="004969EF">
        <w:rPr>
          <w:rFonts w:ascii="Arial" w:hAnsi="Arial" w:cs="Arial"/>
          <w:sz w:val="22"/>
          <w:szCs w:val="22"/>
          <w:shd w:val="clear" w:color="auto" w:fill="FFFFFF"/>
        </w:rPr>
        <w:t>To maintain clarity, studies not related to educational contexts, behavioural interpretation, or referral processes were excluded.</w:t>
      </w:r>
    </w:p>
    <w:p w14:paraId="01CFF903" w14:textId="77777777" w:rsidR="00C220C0" w:rsidRPr="004969EF" w:rsidRDefault="00C220C0" w:rsidP="004969EF">
      <w:pPr>
        <w:spacing w:line="360" w:lineRule="auto"/>
        <w:jc w:val="both"/>
        <w:rPr>
          <w:rFonts w:ascii="Arial" w:hAnsi="Arial" w:cs="Arial"/>
          <w:sz w:val="22"/>
          <w:szCs w:val="22"/>
        </w:rPr>
      </w:pPr>
    </w:p>
    <w:p w14:paraId="01A5598C" w14:textId="0BB0FBBF" w:rsidR="0021364B" w:rsidRPr="004969EF" w:rsidRDefault="00292A36" w:rsidP="00250E65">
      <w:pPr>
        <w:pStyle w:val="Heading2"/>
        <w:numPr>
          <w:ilvl w:val="1"/>
          <w:numId w:val="16"/>
        </w:numPr>
        <w:spacing w:line="360" w:lineRule="auto"/>
        <w:jc w:val="both"/>
        <w:rPr>
          <w:rFonts w:ascii="Arial" w:hAnsi="Arial" w:cs="Arial"/>
          <w:color w:val="auto"/>
          <w:sz w:val="22"/>
          <w:szCs w:val="22"/>
        </w:rPr>
      </w:pPr>
      <w:bookmarkStart w:id="9" w:name="_Toc226379365"/>
      <w:r w:rsidRPr="004969EF">
        <w:rPr>
          <w:rFonts w:ascii="Arial" w:hAnsi="Arial" w:cs="Arial"/>
          <w:color w:val="auto"/>
          <w:sz w:val="22"/>
          <w:szCs w:val="22"/>
        </w:rPr>
        <w:t>– Analysing Research</w:t>
      </w:r>
      <w:bookmarkEnd w:id="9"/>
      <w:r w:rsidRPr="004969EF">
        <w:rPr>
          <w:rFonts w:ascii="Arial" w:hAnsi="Arial" w:cs="Arial"/>
          <w:color w:val="auto"/>
          <w:sz w:val="22"/>
          <w:szCs w:val="22"/>
        </w:rPr>
        <w:t xml:space="preserve">  </w:t>
      </w:r>
    </w:p>
    <w:p w14:paraId="422AD60E" w14:textId="77777777" w:rsidR="006056D3" w:rsidRPr="004969EF" w:rsidRDefault="006056D3" w:rsidP="004969EF">
      <w:pPr>
        <w:spacing w:line="360" w:lineRule="auto"/>
        <w:jc w:val="both"/>
        <w:rPr>
          <w:rFonts w:ascii="Arial" w:hAnsi="Arial" w:cs="Arial"/>
          <w:sz w:val="22"/>
          <w:szCs w:val="22"/>
        </w:rPr>
      </w:pPr>
      <w:r w:rsidRPr="004969EF">
        <w:rPr>
          <w:rFonts w:ascii="Arial" w:hAnsi="Arial" w:cs="Arial"/>
          <w:sz w:val="22"/>
          <w:szCs w:val="22"/>
        </w:rPr>
        <w:t>The selected studies were analysed using a thematic coding approach. Each article was reviewed in detail to identify repeated ideas and patterns related to ADHD under-recognition and referral.</w:t>
      </w:r>
    </w:p>
    <w:p w14:paraId="0062BCFE" w14:textId="77777777" w:rsidR="006056D3" w:rsidRPr="004969EF" w:rsidRDefault="006056D3" w:rsidP="00250E65">
      <w:pPr>
        <w:pStyle w:val="ListParagraph"/>
        <w:numPr>
          <w:ilvl w:val="0"/>
          <w:numId w:val="20"/>
        </w:numPr>
        <w:spacing w:line="360" w:lineRule="auto"/>
        <w:jc w:val="both"/>
        <w:rPr>
          <w:rFonts w:ascii="Arial" w:eastAsia="Times New Roman" w:hAnsi="Arial" w:cs="Arial"/>
          <w:sz w:val="22"/>
          <w:szCs w:val="22"/>
        </w:rPr>
      </w:pPr>
      <w:r w:rsidRPr="004969EF">
        <w:rPr>
          <w:rFonts w:ascii="Arial" w:eastAsia="Times New Roman" w:hAnsi="Arial" w:cs="Arial"/>
          <w:sz w:val="22"/>
          <w:szCs w:val="22"/>
        </w:rPr>
        <w:t>Initial coding focused on:</w:t>
      </w:r>
    </w:p>
    <w:p w14:paraId="66F910F2" w14:textId="77777777" w:rsidR="006056D3" w:rsidRPr="004969EF" w:rsidRDefault="006056D3" w:rsidP="00250E65">
      <w:pPr>
        <w:pStyle w:val="ListParagraph"/>
        <w:numPr>
          <w:ilvl w:val="0"/>
          <w:numId w:val="20"/>
        </w:numPr>
        <w:spacing w:line="360" w:lineRule="auto"/>
        <w:jc w:val="both"/>
        <w:rPr>
          <w:rFonts w:ascii="Arial" w:eastAsia="Times New Roman" w:hAnsi="Arial" w:cs="Arial"/>
          <w:sz w:val="22"/>
          <w:szCs w:val="22"/>
        </w:rPr>
      </w:pPr>
      <w:r w:rsidRPr="004969EF">
        <w:rPr>
          <w:rFonts w:ascii="Arial" w:eastAsia="Times New Roman" w:hAnsi="Arial" w:cs="Arial"/>
          <w:sz w:val="22"/>
          <w:szCs w:val="22"/>
        </w:rPr>
        <w:t>teacher interpretation</w:t>
      </w:r>
    </w:p>
    <w:p w14:paraId="7C0C085A" w14:textId="77777777" w:rsidR="006056D3" w:rsidRPr="004969EF" w:rsidRDefault="006056D3" w:rsidP="00250E65">
      <w:pPr>
        <w:pStyle w:val="ListParagraph"/>
        <w:numPr>
          <w:ilvl w:val="0"/>
          <w:numId w:val="20"/>
        </w:numPr>
        <w:spacing w:line="360" w:lineRule="auto"/>
        <w:jc w:val="both"/>
        <w:rPr>
          <w:rFonts w:ascii="Arial" w:eastAsia="Times New Roman" w:hAnsi="Arial" w:cs="Arial"/>
          <w:sz w:val="22"/>
          <w:szCs w:val="22"/>
        </w:rPr>
      </w:pPr>
      <w:r w:rsidRPr="004969EF">
        <w:rPr>
          <w:rFonts w:ascii="Arial" w:eastAsia="Times New Roman" w:hAnsi="Arial" w:cs="Arial"/>
          <w:sz w:val="22"/>
          <w:szCs w:val="22"/>
        </w:rPr>
        <w:t>parental awareness</w:t>
      </w:r>
    </w:p>
    <w:p w14:paraId="74A95742" w14:textId="77777777" w:rsidR="006056D3" w:rsidRPr="004969EF" w:rsidRDefault="006056D3" w:rsidP="00250E65">
      <w:pPr>
        <w:pStyle w:val="ListParagraph"/>
        <w:numPr>
          <w:ilvl w:val="0"/>
          <w:numId w:val="20"/>
        </w:numPr>
        <w:spacing w:line="360" w:lineRule="auto"/>
        <w:jc w:val="both"/>
        <w:rPr>
          <w:rFonts w:ascii="Arial" w:eastAsia="Times New Roman" w:hAnsi="Arial" w:cs="Arial"/>
          <w:sz w:val="22"/>
          <w:szCs w:val="22"/>
        </w:rPr>
      </w:pPr>
      <w:r w:rsidRPr="004969EF">
        <w:rPr>
          <w:rFonts w:ascii="Arial" w:eastAsia="Times New Roman" w:hAnsi="Arial" w:cs="Arial"/>
          <w:sz w:val="22"/>
          <w:szCs w:val="22"/>
        </w:rPr>
        <w:t>cultural understanding</w:t>
      </w:r>
    </w:p>
    <w:p w14:paraId="1F8574D7" w14:textId="3C47B17C" w:rsidR="006056D3" w:rsidRPr="004969EF" w:rsidRDefault="006056D3" w:rsidP="00250E65">
      <w:pPr>
        <w:pStyle w:val="ListParagraph"/>
        <w:numPr>
          <w:ilvl w:val="0"/>
          <w:numId w:val="20"/>
        </w:numPr>
        <w:spacing w:line="360" w:lineRule="auto"/>
        <w:jc w:val="both"/>
        <w:rPr>
          <w:rFonts w:ascii="Arial" w:eastAsia="Times New Roman" w:hAnsi="Arial" w:cs="Arial"/>
          <w:sz w:val="22"/>
          <w:szCs w:val="22"/>
        </w:rPr>
      </w:pPr>
      <w:r w:rsidRPr="004969EF">
        <w:rPr>
          <w:rFonts w:ascii="Arial" w:eastAsia="Times New Roman" w:hAnsi="Arial" w:cs="Arial"/>
          <w:sz w:val="22"/>
          <w:szCs w:val="22"/>
        </w:rPr>
        <w:t>structural barriers</w:t>
      </w:r>
    </w:p>
    <w:p w14:paraId="2570B5F8" w14:textId="77777777" w:rsidR="00AD1365" w:rsidRPr="004969EF" w:rsidRDefault="00AD1365" w:rsidP="004969EF">
      <w:pPr>
        <w:pStyle w:val="ListParagraph"/>
        <w:spacing w:line="360" w:lineRule="auto"/>
        <w:ind w:left="720" w:firstLine="0"/>
        <w:jc w:val="both"/>
        <w:rPr>
          <w:rFonts w:ascii="Arial" w:eastAsia="Times New Roman" w:hAnsi="Arial" w:cs="Arial"/>
          <w:sz w:val="22"/>
          <w:szCs w:val="22"/>
        </w:rPr>
      </w:pPr>
    </w:p>
    <w:p w14:paraId="5DE02B4E" w14:textId="77777777" w:rsidR="006056D3" w:rsidRPr="004969EF" w:rsidRDefault="006056D3" w:rsidP="004969EF">
      <w:pPr>
        <w:spacing w:line="360" w:lineRule="auto"/>
        <w:jc w:val="both"/>
        <w:rPr>
          <w:rFonts w:ascii="Arial" w:hAnsi="Arial" w:cs="Arial"/>
          <w:sz w:val="22"/>
          <w:szCs w:val="22"/>
        </w:rPr>
      </w:pPr>
      <w:r w:rsidRPr="004969EF">
        <w:rPr>
          <w:rFonts w:ascii="Arial" w:hAnsi="Arial" w:cs="Arial"/>
          <w:sz w:val="22"/>
          <w:szCs w:val="22"/>
        </w:rPr>
        <w:t>These codes were then grouped into broader themes aligned with the research question. Braun and Clarke (2022) explain that themes should represent patterns of shared meaning rather than simple topic categories.</w:t>
      </w:r>
    </w:p>
    <w:p w14:paraId="6131D568" w14:textId="3AB3DD06" w:rsidR="006056D3" w:rsidRPr="004969EF" w:rsidRDefault="006056D3" w:rsidP="004969EF">
      <w:pPr>
        <w:spacing w:line="360" w:lineRule="auto"/>
        <w:jc w:val="both"/>
        <w:rPr>
          <w:rFonts w:ascii="Arial" w:hAnsi="Arial" w:cs="Arial"/>
          <w:sz w:val="22"/>
          <w:szCs w:val="22"/>
        </w:rPr>
      </w:pPr>
      <w:r w:rsidRPr="004969EF">
        <w:rPr>
          <w:rFonts w:ascii="Arial" w:hAnsi="Arial" w:cs="Arial"/>
          <w:sz w:val="22"/>
          <w:szCs w:val="22"/>
        </w:rPr>
        <w:t xml:space="preserve">The analysis process involved reviewing studies multiple times and refining themes as patterns became clearer. This helped improve consistency across the findings, which is important for maintaining trustworthiness in qualitative research (Nowell </w:t>
      </w:r>
      <w:r w:rsidR="004E679C" w:rsidRPr="004969EF">
        <w:rPr>
          <w:rFonts w:ascii="Arial" w:hAnsi="Arial" w:cs="Arial"/>
          <w:sz w:val="22"/>
          <w:szCs w:val="22"/>
        </w:rPr>
        <w:t>et al.,</w:t>
      </w:r>
      <w:r w:rsidRPr="004969EF">
        <w:rPr>
          <w:rFonts w:ascii="Arial" w:hAnsi="Arial" w:cs="Arial"/>
          <w:sz w:val="22"/>
          <w:szCs w:val="22"/>
        </w:rPr>
        <w:t xml:space="preserve"> 2017).</w:t>
      </w:r>
    </w:p>
    <w:p w14:paraId="63EC799F" w14:textId="591289B4" w:rsidR="00652A03" w:rsidRPr="004969EF" w:rsidRDefault="006056D3" w:rsidP="004969EF">
      <w:pPr>
        <w:spacing w:line="360" w:lineRule="auto"/>
        <w:jc w:val="both"/>
        <w:rPr>
          <w:rFonts w:ascii="Arial" w:hAnsi="Arial" w:cs="Arial"/>
          <w:sz w:val="22"/>
          <w:szCs w:val="22"/>
        </w:rPr>
      </w:pPr>
      <w:r w:rsidRPr="004969EF">
        <w:rPr>
          <w:rFonts w:ascii="Arial" w:hAnsi="Arial" w:cs="Arial"/>
          <w:sz w:val="22"/>
          <w:szCs w:val="22"/>
        </w:rPr>
        <w:t>A summary table was used to track codes and theme developmen</w:t>
      </w:r>
      <w:r w:rsidRPr="004969EF">
        <w:rPr>
          <w:rFonts w:ascii="Arial" w:hAnsi="Arial" w:cs="Arial"/>
          <w:sz w:val="22"/>
          <w:szCs w:val="22"/>
        </w:rPr>
        <w:t>t</w:t>
      </w:r>
      <w:r w:rsidR="00F55207" w:rsidRPr="004969EF">
        <w:rPr>
          <w:rFonts w:ascii="Arial" w:hAnsi="Arial" w:cs="Arial"/>
          <w:sz w:val="22"/>
          <w:szCs w:val="22"/>
        </w:rPr>
        <w:t xml:space="preserve">. See </w:t>
      </w:r>
      <w:r w:rsidR="00C32ACB" w:rsidRPr="004969EF">
        <w:rPr>
          <w:rFonts w:ascii="Arial" w:hAnsi="Arial" w:cs="Arial"/>
          <w:sz w:val="22"/>
          <w:szCs w:val="22"/>
        </w:rPr>
        <w:t>(</w:t>
      </w:r>
      <w:hyperlink w:anchor="_6.2.2_–_Appendix" w:history="1">
        <w:r w:rsidR="00C32ACB" w:rsidRPr="004969EF">
          <w:rPr>
            <w:rStyle w:val="Hyperlink"/>
            <w:rFonts w:ascii="Arial" w:hAnsi="Arial" w:cs="Arial"/>
            <w:sz w:val="22"/>
            <w:szCs w:val="22"/>
          </w:rPr>
          <w:t>Appendix</w:t>
        </w:r>
        <w:r w:rsidR="00F55207" w:rsidRPr="004969EF">
          <w:rPr>
            <w:rStyle w:val="Hyperlink"/>
            <w:rFonts w:ascii="Arial" w:hAnsi="Arial" w:cs="Arial"/>
            <w:sz w:val="22"/>
            <w:szCs w:val="22"/>
          </w:rPr>
          <w:t xml:space="preserve"> B</w:t>
        </w:r>
      </w:hyperlink>
      <w:r w:rsidR="00C32ACB" w:rsidRPr="004969EF">
        <w:rPr>
          <w:rFonts w:ascii="Arial" w:hAnsi="Arial" w:cs="Arial"/>
          <w:sz w:val="22"/>
          <w:szCs w:val="22"/>
        </w:rPr>
        <w:t>)</w:t>
      </w:r>
      <w:r w:rsidR="00F55207" w:rsidRPr="004969EF">
        <w:rPr>
          <w:rFonts w:ascii="Arial" w:hAnsi="Arial" w:cs="Arial"/>
          <w:sz w:val="22"/>
          <w:szCs w:val="22"/>
        </w:rPr>
        <w:t xml:space="preserve"> </w:t>
      </w:r>
    </w:p>
    <w:p w14:paraId="26647030" w14:textId="69F48057" w:rsidR="009A4A9B" w:rsidRPr="004969EF" w:rsidRDefault="009A4A9B" w:rsidP="004969EF">
      <w:pPr>
        <w:spacing w:line="360" w:lineRule="auto"/>
        <w:jc w:val="both"/>
        <w:rPr>
          <w:rFonts w:ascii="Arial" w:hAnsi="Arial" w:cs="Arial"/>
          <w:sz w:val="22"/>
          <w:szCs w:val="22"/>
        </w:rPr>
      </w:pPr>
      <w:r w:rsidRPr="004969EF">
        <w:rPr>
          <w:rFonts w:ascii="Arial" w:hAnsi="Arial" w:cs="Arial"/>
          <w:sz w:val="22"/>
          <w:szCs w:val="22"/>
        </w:rPr>
        <w:t>As this study used secondary research only, ethical considerations focused on the responsible use of existing literature. All sources were accurately referenced using Harvard style.</w:t>
      </w:r>
    </w:p>
    <w:p w14:paraId="7630BB46" w14:textId="2886FDB7" w:rsidR="009A4A9B" w:rsidRPr="004969EF" w:rsidRDefault="009A4A9B" w:rsidP="004969EF">
      <w:pPr>
        <w:pStyle w:val="NormalWeb"/>
        <w:spacing w:line="360" w:lineRule="auto"/>
        <w:jc w:val="both"/>
        <w:rPr>
          <w:rFonts w:ascii="Arial" w:hAnsi="Arial" w:cs="Arial"/>
          <w:sz w:val="22"/>
          <w:szCs w:val="22"/>
        </w:rPr>
      </w:pPr>
      <w:r w:rsidRPr="004969EF">
        <w:rPr>
          <w:rFonts w:ascii="Arial" w:hAnsi="Arial" w:cs="Arial"/>
          <w:sz w:val="22"/>
          <w:szCs w:val="22"/>
        </w:rPr>
        <w:t xml:space="preserve">Care was taken to avoid misrepresentation, particularly when discussing ethnic inequalities. Terminology was selected carefully in line with UK government guidance, avoiding broad terms such as BAME (Cabinet Office, 2023; UK Government, 2021). Instead, the term </w:t>
      </w:r>
      <w:r w:rsidRPr="004969EF">
        <w:rPr>
          <w:rStyle w:val="Emphasis"/>
          <w:rFonts w:ascii="Arial" w:eastAsia="Calibri Light" w:hAnsi="Arial" w:cs="Arial"/>
          <w:sz w:val="22"/>
          <w:szCs w:val="22"/>
        </w:rPr>
        <w:t>ethnic minority backgrounds</w:t>
      </w:r>
      <w:r w:rsidRPr="004969EF">
        <w:rPr>
          <w:rFonts w:ascii="Arial" w:hAnsi="Arial" w:cs="Arial"/>
          <w:sz w:val="22"/>
          <w:szCs w:val="22"/>
        </w:rPr>
        <w:t xml:space="preserve"> </w:t>
      </w:r>
      <w:r w:rsidR="00983FB2" w:rsidRPr="004969EF">
        <w:rPr>
          <w:rFonts w:ascii="Arial" w:hAnsi="Arial" w:cs="Arial"/>
          <w:sz w:val="22"/>
          <w:szCs w:val="22"/>
        </w:rPr>
        <w:t>are</w:t>
      </w:r>
      <w:r w:rsidRPr="004969EF">
        <w:rPr>
          <w:rFonts w:ascii="Arial" w:hAnsi="Arial" w:cs="Arial"/>
          <w:sz w:val="22"/>
          <w:szCs w:val="22"/>
        </w:rPr>
        <w:t xml:space="preserve"> used, with findings interpreted in relation to structural and systemic factors rather than attributing differences to groups themselves.</w:t>
      </w:r>
    </w:p>
    <w:p w14:paraId="468D6477" w14:textId="77777777" w:rsidR="009A4A9B" w:rsidRPr="004969EF" w:rsidRDefault="009A4A9B" w:rsidP="004969EF">
      <w:pPr>
        <w:pStyle w:val="NormalWeb"/>
        <w:spacing w:line="360" w:lineRule="auto"/>
        <w:jc w:val="both"/>
        <w:rPr>
          <w:rFonts w:ascii="Arial" w:hAnsi="Arial" w:cs="Arial"/>
          <w:sz w:val="22"/>
          <w:szCs w:val="22"/>
        </w:rPr>
      </w:pPr>
      <w:r w:rsidRPr="004969EF">
        <w:rPr>
          <w:rFonts w:ascii="Arial" w:hAnsi="Arial" w:cs="Arial"/>
          <w:sz w:val="22"/>
          <w:szCs w:val="22"/>
        </w:rPr>
        <w:t>International studies were included only when they provided insight into cultural interpretation of behaviour. These were used to contextualise findings, not to generalise across populations.</w:t>
      </w:r>
    </w:p>
    <w:p w14:paraId="0DD2E962" w14:textId="77777777" w:rsidR="00B13DE6" w:rsidRPr="004969EF" w:rsidRDefault="00B13DE6" w:rsidP="004969EF">
      <w:pPr>
        <w:spacing w:line="360" w:lineRule="auto"/>
        <w:jc w:val="both"/>
        <w:rPr>
          <w:rFonts w:ascii="Arial" w:hAnsi="Arial" w:cs="Arial"/>
          <w:sz w:val="22"/>
          <w:szCs w:val="22"/>
        </w:rPr>
      </w:pPr>
    </w:p>
    <w:p w14:paraId="7F8BD393" w14:textId="48999FA0" w:rsidR="005446BF" w:rsidRPr="004969EF" w:rsidRDefault="00E325CF" w:rsidP="004969EF">
      <w:pPr>
        <w:pStyle w:val="Heading2"/>
        <w:spacing w:line="360" w:lineRule="auto"/>
        <w:jc w:val="both"/>
        <w:rPr>
          <w:rFonts w:ascii="Arial" w:hAnsi="Arial" w:cs="Arial"/>
          <w:b/>
          <w:bCs/>
          <w:color w:val="auto"/>
          <w:sz w:val="22"/>
          <w:szCs w:val="22"/>
          <w:u w:val="single"/>
        </w:rPr>
      </w:pPr>
      <w:bookmarkStart w:id="10" w:name="_Toc226379366"/>
      <w:r w:rsidRPr="004969EF">
        <w:rPr>
          <w:rFonts w:ascii="Arial" w:hAnsi="Arial" w:cs="Arial"/>
          <w:b/>
          <w:bCs/>
          <w:color w:val="auto"/>
          <w:sz w:val="22"/>
          <w:szCs w:val="22"/>
          <w:u w:val="single"/>
        </w:rPr>
        <w:t xml:space="preserve">3.8 </w:t>
      </w:r>
      <w:r w:rsidR="00292A36" w:rsidRPr="004969EF">
        <w:rPr>
          <w:rFonts w:ascii="Arial" w:hAnsi="Arial" w:cs="Arial"/>
          <w:b/>
          <w:bCs/>
          <w:color w:val="auto"/>
          <w:sz w:val="22"/>
          <w:szCs w:val="22"/>
          <w:u w:val="single"/>
        </w:rPr>
        <w:t>– Chapter Conclusion</w:t>
      </w:r>
      <w:bookmarkEnd w:id="10"/>
      <w:r w:rsidR="00292A36" w:rsidRPr="004969EF">
        <w:rPr>
          <w:rFonts w:ascii="Arial" w:hAnsi="Arial" w:cs="Arial"/>
          <w:b/>
          <w:bCs/>
          <w:color w:val="auto"/>
          <w:sz w:val="22"/>
          <w:szCs w:val="22"/>
          <w:u w:val="single"/>
        </w:rPr>
        <w:t xml:space="preserve"> </w:t>
      </w:r>
    </w:p>
    <w:p w14:paraId="178560B9" w14:textId="77777777" w:rsidR="0031192D" w:rsidRPr="004969EF" w:rsidRDefault="0031192D" w:rsidP="004969EF">
      <w:pPr>
        <w:pStyle w:val="NormalWeb"/>
        <w:spacing w:line="360" w:lineRule="auto"/>
        <w:jc w:val="both"/>
        <w:rPr>
          <w:rFonts w:ascii="Arial" w:hAnsi="Arial" w:cs="Arial"/>
          <w:sz w:val="22"/>
          <w:szCs w:val="22"/>
        </w:rPr>
      </w:pPr>
      <w:r w:rsidRPr="004969EF">
        <w:rPr>
          <w:rFonts w:ascii="Arial" w:hAnsi="Arial" w:cs="Arial"/>
          <w:sz w:val="22"/>
          <w:szCs w:val="22"/>
        </w:rPr>
        <w:t xml:space="preserve">This chapter has outlined the methods used to locate, evaluate, and analyse the research literature. A structured search strategy, supported by keyword development, Boolean operators, and database filtering, ensured that relevant studies were identified. Screening, CRAAP evaluation, and the application of clear inclusion and exclusion criteria helped ensure </w:t>
      </w:r>
      <w:r w:rsidRPr="004969EF">
        <w:rPr>
          <w:rFonts w:ascii="Arial" w:hAnsi="Arial" w:cs="Arial"/>
          <w:sz w:val="22"/>
          <w:szCs w:val="22"/>
        </w:rPr>
        <w:lastRenderedPageBreak/>
        <w:t>that the selected sources were credible, recent, and directly aligned with the research question.</w:t>
      </w:r>
    </w:p>
    <w:p w14:paraId="72DC687A" w14:textId="77777777" w:rsidR="0031192D" w:rsidRPr="004969EF" w:rsidRDefault="0031192D" w:rsidP="004969EF">
      <w:pPr>
        <w:pStyle w:val="NormalWeb"/>
        <w:spacing w:line="360" w:lineRule="auto"/>
        <w:jc w:val="both"/>
        <w:rPr>
          <w:rFonts w:ascii="Arial" w:hAnsi="Arial" w:cs="Arial"/>
          <w:sz w:val="22"/>
          <w:szCs w:val="22"/>
        </w:rPr>
      </w:pPr>
      <w:r w:rsidRPr="004969EF">
        <w:rPr>
          <w:rFonts w:ascii="Arial" w:hAnsi="Arial" w:cs="Arial"/>
          <w:sz w:val="22"/>
          <w:szCs w:val="22"/>
        </w:rPr>
        <w:t>The analysis was carried out using an inductive thematic approach, allowing patterns to emerge across the studies. This process involved coding key findings, comparing similarities, and grouping these into broader themes. As Braun and Clarke (2022) highlight, thematic analysis enables researchers to identify deeper patterns of meaning rather than surface-level observations, making it well suited to exploring inequalities in ADHD recognition and referral.</w:t>
      </w:r>
    </w:p>
    <w:p w14:paraId="3A5EF679" w14:textId="405760D4" w:rsidR="00AD1365" w:rsidRPr="004969EF" w:rsidRDefault="0031192D" w:rsidP="004969EF">
      <w:pPr>
        <w:pStyle w:val="NormalWeb"/>
        <w:spacing w:line="360" w:lineRule="auto"/>
        <w:jc w:val="both"/>
        <w:rPr>
          <w:rFonts w:ascii="Arial" w:hAnsi="Arial" w:cs="Arial"/>
          <w:sz w:val="22"/>
          <w:szCs w:val="22"/>
        </w:rPr>
      </w:pPr>
      <w:r w:rsidRPr="004969EF">
        <w:rPr>
          <w:rFonts w:ascii="Arial" w:hAnsi="Arial" w:cs="Arial"/>
          <w:sz w:val="22"/>
          <w:szCs w:val="22"/>
        </w:rPr>
        <w:t>The next chapter presents the findings of this analysis. These are organised into clearly defined themes that reflect how school-based practices, local authority systems, and cultural and family experiences shape the under-recognition and referral of ADHD among children from ethnic minority backgrounds in England. Each theme is discussed in relation to the research question and supported by evidence from the reviewed studies.</w:t>
      </w:r>
    </w:p>
    <w:p w14:paraId="08549EDD" w14:textId="77777777" w:rsidR="00AD1365" w:rsidRPr="004969EF" w:rsidRDefault="00AD1365" w:rsidP="004969EF">
      <w:pPr>
        <w:pStyle w:val="Heading1"/>
        <w:spacing w:line="360" w:lineRule="auto"/>
        <w:ind w:left="0"/>
        <w:jc w:val="both"/>
        <w:rPr>
          <w:rFonts w:cs="Arial"/>
          <w:sz w:val="22"/>
          <w:szCs w:val="22"/>
        </w:rPr>
      </w:pPr>
    </w:p>
    <w:p w14:paraId="21A0CB3C" w14:textId="77777777" w:rsidR="00983FB2" w:rsidRPr="004969EF" w:rsidRDefault="00983FB2" w:rsidP="004969EF">
      <w:pPr>
        <w:pStyle w:val="Heading1"/>
        <w:spacing w:line="360" w:lineRule="auto"/>
        <w:ind w:left="0"/>
        <w:jc w:val="both"/>
        <w:rPr>
          <w:rFonts w:cs="Arial"/>
          <w:sz w:val="22"/>
          <w:szCs w:val="22"/>
          <w:u w:val="single"/>
        </w:rPr>
      </w:pPr>
      <w:bookmarkStart w:id="11" w:name="_Toc226379367"/>
    </w:p>
    <w:p w14:paraId="3DEC8D20" w14:textId="77777777" w:rsidR="00983FB2" w:rsidRPr="004969EF" w:rsidRDefault="00983FB2" w:rsidP="004969EF">
      <w:pPr>
        <w:pStyle w:val="Heading1"/>
        <w:spacing w:line="360" w:lineRule="auto"/>
        <w:ind w:left="0"/>
        <w:jc w:val="both"/>
        <w:rPr>
          <w:rFonts w:cs="Arial"/>
          <w:sz w:val="22"/>
          <w:szCs w:val="22"/>
          <w:u w:val="single"/>
        </w:rPr>
      </w:pPr>
    </w:p>
    <w:p w14:paraId="052CA928" w14:textId="77777777" w:rsidR="00983FB2" w:rsidRPr="004969EF" w:rsidRDefault="00983FB2" w:rsidP="004969EF">
      <w:pPr>
        <w:pStyle w:val="Heading1"/>
        <w:spacing w:line="360" w:lineRule="auto"/>
        <w:ind w:left="0"/>
        <w:jc w:val="both"/>
        <w:rPr>
          <w:rFonts w:cs="Arial"/>
          <w:sz w:val="22"/>
          <w:szCs w:val="22"/>
          <w:u w:val="single"/>
        </w:rPr>
      </w:pPr>
    </w:p>
    <w:p w14:paraId="565EA1CE" w14:textId="77777777" w:rsidR="00983FB2" w:rsidRPr="004969EF" w:rsidRDefault="00983FB2" w:rsidP="004969EF">
      <w:pPr>
        <w:pStyle w:val="Heading1"/>
        <w:spacing w:line="360" w:lineRule="auto"/>
        <w:ind w:left="0"/>
        <w:jc w:val="both"/>
        <w:rPr>
          <w:rFonts w:cs="Arial"/>
          <w:sz w:val="22"/>
          <w:szCs w:val="22"/>
          <w:u w:val="single"/>
        </w:rPr>
      </w:pPr>
    </w:p>
    <w:p w14:paraId="4356E176" w14:textId="77777777" w:rsidR="00983FB2" w:rsidRPr="004969EF" w:rsidRDefault="00983FB2" w:rsidP="004969EF">
      <w:pPr>
        <w:pStyle w:val="Heading1"/>
        <w:spacing w:line="360" w:lineRule="auto"/>
        <w:ind w:left="0"/>
        <w:jc w:val="both"/>
        <w:rPr>
          <w:rFonts w:cs="Arial"/>
          <w:sz w:val="22"/>
          <w:szCs w:val="22"/>
          <w:u w:val="single"/>
        </w:rPr>
      </w:pPr>
    </w:p>
    <w:p w14:paraId="5D75BCF0" w14:textId="77777777" w:rsidR="00983FB2" w:rsidRPr="004969EF" w:rsidRDefault="00983FB2" w:rsidP="004969EF">
      <w:pPr>
        <w:pStyle w:val="Heading1"/>
        <w:spacing w:line="360" w:lineRule="auto"/>
        <w:ind w:left="0"/>
        <w:jc w:val="both"/>
        <w:rPr>
          <w:rFonts w:cs="Arial"/>
          <w:sz w:val="22"/>
          <w:szCs w:val="22"/>
          <w:u w:val="single"/>
        </w:rPr>
      </w:pPr>
    </w:p>
    <w:p w14:paraId="1134D897" w14:textId="77143658" w:rsidR="001C3AF6" w:rsidRPr="004969EF" w:rsidRDefault="001C3AF6" w:rsidP="004969EF">
      <w:pPr>
        <w:pStyle w:val="Heading1"/>
        <w:spacing w:line="360" w:lineRule="auto"/>
        <w:ind w:left="0"/>
        <w:jc w:val="both"/>
        <w:rPr>
          <w:rFonts w:cs="Arial"/>
          <w:sz w:val="22"/>
          <w:szCs w:val="22"/>
          <w:u w:val="single"/>
        </w:rPr>
      </w:pPr>
      <w:r w:rsidRPr="004969EF">
        <w:rPr>
          <w:rFonts w:cs="Arial"/>
          <w:sz w:val="22"/>
          <w:szCs w:val="22"/>
          <w:u w:val="single"/>
        </w:rPr>
        <w:t>C</w:t>
      </w:r>
      <w:r w:rsidR="00636D9A" w:rsidRPr="004969EF">
        <w:rPr>
          <w:rFonts w:cs="Arial"/>
          <w:sz w:val="22"/>
          <w:szCs w:val="22"/>
          <w:u w:val="single"/>
        </w:rPr>
        <w:t>HAPTER</w:t>
      </w:r>
      <w:r w:rsidRPr="004969EF">
        <w:rPr>
          <w:rFonts w:cs="Arial"/>
          <w:sz w:val="22"/>
          <w:szCs w:val="22"/>
          <w:u w:val="single"/>
        </w:rPr>
        <w:t xml:space="preserve"> 4</w:t>
      </w:r>
      <w:bookmarkEnd w:id="11"/>
      <w:r w:rsidRPr="004969EF">
        <w:rPr>
          <w:rFonts w:cs="Arial"/>
          <w:sz w:val="22"/>
          <w:szCs w:val="22"/>
          <w:u w:val="single"/>
        </w:rPr>
        <w:t xml:space="preserve"> </w:t>
      </w:r>
    </w:p>
    <w:p w14:paraId="0607B41D" w14:textId="77777777" w:rsidR="00B776B3" w:rsidRPr="004969EF" w:rsidRDefault="00B776B3" w:rsidP="004969EF">
      <w:pPr>
        <w:pStyle w:val="Heading1"/>
        <w:spacing w:line="360" w:lineRule="auto"/>
        <w:ind w:left="0"/>
        <w:jc w:val="both"/>
        <w:rPr>
          <w:rFonts w:cs="Arial"/>
          <w:sz w:val="22"/>
          <w:szCs w:val="22"/>
        </w:rPr>
      </w:pPr>
    </w:p>
    <w:p w14:paraId="3365CA9C" w14:textId="77777777" w:rsidR="001C3AF6" w:rsidRPr="004969EF" w:rsidRDefault="001C3AF6" w:rsidP="004969EF">
      <w:pPr>
        <w:spacing w:line="360" w:lineRule="auto"/>
        <w:jc w:val="both"/>
        <w:rPr>
          <w:rFonts w:ascii="Arial" w:hAnsi="Arial" w:cs="Arial"/>
          <w:sz w:val="22"/>
          <w:szCs w:val="22"/>
        </w:rPr>
      </w:pPr>
      <w:r w:rsidRPr="004969EF">
        <w:rPr>
          <w:rFonts w:ascii="Arial" w:hAnsi="Arial" w:cs="Arial"/>
          <w:sz w:val="22"/>
          <w:szCs w:val="22"/>
        </w:rPr>
        <w:t xml:space="preserve">Below is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Pr="004969EF" w:rsidRDefault="001C3AF6" w:rsidP="004969EF">
      <w:pPr>
        <w:spacing w:line="360" w:lineRule="auto"/>
        <w:jc w:val="both"/>
        <w:rPr>
          <w:rFonts w:ascii="Arial" w:hAnsi="Arial" w:cs="Arial"/>
          <w:sz w:val="22"/>
          <w:szCs w:val="22"/>
        </w:rPr>
      </w:pPr>
      <w:r w:rsidRPr="004969EF">
        <w:rPr>
          <w:rFonts w:ascii="Arial" w:hAnsi="Arial" w:cs="Arial"/>
          <w:sz w:val="22"/>
          <w:szCs w:val="22"/>
        </w:rPr>
        <w:t xml:space="preserve">This document is for guidance only and you do not have to follow it, you are free to present this Chapter </w:t>
      </w:r>
      <w:r w:rsidR="00636D9A" w:rsidRPr="004969EF">
        <w:rPr>
          <w:rFonts w:ascii="Arial" w:hAnsi="Arial" w:cs="Arial"/>
          <w:sz w:val="22"/>
          <w:szCs w:val="22"/>
        </w:rPr>
        <w:t>however</w:t>
      </w:r>
      <w:r w:rsidRPr="004969EF">
        <w:rPr>
          <w:rFonts w:ascii="Arial" w:hAnsi="Arial" w:cs="Arial"/>
          <w:sz w:val="22"/>
          <w:szCs w:val="22"/>
        </w:rPr>
        <w:t xml:space="preserve"> you wish. </w:t>
      </w:r>
    </w:p>
    <w:p w14:paraId="0CB43921" w14:textId="30D609A1" w:rsidR="001C3AF6" w:rsidRPr="004969EF" w:rsidRDefault="001C3AF6" w:rsidP="004969EF">
      <w:pPr>
        <w:pStyle w:val="Heading2"/>
        <w:spacing w:line="360" w:lineRule="auto"/>
        <w:jc w:val="both"/>
        <w:rPr>
          <w:rFonts w:ascii="Arial" w:hAnsi="Arial" w:cs="Arial"/>
          <w:color w:val="FF0000"/>
          <w:sz w:val="22"/>
          <w:szCs w:val="22"/>
        </w:rPr>
      </w:pPr>
      <w:bookmarkStart w:id="12" w:name="_Toc226379368"/>
      <w:r w:rsidRPr="004969EF">
        <w:rPr>
          <w:rFonts w:ascii="Arial" w:hAnsi="Arial" w:cs="Arial"/>
          <w:color w:val="FF0000"/>
          <w:sz w:val="22"/>
          <w:szCs w:val="22"/>
        </w:rPr>
        <w:t>4.1 –</w:t>
      </w:r>
      <w:r w:rsidR="00636D9A" w:rsidRPr="004969EF">
        <w:rPr>
          <w:rFonts w:ascii="Arial" w:hAnsi="Arial" w:cs="Arial"/>
          <w:color w:val="FF0000"/>
          <w:sz w:val="22"/>
          <w:szCs w:val="22"/>
        </w:rPr>
        <w:t xml:space="preserve"> </w:t>
      </w:r>
      <w:r w:rsidRPr="004969EF">
        <w:rPr>
          <w:rFonts w:ascii="Arial" w:hAnsi="Arial" w:cs="Arial"/>
          <w:color w:val="FF0000"/>
          <w:sz w:val="22"/>
          <w:szCs w:val="22"/>
        </w:rPr>
        <w:t>Introduction (100 word approx.)</w:t>
      </w:r>
      <w:bookmarkEnd w:id="12"/>
    </w:p>
    <w:p w14:paraId="367F223F" w14:textId="77777777" w:rsidR="00636D9A" w:rsidRPr="004969EF" w:rsidRDefault="00636D9A" w:rsidP="004969EF">
      <w:pPr>
        <w:pStyle w:val="Heading1"/>
        <w:spacing w:line="360" w:lineRule="auto"/>
        <w:ind w:left="0"/>
        <w:jc w:val="both"/>
        <w:rPr>
          <w:rFonts w:cs="Arial"/>
          <w:color w:val="FF0000"/>
          <w:sz w:val="22"/>
          <w:szCs w:val="22"/>
        </w:rPr>
      </w:pPr>
    </w:p>
    <w:p w14:paraId="2052F99C" w14:textId="68520727" w:rsidR="001C3AF6" w:rsidRPr="004969EF" w:rsidRDefault="001C3AF6" w:rsidP="004969EF">
      <w:pPr>
        <w:spacing w:line="360" w:lineRule="auto"/>
        <w:jc w:val="both"/>
        <w:rPr>
          <w:rFonts w:ascii="Arial" w:hAnsi="Arial" w:cs="Arial"/>
          <w:color w:val="FF0000"/>
          <w:sz w:val="22"/>
          <w:szCs w:val="22"/>
        </w:rPr>
      </w:pPr>
      <w:r w:rsidRPr="004969EF">
        <w:rPr>
          <w:rFonts w:ascii="Arial" w:hAnsi="Arial" w:cs="Arial"/>
          <w:color w:val="FF0000"/>
          <w:sz w:val="22"/>
          <w:szCs w:val="22"/>
        </w:rPr>
        <w:t xml:space="preserve">This would be the introduction paragraph to this Chapter. Treat this heading like you would in any other assignment. </w:t>
      </w:r>
    </w:p>
    <w:p w14:paraId="2A3E88D9" w14:textId="77777777" w:rsidR="001C3AF6" w:rsidRPr="004969EF" w:rsidRDefault="001C3AF6" w:rsidP="004969EF">
      <w:pPr>
        <w:spacing w:line="360" w:lineRule="auto"/>
        <w:jc w:val="both"/>
        <w:rPr>
          <w:rFonts w:ascii="Arial" w:hAnsi="Arial" w:cs="Arial"/>
          <w:color w:val="FF0000"/>
          <w:sz w:val="22"/>
          <w:szCs w:val="22"/>
        </w:rPr>
      </w:pPr>
      <w:r w:rsidRPr="004969EF">
        <w:rPr>
          <w:rFonts w:ascii="Arial" w:hAnsi="Arial" w:cs="Arial"/>
          <w:color w:val="FF0000"/>
          <w:sz w:val="22"/>
          <w:szCs w:val="22"/>
        </w:rPr>
        <w:t xml:space="preserve">You will provide a </w:t>
      </w:r>
      <w:r w:rsidRPr="004969EF">
        <w:rPr>
          <w:rFonts w:ascii="Arial" w:hAnsi="Arial" w:cs="Arial"/>
          <w:b/>
          <w:bCs/>
          <w:color w:val="FF0000"/>
          <w:sz w:val="22"/>
          <w:szCs w:val="22"/>
          <w:u w:val="single"/>
        </w:rPr>
        <w:t xml:space="preserve">brief overview </w:t>
      </w:r>
      <w:r w:rsidRPr="004969EF">
        <w:rPr>
          <w:rFonts w:ascii="Arial" w:hAnsi="Arial" w:cs="Arial"/>
          <w:color w:val="FF0000"/>
          <w:sz w:val="22"/>
          <w:szCs w:val="22"/>
        </w:rPr>
        <w:t xml:space="preserve">of findings and discussion chapter is and what will be included (based on the headings on the pervious slide). </w:t>
      </w:r>
    </w:p>
    <w:p w14:paraId="7B6D738E" w14:textId="1EE488FE" w:rsidR="002865F5" w:rsidRPr="004969EF" w:rsidRDefault="001C3AF6" w:rsidP="004969EF">
      <w:pPr>
        <w:spacing w:line="360" w:lineRule="auto"/>
        <w:jc w:val="both"/>
        <w:rPr>
          <w:rFonts w:ascii="Arial" w:hAnsi="Arial" w:cs="Arial"/>
          <w:sz w:val="22"/>
          <w:szCs w:val="22"/>
        </w:rPr>
      </w:pPr>
      <w:r w:rsidRPr="004969EF">
        <w:rPr>
          <w:rFonts w:ascii="Arial" w:hAnsi="Arial" w:cs="Arial"/>
          <w:color w:val="FF0000"/>
          <w:sz w:val="22"/>
          <w:szCs w:val="22"/>
        </w:rPr>
        <w:t>This is to inform the reader about the evaluation you plan to undertake and how this will be accomplished. Be straight to the point. Try not to ‘waffle’</w:t>
      </w:r>
      <w:r w:rsidRPr="004969EF">
        <w:rPr>
          <w:rFonts w:ascii="Arial" w:hAnsi="Arial" w:cs="Arial"/>
          <w:sz w:val="22"/>
          <w:szCs w:val="22"/>
        </w:rPr>
        <w:t xml:space="preserve">. </w:t>
      </w:r>
    </w:p>
    <w:p w14:paraId="49AC5888" w14:textId="61B38505" w:rsidR="001C3AF6" w:rsidRPr="004969EF" w:rsidRDefault="001C3AF6" w:rsidP="004969EF">
      <w:pPr>
        <w:pStyle w:val="Heading2"/>
        <w:spacing w:line="360" w:lineRule="auto"/>
        <w:jc w:val="both"/>
        <w:rPr>
          <w:rFonts w:ascii="Arial" w:hAnsi="Arial" w:cs="Arial"/>
          <w:b/>
          <w:bCs/>
          <w:color w:val="auto"/>
          <w:sz w:val="22"/>
          <w:szCs w:val="22"/>
          <w:u w:val="single"/>
        </w:rPr>
      </w:pPr>
      <w:bookmarkStart w:id="13" w:name="_Toc226379369"/>
      <w:r w:rsidRPr="004969EF">
        <w:rPr>
          <w:rFonts w:ascii="Arial" w:hAnsi="Arial" w:cs="Arial"/>
          <w:b/>
          <w:bCs/>
          <w:color w:val="auto"/>
          <w:sz w:val="22"/>
          <w:szCs w:val="22"/>
          <w:u w:val="single"/>
        </w:rPr>
        <w:lastRenderedPageBreak/>
        <w:t>4.2 – Thematic Analysis</w:t>
      </w:r>
      <w:bookmarkEnd w:id="13"/>
      <w:r w:rsidRPr="004969EF">
        <w:rPr>
          <w:rFonts w:ascii="Arial" w:hAnsi="Arial" w:cs="Arial"/>
          <w:b/>
          <w:bCs/>
          <w:color w:val="auto"/>
          <w:sz w:val="22"/>
          <w:szCs w:val="22"/>
          <w:u w:val="single"/>
        </w:rPr>
        <w:t xml:space="preserve">  </w:t>
      </w:r>
    </w:p>
    <w:p w14:paraId="5207ABFD" w14:textId="77777777" w:rsidR="00B776B3" w:rsidRPr="00B776B3" w:rsidRDefault="00B776B3" w:rsidP="004969EF">
      <w:pPr>
        <w:spacing w:line="360" w:lineRule="auto"/>
        <w:jc w:val="both"/>
        <w:rPr>
          <w:rFonts w:ascii="Arial" w:hAnsi="Arial" w:cs="Arial"/>
          <w:color w:val="000000"/>
          <w:sz w:val="22"/>
          <w:szCs w:val="22"/>
        </w:rPr>
      </w:pPr>
      <w:r w:rsidRPr="00B776B3">
        <w:rPr>
          <w:rFonts w:ascii="Arial" w:hAnsi="Arial" w:cs="Arial"/>
          <w:color w:val="222222"/>
          <w:sz w:val="22"/>
          <w:szCs w:val="22"/>
        </w:rPr>
        <w:t xml:space="preserve">Thematic analysis is a method used to identify, organise and interpret patterns within data. In this secondary research study, it was used to analyse findings from existing literature and group them into meaningful themes. Braun and Clarke (2006) describe thematic analysis as a flexible approach that allows researchers to both describe patterns and explore deeper meaning within data, making it suitable for identifying patterns across multiple studies. In simple terms, it allows different pieces of research to be brought together to understand common ideas and differences. As </w:t>
      </w:r>
      <w:proofErr w:type="spellStart"/>
      <w:r w:rsidRPr="00B776B3">
        <w:rPr>
          <w:rFonts w:ascii="Arial" w:hAnsi="Arial" w:cs="Arial"/>
          <w:color w:val="222222"/>
          <w:sz w:val="22"/>
          <w:szCs w:val="22"/>
        </w:rPr>
        <w:t>Largan</w:t>
      </w:r>
      <w:proofErr w:type="spellEnd"/>
      <w:r w:rsidRPr="00B776B3">
        <w:rPr>
          <w:rFonts w:ascii="Arial" w:hAnsi="Arial" w:cs="Arial"/>
          <w:color w:val="222222"/>
          <w:sz w:val="22"/>
          <w:szCs w:val="22"/>
        </w:rPr>
        <w:t xml:space="preserve"> and Morris (2019) explain, secondary research involves analysing existing studies rather than collecting new data, making thematic analysis an appropriate method for this type of study.</w:t>
      </w:r>
    </w:p>
    <w:p w14:paraId="0B5DF662" w14:textId="77777777" w:rsidR="00B776B3" w:rsidRPr="00B776B3" w:rsidRDefault="00B776B3" w:rsidP="004969EF">
      <w:pPr>
        <w:spacing w:line="360" w:lineRule="auto"/>
        <w:jc w:val="both"/>
        <w:rPr>
          <w:rFonts w:ascii="Arial" w:hAnsi="Arial" w:cs="Arial"/>
          <w:color w:val="000000"/>
          <w:sz w:val="22"/>
          <w:szCs w:val="22"/>
        </w:rPr>
      </w:pPr>
      <w:r w:rsidRPr="00B776B3">
        <w:rPr>
          <w:rFonts w:ascii="Arial" w:hAnsi="Arial" w:cs="Arial"/>
          <w:color w:val="222222"/>
          <w:sz w:val="22"/>
          <w:szCs w:val="22"/>
        </w:rPr>
        <w:t> </w:t>
      </w:r>
    </w:p>
    <w:p w14:paraId="2EC1CF8A" w14:textId="7064FEC8" w:rsidR="00B776B3" w:rsidRPr="004969EF" w:rsidRDefault="00B776B3" w:rsidP="004969EF">
      <w:pPr>
        <w:spacing w:line="360" w:lineRule="auto"/>
        <w:jc w:val="both"/>
        <w:rPr>
          <w:rFonts w:ascii="Arial" w:hAnsi="Arial" w:cs="Arial"/>
          <w:color w:val="222222"/>
          <w:sz w:val="22"/>
          <w:szCs w:val="22"/>
        </w:rPr>
      </w:pPr>
      <w:r w:rsidRPr="00B776B3">
        <w:rPr>
          <w:rFonts w:ascii="Arial" w:hAnsi="Arial" w:cs="Arial"/>
          <w:color w:val="222222"/>
          <w:sz w:val="22"/>
          <w:szCs w:val="22"/>
        </w:rPr>
        <w:t xml:space="preserve">The analysis followed a structured process based on recognised stages of thematic analysis. First, all selected studies were read and re-read to become familiar with the data. During this stage, key ideas, repeated findings </w:t>
      </w:r>
      <w:r w:rsidR="00293CD9" w:rsidRPr="004969EF">
        <w:rPr>
          <w:rFonts w:ascii="Arial" w:hAnsi="Arial" w:cs="Arial"/>
          <w:color w:val="222222"/>
          <w:sz w:val="22"/>
          <w:szCs w:val="22"/>
        </w:rPr>
        <w:t>and patterns</w:t>
      </w:r>
      <w:r w:rsidRPr="00B776B3">
        <w:rPr>
          <w:rFonts w:ascii="Arial" w:hAnsi="Arial" w:cs="Arial"/>
          <w:color w:val="222222"/>
          <w:sz w:val="22"/>
          <w:szCs w:val="22"/>
        </w:rPr>
        <w:t xml:space="preserve"> were recorded to develop an overall understanding of the literature. Initial codes were then generated by identifying recurring words, phrases and concepts across the studies, and these were recorded in the results table (</w:t>
      </w:r>
      <w:hyperlink w:anchor="_6.2.2_–_Appendix" w:history="1">
        <w:r w:rsidRPr="00B776B3">
          <w:rPr>
            <w:rStyle w:val="Hyperlink"/>
            <w:rFonts w:ascii="Arial" w:hAnsi="Arial" w:cs="Arial"/>
            <w:sz w:val="22"/>
            <w:szCs w:val="22"/>
          </w:rPr>
          <w:t>Appen</w:t>
        </w:r>
        <w:r w:rsidRPr="00B776B3">
          <w:rPr>
            <w:rStyle w:val="Hyperlink"/>
            <w:rFonts w:ascii="Arial" w:hAnsi="Arial" w:cs="Arial"/>
            <w:sz w:val="22"/>
            <w:szCs w:val="22"/>
          </w:rPr>
          <w:t>d</w:t>
        </w:r>
        <w:r w:rsidRPr="00B776B3">
          <w:rPr>
            <w:rStyle w:val="Hyperlink"/>
            <w:rFonts w:ascii="Arial" w:hAnsi="Arial" w:cs="Arial"/>
            <w:sz w:val="22"/>
            <w:szCs w:val="22"/>
          </w:rPr>
          <w:t xml:space="preserve">ix </w:t>
        </w:r>
        <w:r w:rsidR="00C32ACB" w:rsidRPr="004969EF">
          <w:rPr>
            <w:rStyle w:val="Hyperlink"/>
            <w:rFonts w:ascii="Arial" w:hAnsi="Arial" w:cs="Arial"/>
            <w:sz w:val="22"/>
            <w:szCs w:val="22"/>
          </w:rPr>
          <w:t>B</w:t>
        </w:r>
      </w:hyperlink>
      <w:r w:rsidRPr="00B776B3">
        <w:rPr>
          <w:rFonts w:ascii="Arial" w:hAnsi="Arial" w:cs="Arial"/>
          <w:color w:val="222222"/>
          <w:sz w:val="22"/>
          <w:szCs w:val="22"/>
        </w:rPr>
        <w:t xml:space="preserve">). For example, codes such as “teachers </w:t>
      </w:r>
      <w:r w:rsidR="00CA4BAB" w:rsidRPr="004969EF">
        <w:rPr>
          <w:rFonts w:ascii="Arial" w:hAnsi="Arial" w:cs="Arial"/>
          <w:color w:val="222222"/>
          <w:sz w:val="22"/>
          <w:szCs w:val="22"/>
        </w:rPr>
        <w:t xml:space="preserve">training”, </w:t>
      </w:r>
      <w:r w:rsidR="00CA4BAB" w:rsidRPr="004969EF">
        <w:rPr>
          <w:rFonts w:ascii="Arial" w:hAnsi="Arial" w:cs="Arial"/>
          <w:i/>
          <w:iCs/>
          <w:color w:val="222222"/>
          <w:sz w:val="22"/>
          <w:szCs w:val="22"/>
        </w:rPr>
        <w:t>“</w:t>
      </w:r>
      <w:r w:rsidR="00293CD9" w:rsidRPr="004969EF">
        <w:rPr>
          <w:rFonts w:ascii="Arial" w:hAnsi="Arial" w:cs="Arial"/>
          <w:i/>
          <w:iCs/>
          <w:color w:val="222222"/>
          <w:sz w:val="22"/>
          <w:szCs w:val="22"/>
        </w:rPr>
        <w:t>label”, “justice “language</w:t>
      </w:r>
      <w:r w:rsidR="00CA4BAB" w:rsidRPr="004969EF">
        <w:rPr>
          <w:rFonts w:ascii="Arial" w:hAnsi="Arial" w:cs="Arial"/>
          <w:i/>
          <w:iCs/>
          <w:color w:val="222222"/>
          <w:sz w:val="22"/>
          <w:szCs w:val="22"/>
        </w:rPr>
        <w:t xml:space="preserve"> barrier</w:t>
      </w:r>
      <w:r w:rsidR="00293CD9" w:rsidRPr="004969EF">
        <w:rPr>
          <w:rFonts w:ascii="Arial" w:hAnsi="Arial" w:cs="Arial"/>
          <w:i/>
          <w:iCs/>
          <w:color w:val="222222"/>
          <w:sz w:val="22"/>
          <w:szCs w:val="22"/>
        </w:rPr>
        <w:t>”</w:t>
      </w:r>
      <w:r w:rsidR="00CA4BAB" w:rsidRPr="004969EF">
        <w:rPr>
          <w:rFonts w:ascii="Arial" w:hAnsi="Arial" w:cs="Arial"/>
          <w:i/>
          <w:iCs/>
          <w:color w:val="222222"/>
          <w:sz w:val="22"/>
          <w:szCs w:val="22"/>
        </w:rPr>
        <w:t>,</w:t>
      </w:r>
      <w:r w:rsidR="00293CD9" w:rsidRPr="004969EF">
        <w:rPr>
          <w:rFonts w:ascii="Arial" w:hAnsi="Arial" w:cs="Arial"/>
          <w:i/>
          <w:iCs/>
          <w:color w:val="222222"/>
          <w:sz w:val="22"/>
          <w:szCs w:val="22"/>
        </w:rPr>
        <w:t xml:space="preserve"> </w:t>
      </w:r>
      <w:r w:rsidR="00CA4BAB" w:rsidRPr="004969EF">
        <w:rPr>
          <w:rFonts w:ascii="Arial" w:hAnsi="Arial" w:cs="Arial"/>
          <w:i/>
          <w:iCs/>
          <w:color w:val="222222"/>
          <w:sz w:val="22"/>
          <w:szCs w:val="22"/>
        </w:rPr>
        <w:t>and</w:t>
      </w:r>
      <w:r w:rsidR="00293CD9" w:rsidRPr="004969EF">
        <w:rPr>
          <w:rFonts w:ascii="Arial" w:hAnsi="Arial" w:cs="Arial"/>
          <w:i/>
          <w:iCs/>
          <w:color w:val="222222"/>
          <w:sz w:val="22"/>
          <w:szCs w:val="22"/>
        </w:rPr>
        <w:t xml:space="preserve"> “inclusion</w:t>
      </w:r>
      <w:r w:rsidR="00CA4BAB" w:rsidRPr="004969EF">
        <w:rPr>
          <w:rFonts w:ascii="Arial" w:hAnsi="Arial" w:cs="Arial"/>
          <w:i/>
          <w:iCs/>
          <w:color w:val="222222"/>
          <w:sz w:val="22"/>
          <w:szCs w:val="22"/>
        </w:rPr>
        <w:t xml:space="preserve">” </w:t>
      </w:r>
      <w:r w:rsidRPr="00B776B3">
        <w:rPr>
          <w:rFonts w:ascii="Arial" w:hAnsi="Arial" w:cs="Arial"/>
          <w:color w:val="222222"/>
          <w:sz w:val="22"/>
          <w:szCs w:val="22"/>
        </w:rPr>
        <w:t>appeared across multiple sources.</w:t>
      </w:r>
    </w:p>
    <w:p w14:paraId="3A5A61EE" w14:textId="77777777" w:rsidR="00CA4BAB" w:rsidRPr="00B776B3" w:rsidRDefault="00CA4BAB" w:rsidP="004969EF">
      <w:pPr>
        <w:spacing w:line="360" w:lineRule="auto"/>
        <w:jc w:val="both"/>
        <w:rPr>
          <w:rFonts w:ascii="Arial" w:hAnsi="Arial" w:cs="Arial"/>
          <w:color w:val="000000"/>
          <w:sz w:val="22"/>
          <w:szCs w:val="22"/>
        </w:rPr>
      </w:pPr>
    </w:p>
    <w:p w14:paraId="5C43B4FA" w14:textId="77777777" w:rsidR="00B776B3" w:rsidRPr="00B776B3" w:rsidRDefault="00B776B3" w:rsidP="004969EF">
      <w:pPr>
        <w:spacing w:line="360" w:lineRule="auto"/>
        <w:jc w:val="both"/>
        <w:rPr>
          <w:rFonts w:ascii="Arial" w:hAnsi="Arial" w:cs="Arial"/>
          <w:color w:val="000000"/>
          <w:sz w:val="22"/>
          <w:szCs w:val="22"/>
        </w:rPr>
      </w:pPr>
      <w:r w:rsidRPr="00B776B3">
        <w:rPr>
          <w:rFonts w:ascii="Arial" w:hAnsi="Arial" w:cs="Arial"/>
          <w:color w:val="222222"/>
          <w:sz w:val="22"/>
          <w:szCs w:val="22"/>
        </w:rPr>
        <w:t>Following this, codes were compared and grouped together to identify broader patterns. This stage involved examining similarities and differences across studies to move beyond individual findings and develop shared categories. These categories were then used to construct potential themes by bringing together related concepts that reflected common issues in ADHD recognition and referral.</w:t>
      </w:r>
    </w:p>
    <w:p w14:paraId="2C82BE7A" w14:textId="77777777" w:rsidR="00B776B3" w:rsidRPr="00B776B3" w:rsidRDefault="00B776B3" w:rsidP="004969EF">
      <w:pPr>
        <w:spacing w:line="360" w:lineRule="auto"/>
        <w:jc w:val="both"/>
        <w:rPr>
          <w:rFonts w:ascii="Arial" w:hAnsi="Arial" w:cs="Arial"/>
          <w:color w:val="000000"/>
          <w:sz w:val="22"/>
          <w:szCs w:val="22"/>
        </w:rPr>
      </w:pPr>
      <w:r w:rsidRPr="00B776B3">
        <w:rPr>
          <w:rFonts w:ascii="Arial" w:hAnsi="Arial" w:cs="Arial"/>
          <w:color w:val="222222"/>
          <w:sz w:val="22"/>
          <w:szCs w:val="22"/>
        </w:rPr>
        <w:t>The emerging themes were then reviewed and refined to ensure they were clear, distinct and directly relevant to the research question. This included checking for overlap between themes and ensuring that each theme represented a meaningful pattern within the data. Each theme was then clearly defined and named to reflect the central issue it represented.</w:t>
      </w:r>
    </w:p>
    <w:p w14:paraId="2ED21820" w14:textId="77777777" w:rsidR="00B776B3" w:rsidRPr="00B776B3" w:rsidRDefault="00B776B3" w:rsidP="004969EF">
      <w:pPr>
        <w:spacing w:line="360" w:lineRule="auto"/>
        <w:jc w:val="both"/>
        <w:rPr>
          <w:rFonts w:ascii="Arial" w:hAnsi="Arial" w:cs="Arial"/>
          <w:color w:val="000000"/>
          <w:sz w:val="22"/>
          <w:szCs w:val="22"/>
        </w:rPr>
      </w:pPr>
      <w:r w:rsidRPr="00B776B3">
        <w:rPr>
          <w:rFonts w:ascii="Arial" w:hAnsi="Arial" w:cs="Arial"/>
          <w:color w:val="222222"/>
          <w:sz w:val="22"/>
          <w:szCs w:val="22"/>
        </w:rPr>
        <w:t> </w:t>
      </w:r>
    </w:p>
    <w:p w14:paraId="4CF45A3E" w14:textId="6B1081F3" w:rsidR="00B776B3" w:rsidRPr="00B776B3" w:rsidRDefault="00B776B3" w:rsidP="004969EF">
      <w:pPr>
        <w:spacing w:line="360" w:lineRule="auto"/>
        <w:jc w:val="both"/>
        <w:rPr>
          <w:rFonts w:ascii="Arial" w:hAnsi="Arial" w:cs="Arial"/>
          <w:color w:val="000000"/>
          <w:sz w:val="22"/>
          <w:szCs w:val="22"/>
        </w:rPr>
      </w:pPr>
      <w:r w:rsidRPr="00B776B3">
        <w:rPr>
          <w:rFonts w:ascii="Arial" w:hAnsi="Arial" w:cs="Arial"/>
          <w:color w:val="222222"/>
          <w:sz w:val="22"/>
          <w:szCs w:val="22"/>
        </w:rPr>
        <w:t>These steps reflect the phases of thematic analysis outlined by Braun and Clarke (2006), including familiarisation, generating initial codes, searching for themes, reviewing themes, and defining and naming themes. Following this structured approach supports transparency and consistency in analysis, which Nowell et al. (2017) highlight as essential for ensuring trust in qualitative research. In addition, all sources had already been appraised using the CRAAP framework (</w:t>
      </w:r>
      <w:hyperlink w:anchor="_6.2_–_Appendices" w:history="1">
        <w:r w:rsidRPr="00B776B3">
          <w:rPr>
            <w:rStyle w:val="Hyperlink"/>
            <w:rFonts w:ascii="Arial" w:hAnsi="Arial" w:cs="Arial"/>
            <w:sz w:val="22"/>
            <w:szCs w:val="22"/>
          </w:rPr>
          <w:t>Appendix</w:t>
        </w:r>
        <w:r w:rsidR="00C32ACB" w:rsidRPr="004969EF">
          <w:rPr>
            <w:rStyle w:val="Hyperlink"/>
            <w:rFonts w:ascii="Arial" w:hAnsi="Arial" w:cs="Arial"/>
            <w:sz w:val="22"/>
            <w:szCs w:val="22"/>
          </w:rPr>
          <w:t xml:space="preserve"> A</w:t>
        </w:r>
      </w:hyperlink>
      <w:r w:rsidR="00C32ACB" w:rsidRPr="004969EF">
        <w:rPr>
          <w:rFonts w:ascii="Arial" w:hAnsi="Arial" w:cs="Arial"/>
          <w:color w:val="222222"/>
          <w:sz w:val="22"/>
          <w:szCs w:val="22"/>
        </w:rPr>
        <w:t>)</w:t>
      </w:r>
      <w:r w:rsidRPr="00B776B3">
        <w:rPr>
          <w:rFonts w:ascii="Arial" w:hAnsi="Arial" w:cs="Arial"/>
          <w:color w:val="222222"/>
          <w:sz w:val="22"/>
          <w:szCs w:val="22"/>
        </w:rPr>
        <w:t>, ensuring that only relevant and reliable evidence was included.</w:t>
      </w:r>
    </w:p>
    <w:p w14:paraId="5536D576" w14:textId="77777777" w:rsidR="00B776B3" w:rsidRPr="00B776B3" w:rsidRDefault="00B776B3" w:rsidP="004969EF">
      <w:pPr>
        <w:spacing w:line="360" w:lineRule="auto"/>
        <w:jc w:val="both"/>
        <w:rPr>
          <w:rFonts w:ascii="Arial" w:hAnsi="Arial" w:cs="Arial"/>
          <w:color w:val="000000"/>
          <w:sz w:val="22"/>
          <w:szCs w:val="22"/>
        </w:rPr>
      </w:pPr>
      <w:r w:rsidRPr="00B776B3">
        <w:rPr>
          <w:rFonts w:ascii="Arial" w:hAnsi="Arial" w:cs="Arial"/>
          <w:color w:val="222222"/>
          <w:sz w:val="22"/>
          <w:szCs w:val="22"/>
        </w:rPr>
        <w:t> </w:t>
      </w:r>
    </w:p>
    <w:p w14:paraId="33A80103" w14:textId="77777777" w:rsidR="00B776B3" w:rsidRPr="00B776B3" w:rsidRDefault="00B776B3" w:rsidP="004969EF">
      <w:pPr>
        <w:spacing w:line="360" w:lineRule="auto"/>
        <w:jc w:val="both"/>
        <w:rPr>
          <w:rFonts w:ascii="Arial" w:hAnsi="Arial" w:cs="Arial"/>
          <w:color w:val="000000"/>
          <w:sz w:val="22"/>
          <w:szCs w:val="22"/>
        </w:rPr>
      </w:pPr>
      <w:r w:rsidRPr="00B776B3">
        <w:rPr>
          <w:rFonts w:ascii="Arial" w:hAnsi="Arial" w:cs="Arial"/>
          <w:color w:val="222222"/>
          <w:sz w:val="22"/>
          <w:szCs w:val="22"/>
        </w:rPr>
        <w:lastRenderedPageBreak/>
        <w:t>From this process, four main themes were developed: School-Based Practices and the Early Recognition of ADHD; Local Authority and Service-Level Variation in Referral Pathways; Parental Perceptions, Cultural Meanings and Help-Seeking; and the Consequences of Under-Recognition and Delayed Referral for Children. These themes reflect the most consistent patterns identified across the literature and provide a structured way of examining how inequalities in ADHD recognition and support develop across education, health and local authority systems.</w:t>
      </w:r>
    </w:p>
    <w:p w14:paraId="4F3B8E34" w14:textId="77777777" w:rsidR="00B776B3" w:rsidRPr="00B776B3" w:rsidRDefault="00B776B3" w:rsidP="004969EF">
      <w:pPr>
        <w:spacing w:line="360" w:lineRule="auto"/>
        <w:jc w:val="both"/>
        <w:rPr>
          <w:rFonts w:ascii="Arial" w:hAnsi="Arial" w:cs="Arial"/>
          <w:color w:val="000000"/>
          <w:sz w:val="22"/>
          <w:szCs w:val="22"/>
        </w:rPr>
      </w:pPr>
      <w:r w:rsidRPr="00B776B3">
        <w:rPr>
          <w:rFonts w:ascii="Arial" w:hAnsi="Arial" w:cs="Arial"/>
          <w:color w:val="222222"/>
          <w:sz w:val="22"/>
          <w:szCs w:val="22"/>
        </w:rPr>
        <w:t> </w:t>
      </w:r>
    </w:p>
    <w:p w14:paraId="3ACB50FC" w14:textId="67B935B7" w:rsidR="00B776B3" w:rsidRPr="004969EF" w:rsidRDefault="00B776B3" w:rsidP="004969EF">
      <w:pPr>
        <w:spacing w:line="360" w:lineRule="auto"/>
        <w:jc w:val="both"/>
        <w:rPr>
          <w:rFonts w:ascii="Arial" w:hAnsi="Arial" w:cs="Arial"/>
          <w:color w:val="222222"/>
          <w:sz w:val="22"/>
          <w:szCs w:val="22"/>
        </w:rPr>
      </w:pPr>
      <w:r w:rsidRPr="00B776B3">
        <w:rPr>
          <w:rFonts w:ascii="Arial" w:hAnsi="Arial" w:cs="Arial"/>
          <w:color w:val="222222"/>
          <w:sz w:val="22"/>
          <w:szCs w:val="22"/>
        </w:rPr>
        <w:t>Thematic analysis is a method used to identify and interpret patterns within data (Braun and Clarke, 2006). In this study, it was applied to secondary research to examine how ADHD recognition and referral are described across the literature. Aveyard (2023) explains that, within literature-based research, thematic analysis involves identifying recurring ideas across studies and grouping them into meaningful categories.</w:t>
      </w:r>
    </w:p>
    <w:p w14:paraId="474E9CE6" w14:textId="77777777" w:rsidR="00B776B3" w:rsidRPr="00B776B3" w:rsidRDefault="00B776B3" w:rsidP="004969EF">
      <w:pPr>
        <w:spacing w:line="360" w:lineRule="auto"/>
        <w:jc w:val="both"/>
        <w:rPr>
          <w:rFonts w:ascii="Arial" w:hAnsi="Arial" w:cs="Arial"/>
          <w:color w:val="000000"/>
          <w:sz w:val="22"/>
          <w:szCs w:val="22"/>
        </w:rPr>
      </w:pPr>
    </w:p>
    <w:p w14:paraId="24EEA333" w14:textId="67071154" w:rsidR="00B776B3" w:rsidRPr="004969EF" w:rsidRDefault="00B776B3" w:rsidP="004969EF">
      <w:pPr>
        <w:spacing w:line="360" w:lineRule="auto"/>
        <w:jc w:val="both"/>
        <w:rPr>
          <w:rFonts w:ascii="Arial" w:hAnsi="Arial" w:cs="Arial"/>
          <w:color w:val="222222"/>
          <w:sz w:val="22"/>
          <w:szCs w:val="22"/>
        </w:rPr>
      </w:pPr>
      <w:r w:rsidRPr="00B776B3">
        <w:rPr>
          <w:rFonts w:ascii="Arial" w:hAnsi="Arial" w:cs="Arial"/>
          <w:color w:val="222222"/>
          <w:sz w:val="22"/>
          <w:szCs w:val="22"/>
        </w:rPr>
        <w:t>The process used in this study is outlined in Chapter 3 and supported by the results summary table (</w:t>
      </w:r>
      <w:hyperlink w:anchor="_6.2.2_–_Appendix" w:history="1">
        <w:r w:rsidRPr="00B776B3">
          <w:rPr>
            <w:rStyle w:val="Hyperlink"/>
            <w:rFonts w:ascii="Arial" w:hAnsi="Arial" w:cs="Arial"/>
            <w:sz w:val="22"/>
            <w:szCs w:val="22"/>
          </w:rPr>
          <w:t xml:space="preserve">Appendix </w:t>
        </w:r>
        <w:r w:rsidR="00C32ACB" w:rsidRPr="004969EF">
          <w:rPr>
            <w:rStyle w:val="Hyperlink"/>
            <w:rFonts w:ascii="Arial" w:hAnsi="Arial" w:cs="Arial"/>
            <w:sz w:val="22"/>
            <w:szCs w:val="22"/>
          </w:rPr>
          <w:t>B</w:t>
        </w:r>
      </w:hyperlink>
      <w:r w:rsidRPr="00B776B3">
        <w:rPr>
          <w:rFonts w:ascii="Arial" w:hAnsi="Arial" w:cs="Arial"/>
          <w:color w:val="222222"/>
          <w:sz w:val="22"/>
          <w:szCs w:val="22"/>
        </w:rPr>
        <w:t>). Key findings from each source were extracted and organised into codes such as labelling, cultural bias, postcode variation and delayed referral. These codes were then compared across studies to identify similarities and differences.</w:t>
      </w:r>
    </w:p>
    <w:p w14:paraId="142EEFFB" w14:textId="77777777" w:rsidR="00B776B3" w:rsidRPr="00B776B3" w:rsidRDefault="00B776B3" w:rsidP="004969EF">
      <w:pPr>
        <w:spacing w:line="360" w:lineRule="auto"/>
        <w:jc w:val="both"/>
        <w:rPr>
          <w:rFonts w:ascii="Arial" w:hAnsi="Arial" w:cs="Arial"/>
          <w:color w:val="000000"/>
          <w:sz w:val="22"/>
          <w:szCs w:val="22"/>
        </w:rPr>
      </w:pPr>
    </w:p>
    <w:p w14:paraId="71F79239" w14:textId="49E40C45" w:rsidR="00B776B3" w:rsidRPr="004969EF" w:rsidRDefault="00B776B3" w:rsidP="004969EF">
      <w:pPr>
        <w:spacing w:line="360" w:lineRule="auto"/>
        <w:jc w:val="both"/>
        <w:rPr>
          <w:rFonts w:ascii="Arial" w:hAnsi="Arial" w:cs="Arial"/>
          <w:color w:val="222222"/>
          <w:sz w:val="22"/>
          <w:szCs w:val="22"/>
        </w:rPr>
      </w:pPr>
      <w:r w:rsidRPr="00B776B3">
        <w:rPr>
          <w:rFonts w:ascii="Arial" w:hAnsi="Arial" w:cs="Arial"/>
          <w:color w:val="222222"/>
          <w:sz w:val="22"/>
          <w:szCs w:val="22"/>
        </w:rPr>
        <w:t>Codes that reflected similar meanings were grouped together to form broader themes. These themes were reviewed and refined to ensure they were clearly linked to the research question and grounded in the evidence. This step-by-step approach reflects Aveyard’s (2023) guidance on developing themes from secondary data, while also aligning with the structured process described by Braun and Clarke (2006). The use of a clear coding process also supports transparency and consistency in qualitative research (Nowell et al., 2017).</w:t>
      </w:r>
    </w:p>
    <w:p w14:paraId="4CB7A22F" w14:textId="77777777" w:rsidR="00B776B3" w:rsidRPr="00B776B3" w:rsidRDefault="00B776B3" w:rsidP="004969EF">
      <w:pPr>
        <w:spacing w:line="360" w:lineRule="auto"/>
        <w:jc w:val="both"/>
        <w:rPr>
          <w:rFonts w:ascii="Arial" w:hAnsi="Arial" w:cs="Arial"/>
          <w:color w:val="000000"/>
          <w:sz w:val="22"/>
          <w:szCs w:val="22"/>
        </w:rPr>
      </w:pPr>
    </w:p>
    <w:p w14:paraId="41B18579" w14:textId="77777777" w:rsidR="00B776B3" w:rsidRPr="00B776B3" w:rsidRDefault="00B776B3" w:rsidP="004969EF">
      <w:pPr>
        <w:spacing w:line="360" w:lineRule="auto"/>
        <w:jc w:val="both"/>
        <w:rPr>
          <w:rFonts w:ascii="Arial" w:hAnsi="Arial" w:cs="Arial"/>
          <w:color w:val="000000"/>
          <w:sz w:val="22"/>
          <w:szCs w:val="22"/>
        </w:rPr>
      </w:pPr>
      <w:r w:rsidRPr="00B776B3">
        <w:rPr>
          <w:rFonts w:ascii="Arial" w:hAnsi="Arial" w:cs="Arial"/>
          <w:color w:val="222222"/>
          <w:sz w:val="22"/>
          <w:szCs w:val="22"/>
        </w:rPr>
        <w:t>From this analysis, four key themes were developed: School-Based Practices and the Early Recognition of ADHD; Local Authority and Service-Level Variation in Referral Pathways; Parental Perceptions, Cultural Meanings and Help-Seeking; and the Consequences of Under-Recognition and Delayed Referral. These themes are explored in the following sections</w:t>
      </w:r>
    </w:p>
    <w:p w14:paraId="3B39D7B4" w14:textId="77777777" w:rsidR="00636D9A" w:rsidRPr="004969EF" w:rsidRDefault="00636D9A" w:rsidP="004969EF">
      <w:pPr>
        <w:spacing w:line="360" w:lineRule="auto"/>
        <w:jc w:val="both"/>
        <w:rPr>
          <w:rFonts w:ascii="Arial" w:hAnsi="Arial" w:cs="Arial"/>
          <w:sz w:val="22"/>
          <w:szCs w:val="22"/>
        </w:rPr>
      </w:pPr>
    </w:p>
    <w:p w14:paraId="5D1209A4" w14:textId="1808B052" w:rsidR="00FA0562" w:rsidRPr="004969EF" w:rsidRDefault="001C3AF6" w:rsidP="004969EF">
      <w:pPr>
        <w:pStyle w:val="Heading2"/>
        <w:spacing w:line="360" w:lineRule="auto"/>
        <w:jc w:val="both"/>
        <w:rPr>
          <w:rFonts w:ascii="Arial" w:hAnsi="Arial" w:cs="Arial"/>
          <w:b/>
          <w:bCs/>
          <w:color w:val="auto"/>
          <w:sz w:val="22"/>
          <w:szCs w:val="22"/>
          <w:u w:val="single"/>
        </w:rPr>
      </w:pPr>
      <w:bookmarkStart w:id="14" w:name="_Toc226379370"/>
      <w:r w:rsidRPr="004969EF">
        <w:rPr>
          <w:rFonts w:ascii="Arial" w:hAnsi="Arial" w:cs="Arial"/>
          <w:b/>
          <w:bCs/>
          <w:color w:val="auto"/>
          <w:sz w:val="22"/>
          <w:szCs w:val="22"/>
          <w:u w:val="single"/>
        </w:rPr>
        <w:t xml:space="preserve">4.3 – Theme </w:t>
      </w:r>
      <w:r w:rsidR="00AE66C4" w:rsidRPr="004969EF">
        <w:rPr>
          <w:rFonts w:ascii="Arial" w:hAnsi="Arial" w:cs="Arial"/>
          <w:b/>
          <w:bCs/>
          <w:color w:val="auto"/>
          <w:sz w:val="22"/>
          <w:szCs w:val="22"/>
          <w:u w:val="single"/>
        </w:rPr>
        <w:t xml:space="preserve">1: </w:t>
      </w:r>
      <w:r w:rsidR="00AE66C4" w:rsidRPr="004969EF">
        <w:rPr>
          <w:rFonts w:ascii="Arial" w:hAnsi="Arial" w:cs="Arial"/>
          <w:b/>
          <w:bCs/>
          <w:color w:val="auto"/>
          <w:sz w:val="22"/>
          <w:szCs w:val="22"/>
          <w:u w:val="single"/>
        </w:rPr>
        <w:t>School-Based Practices and the Early Recognition of ADHD</w:t>
      </w:r>
      <w:bookmarkEnd w:id="14"/>
    </w:p>
    <w:p w14:paraId="6856918D" w14:textId="1F255008" w:rsidR="007063BA" w:rsidRPr="004969EF" w:rsidRDefault="007063BA" w:rsidP="004969EF">
      <w:pPr>
        <w:spacing w:before="100" w:beforeAutospacing="1" w:after="100" w:afterAutospacing="1" w:line="360" w:lineRule="auto"/>
        <w:jc w:val="both"/>
        <w:rPr>
          <w:rFonts w:ascii="Arial" w:hAnsi="Arial" w:cs="Arial"/>
          <w:sz w:val="22"/>
          <w:szCs w:val="22"/>
          <w:u w:val="single"/>
        </w:rPr>
      </w:pPr>
      <w:r w:rsidRPr="004969EF">
        <w:rPr>
          <w:rStyle w:val="Strong"/>
          <w:rFonts w:ascii="Arial" w:hAnsi="Arial" w:cs="Arial"/>
          <w:sz w:val="22"/>
          <w:szCs w:val="22"/>
          <w:u w:val="single"/>
        </w:rPr>
        <w:t>Definition</w:t>
      </w:r>
    </w:p>
    <w:p w14:paraId="2390A6B4" w14:textId="77777777" w:rsidR="0076415F" w:rsidRPr="004969EF" w:rsidRDefault="0076415F" w:rsidP="004969EF">
      <w:pPr>
        <w:spacing w:line="360" w:lineRule="auto"/>
        <w:jc w:val="both"/>
        <w:rPr>
          <w:rFonts w:ascii="Arial" w:hAnsi="Arial" w:cs="Arial"/>
          <w:color w:val="000000"/>
          <w:sz w:val="22"/>
          <w:szCs w:val="22"/>
        </w:rPr>
      </w:pPr>
      <w:r w:rsidRPr="004969EF">
        <w:rPr>
          <w:rFonts w:ascii="Arial" w:hAnsi="Arial" w:cs="Arial"/>
          <w:color w:val="000000"/>
          <w:sz w:val="22"/>
          <w:szCs w:val="22"/>
        </w:rPr>
        <w:t>This theme focuses on how school-based practices influence the early recognition of ADHD, particularly through teacher understanding, training and classroom responses to behaviour. </w:t>
      </w:r>
    </w:p>
    <w:p w14:paraId="7F5806C7" w14:textId="5E740800" w:rsidR="0076415F" w:rsidRPr="004969EF" w:rsidRDefault="0076415F" w:rsidP="004969EF">
      <w:pPr>
        <w:spacing w:line="360" w:lineRule="auto"/>
        <w:jc w:val="both"/>
        <w:rPr>
          <w:rFonts w:ascii="Arial" w:hAnsi="Arial" w:cs="Arial"/>
          <w:color w:val="000000"/>
          <w:sz w:val="22"/>
          <w:szCs w:val="22"/>
        </w:rPr>
      </w:pPr>
      <w:r w:rsidRPr="004969EF">
        <w:rPr>
          <w:rFonts w:ascii="Arial" w:hAnsi="Arial" w:cs="Arial"/>
          <w:color w:val="000000"/>
          <w:sz w:val="22"/>
          <w:szCs w:val="22"/>
        </w:rPr>
        <w:lastRenderedPageBreak/>
        <w:t>Early recognition refers to the process by which behavioural patterns are identified and acted upon within school settings, often before a formal diagnosis is made.</w:t>
      </w:r>
    </w:p>
    <w:p w14:paraId="6F08F3C1" w14:textId="77777777" w:rsidR="0076415F" w:rsidRPr="004969EF" w:rsidRDefault="0076415F" w:rsidP="004969EF">
      <w:pPr>
        <w:spacing w:line="360" w:lineRule="auto"/>
        <w:jc w:val="both"/>
        <w:rPr>
          <w:rFonts w:ascii="Arial" w:hAnsi="Arial" w:cs="Arial"/>
          <w:color w:val="000000"/>
          <w:sz w:val="22"/>
          <w:szCs w:val="22"/>
        </w:rPr>
      </w:pPr>
      <w:r w:rsidRPr="004969EF">
        <w:rPr>
          <w:rFonts w:ascii="Arial" w:hAnsi="Arial" w:cs="Arial"/>
          <w:color w:val="000000"/>
          <w:sz w:val="22"/>
          <w:szCs w:val="22"/>
        </w:rPr>
        <w:t xml:space="preserve">Evidence across the studies suggests that early identification is not always consistent and can be influenced by how behaviour is understood in practice. </w:t>
      </w:r>
      <w:proofErr w:type="spellStart"/>
      <w:r w:rsidRPr="004969EF">
        <w:rPr>
          <w:rFonts w:ascii="Arial" w:hAnsi="Arial" w:cs="Arial"/>
          <w:color w:val="000000"/>
          <w:sz w:val="22"/>
          <w:szCs w:val="22"/>
        </w:rPr>
        <w:t>Aldabbagh</w:t>
      </w:r>
      <w:proofErr w:type="spellEnd"/>
      <w:r w:rsidRPr="004969EF">
        <w:rPr>
          <w:rFonts w:ascii="Arial" w:hAnsi="Arial" w:cs="Arial"/>
          <w:color w:val="000000"/>
          <w:sz w:val="22"/>
          <w:szCs w:val="22"/>
        </w:rPr>
        <w:t xml:space="preserve"> et al. (2024) found that children displaying ADHD-related behaviours were sometimes labelled as “naughty” rather than being understood in relation to underlying needs, reflecting gaps in training and support. Similarly, Ward et al. (2021) reported that school staff often lacked confidence in recognising ADHD, which may contribute to delays in referral. Russell et al. (2023) further highlighted that teacher awareness and support can vary across settings, leading to inconsistent experiences for children.</w:t>
      </w:r>
    </w:p>
    <w:p w14:paraId="457C2FDE" w14:textId="26CCD6DA" w:rsidR="0076415F" w:rsidRPr="004969EF" w:rsidRDefault="00333CF7" w:rsidP="004969EF">
      <w:pPr>
        <w:spacing w:line="360" w:lineRule="auto"/>
        <w:jc w:val="both"/>
        <w:rPr>
          <w:rFonts w:ascii="Arial" w:hAnsi="Arial" w:cs="Arial"/>
          <w:color w:val="000000"/>
          <w:sz w:val="22"/>
          <w:szCs w:val="22"/>
        </w:rPr>
      </w:pPr>
      <w:r w:rsidRPr="004969EF">
        <w:rPr>
          <w:rFonts w:ascii="Arial" w:hAnsi="Arial" w:cs="Arial"/>
          <w:color w:val="000000"/>
          <w:sz w:val="22"/>
          <w:szCs w:val="22"/>
        </w:rPr>
        <w:t xml:space="preserve">Here we understand the significance from the </w:t>
      </w:r>
      <w:r w:rsidR="0076415F" w:rsidRPr="004969EF">
        <w:rPr>
          <w:rFonts w:ascii="Arial" w:hAnsi="Arial" w:cs="Arial"/>
          <w:color w:val="000000"/>
          <w:sz w:val="22"/>
          <w:szCs w:val="22"/>
        </w:rPr>
        <w:t>findings that</w:t>
      </w:r>
      <w:r w:rsidRPr="004969EF">
        <w:rPr>
          <w:rFonts w:ascii="Arial" w:hAnsi="Arial" w:cs="Arial"/>
          <w:color w:val="000000"/>
          <w:sz w:val="22"/>
          <w:szCs w:val="22"/>
        </w:rPr>
        <w:t xml:space="preserve"> show discuss how</w:t>
      </w:r>
      <w:r w:rsidR="0076415F" w:rsidRPr="004969EF">
        <w:rPr>
          <w:rFonts w:ascii="Arial" w:hAnsi="Arial" w:cs="Arial"/>
          <w:color w:val="000000"/>
          <w:sz w:val="22"/>
          <w:szCs w:val="22"/>
        </w:rPr>
        <w:t xml:space="preserve"> school-based practices play a central role in early recognition.</w:t>
      </w:r>
    </w:p>
    <w:p w14:paraId="19C03044" w14:textId="77777777" w:rsidR="0076415F" w:rsidRPr="004969EF" w:rsidRDefault="0076415F" w:rsidP="004969EF">
      <w:pPr>
        <w:pStyle w:val="Heading4"/>
        <w:spacing w:line="360" w:lineRule="auto"/>
        <w:jc w:val="both"/>
        <w:rPr>
          <w:rFonts w:ascii="Arial" w:hAnsi="Arial" w:cs="Arial"/>
          <w:i w:val="0"/>
          <w:iCs w:val="0"/>
          <w:color w:val="auto"/>
          <w:sz w:val="22"/>
          <w:szCs w:val="22"/>
        </w:rPr>
      </w:pPr>
    </w:p>
    <w:p w14:paraId="09DAF856" w14:textId="3075B95C" w:rsidR="00DF75BF" w:rsidRPr="004969EF" w:rsidRDefault="007063BA" w:rsidP="004969EF">
      <w:pPr>
        <w:pStyle w:val="Heading4"/>
        <w:spacing w:line="360" w:lineRule="auto"/>
        <w:jc w:val="both"/>
        <w:rPr>
          <w:rFonts w:ascii="Arial" w:hAnsi="Arial" w:cs="Arial"/>
          <w:b/>
          <w:bCs/>
          <w:i w:val="0"/>
          <w:iCs w:val="0"/>
          <w:color w:val="auto"/>
          <w:sz w:val="22"/>
          <w:szCs w:val="22"/>
          <w:u w:val="single"/>
        </w:rPr>
      </w:pPr>
      <w:r w:rsidRPr="004969EF">
        <w:rPr>
          <w:rFonts w:ascii="Arial" w:hAnsi="Arial" w:cs="Arial"/>
          <w:b/>
          <w:bCs/>
          <w:i w:val="0"/>
          <w:iCs w:val="0"/>
          <w:color w:val="auto"/>
          <w:sz w:val="22"/>
          <w:szCs w:val="22"/>
          <w:u w:val="single"/>
        </w:rPr>
        <w:t>Background Information</w:t>
      </w:r>
    </w:p>
    <w:p w14:paraId="539AA89B" w14:textId="08BD6C22" w:rsidR="00463A70" w:rsidRPr="004969EF" w:rsidRDefault="00463A70" w:rsidP="004969EF">
      <w:pPr>
        <w:spacing w:line="360" w:lineRule="auto"/>
        <w:jc w:val="both"/>
        <w:rPr>
          <w:rFonts w:ascii="Arial" w:hAnsi="Arial" w:cs="Arial"/>
          <w:sz w:val="22"/>
          <w:szCs w:val="22"/>
        </w:rPr>
      </w:pPr>
      <w:r w:rsidRPr="004969EF">
        <w:rPr>
          <w:rFonts w:ascii="Arial" w:hAnsi="Arial" w:cs="Arial"/>
          <w:sz w:val="22"/>
          <w:szCs w:val="22"/>
        </w:rPr>
        <w:t xml:space="preserve">The struggle to identify ADHD in English schools today is not just a clinical issue. Instead, it is a problem rooted in a long history of how schools have misread children. To understand why children from ethnic minority backgrounds are still overlooked, we </w:t>
      </w:r>
      <w:proofErr w:type="gramStart"/>
      <w:r w:rsidRPr="004969EF">
        <w:rPr>
          <w:rFonts w:ascii="Arial" w:hAnsi="Arial" w:cs="Arial"/>
          <w:sz w:val="22"/>
          <w:szCs w:val="22"/>
        </w:rPr>
        <w:t>have to</w:t>
      </w:r>
      <w:proofErr w:type="gramEnd"/>
      <w:r w:rsidRPr="004969EF">
        <w:rPr>
          <w:rFonts w:ascii="Arial" w:hAnsi="Arial" w:cs="Arial"/>
          <w:sz w:val="22"/>
          <w:szCs w:val="22"/>
        </w:rPr>
        <w:t xml:space="preserve"> look at how their behaviour was judged long before ADHD was a formal diagnosis. Historically, traits like impulsivity or inattention were seen as moral failings rather than neurodevelopmental differences (Lange </w:t>
      </w:r>
      <w:r w:rsidR="00AD1365" w:rsidRPr="004969EF">
        <w:rPr>
          <w:rFonts w:ascii="Arial" w:hAnsi="Arial" w:cs="Arial"/>
          <w:sz w:val="22"/>
          <w:szCs w:val="22"/>
        </w:rPr>
        <w:t>et al.,</w:t>
      </w:r>
      <w:r w:rsidRPr="004969EF">
        <w:rPr>
          <w:rFonts w:ascii="Arial" w:hAnsi="Arial" w:cs="Arial"/>
          <w:sz w:val="22"/>
          <w:szCs w:val="22"/>
        </w:rPr>
        <w:t xml:space="preserve"> 2010; Martinez-</w:t>
      </w:r>
      <w:proofErr w:type="spellStart"/>
      <w:r w:rsidRPr="004969EF">
        <w:rPr>
          <w:rFonts w:ascii="Arial" w:hAnsi="Arial" w:cs="Arial"/>
          <w:sz w:val="22"/>
          <w:szCs w:val="22"/>
        </w:rPr>
        <w:t>Badía</w:t>
      </w:r>
      <w:proofErr w:type="spellEnd"/>
      <w:r w:rsidRPr="004969EF">
        <w:rPr>
          <w:rFonts w:ascii="Arial" w:hAnsi="Arial" w:cs="Arial"/>
          <w:sz w:val="22"/>
          <w:szCs w:val="22"/>
        </w:rPr>
        <w:t xml:space="preserve">, 2015). As Lange </w:t>
      </w:r>
      <w:r w:rsidR="003B75FB" w:rsidRPr="004969EF">
        <w:rPr>
          <w:rFonts w:ascii="Arial" w:hAnsi="Arial" w:cs="Arial"/>
          <w:sz w:val="22"/>
          <w:szCs w:val="22"/>
        </w:rPr>
        <w:t>et al.,</w:t>
      </w:r>
      <w:r w:rsidRPr="004969EF">
        <w:rPr>
          <w:rFonts w:ascii="Arial" w:hAnsi="Arial" w:cs="Arial"/>
          <w:sz w:val="22"/>
          <w:szCs w:val="22"/>
        </w:rPr>
        <w:t xml:space="preserve"> (2010) observe, these children were often dismissed as simple misconduct cases. This legacy still shadows the way restless students are seen in modern classrooms, which is particularly damaging for minority groups.</w:t>
      </w:r>
    </w:p>
    <w:p w14:paraId="6F432643" w14:textId="15B7A7C9" w:rsidR="00463A70" w:rsidRPr="004969EF" w:rsidRDefault="00463A70" w:rsidP="004969EF">
      <w:pPr>
        <w:spacing w:line="360" w:lineRule="auto"/>
        <w:jc w:val="both"/>
        <w:rPr>
          <w:rFonts w:ascii="Arial" w:hAnsi="Arial" w:cs="Arial"/>
          <w:sz w:val="22"/>
          <w:szCs w:val="22"/>
        </w:rPr>
      </w:pPr>
      <w:r w:rsidRPr="004969EF">
        <w:rPr>
          <w:rFonts w:ascii="Arial" w:hAnsi="Arial" w:cs="Arial"/>
          <w:sz w:val="22"/>
          <w:szCs w:val="22"/>
        </w:rPr>
        <w:t xml:space="preserve">This harsh heritage was once systematically built into policy. Records from the Open University (2026) timeline show that by the mid-nineteenth century, children who failed to meet behavioural norms were often sent to custodial institutions such as the Eastern Counties Asylum for Idiots and Imbeciles (1859). Even after the Elementary Education Act 1870 made schooling compulsory, the rigid institutional demands for stillness and compliance meant many children were effectively locked out of learning (Open University, 2026). This history of managing difference through exclusion, rather than support, serves as the real-world backdrop for the </w:t>
      </w:r>
      <w:r w:rsidR="00AD1365" w:rsidRPr="004969EF">
        <w:rPr>
          <w:rFonts w:ascii="Arial" w:hAnsi="Arial" w:cs="Arial"/>
          <w:sz w:val="22"/>
          <w:szCs w:val="22"/>
        </w:rPr>
        <w:t>barrier’s</w:t>
      </w:r>
      <w:r w:rsidRPr="004969EF">
        <w:rPr>
          <w:rFonts w:ascii="Arial" w:hAnsi="Arial" w:cs="Arial"/>
          <w:sz w:val="22"/>
          <w:szCs w:val="22"/>
        </w:rPr>
        <w:t xml:space="preserve"> schools face today.</w:t>
      </w:r>
    </w:p>
    <w:p w14:paraId="7E1FBE04" w14:textId="77777777" w:rsidR="00463A70" w:rsidRPr="004969EF" w:rsidRDefault="00463A70" w:rsidP="004969EF">
      <w:pPr>
        <w:spacing w:line="360" w:lineRule="auto"/>
        <w:jc w:val="both"/>
        <w:rPr>
          <w:rFonts w:ascii="Arial" w:hAnsi="Arial" w:cs="Arial"/>
          <w:sz w:val="22"/>
          <w:szCs w:val="22"/>
        </w:rPr>
      </w:pPr>
      <w:r w:rsidRPr="004969EF">
        <w:rPr>
          <w:rFonts w:ascii="Arial" w:hAnsi="Arial" w:cs="Arial"/>
          <w:sz w:val="22"/>
          <w:szCs w:val="22"/>
        </w:rPr>
        <w:t> </w:t>
      </w:r>
    </w:p>
    <w:p w14:paraId="290DA3AA" w14:textId="29FA74A4" w:rsidR="00463A70" w:rsidRPr="004969EF" w:rsidRDefault="00463A70" w:rsidP="004969EF">
      <w:pPr>
        <w:spacing w:line="360" w:lineRule="auto"/>
        <w:jc w:val="both"/>
        <w:rPr>
          <w:rFonts w:ascii="Arial" w:hAnsi="Arial" w:cs="Arial"/>
          <w:sz w:val="22"/>
          <w:szCs w:val="22"/>
        </w:rPr>
      </w:pPr>
      <w:r w:rsidRPr="004969EF">
        <w:rPr>
          <w:rFonts w:ascii="Arial" w:hAnsi="Arial" w:cs="Arial"/>
          <w:sz w:val="22"/>
          <w:szCs w:val="22"/>
        </w:rPr>
        <w:t xml:space="preserve">A major shift finally emerged in the late twentieth century with the Warnock Report (1978). This report transformed the conversation by moving the burden of adaptation from the child to the school system itself. It led to the formalisation of Special Educational Needs (SEN) and the eventual creation of the SENCO role. Today, the SENCO acts as the </w:t>
      </w:r>
      <w:r w:rsidR="00C24013" w:rsidRPr="004969EF">
        <w:rPr>
          <w:rFonts w:ascii="Arial" w:hAnsi="Arial" w:cs="Arial"/>
          <w:sz w:val="22"/>
          <w:szCs w:val="22"/>
        </w:rPr>
        <w:t>cornerstone</w:t>
      </w:r>
      <w:r w:rsidRPr="004969EF">
        <w:rPr>
          <w:rFonts w:ascii="Arial" w:hAnsi="Arial" w:cs="Arial"/>
          <w:sz w:val="22"/>
          <w:szCs w:val="22"/>
        </w:rPr>
        <w:t xml:space="preserve"> for early </w:t>
      </w:r>
      <w:r w:rsidRPr="004969EF">
        <w:rPr>
          <w:rFonts w:ascii="Arial" w:hAnsi="Arial" w:cs="Arial"/>
          <w:sz w:val="22"/>
          <w:szCs w:val="22"/>
        </w:rPr>
        <w:lastRenderedPageBreak/>
        <w:t>recognition</w:t>
      </w:r>
      <w:r w:rsidR="00C24013" w:rsidRPr="004969EF">
        <w:rPr>
          <w:rFonts w:ascii="Arial" w:hAnsi="Arial" w:cs="Arial"/>
          <w:sz w:val="22"/>
          <w:szCs w:val="22"/>
        </w:rPr>
        <w:t>, of possible learning needs</w:t>
      </w:r>
      <w:r w:rsidRPr="004969EF">
        <w:rPr>
          <w:rFonts w:ascii="Arial" w:hAnsi="Arial" w:cs="Arial"/>
          <w:sz w:val="22"/>
          <w:szCs w:val="22"/>
        </w:rPr>
        <w:t>, tasked with the day-to-day operation of SEN policies and coordinating provision through a graduated approach of assessment and review (Department for Education, 2022). In theory, this structural role exists to ensure that a child's character is not subjectively judged and that they receive support at the earliest possible stage.</w:t>
      </w:r>
    </w:p>
    <w:p w14:paraId="0E7CEEA7" w14:textId="3FA2C365" w:rsidR="00463A70" w:rsidRPr="004969EF" w:rsidRDefault="00463A70" w:rsidP="004969EF">
      <w:pPr>
        <w:spacing w:line="360" w:lineRule="auto"/>
        <w:jc w:val="both"/>
        <w:rPr>
          <w:rFonts w:ascii="Arial" w:hAnsi="Arial" w:cs="Arial"/>
          <w:sz w:val="22"/>
          <w:szCs w:val="22"/>
        </w:rPr>
      </w:pPr>
      <w:r w:rsidRPr="004969EF">
        <w:rPr>
          <w:rFonts w:ascii="Arial" w:hAnsi="Arial" w:cs="Arial"/>
          <w:sz w:val="22"/>
          <w:szCs w:val="22"/>
        </w:rPr>
        <w:t xml:space="preserve">However, a substantial gap remains between these inclusive policies and the actual reality of a busy classroom. Symptoms of ADHD are still frequently misread as bad behaviour instead of a neurodevelopmental condition, a problem often made worse by cultural biases (Lange </w:t>
      </w:r>
      <w:r w:rsidR="00AD1365" w:rsidRPr="004969EF">
        <w:rPr>
          <w:rFonts w:ascii="Arial" w:hAnsi="Arial" w:cs="Arial"/>
          <w:sz w:val="22"/>
          <w:szCs w:val="22"/>
        </w:rPr>
        <w:t>et al.,</w:t>
      </w:r>
      <w:r w:rsidRPr="004969EF">
        <w:rPr>
          <w:rFonts w:ascii="Arial" w:hAnsi="Arial" w:cs="Arial"/>
          <w:sz w:val="22"/>
          <w:szCs w:val="22"/>
        </w:rPr>
        <w:t xml:space="preserve"> 2010; Mahone and </w:t>
      </w:r>
      <w:proofErr w:type="spellStart"/>
      <w:r w:rsidRPr="004969EF">
        <w:rPr>
          <w:rFonts w:ascii="Arial" w:hAnsi="Arial" w:cs="Arial"/>
          <w:sz w:val="22"/>
          <w:szCs w:val="22"/>
        </w:rPr>
        <w:t>Denckla</w:t>
      </w:r>
      <w:proofErr w:type="spellEnd"/>
      <w:r w:rsidRPr="004969EF">
        <w:rPr>
          <w:rFonts w:ascii="Arial" w:hAnsi="Arial" w:cs="Arial"/>
          <w:sz w:val="22"/>
          <w:szCs w:val="22"/>
        </w:rPr>
        <w:t>, 2017). For children from ethnic minority backgrounds, this means that school-based practices may still default to discipline rather than a referral for support. Despite the legislative progress from the 1981 Act to the current SEND Code of Practice, the historical tendency to moralise behaviour still hinders the early recognition of ADHD, leading to long-term disadvantage for these students.</w:t>
      </w:r>
    </w:p>
    <w:p w14:paraId="4A8E51F7" w14:textId="77777777" w:rsidR="00333CF7" w:rsidRPr="004969EF" w:rsidRDefault="007063BA" w:rsidP="004969EF">
      <w:pPr>
        <w:pStyle w:val="Heading4"/>
        <w:spacing w:line="360" w:lineRule="auto"/>
        <w:jc w:val="both"/>
        <w:rPr>
          <w:rFonts w:ascii="Arial" w:hAnsi="Arial" w:cs="Arial"/>
          <w:b/>
          <w:bCs/>
          <w:i w:val="0"/>
          <w:iCs w:val="0"/>
          <w:color w:val="auto"/>
          <w:sz w:val="22"/>
          <w:szCs w:val="22"/>
          <w:u w:val="single"/>
        </w:rPr>
      </w:pPr>
      <w:r w:rsidRPr="004969EF">
        <w:rPr>
          <w:rFonts w:ascii="Arial" w:hAnsi="Arial" w:cs="Arial"/>
          <w:b/>
          <w:bCs/>
          <w:i w:val="0"/>
          <w:iCs w:val="0"/>
          <w:color w:val="auto"/>
          <w:sz w:val="22"/>
          <w:szCs w:val="22"/>
          <w:u w:val="single"/>
        </w:rPr>
        <w:t>Impact on Research Question</w:t>
      </w:r>
    </w:p>
    <w:p w14:paraId="150519BC" w14:textId="28972C61" w:rsidR="00A5032A" w:rsidRPr="00A5032A" w:rsidRDefault="00A5032A" w:rsidP="004969EF">
      <w:pPr>
        <w:pStyle w:val="Heading4"/>
        <w:spacing w:line="360" w:lineRule="auto"/>
        <w:jc w:val="both"/>
        <w:rPr>
          <w:rFonts w:ascii="Arial" w:hAnsi="Arial" w:cs="Arial"/>
          <w:b/>
          <w:bCs/>
          <w:i w:val="0"/>
          <w:iCs w:val="0"/>
          <w:color w:val="auto"/>
          <w:kern w:val="2"/>
          <w:sz w:val="22"/>
          <w:szCs w:val="22"/>
          <w:u w:val="single"/>
          <w:lang w:eastAsia="zh-CN"/>
          <w14:ligatures w14:val="standardContextual"/>
        </w:rPr>
      </w:pPr>
      <w:r w:rsidRPr="00A5032A">
        <w:rPr>
          <w:rFonts w:ascii="Arial" w:eastAsia="Times New Roman" w:hAnsi="Arial" w:cs="Arial"/>
          <w:i w:val="0"/>
          <w:iCs w:val="0"/>
          <w:color w:val="000000"/>
          <w:sz w:val="22"/>
          <w:szCs w:val="22"/>
        </w:rPr>
        <w:t>Early identification depends heavily on teachers’ ability to distinguish between behavioural difficulties and neurodevelopmental need, yet evidence shows that behaviours associated with ADHD are frequently misinterpreted or labelled rather than understood in context (</w:t>
      </w:r>
      <w:proofErr w:type="spellStart"/>
      <w:r w:rsidRPr="00A5032A">
        <w:rPr>
          <w:rFonts w:ascii="Arial" w:eastAsia="Times New Roman" w:hAnsi="Arial" w:cs="Arial"/>
          <w:i w:val="0"/>
          <w:iCs w:val="0"/>
          <w:color w:val="000000"/>
          <w:sz w:val="22"/>
          <w:szCs w:val="22"/>
        </w:rPr>
        <w:t>Aldabbagh</w:t>
      </w:r>
      <w:proofErr w:type="spellEnd"/>
      <w:r w:rsidRPr="00A5032A">
        <w:rPr>
          <w:rFonts w:ascii="Arial" w:eastAsia="Times New Roman" w:hAnsi="Arial" w:cs="Arial"/>
          <w:i w:val="0"/>
          <w:iCs w:val="0"/>
          <w:color w:val="000000"/>
          <w:sz w:val="22"/>
          <w:szCs w:val="22"/>
        </w:rPr>
        <w:t xml:space="preserve"> et al., 2024). When behaviours are framed as defiance or poor conduct, opportunities for timely referral are reduced, particularly for children from ethnic minority backgrounds who may already be subject to cultural bias in teacher perceptions (Diener et al., 2025).</w:t>
      </w:r>
    </w:p>
    <w:p w14:paraId="7FB91031" w14:textId="77777777" w:rsidR="00A5032A" w:rsidRPr="00A5032A" w:rsidRDefault="00A5032A" w:rsidP="004969EF">
      <w:pPr>
        <w:spacing w:before="100" w:beforeAutospacing="1" w:after="100" w:afterAutospacing="1" w:line="360" w:lineRule="auto"/>
        <w:jc w:val="both"/>
        <w:rPr>
          <w:rFonts w:ascii="Arial" w:hAnsi="Arial" w:cs="Arial"/>
          <w:color w:val="000000"/>
          <w:sz w:val="22"/>
          <w:szCs w:val="22"/>
        </w:rPr>
      </w:pPr>
      <w:r w:rsidRPr="00A5032A">
        <w:rPr>
          <w:rFonts w:ascii="Arial" w:hAnsi="Arial" w:cs="Arial"/>
          <w:color w:val="000000"/>
          <w:sz w:val="22"/>
          <w:szCs w:val="22"/>
        </w:rPr>
        <w:t>This theme also highlights how gaps in training and confidence influence recognition. Teachers who feel underprepared to identify ADHD may delay raising concerns or rely on informal strategies rather than initiating formal referral pathways (Ward et al., 2021). Such delays are significant for the research question because they demonstrate how school</w:t>
      </w:r>
      <w:r w:rsidRPr="00A5032A">
        <w:rPr>
          <w:rFonts w:ascii="Arial" w:hAnsi="Arial" w:cs="Arial"/>
          <w:color w:val="000000"/>
          <w:sz w:val="22"/>
          <w:szCs w:val="22"/>
        </w:rPr>
        <w:noBreakHyphen/>
        <w:t>based practices can unintentionally contribute to under</w:t>
      </w:r>
      <w:r w:rsidRPr="00A5032A">
        <w:rPr>
          <w:rFonts w:ascii="Arial" w:hAnsi="Arial" w:cs="Arial"/>
          <w:color w:val="000000"/>
          <w:sz w:val="22"/>
          <w:szCs w:val="22"/>
        </w:rPr>
        <w:noBreakHyphen/>
        <w:t>recognition, especially when staff lack the knowledge or support needed to interpret behaviours accurately.</w:t>
      </w:r>
    </w:p>
    <w:p w14:paraId="79AF3244" w14:textId="77777777" w:rsidR="00A5032A" w:rsidRPr="00A5032A" w:rsidRDefault="00A5032A" w:rsidP="004969EF">
      <w:pPr>
        <w:spacing w:before="100" w:beforeAutospacing="1" w:after="100" w:afterAutospacing="1" w:line="360" w:lineRule="auto"/>
        <w:jc w:val="both"/>
        <w:rPr>
          <w:rFonts w:ascii="Arial" w:hAnsi="Arial" w:cs="Arial"/>
          <w:color w:val="000000"/>
          <w:sz w:val="22"/>
          <w:szCs w:val="22"/>
        </w:rPr>
      </w:pPr>
      <w:r w:rsidRPr="00A5032A">
        <w:rPr>
          <w:rFonts w:ascii="Arial" w:hAnsi="Arial" w:cs="Arial"/>
          <w:color w:val="000000"/>
          <w:sz w:val="22"/>
          <w:szCs w:val="22"/>
        </w:rPr>
        <w:t>In addition, the theme underscores the importance of consistency across school settings. Variability in awareness, support, and referral processes means that children with similar presentations may receive very different responses depending on the school they attend (Russell et al., 2023). This inconsistency is particularly relevant for ethnic minority families, who may already face barriers in navigating educational and health systems. When school</w:t>
      </w:r>
      <w:r w:rsidRPr="00A5032A">
        <w:rPr>
          <w:rFonts w:ascii="Arial" w:hAnsi="Arial" w:cs="Arial"/>
          <w:color w:val="000000"/>
          <w:sz w:val="22"/>
          <w:szCs w:val="22"/>
        </w:rPr>
        <w:noBreakHyphen/>
        <w:t>based practices are uneven, the likelihood of under</w:t>
      </w:r>
      <w:r w:rsidRPr="00A5032A">
        <w:rPr>
          <w:rFonts w:ascii="Arial" w:hAnsi="Arial" w:cs="Arial"/>
          <w:color w:val="000000"/>
          <w:sz w:val="22"/>
          <w:szCs w:val="22"/>
        </w:rPr>
        <w:noBreakHyphen/>
        <w:t>recognition increases, reinforcing disparities in access to assessment and support.</w:t>
      </w:r>
    </w:p>
    <w:p w14:paraId="51284E51" w14:textId="77777777" w:rsidR="00A5032A" w:rsidRPr="00A5032A" w:rsidRDefault="00A5032A" w:rsidP="004969EF">
      <w:pPr>
        <w:spacing w:before="100" w:beforeAutospacing="1" w:after="100" w:afterAutospacing="1" w:line="360" w:lineRule="auto"/>
        <w:jc w:val="both"/>
        <w:rPr>
          <w:rFonts w:ascii="Arial" w:hAnsi="Arial" w:cs="Arial"/>
          <w:color w:val="000000"/>
          <w:sz w:val="22"/>
          <w:szCs w:val="22"/>
        </w:rPr>
      </w:pPr>
      <w:r w:rsidRPr="00A5032A">
        <w:rPr>
          <w:rFonts w:ascii="Arial" w:hAnsi="Arial" w:cs="Arial"/>
          <w:color w:val="000000"/>
          <w:sz w:val="22"/>
          <w:szCs w:val="22"/>
        </w:rPr>
        <w:t xml:space="preserve">Overall, this theme is significant to the research question because it demonstrates that early recognition is not solely a matter of individual behaviour but is shaped by the systems, </w:t>
      </w:r>
      <w:r w:rsidRPr="00A5032A">
        <w:rPr>
          <w:rFonts w:ascii="Arial" w:hAnsi="Arial" w:cs="Arial"/>
          <w:color w:val="000000"/>
          <w:sz w:val="22"/>
          <w:szCs w:val="22"/>
        </w:rPr>
        <w:lastRenderedPageBreak/>
        <w:t>interpretations, and practices within schools. Misinterpretation, limited training, cultural bias, and inconsistent support all contribute to the under</w:t>
      </w:r>
      <w:r w:rsidRPr="00A5032A">
        <w:rPr>
          <w:rFonts w:ascii="Arial" w:hAnsi="Arial" w:cs="Arial"/>
          <w:color w:val="000000"/>
          <w:sz w:val="22"/>
          <w:szCs w:val="22"/>
        </w:rPr>
        <w:noBreakHyphen/>
        <w:t>recognition and delayed referral of ADHD, showing that school</w:t>
      </w:r>
      <w:r w:rsidRPr="00A5032A">
        <w:rPr>
          <w:rFonts w:ascii="Arial" w:hAnsi="Arial" w:cs="Arial"/>
          <w:color w:val="000000"/>
          <w:sz w:val="22"/>
          <w:szCs w:val="22"/>
        </w:rPr>
        <w:noBreakHyphen/>
        <w:t>based practices are a key factor in understanding why ethnic minority children remain disproportionately affected.</w:t>
      </w:r>
    </w:p>
    <w:p w14:paraId="12515DC2" w14:textId="77777777" w:rsidR="00A5032A" w:rsidRPr="00A5032A" w:rsidRDefault="00A5032A" w:rsidP="004969EF">
      <w:pPr>
        <w:spacing w:line="360" w:lineRule="auto"/>
        <w:jc w:val="both"/>
        <w:rPr>
          <w:rFonts w:ascii="Arial" w:hAnsi="Arial" w:cs="Arial"/>
          <w:sz w:val="22"/>
          <w:szCs w:val="22"/>
        </w:rPr>
      </w:pPr>
    </w:p>
    <w:p w14:paraId="57AF6CDF" w14:textId="13CA55B7" w:rsidR="00A5032A" w:rsidRPr="004969EF" w:rsidRDefault="007063BA" w:rsidP="004969EF">
      <w:pPr>
        <w:pStyle w:val="Heading4"/>
        <w:spacing w:line="360" w:lineRule="auto"/>
        <w:jc w:val="both"/>
        <w:rPr>
          <w:rFonts w:ascii="Arial" w:hAnsi="Arial" w:cs="Arial"/>
          <w:b/>
          <w:bCs/>
          <w:i w:val="0"/>
          <w:iCs w:val="0"/>
          <w:color w:val="auto"/>
          <w:sz w:val="22"/>
          <w:szCs w:val="22"/>
          <w:u w:val="single"/>
        </w:rPr>
      </w:pPr>
      <w:r w:rsidRPr="004969EF">
        <w:rPr>
          <w:rFonts w:ascii="Arial" w:hAnsi="Arial" w:cs="Arial"/>
          <w:b/>
          <w:bCs/>
          <w:i w:val="0"/>
          <w:iCs w:val="0"/>
          <w:color w:val="auto"/>
          <w:sz w:val="22"/>
          <w:szCs w:val="22"/>
          <w:u w:val="single"/>
        </w:rPr>
        <w:t>Statistical Information</w:t>
      </w:r>
    </w:p>
    <w:p w14:paraId="535ACBD8" w14:textId="2EB5C906" w:rsidR="00B278AF" w:rsidRPr="004969EF" w:rsidRDefault="00B278AF" w:rsidP="004969EF">
      <w:pPr>
        <w:spacing w:line="360" w:lineRule="auto"/>
        <w:jc w:val="both"/>
        <w:rPr>
          <w:rFonts w:ascii="Arial" w:hAnsi="Arial" w:cs="Arial"/>
          <w:color w:val="222222"/>
          <w:sz w:val="22"/>
          <w:szCs w:val="22"/>
        </w:rPr>
      </w:pPr>
      <w:r w:rsidRPr="00B278AF">
        <w:rPr>
          <w:rFonts w:ascii="Arial" w:hAnsi="Arial" w:cs="Arial"/>
          <w:color w:val="222222"/>
          <w:sz w:val="22"/>
          <w:szCs w:val="22"/>
        </w:rPr>
        <w:t xml:space="preserve">Quantitative data highlight the gap between early indicators of ADHD and the support children later receive. Warburton et al. (2026), in a population-based cohort study of 125,330 children, found that 2.6% of children who were not school ready later received an ADHD diagnosis, compared with 1.0% of those who were school ready. This suggests that behavioural and developmental indicators linked to ADHD are already visible at the point of school </w:t>
      </w:r>
      <w:r w:rsidRPr="004969EF">
        <w:rPr>
          <w:rFonts w:ascii="Arial" w:hAnsi="Arial" w:cs="Arial"/>
          <w:color w:val="222222"/>
          <w:sz w:val="22"/>
          <w:szCs w:val="22"/>
        </w:rPr>
        <w:t>entry yet</w:t>
      </w:r>
      <w:r w:rsidRPr="00B278AF">
        <w:rPr>
          <w:rFonts w:ascii="Arial" w:hAnsi="Arial" w:cs="Arial"/>
          <w:color w:val="222222"/>
          <w:sz w:val="22"/>
          <w:szCs w:val="22"/>
        </w:rPr>
        <w:t xml:space="preserve"> are not consistently acted upon within educational settings. The study also identified lower diagnosis rates among South Asian children, particularly girls, indicating that recognition is not experienced equally across groups.</w:t>
      </w:r>
    </w:p>
    <w:p w14:paraId="6A60DACF" w14:textId="77777777" w:rsidR="00B278AF" w:rsidRPr="00B278AF" w:rsidRDefault="00B278AF" w:rsidP="004969EF">
      <w:pPr>
        <w:spacing w:line="360" w:lineRule="auto"/>
        <w:jc w:val="both"/>
        <w:rPr>
          <w:rFonts w:ascii="Arial" w:hAnsi="Arial" w:cs="Arial"/>
          <w:color w:val="222222"/>
          <w:sz w:val="22"/>
          <w:szCs w:val="22"/>
        </w:rPr>
      </w:pPr>
    </w:p>
    <w:p w14:paraId="5D4AFFD9" w14:textId="77777777" w:rsidR="00B278AF" w:rsidRPr="00B278AF" w:rsidRDefault="00B278AF" w:rsidP="004969EF">
      <w:pPr>
        <w:spacing w:line="360" w:lineRule="auto"/>
        <w:jc w:val="both"/>
        <w:rPr>
          <w:rFonts w:ascii="Arial" w:hAnsi="Arial" w:cs="Arial"/>
          <w:color w:val="222222"/>
          <w:sz w:val="22"/>
          <w:szCs w:val="22"/>
        </w:rPr>
      </w:pPr>
      <w:r w:rsidRPr="00B278AF">
        <w:rPr>
          <w:rFonts w:ascii="Arial" w:hAnsi="Arial" w:cs="Arial"/>
          <w:color w:val="222222"/>
          <w:sz w:val="22"/>
          <w:szCs w:val="22"/>
        </w:rPr>
        <w:t>This gap is further reflected in teacher knowledge and practice. Data from ADHD UK (2017), based on a COMRES survey of 803 currently employed primary and secondary school teachers, show that 42% had not received training on ADHD and 72% did not know how to refer a pupil for further support. In addition, 23% of teachers reported that they would not always refer a pupil they suspected may have ADHD. Although these figures are not ethnicity-specific, they point to wider gaps in recognition and referral processes within schools. As seen across the themes in this study, similar patterns of delay, inconsistency and uneven access to support continue to emerge, suggesting that these issues are not isolated but form part of a wider system that may further disadvantage children from ethnic minority backgrounds.</w:t>
      </w:r>
    </w:p>
    <w:p w14:paraId="129F3AFE" w14:textId="77777777" w:rsidR="00B278AF" w:rsidRPr="004969EF" w:rsidRDefault="00B278AF" w:rsidP="004969EF">
      <w:pPr>
        <w:spacing w:line="360" w:lineRule="auto"/>
        <w:jc w:val="both"/>
        <w:rPr>
          <w:rFonts w:ascii="Arial" w:hAnsi="Arial" w:cs="Arial"/>
          <w:color w:val="222222"/>
          <w:sz w:val="22"/>
          <w:szCs w:val="22"/>
        </w:rPr>
      </w:pPr>
    </w:p>
    <w:p w14:paraId="214614A1" w14:textId="01A6D441" w:rsidR="00B278AF" w:rsidRPr="00B278AF" w:rsidRDefault="00B278AF" w:rsidP="004969EF">
      <w:pPr>
        <w:spacing w:line="360" w:lineRule="auto"/>
        <w:jc w:val="both"/>
        <w:rPr>
          <w:rFonts w:ascii="Arial" w:hAnsi="Arial" w:cs="Arial"/>
          <w:color w:val="222222"/>
          <w:sz w:val="22"/>
          <w:szCs w:val="22"/>
        </w:rPr>
      </w:pPr>
      <w:r w:rsidRPr="004969EF">
        <w:rPr>
          <w:rFonts w:ascii="Arial" w:hAnsi="Arial" w:cs="Arial"/>
          <w:color w:val="222222"/>
          <w:sz w:val="22"/>
          <w:szCs w:val="22"/>
        </w:rPr>
        <w:t>t</w:t>
      </w:r>
      <w:r w:rsidRPr="00B278AF">
        <w:rPr>
          <w:rFonts w:ascii="Arial" w:hAnsi="Arial" w:cs="Arial"/>
          <w:color w:val="222222"/>
          <w:sz w:val="22"/>
          <w:szCs w:val="22"/>
        </w:rPr>
        <w:t>hese findings indicate that early signs of ADHD are present within school environments but are not consistently recognised or acted upon. As a result, opportunities for early, holistic support are missed, and children are more likely to enter support pathways at a later stage, where intervention becomes more reactive rather than preventative.</w:t>
      </w:r>
    </w:p>
    <w:p w14:paraId="5446F81D" w14:textId="77777777" w:rsidR="00B278AF" w:rsidRPr="004969EF" w:rsidRDefault="00B278AF" w:rsidP="004969EF">
      <w:pPr>
        <w:spacing w:line="360" w:lineRule="auto"/>
        <w:jc w:val="both"/>
        <w:rPr>
          <w:rFonts w:ascii="Arial" w:hAnsi="Arial" w:cs="Arial"/>
          <w:sz w:val="22"/>
          <w:szCs w:val="22"/>
        </w:rPr>
      </w:pPr>
    </w:p>
    <w:p w14:paraId="387A2433" w14:textId="782B2E95" w:rsidR="007063BA" w:rsidRPr="004969EF" w:rsidRDefault="007063BA" w:rsidP="004969EF">
      <w:pPr>
        <w:pStyle w:val="NormalWeb"/>
        <w:spacing w:line="360" w:lineRule="auto"/>
        <w:jc w:val="both"/>
        <w:rPr>
          <w:rStyle w:val="Strong"/>
          <w:rFonts w:ascii="Arial" w:hAnsi="Arial" w:cs="Arial"/>
          <w:b w:val="0"/>
          <w:bCs w:val="0"/>
          <w:sz w:val="22"/>
          <w:szCs w:val="22"/>
          <w:u w:val="single"/>
        </w:rPr>
      </w:pPr>
      <w:r w:rsidRPr="004969EF">
        <w:rPr>
          <w:rStyle w:val="Strong"/>
          <w:rFonts w:ascii="Arial" w:eastAsia="Calibri Light" w:hAnsi="Arial" w:cs="Arial"/>
          <w:sz w:val="22"/>
          <w:szCs w:val="22"/>
          <w:u w:val="single"/>
        </w:rPr>
        <w:t>Theoretical Framework</w:t>
      </w:r>
    </w:p>
    <w:p w14:paraId="258E89F2" w14:textId="2D345E51" w:rsidR="000545F7" w:rsidRPr="004969EF" w:rsidRDefault="000545F7" w:rsidP="004969EF">
      <w:pPr>
        <w:spacing w:line="360" w:lineRule="auto"/>
        <w:jc w:val="both"/>
        <w:rPr>
          <w:rFonts w:ascii="Arial" w:hAnsi="Arial" w:cs="Arial"/>
          <w:color w:val="000000"/>
          <w:sz w:val="22"/>
          <w:szCs w:val="22"/>
        </w:rPr>
      </w:pPr>
      <w:r w:rsidRPr="004969EF">
        <w:rPr>
          <w:rFonts w:ascii="Arial" w:hAnsi="Arial" w:cs="Arial"/>
          <w:color w:val="222222"/>
          <w:sz w:val="22"/>
          <w:szCs w:val="22"/>
        </w:rPr>
        <w:t xml:space="preserve">Attribution theory helps explain how behaviour is interpreted in everyday school settings, where actions may be seen as deliberate rather than linked to underlying need (Russo and Oliveros, 2024). In practice, this matters because behaviours such as inattention or impulsivity </w:t>
      </w:r>
      <w:r w:rsidRPr="004969EF">
        <w:rPr>
          <w:rFonts w:ascii="Arial" w:hAnsi="Arial" w:cs="Arial"/>
          <w:color w:val="222222"/>
          <w:sz w:val="22"/>
          <w:szCs w:val="22"/>
        </w:rPr>
        <w:lastRenderedPageBreak/>
        <w:t>can be read as disruption rather than potential indicators of additional needs (including attention deficit hyperactivity disorder, ADHD). Similarly, intersectionality explains how overlapping social factors, such as ethnicity and additional needs, interact within systems, meaning that children may not be recognised or understood in the same way across different groups (Guy-Evans, 2024).</w:t>
      </w:r>
    </w:p>
    <w:p w14:paraId="6F9FD43F" w14:textId="77777777" w:rsidR="007063BA" w:rsidRPr="004969EF" w:rsidRDefault="007063BA" w:rsidP="004969EF">
      <w:pPr>
        <w:pStyle w:val="NormalWeb"/>
        <w:spacing w:line="360" w:lineRule="auto"/>
        <w:jc w:val="both"/>
        <w:rPr>
          <w:rFonts w:ascii="Arial" w:hAnsi="Arial" w:cs="Arial"/>
          <w:sz w:val="22"/>
          <w:szCs w:val="22"/>
          <w:u w:val="single"/>
        </w:rPr>
      </w:pPr>
      <w:r w:rsidRPr="004969EF">
        <w:rPr>
          <w:rStyle w:val="Strong"/>
          <w:rFonts w:ascii="Arial" w:eastAsia="Calibri Light" w:hAnsi="Arial" w:cs="Arial"/>
          <w:sz w:val="22"/>
          <w:szCs w:val="22"/>
          <w:u w:val="single"/>
        </w:rPr>
        <w:t>Policy and Legislation:</w:t>
      </w:r>
    </w:p>
    <w:p w14:paraId="4C6FDD8D" w14:textId="77777777" w:rsidR="000545F7" w:rsidRPr="004969EF" w:rsidRDefault="000545F7" w:rsidP="004969EF">
      <w:pPr>
        <w:spacing w:line="360" w:lineRule="auto"/>
        <w:jc w:val="both"/>
        <w:rPr>
          <w:rFonts w:ascii="Arial" w:hAnsi="Arial" w:cs="Arial"/>
          <w:color w:val="000000"/>
          <w:sz w:val="22"/>
          <w:szCs w:val="22"/>
        </w:rPr>
      </w:pPr>
      <w:r w:rsidRPr="004969EF">
        <w:rPr>
          <w:rFonts w:ascii="Arial" w:hAnsi="Arial" w:cs="Arial"/>
          <w:color w:val="222222"/>
          <w:sz w:val="22"/>
          <w:szCs w:val="22"/>
        </w:rPr>
        <w:t>The Children and Families Act 2014, Section 20 and Section 22 establishes the duty to recognise and identify children with special educational needs, while the SEND Code of Practice (Department for Education, 2015), Section 6.2 and Section 6.44 outlines how schools should respond through early identification and the graduated approach. In practice, this places responsibility on school staff to notice early signs of need and act on them. The Equality Act 2010, Section 20 further requires reasonable adjustments where disadvantage occurs, reinforcing the need for early recognition within classroom environments rather than relying on formal diagnosis alone.</w:t>
      </w:r>
    </w:p>
    <w:p w14:paraId="7A9343C2" w14:textId="77777777" w:rsidR="000545F7" w:rsidRPr="004969EF" w:rsidRDefault="000545F7" w:rsidP="004969EF">
      <w:pPr>
        <w:spacing w:line="360" w:lineRule="auto"/>
        <w:jc w:val="both"/>
        <w:rPr>
          <w:rFonts w:ascii="Arial" w:hAnsi="Arial" w:cs="Arial"/>
          <w:color w:val="000000"/>
          <w:sz w:val="22"/>
          <w:szCs w:val="22"/>
        </w:rPr>
      </w:pPr>
      <w:r w:rsidRPr="004969EF">
        <w:rPr>
          <w:rFonts w:ascii="Arial" w:hAnsi="Arial" w:cs="Arial"/>
          <w:color w:val="222222"/>
          <w:sz w:val="22"/>
          <w:szCs w:val="22"/>
        </w:rPr>
        <w:t xml:space="preserve">However, evidence suggests that this is not applied consistently in practice. </w:t>
      </w:r>
      <w:proofErr w:type="spellStart"/>
      <w:r w:rsidRPr="004969EF">
        <w:rPr>
          <w:rFonts w:ascii="Arial" w:hAnsi="Arial" w:cs="Arial"/>
          <w:color w:val="222222"/>
          <w:sz w:val="22"/>
          <w:szCs w:val="22"/>
        </w:rPr>
        <w:t>Aldabbagh</w:t>
      </w:r>
      <w:proofErr w:type="spellEnd"/>
      <w:r w:rsidRPr="004969EF">
        <w:rPr>
          <w:rFonts w:ascii="Arial" w:hAnsi="Arial" w:cs="Arial"/>
          <w:color w:val="222222"/>
          <w:sz w:val="22"/>
          <w:szCs w:val="22"/>
        </w:rPr>
        <w:t xml:space="preserve"> et al. (2024), based on a qualitative study of 17 teachers of children aged four to eight, found that behaviours were sometimes interpreted negatively rather than explored as potential indicators of additional needs. Similarly, Ward et al. (2021) reported low confidence among school staff in recognising additional needs, suggesting that interpretation varies across classrooms. This is particularly relevant to this study, as it shows that early identification is shaped not only by policy, but by how behaviour is understood at the classroom level, which may influence whether children are recognised and referred.</w:t>
      </w:r>
    </w:p>
    <w:p w14:paraId="6F207D32" w14:textId="77777777" w:rsidR="000545F7" w:rsidRPr="004969EF" w:rsidRDefault="000545F7" w:rsidP="004969EF">
      <w:pPr>
        <w:pStyle w:val="Heading4"/>
        <w:spacing w:line="360" w:lineRule="auto"/>
        <w:jc w:val="both"/>
        <w:rPr>
          <w:rFonts w:ascii="Arial" w:hAnsi="Arial" w:cs="Arial"/>
          <w:i w:val="0"/>
          <w:iCs w:val="0"/>
          <w:color w:val="auto"/>
          <w:sz w:val="22"/>
          <w:szCs w:val="22"/>
        </w:rPr>
      </w:pPr>
    </w:p>
    <w:p w14:paraId="13B595A6" w14:textId="4D130E82" w:rsidR="007063BA" w:rsidRPr="004969EF" w:rsidRDefault="007063BA" w:rsidP="004969EF">
      <w:pPr>
        <w:pStyle w:val="Heading4"/>
        <w:spacing w:line="360" w:lineRule="auto"/>
        <w:jc w:val="both"/>
        <w:rPr>
          <w:rFonts w:ascii="Arial" w:hAnsi="Arial" w:cs="Arial"/>
          <w:b/>
          <w:bCs/>
          <w:i w:val="0"/>
          <w:iCs w:val="0"/>
          <w:color w:val="auto"/>
          <w:sz w:val="22"/>
          <w:szCs w:val="22"/>
          <w:u w:val="single"/>
        </w:rPr>
      </w:pPr>
      <w:r w:rsidRPr="004969EF">
        <w:rPr>
          <w:rFonts w:ascii="Arial" w:hAnsi="Arial" w:cs="Arial"/>
          <w:b/>
          <w:bCs/>
          <w:i w:val="0"/>
          <w:iCs w:val="0"/>
          <w:color w:val="auto"/>
          <w:sz w:val="22"/>
          <w:szCs w:val="22"/>
          <w:u w:val="single"/>
        </w:rPr>
        <w:t>Implications</w:t>
      </w:r>
    </w:p>
    <w:p w14:paraId="02E4F897" w14:textId="77777777" w:rsidR="000545F7" w:rsidRPr="004969EF" w:rsidRDefault="000545F7" w:rsidP="004969EF">
      <w:pPr>
        <w:pStyle w:val="NormalWeb"/>
        <w:spacing w:line="360" w:lineRule="auto"/>
        <w:jc w:val="both"/>
        <w:rPr>
          <w:rFonts w:ascii="Arial" w:hAnsi="Arial" w:cs="Arial"/>
          <w:color w:val="000000"/>
          <w:sz w:val="22"/>
          <w:szCs w:val="22"/>
        </w:rPr>
      </w:pPr>
      <w:r w:rsidRPr="004969EF">
        <w:rPr>
          <w:rFonts w:ascii="Arial" w:hAnsi="Arial" w:cs="Arial"/>
          <w:color w:val="000000"/>
          <w:sz w:val="22"/>
          <w:szCs w:val="22"/>
        </w:rPr>
        <w:t>The implications of this theme show how school</w:t>
      </w:r>
      <w:r w:rsidRPr="004969EF">
        <w:rPr>
          <w:rFonts w:ascii="Arial" w:hAnsi="Arial" w:cs="Arial"/>
          <w:color w:val="000000"/>
          <w:sz w:val="22"/>
          <w:szCs w:val="22"/>
        </w:rPr>
        <w:noBreakHyphen/>
        <w:t>based practices can either support or hinder the early recognition of ADHD, particularly for children from ethnic minority backgrounds. Although policy frameworks emphasise early identification, the realities of classroom practice mean that this expectation is not always achievable. Teachers frequently manage high behavioural demands, and this contributes to stress that can reduce their capacity to interpret ADHD</w:t>
      </w:r>
      <w:r w:rsidRPr="004969EF">
        <w:rPr>
          <w:rFonts w:ascii="Arial" w:hAnsi="Arial" w:cs="Arial"/>
          <w:color w:val="000000"/>
          <w:sz w:val="22"/>
          <w:szCs w:val="22"/>
        </w:rPr>
        <w:noBreakHyphen/>
        <w:t>related behaviours accurately (Department for Education, 2019). When staff are overwhelmed, subtle indicators of neurodevelopmental need may be overlooked, increasing the likelihood of under</w:t>
      </w:r>
      <w:r w:rsidRPr="004969EF">
        <w:rPr>
          <w:rFonts w:ascii="Arial" w:hAnsi="Arial" w:cs="Arial"/>
          <w:color w:val="000000"/>
          <w:sz w:val="22"/>
          <w:szCs w:val="22"/>
        </w:rPr>
        <w:noBreakHyphen/>
        <w:t>recognition.</w:t>
      </w:r>
    </w:p>
    <w:p w14:paraId="252179E5" w14:textId="77777777" w:rsidR="000545F7" w:rsidRPr="004969EF" w:rsidRDefault="000545F7" w:rsidP="004969EF">
      <w:pPr>
        <w:pStyle w:val="NormalWeb"/>
        <w:spacing w:line="360" w:lineRule="auto"/>
        <w:jc w:val="both"/>
        <w:rPr>
          <w:rFonts w:ascii="Arial" w:hAnsi="Arial" w:cs="Arial"/>
          <w:color w:val="000000"/>
          <w:sz w:val="22"/>
          <w:szCs w:val="22"/>
        </w:rPr>
      </w:pPr>
      <w:r w:rsidRPr="004969EF">
        <w:rPr>
          <w:rFonts w:ascii="Arial" w:hAnsi="Arial" w:cs="Arial"/>
          <w:color w:val="000000"/>
          <w:sz w:val="22"/>
          <w:szCs w:val="22"/>
        </w:rPr>
        <w:lastRenderedPageBreak/>
        <w:t>The SENCO role is intended to bridge this gap by coordinating provision and guiding staff, yet its effectiveness is limited when time and resources are stretched (Department for Education, 2022). This constraint has direct implications for the research question, as inconsistent SENCO capacity can lead to variation in how concerns are identified and escalated across schools. At a wider system level, fragmented pathways between education, health, and social care continue to delay assessment and intervention, despite national guidance promoting coordinated care (NICE, 2018). These delays disproportionately affect families who may already face cultural or linguistic barriers when navigating services.</w:t>
      </w:r>
    </w:p>
    <w:p w14:paraId="104E1326" w14:textId="77777777" w:rsidR="000545F7" w:rsidRPr="004969EF" w:rsidRDefault="000545F7" w:rsidP="004969EF">
      <w:pPr>
        <w:pStyle w:val="NormalWeb"/>
        <w:spacing w:line="360" w:lineRule="auto"/>
        <w:jc w:val="both"/>
        <w:rPr>
          <w:rFonts w:ascii="Arial" w:hAnsi="Arial" w:cs="Arial"/>
          <w:color w:val="000000"/>
          <w:sz w:val="22"/>
          <w:szCs w:val="22"/>
        </w:rPr>
      </w:pPr>
      <w:r w:rsidRPr="004969EF">
        <w:rPr>
          <w:rFonts w:ascii="Arial" w:hAnsi="Arial" w:cs="Arial"/>
          <w:color w:val="000000"/>
          <w:sz w:val="22"/>
          <w:szCs w:val="22"/>
        </w:rPr>
        <w:t>Recent policy discussions, including the national conversation on SEND and parliamentary scrutiny, highlight ongoing concerns about the consistency and equity of current systems (Department for Education, 2025; UK Parliament, 2024). These debates reinforce that, while legislation has strengthened protections, implementation remains uneven. This inconsistency has negative implications for children from ethnic minority backgrounds, who may be more vulnerable to misinterpretation of behaviour, cultural bias, and delayed referral.</w:t>
      </w:r>
    </w:p>
    <w:p w14:paraId="1E4151D4" w14:textId="77777777" w:rsidR="000545F7" w:rsidRPr="004969EF" w:rsidRDefault="000545F7" w:rsidP="004969EF">
      <w:pPr>
        <w:pStyle w:val="NormalWeb"/>
        <w:spacing w:line="360" w:lineRule="auto"/>
        <w:jc w:val="both"/>
        <w:rPr>
          <w:rFonts w:ascii="Arial" w:hAnsi="Arial" w:cs="Arial"/>
          <w:color w:val="000000"/>
          <w:sz w:val="22"/>
          <w:szCs w:val="22"/>
        </w:rPr>
      </w:pPr>
      <w:r w:rsidRPr="004969EF">
        <w:rPr>
          <w:rFonts w:ascii="Arial" w:hAnsi="Arial" w:cs="Arial"/>
          <w:color w:val="000000"/>
          <w:sz w:val="22"/>
          <w:szCs w:val="22"/>
        </w:rPr>
        <w:t>At the same time, there are positive implications. The Equality Act 2010 provides a legal basis for challenging discriminatory practices, and the Children and Families Act 2014 establishes clear expectations for multi</w:t>
      </w:r>
      <w:r w:rsidRPr="004969EF">
        <w:rPr>
          <w:rFonts w:ascii="Arial" w:hAnsi="Arial" w:cs="Arial"/>
          <w:color w:val="000000"/>
          <w:sz w:val="22"/>
          <w:szCs w:val="22"/>
        </w:rPr>
        <w:noBreakHyphen/>
        <w:t>agency support. The SENCO role, EHC plans, and statutory guidance offer mechanisms through which early recognition can be strengthened when implemented effectively. However, the persistence of misinterpretation, inconsistent support, and structural fragmentation means that children with ADHD remain at risk of under</w:t>
      </w:r>
      <w:r w:rsidRPr="004969EF">
        <w:rPr>
          <w:rFonts w:ascii="Arial" w:hAnsi="Arial" w:cs="Arial"/>
          <w:color w:val="000000"/>
          <w:sz w:val="22"/>
          <w:szCs w:val="22"/>
        </w:rPr>
        <w:noBreakHyphen/>
        <w:t>identification, demonstrating that school</w:t>
      </w:r>
      <w:r w:rsidRPr="004969EF">
        <w:rPr>
          <w:rFonts w:ascii="Arial" w:hAnsi="Arial" w:cs="Arial"/>
          <w:color w:val="000000"/>
          <w:sz w:val="22"/>
          <w:szCs w:val="22"/>
        </w:rPr>
        <w:noBreakHyphen/>
        <w:t>based practices and local authority structures continue to play a significant role in shaping referral outcomes.</w:t>
      </w:r>
    </w:p>
    <w:p w14:paraId="538020D2" w14:textId="77777777" w:rsidR="0082760D" w:rsidRPr="004969EF" w:rsidRDefault="0082760D" w:rsidP="004969EF">
      <w:pPr>
        <w:pStyle w:val="Heading4"/>
        <w:spacing w:line="360" w:lineRule="auto"/>
        <w:jc w:val="both"/>
        <w:rPr>
          <w:rFonts w:ascii="Arial" w:hAnsi="Arial" w:cs="Arial"/>
          <w:b/>
          <w:bCs/>
          <w:i w:val="0"/>
          <w:iCs w:val="0"/>
          <w:color w:val="auto"/>
          <w:sz w:val="22"/>
          <w:szCs w:val="22"/>
          <w:u w:val="single"/>
        </w:rPr>
      </w:pPr>
      <w:r w:rsidRPr="004969EF">
        <w:rPr>
          <w:rFonts w:ascii="Arial" w:hAnsi="Arial" w:cs="Arial"/>
          <w:b/>
          <w:bCs/>
          <w:i w:val="0"/>
          <w:iCs w:val="0"/>
          <w:color w:val="auto"/>
          <w:sz w:val="22"/>
          <w:szCs w:val="22"/>
          <w:u w:val="single"/>
        </w:rPr>
        <w:lastRenderedPageBreak/>
        <w:t>Examples from Your Articles</w:t>
      </w:r>
    </w:p>
    <w:p w14:paraId="597DC6FD" w14:textId="3332BC97" w:rsidR="00D373BB" w:rsidRPr="004969EF" w:rsidRDefault="00D373BB" w:rsidP="004969EF">
      <w:pPr>
        <w:pStyle w:val="Heading4"/>
        <w:spacing w:line="360" w:lineRule="auto"/>
        <w:jc w:val="both"/>
        <w:rPr>
          <w:rFonts w:ascii="Arial" w:eastAsiaTheme="minorEastAsia" w:hAnsi="Arial" w:cs="Arial"/>
          <w:i w:val="0"/>
          <w:iCs w:val="0"/>
          <w:color w:val="auto"/>
          <w:sz w:val="22"/>
          <w:szCs w:val="22"/>
        </w:rPr>
      </w:pPr>
      <w:r w:rsidRPr="004969EF">
        <w:rPr>
          <w:rFonts w:ascii="Arial" w:eastAsiaTheme="minorEastAsia" w:hAnsi="Arial" w:cs="Arial"/>
          <w:i w:val="0"/>
          <w:iCs w:val="0"/>
          <w:color w:val="auto"/>
          <w:sz w:val="22"/>
          <w:szCs w:val="22"/>
        </w:rPr>
        <w:t xml:space="preserve">Teacher awareness and responses within classrooms appear to be the key factors associated with early identification of ADHD. </w:t>
      </w:r>
      <w:proofErr w:type="spellStart"/>
      <w:r w:rsidRPr="004969EF">
        <w:rPr>
          <w:rFonts w:ascii="Arial" w:eastAsiaTheme="minorEastAsia" w:hAnsi="Arial" w:cs="Arial"/>
          <w:i w:val="0"/>
          <w:iCs w:val="0"/>
          <w:color w:val="auto"/>
          <w:sz w:val="22"/>
          <w:szCs w:val="22"/>
        </w:rPr>
        <w:t>Aldabbagh</w:t>
      </w:r>
      <w:proofErr w:type="spellEnd"/>
      <w:r w:rsidRPr="004969EF">
        <w:rPr>
          <w:rFonts w:ascii="Arial" w:eastAsiaTheme="minorEastAsia" w:hAnsi="Arial" w:cs="Arial"/>
          <w:i w:val="0"/>
          <w:iCs w:val="0"/>
          <w:color w:val="auto"/>
          <w:sz w:val="22"/>
          <w:szCs w:val="22"/>
        </w:rPr>
        <w:t xml:space="preserve"> </w:t>
      </w:r>
      <w:r w:rsidR="003B75FB" w:rsidRPr="004969EF">
        <w:rPr>
          <w:rFonts w:ascii="Arial" w:eastAsiaTheme="minorEastAsia" w:hAnsi="Arial" w:cs="Arial"/>
          <w:i w:val="0"/>
          <w:iCs w:val="0"/>
          <w:color w:val="auto"/>
          <w:sz w:val="22"/>
          <w:szCs w:val="22"/>
        </w:rPr>
        <w:t>et al.,</w:t>
      </w:r>
      <w:r w:rsidRPr="004969EF">
        <w:rPr>
          <w:rFonts w:ascii="Arial" w:eastAsiaTheme="minorEastAsia" w:hAnsi="Arial" w:cs="Arial"/>
          <w:i w:val="0"/>
          <w:iCs w:val="0"/>
          <w:color w:val="auto"/>
          <w:sz w:val="22"/>
          <w:szCs w:val="22"/>
        </w:rPr>
        <w:t xml:space="preserve"> (2024) indicate that teachers tend to describe students’ </w:t>
      </w:r>
      <w:r w:rsidR="00AD1365" w:rsidRPr="004969EF">
        <w:rPr>
          <w:rFonts w:ascii="Arial" w:eastAsiaTheme="minorEastAsia" w:hAnsi="Arial" w:cs="Arial"/>
          <w:i w:val="0"/>
          <w:iCs w:val="0"/>
          <w:color w:val="auto"/>
          <w:sz w:val="22"/>
          <w:szCs w:val="22"/>
        </w:rPr>
        <w:t>behaviour</w:t>
      </w:r>
      <w:r w:rsidRPr="004969EF">
        <w:rPr>
          <w:rFonts w:ascii="Arial" w:eastAsiaTheme="minorEastAsia" w:hAnsi="Arial" w:cs="Arial"/>
          <w:i w:val="0"/>
          <w:iCs w:val="0"/>
          <w:color w:val="auto"/>
          <w:sz w:val="22"/>
          <w:szCs w:val="22"/>
        </w:rPr>
        <w:t xml:space="preserve"> as </w:t>
      </w:r>
      <w:r w:rsidRPr="004969EF">
        <w:rPr>
          <w:rFonts w:ascii="Arial" w:eastAsiaTheme="minorEastAsia" w:hAnsi="Arial" w:cs="Arial"/>
          <w:color w:val="auto"/>
          <w:sz w:val="22"/>
          <w:szCs w:val="22"/>
        </w:rPr>
        <w:t>naughty</w:t>
      </w:r>
      <w:r w:rsidRPr="004969EF">
        <w:rPr>
          <w:rFonts w:ascii="Arial" w:eastAsiaTheme="minorEastAsia" w:hAnsi="Arial" w:cs="Arial"/>
          <w:i w:val="0"/>
          <w:iCs w:val="0"/>
          <w:color w:val="auto"/>
          <w:sz w:val="22"/>
          <w:szCs w:val="22"/>
        </w:rPr>
        <w:t xml:space="preserve"> rather than assessing possible neurodevelopmental reasons. Further complicating this issue is a reported lack of professional development and inadequate support given to educators that results in many classroom educators misinterpreting early signs of ADHD before formal recognition takes place.</w:t>
      </w:r>
    </w:p>
    <w:p w14:paraId="6BF1BD1E" w14:textId="43FAFC5E" w:rsidR="00D373BB" w:rsidRPr="004969EF" w:rsidRDefault="00D373BB" w:rsidP="004969EF">
      <w:pPr>
        <w:pStyle w:val="Heading4"/>
        <w:spacing w:line="360" w:lineRule="auto"/>
        <w:jc w:val="both"/>
        <w:rPr>
          <w:rFonts w:ascii="Arial" w:eastAsiaTheme="minorEastAsia" w:hAnsi="Arial" w:cs="Arial"/>
          <w:i w:val="0"/>
          <w:iCs w:val="0"/>
          <w:color w:val="auto"/>
          <w:sz w:val="22"/>
          <w:szCs w:val="22"/>
        </w:rPr>
      </w:pPr>
    </w:p>
    <w:p w14:paraId="6CCB0888" w14:textId="2669909B" w:rsidR="00D373BB" w:rsidRPr="004969EF" w:rsidRDefault="00D373BB" w:rsidP="004969EF">
      <w:pPr>
        <w:pStyle w:val="Heading4"/>
        <w:spacing w:line="360" w:lineRule="auto"/>
        <w:jc w:val="both"/>
        <w:rPr>
          <w:rFonts w:ascii="Arial" w:eastAsiaTheme="minorEastAsia" w:hAnsi="Arial" w:cs="Arial"/>
          <w:i w:val="0"/>
          <w:iCs w:val="0"/>
          <w:color w:val="auto"/>
          <w:sz w:val="22"/>
          <w:szCs w:val="22"/>
        </w:rPr>
      </w:pPr>
      <w:r w:rsidRPr="004969EF">
        <w:rPr>
          <w:rFonts w:ascii="Arial" w:eastAsiaTheme="minorEastAsia" w:hAnsi="Arial" w:cs="Arial"/>
          <w:i w:val="0"/>
          <w:iCs w:val="0"/>
          <w:color w:val="auto"/>
          <w:sz w:val="22"/>
          <w:szCs w:val="22"/>
        </w:rPr>
        <w:t xml:space="preserve">Diener </w:t>
      </w:r>
      <w:r w:rsidR="003B75FB" w:rsidRPr="004969EF">
        <w:rPr>
          <w:rFonts w:ascii="Arial" w:eastAsiaTheme="minorEastAsia" w:hAnsi="Arial" w:cs="Arial"/>
          <w:i w:val="0"/>
          <w:iCs w:val="0"/>
          <w:color w:val="auto"/>
          <w:sz w:val="22"/>
          <w:szCs w:val="22"/>
        </w:rPr>
        <w:t>et al.,</w:t>
      </w:r>
      <w:r w:rsidRPr="004969EF">
        <w:rPr>
          <w:rFonts w:ascii="Arial" w:eastAsiaTheme="minorEastAsia" w:hAnsi="Arial" w:cs="Arial"/>
          <w:i w:val="0"/>
          <w:iCs w:val="0"/>
          <w:color w:val="auto"/>
          <w:sz w:val="22"/>
          <w:szCs w:val="22"/>
        </w:rPr>
        <w:t xml:space="preserve"> (2025) expand upon this issue by indicating that teachers tend to underreport ADHD symptoms in children from diverse racial/ethnic backgrounds. Their study finds that educators commonly interpret students' </w:t>
      </w:r>
      <w:r w:rsidR="00AD1365" w:rsidRPr="004969EF">
        <w:rPr>
          <w:rFonts w:ascii="Arial" w:eastAsiaTheme="minorEastAsia" w:hAnsi="Arial" w:cs="Arial"/>
          <w:i w:val="0"/>
          <w:iCs w:val="0"/>
          <w:color w:val="auto"/>
          <w:sz w:val="22"/>
          <w:szCs w:val="22"/>
        </w:rPr>
        <w:t>behaviour</w:t>
      </w:r>
      <w:r w:rsidRPr="004969EF">
        <w:rPr>
          <w:rFonts w:ascii="Arial" w:eastAsiaTheme="minorEastAsia" w:hAnsi="Arial" w:cs="Arial"/>
          <w:i w:val="0"/>
          <w:iCs w:val="0"/>
          <w:color w:val="auto"/>
          <w:sz w:val="22"/>
          <w:szCs w:val="22"/>
        </w:rPr>
        <w:t xml:space="preserve">s based on what they perceive as cultural background characteristics rather than as indicators of a child's clinical needs. Therefore, underrecognition is driven by both educational knowledge deficits as well as </w:t>
      </w:r>
      <w:r w:rsidR="00942E88" w:rsidRPr="004969EF">
        <w:rPr>
          <w:rFonts w:ascii="Arial" w:eastAsiaTheme="minorEastAsia" w:hAnsi="Arial" w:cs="Arial"/>
          <w:i w:val="0"/>
          <w:iCs w:val="0"/>
          <w:color w:val="auto"/>
          <w:sz w:val="22"/>
          <w:szCs w:val="22"/>
        </w:rPr>
        <w:t>culturally based</w:t>
      </w:r>
      <w:r w:rsidRPr="004969EF">
        <w:rPr>
          <w:rFonts w:ascii="Arial" w:eastAsiaTheme="minorEastAsia" w:hAnsi="Arial" w:cs="Arial"/>
          <w:i w:val="0"/>
          <w:iCs w:val="0"/>
          <w:color w:val="auto"/>
          <w:sz w:val="22"/>
          <w:szCs w:val="22"/>
        </w:rPr>
        <w:t xml:space="preserve"> biases in how educators perceive a child's </w:t>
      </w:r>
      <w:r w:rsidR="00AD1365" w:rsidRPr="004969EF">
        <w:rPr>
          <w:rFonts w:ascii="Arial" w:eastAsiaTheme="minorEastAsia" w:hAnsi="Arial" w:cs="Arial"/>
          <w:i w:val="0"/>
          <w:iCs w:val="0"/>
          <w:color w:val="auto"/>
          <w:sz w:val="22"/>
          <w:szCs w:val="22"/>
        </w:rPr>
        <w:t>behaviour</w:t>
      </w:r>
      <w:r w:rsidRPr="004969EF">
        <w:rPr>
          <w:rFonts w:ascii="Arial" w:eastAsiaTheme="minorEastAsia" w:hAnsi="Arial" w:cs="Arial"/>
          <w:i w:val="0"/>
          <w:iCs w:val="0"/>
          <w:color w:val="auto"/>
          <w:sz w:val="22"/>
          <w:szCs w:val="22"/>
        </w:rPr>
        <w:t>.</w:t>
      </w:r>
    </w:p>
    <w:p w14:paraId="441342DD" w14:textId="77777777" w:rsidR="00D373BB" w:rsidRPr="004969EF" w:rsidRDefault="00D373BB" w:rsidP="004969EF">
      <w:pPr>
        <w:pStyle w:val="Heading4"/>
        <w:spacing w:line="360" w:lineRule="auto"/>
        <w:jc w:val="both"/>
        <w:rPr>
          <w:rFonts w:ascii="Arial" w:eastAsiaTheme="minorEastAsia" w:hAnsi="Arial" w:cs="Arial"/>
          <w:i w:val="0"/>
          <w:iCs w:val="0"/>
          <w:color w:val="auto"/>
          <w:sz w:val="22"/>
          <w:szCs w:val="22"/>
        </w:rPr>
      </w:pPr>
    </w:p>
    <w:p w14:paraId="31F9030F" w14:textId="0FC6C1BA" w:rsidR="00D373BB" w:rsidRPr="004969EF" w:rsidRDefault="00D373BB" w:rsidP="004969EF">
      <w:pPr>
        <w:pStyle w:val="Heading4"/>
        <w:spacing w:line="360" w:lineRule="auto"/>
        <w:jc w:val="both"/>
        <w:rPr>
          <w:rFonts w:ascii="Arial" w:eastAsiaTheme="minorEastAsia" w:hAnsi="Arial" w:cs="Arial"/>
          <w:i w:val="0"/>
          <w:iCs w:val="0"/>
          <w:color w:val="auto"/>
          <w:sz w:val="22"/>
          <w:szCs w:val="22"/>
        </w:rPr>
      </w:pPr>
      <w:r w:rsidRPr="004969EF">
        <w:rPr>
          <w:rFonts w:ascii="Arial" w:eastAsiaTheme="minorEastAsia" w:hAnsi="Arial" w:cs="Arial"/>
          <w:i w:val="0"/>
          <w:iCs w:val="0"/>
          <w:color w:val="auto"/>
          <w:sz w:val="22"/>
          <w:szCs w:val="22"/>
        </w:rPr>
        <w:t xml:space="preserve">Ward </w:t>
      </w:r>
      <w:r w:rsidR="003B75FB" w:rsidRPr="004969EF">
        <w:rPr>
          <w:rFonts w:ascii="Arial" w:eastAsiaTheme="minorEastAsia" w:hAnsi="Arial" w:cs="Arial"/>
          <w:i w:val="0"/>
          <w:iCs w:val="0"/>
          <w:color w:val="auto"/>
          <w:sz w:val="22"/>
          <w:szCs w:val="22"/>
        </w:rPr>
        <w:t>et al.,</w:t>
      </w:r>
      <w:r w:rsidRPr="004969EF">
        <w:rPr>
          <w:rFonts w:ascii="Arial" w:eastAsiaTheme="minorEastAsia" w:hAnsi="Arial" w:cs="Arial"/>
          <w:i w:val="0"/>
          <w:iCs w:val="0"/>
          <w:color w:val="auto"/>
          <w:sz w:val="22"/>
          <w:szCs w:val="22"/>
        </w:rPr>
        <w:t xml:space="preserve"> (2021) similarly conclude that a lack of educator confidence and training was the reason for referrals being delayed. All three studies found a deficiency in educator knowledge, however they presented different perspectives: </w:t>
      </w:r>
      <w:proofErr w:type="spellStart"/>
      <w:r w:rsidRPr="004969EF">
        <w:rPr>
          <w:rFonts w:ascii="Arial" w:eastAsiaTheme="minorEastAsia" w:hAnsi="Arial" w:cs="Arial"/>
          <w:i w:val="0"/>
          <w:iCs w:val="0"/>
          <w:color w:val="auto"/>
          <w:sz w:val="22"/>
          <w:szCs w:val="22"/>
        </w:rPr>
        <w:t>Aldabbagh</w:t>
      </w:r>
      <w:proofErr w:type="spellEnd"/>
      <w:r w:rsidRPr="004969EF">
        <w:rPr>
          <w:rFonts w:ascii="Arial" w:eastAsiaTheme="minorEastAsia" w:hAnsi="Arial" w:cs="Arial"/>
          <w:i w:val="0"/>
          <w:iCs w:val="0"/>
          <w:color w:val="auto"/>
          <w:sz w:val="22"/>
          <w:szCs w:val="22"/>
        </w:rPr>
        <w:t xml:space="preserve"> </w:t>
      </w:r>
      <w:r w:rsidR="003B75FB" w:rsidRPr="004969EF">
        <w:rPr>
          <w:rFonts w:ascii="Arial" w:eastAsiaTheme="minorEastAsia" w:hAnsi="Arial" w:cs="Arial"/>
          <w:i w:val="0"/>
          <w:iCs w:val="0"/>
          <w:color w:val="auto"/>
          <w:sz w:val="22"/>
          <w:szCs w:val="22"/>
        </w:rPr>
        <w:t>et al.,</w:t>
      </w:r>
      <w:r w:rsidRPr="004969EF">
        <w:rPr>
          <w:rFonts w:ascii="Arial" w:eastAsiaTheme="minorEastAsia" w:hAnsi="Arial" w:cs="Arial"/>
          <w:i w:val="0"/>
          <w:iCs w:val="0"/>
          <w:color w:val="auto"/>
          <w:sz w:val="22"/>
          <w:szCs w:val="22"/>
        </w:rPr>
        <w:t xml:space="preserve"> (2024) focused on immediate classroom responses to student </w:t>
      </w:r>
      <w:r w:rsidR="00AD1365" w:rsidRPr="004969EF">
        <w:rPr>
          <w:rFonts w:ascii="Arial" w:eastAsiaTheme="minorEastAsia" w:hAnsi="Arial" w:cs="Arial"/>
          <w:i w:val="0"/>
          <w:iCs w:val="0"/>
          <w:color w:val="auto"/>
          <w:sz w:val="22"/>
          <w:szCs w:val="22"/>
        </w:rPr>
        <w:t>behaviour</w:t>
      </w:r>
      <w:r w:rsidRPr="004969EF">
        <w:rPr>
          <w:rFonts w:ascii="Arial" w:eastAsiaTheme="minorEastAsia" w:hAnsi="Arial" w:cs="Arial"/>
          <w:i w:val="0"/>
          <w:iCs w:val="0"/>
          <w:color w:val="auto"/>
          <w:sz w:val="22"/>
          <w:szCs w:val="22"/>
        </w:rPr>
        <w:t xml:space="preserve">; Diener </w:t>
      </w:r>
      <w:r w:rsidR="003B75FB" w:rsidRPr="004969EF">
        <w:rPr>
          <w:rFonts w:ascii="Arial" w:eastAsiaTheme="minorEastAsia" w:hAnsi="Arial" w:cs="Arial"/>
          <w:i w:val="0"/>
          <w:iCs w:val="0"/>
          <w:color w:val="auto"/>
          <w:sz w:val="22"/>
          <w:szCs w:val="22"/>
        </w:rPr>
        <w:t>et al.,</w:t>
      </w:r>
      <w:r w:rsidRPr="004969EF">
        <w:rPr>
          <w:rFonts w:ascii="Arial" w:eastAsiaTheme="minorEastAsia" w:hAnsi="Arial" w:cs="Arial"/>
          <w:i w:val="0"/>
          <w:iCs w:val="0"/>
          <w:color w:val="auto"/>
          <w:sz w:val="22"/>
          <w:szCs w:val="22"/>
        </w:rPr>
        <w:t xml:space="preserve"> (2025) emphasized cultural misperception; and Ward </w:t>
      </w:r>
      <w:r w:rsidR="003B75FB" w:rsidRPr="004969EF">
        <w:rPr>
          <w:rFonts w:ascii="Arial" w:eastAsiaTheme="minorEastAsia" w:hAnsi="Arial" w:cs="Arial"/>
          <w:i w:val="0"/>
          <w:iCs w:val="0"/>
          <w:color w:val="auto"/>
          <w:sz w:val="22"/>
          <w:szCs w:val="22"/>
        </w:rPr>
        <w:t>et al.,</w:t>
      </w:r>
      <w:r w:rsidRPr="004969EF">
        <w:rPr>
          <w:rFonts w:ascii="Arial" w:eastAsiaTheme="minorEastAsia" w:hAnsi="Arial" w:cs="Arial"/>
          <w:i w:val="0"/>
          <w:iCs w:val="0"/>
          <w:color w:val="auto"/>
          <w:sz w:val="22"/>
          <w:szCs w:val="22"/>
        </w:rPr>
        <w:t xml:space="preserve"> (2021) indicated how limited educator training resulted in a delay in referrals. Collectively, these studies demonstrate that school-based practice is primarily responsible for the underrecognition of ADHD, and thus limits minority families' ability to obtain necessary support for their children.</w:t>
      </w:r>
    </w:p>
    <w:p w14:paraId="6F12E895" w14:textId="0E74E0BF" w:rsidR="007063BA" w:rsidRPr="004969EF" w:rsidRDefault="0082760D" w:rsidP="004969EF">
      <w:pPr>
        <w:pStyle w:val="Heading4"/>
        <w:spacing w:line="360" w:lineRule="auto"/>
        <w:jc w:val="both"/>
        <w:rPr>
          <w:rFonts w:ascii="Arial" w:hAnsi="Arial" w:cs="Arial"/>
          <w:b/>
          <w:bCs/>
          <w:i w:val="0"/>
          <w:iCs w:val="0"/>
          <w:color w:val="auto"/>
          <w:sz w:val="22"/>
          <w:szCs w:val="22"/>
          <w:u w:val="single"/>
        </w:rPr>
      </w:pPr>
      <w:r w:rsidRPr="004969EF">
        <w:rPr>
          <w:rFonts w:ascii="Arial" w:hAnsi="Arial" w:cs="Arial"/>
          <w:color w:val="auto"/>
          <w:sz w:val="22"/>
          <w:szCs w:val="22"/>
        </w:rPr>
        <w:br/>
      </w:r>
      <w:r w:rsidR="007063BA" w:rsidRPr="004969EF">
        <w:rPr>
          <w:rFonts w:ascii="Arial" w:hAnsi="Arial" w:cs="Arial"/>
          <w:b/>
          <w:bCs/>
          <w:i w:val="0"/>
          <w:iCs w:val="0"/>
          <w:color w:val="auto"/>
          <w:sz w:val="22"/>
          <w:szCs w:val="22"/>
          <w:u w:val="single"/>
        </w:rPr>
        <w:t>Connections to Other Themes</w:t>
      </w:r>
    </w:p>
    <w:p w14:paraId="55D0011E" w14:textId="02795F66" w:rsidR="00E90B9E" w:rsidRPr="00B0215A" w:rsidRDefault="00E90B9E"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Theme 1 </w:t>
      </w:r>
      <w:r w:rsidR="003B75FB" w:rsidRPr="004969EF">
        <w:rPr>
          <w:rFonts w:ascii="Arial" w:hAnsi="Arial" w:cs="Arial"/>
          <w:sz w:val="22"/>
          <w:szCs w:val="22"/>
        </w:rPr>
        <w:t>and</w:t>
      </w:r>
      <w:r w:rsidRPr="00B0215A">
        <w:rPr>
          <w:rFonts w:ascii="Arial" w:hAnsi="Arial" w:cs="Arial"/>
          <w:sz w:val="22"/>
          <w:szCs w:val="22"/>
        </w:rPr>
        <w:t xml:space="preserve"> Theme 3 (Parental Perceptions</w:t>
      </w:r>
      <w:r w:rsidRPr="004969EF">
        <w:rPr>
          <w:rFonts w:ascii="Arial" w:hAnsi="Arial" w:cs="Arial"/>
          <w:sz w:val="22"/>
          <w:szCs w:val="22"/>
        </w:rPr>
        <w:t xml:space="preserve">) </w:t>
      </w:r>
      <w:r w:rsidR="003B75FB" w:rsidRPr="004969EF">
        <w:rPr>
          <w:rFonts w:ascii="Arial" w:hAnsi="Arial" w:cs="Arial"/>
          <w:sz w:val="22"/>
          <w:szCs w:val="22"/>
        </w:rPr>
        <w:t xml:space="preserve">show </w:t>
      </w:r>
      <w:r w:rsidRPr="004969EF">
        <w:rPr>
          <w:rFonts w:ascii="Arial" w:hAnsi="Arial" w:cs="Arial"/>
          <w:sz w:val="22"/>
          <w:szCs w:val="22"/>
        </w:rPr>
        <w:t>Instances where</w:t>
      </w:r>
      <w:r w:rsidRPr="00B0215A">
        <w:rPr>
          <w:rFonts w:ascii="Arial" w:hAnsi="Arial" w:cs="Arial"/>
          <w:sz w:val="22"/>
          <w:szCs w:val="22"/>
        </w:rPr>
        <w:t xml:space="preserve"> teachers frame problems as a matter of discipline and not ADHD</w:t>
      </w:r>
      <w:r w:rsidRPr="004969EF">
        <w:rPr>
          <w:rFonts w:ascii="Arial" w:hAnsi="Arial" w:cs="Arial"/>
          <w:sz w:val="22"/>
          <w:szCs w:val="22"/>
        </w:rPr>
        <w:t xml:space="preserve"> or a need to investigate further, will further influence the uncertainty of parents and help seeking.  Which will inevitably be a contributing factor in the </w:t>
      </w:r>
      <w:r w:rsidRPr="00B0215A">
        <w:rPr>
          <w:rFonts w:ascii="Arial" w:hAnsi="Arial" w:cs="Arial"/>
          <w:sz w:val="22"/>
          <w:szCs w:val="22"/>
        </w:rPr>
        <w:t xml:space="preserve">delay </w:t>
      </w:r>
      <w:r w:rsidRPr="004969EF">
        <w:rPr>
          <w:rFonts w:ascii="Arial" w:hAnsi="Arial" w:cs="Arial"/>
          <w:sz w:val="22"/>
          <w:szCs w:val="22"/>
        </w:rPr>
        <w:t>of</w:t>
      </w:r>
      <w:r w:rsidRPr="00B0215A">
        <w:rPr>
          <w:rFonts w:ascii="Arial" w:hAnsi="Arial" w:cs="Arial"/>
          <w:sz w:val="22"/>
          <w:szCs w:val="22"/>
        </w:rPr>
        <w:t xml:space="preserve"> seeking help</w:t>
      </w:r>
      <w:r w:rsidRPr="004969EF">
        <w:rPr>
          <w:rFonts w:ascii="Arial" w:hAnsi="Arial" w:cs="Arial"/>
          <w:sz w:val="22"/>
          <w:szCs w:val="22"/>
        </w:rPr>
        <w:t>.</w:t>
      </w:r>
    </w:p>
    <w:p w14:paraId="27C7D07D" w14:textId="57E0049B" w:rsidR="00E90B9E" w:rsidRPr="00B0215A" w:rsidRDefault="00E90B9E"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As indicated by Vincent </w:t>
      </w:r>
      <w:r w:rsidR="003B75FB" w:rsidRPr="004969EF">
        <w:rPr>
          <w:rFonts w:ascii="Arial" w:hAnsi="Arial" w:cs="Arial"/>
          <w:sz w:val="22"/>
          <w:szCs w:val="22"/>
        </w:rPr>
        <w:t>et al.,</w:t>
      </w:r>
      <w:r w:rsidRPr="00B0215A">
        <w:rPr>
          <w:rFonts w:ascii="Arial" w:hAnsi="Arial" w:cs="Arial"/>
          <w:sz w:val="22"/>
          <w:szCs w:val="22"/>
        </w:rPr>
        <w:t xml:space="preserve"> (2025) and </w:t>
      </w:r>
      <w:proofErr w:type="spellStart"/>
      <w:r w:rsidRPr="00B0215A">
        <w:rPr>
          <w:rFonts w:ascii="Arial" w:hAnsi="Arial" w:cs="Arial"/>
          <w:sz w:val="22"/>
          <w:szCs w:val="22"/>
        </w:rPr>
        <w:t>Ogundele</w:t>
      </w:r>
      <w:proofErr w:type="spellEnd"/>
      <w:r w:rsidRPr="00B0215A">
        <w:rPr>
          <w:rFonts w:ascii="Arial" w:hAnsi="Arial" w:cs="Arial"/>
          <w:sz w:val="22"/>
          <w:szCs w:val="22"/>
        </w:rPr>
        <w:t xml:space="preserve"> &amp; Ayyash (2023), </w:t>
      </w:r>
      <w:r w:rsidRPr="004969EF">
        <w:rPr>
          <w:rFonts w:ascii="Arial" w:hAnsi="Arial" w:cs="Arial"/>
          <w:sz w:val="22"/>
          <w:szCs w:val="22"/>
        </w:rPr>
        <w:t>whereby in stances where a need has been identified the lack of cultural awareness create further challenges for families wanting to move forward to obtain support</w:t>
      </w:r>
    </w:p>
    <w:p w14:paraId="6F094F2F" w14:textId="64CFEC6D" w:rsidR="003B75FB" w:rsidRPr="00B0215A" w:rsidRDefault="00E90B9E"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Theme 1 also </w:t>
      </w:r>
      <w:r w:rsidRPr="004969EF">
        <w:rPr>
          <w:rFonts w:ascii="Arial" w:hAnsi="Arial" w:cs="Arial"/>
          <w:sz w:val="22"/>
          <w:szCs w:val="22"/>
        </w:rPr>
        <w:t>interconnects</w:t>
      </w:r>
      <w:r w:rsidRPr="00B0215A">
        <w:rPr>
          <w:rFonts w:ascii="Arial" w:hAnsi="Arial" w:cs="Arial"/>
          <w:sz w:val="22"/>
          <w:szCs w:val="22"/>
        </w:rPr>
        <w:t xml:space="preserve"> with Theme 4 (Consequences of Under-Recognition)</w:t>
      </w:r>
      <w:r w:rsidRPr="004969EF">
        <w:rPr>
          <w:rFonts w:ascii="Arial" w:hAnsi="Arial" w:cs="Arial"/>
          <w:sz w:val="22"/>
          <w:szCs w:val="22"/>
        </w:rPr>
        <w:t xml:space="preserve"> as </w:t>
      </w:r>
      <w:r w:rsidRPr="00B0215A">
        <w:rPr>
          <w:rFonts w:ascii="Arial" w:hAnsi="Arial" w:cs="Arial"/>
          <w:sz w:val="22"/>
          <w:szCs w:val="22"/>
        </w:rPr>
        <w:t xml:space="preserve">Patel </w:t>
      </w:r>
      <w:r w:rsidR="003B75FB" w:rsidRPr="004969EF">
        <w:rPr>
          <w:rFonts w:ascii="Arial" w:hAnsi="Arial" w:cs="Arial"/>
          <w:sz w:val="22"/>
          <w:szCs w:val="22"/>
        </w:rPr>
        <w:t>et al.,</w:t>
      </w:r>
      <w:r w:rsidRPr="00B0215A">
        <w:rPr>
          <w:rFonts w:ascii="Arial" w:hAnsi="Arial" w:cs="Arial"/>
          <w:sz w:val="22"/>
          <w:szCs w:val="22"/>
        </w:rPr>
        <w:t xml:space="preserve"> (2024) and Vincent </w:t>
      </w:r>
      <w:r w:rsidR="003B75FB" w:rsidRPr="004969EF">
        <w:rPr>
          <w:rFonts w:ascii="Arial" w:hAnsi="Arial" w:cs="Arial"/>
          <w:sz w:val="22"/>
          <w:szCs w:val="22"/>
        </w:rPr>
        <w:t>et al.,</w:t>
      </w:r>
      <w:r w:rsidRPr="00B0215A">
        <w:rPr>
          <w:rFonts w:ascii="Arial" w:hAnsi="Arial" w:cs="Arial"/>
          <w:sz w:val="22"/>
          <w:szCs w:val="22"/>
        </w:rPr>
        <w:t xml:space="preserve"> (2025) </w:t>
      </w:r>
      <w:r w:rsidRPr="004969EF">
        <w:rPr>
          <w:rFonts w:ascii="Arial" w:hAnsi="Arial" w:cs="Arial"/>
          <w:sz w:val="22"/>
          <w:szCs w:val="22"/>
        </w:rPr>
        <w:t xml:space="preserve">discuss the </w:t>
      </w:r>
      <w:r w:rsidRPr="00B0215A">
        <w:rPr>
          <w:rFonts w:ascii="Arial" w:hAnsi="Arial" w:cs="Arial"/>
          <w:sz w:val="22"/>
          <w:szCs w:val="22"/>
        </w:rPr>
        <w:t xml:space="preserve">cultural pressure and stigma </w:t>
      </w:r>
      <w:r w:rsidRPr="004969EF">
        <w:rPr>
          <w:rFonts w:ascii="Arial" w:hAnsi="Arial" w:cs="Arial"/>
          <w:sz w:val="22"/>
          <w:szCs w:val="22"/>
        </w:rPr>
        <w:t>which hinder</w:t>
      </w:r>
      <w:r w:rsidRPr="00B0215A">
        <w:rPr>
          <w:rFonts w:ascii="Arial" w:hAnsi="Arial" w:cs="Arial"/>
          <w:sz w:val="22"/>
          <w:szCs w:val="22"/>
        </w:rPr>
        <w:t xml:space="preserve"> a </w:t>
      </w:r>
      <w:r w:rsidRPr="00B0215A">
        <w:rPr>
          <w:rFonts w:ascii="Arial" w:hAnsi="Arial" w:cs="Arial"/>
          <w:sz w:val="22"/>
          <w:szCs w:val="22"/>
        </w:rPr>
        <w:lastRenderedPageBreak/>
        <w:t xml:space="preserve">family's decision to seek assistance for a child suspected of having ADHD. Similarly, Patel </w:t>
      </w:r>
      <w:r w:rsidR="003B75FB" w:rsidRPr="004969EF">
        <w:rPr>
          <w:rFonts w:ascii="Arial" w:hAnsi="Arial" w:cs="Arial"/>
          <w:sz w:val="22"/>
          <w:szCs w:val="22"/>
        </w:rPr>
        <w:t>et al.,</w:t>
      </w:r>
      <w:r w:rsidRPr="00B0215A">
        <w:rPr>
          <w:rFonts w:ascii="Arial" w:hAnsi="Arial" w:cs="Arial"/>
          <w:sz w:val="22"/>
          <w:szCs w:val="22"/>
        </w:rPr>
        <w:t xml:space="preserve"> (2024) and Vincent </w:t>
      </w:r>
      <w:r w:rsidR="003B75FB" w:rsidRPr="004969EF">
        <w:rPr>
          <w:rFonts w:ascii="Arial" w:hAnsi="Arial" w:cs="Arial"/>
          <w:sz w:val="22"/>
          <w:szCs w:val="22"/>
        </w:rPr>
        <w:t>et al.,</w:t>
      </w:r>
      <w:r w:rsidRPr="00B0215A">
        <w:rPr>
          <w:rFonts w:ascii="Arial" w:hAnsi="Arial" w:cs="Arial"/>
          <w:sz w:val="22"/>
          <w:szCs w:val="22"/>
        </w:rPr>
        <w:t xml:space="preserve"> (2025) indicate that systemic distrust exists as well. </w:t>
      </w:r>
      <w:r w:rsidRPr="004969EF">
        <w:rPr>
          <w:rFonts w:ascii="Arial" w:hAnsi="Arial" w:cs="Arial"/>
          <w:sz w:val="22"/>
          <w:szCs w:val="22"/>
        </w:rPr>
        <w:t>What is clear is that t</w:t>
      </w:r>
      <w:r w:rsidRPr="00B0215A">
        <w:rPr>
          <w:rFonts w:ascii="Arial" w:hAnsi="Arial" w:cs="Arial"/>
          <w:sz w:val="22"/>
          <w:szCs w:val="22"/>
        </w:rPr>
        <w:t xml:space="preserve">eacher bias and institutional responses to minority children </w:t>
      </w:r>
      <w:r w:rsidRPr="004969EF">
        <w:rPr>
          <w:rFonts w:ascii="Arial" w:hAnsi="Arial" w:cs="Arial"/>
          <w:sz w:val="22"/>
          <w:szCs w:val="22"/>
        </w:rPr>
        <w:t xml:space="preserve">have overlapping factors such as systematic </w:t>
      </w:r>
      <w:r w:rsidRPr="00B0215A">
        <w:rPr>
          <w:rFonts w:ascii="Arial" w:hAnsi="Arial" w:cs="Arial"/>
          <w:sz w:val="22"/>
          <w:szCs w:val="22"/>
        </w:rPr>
        <w:t xml:space="preserve">inequalities that affect </w:t>
      </w:r>
      <w:r w:rsidR="003B75FB" w:rsidRPr="004969EF">
        <w:rPr>
          <w:rFonts w:ascii="Arial" w:hAnsi="Arial" w:cs="Arial"/>
          <w:sz w:val="22"/>
          <w:szCs w:val="22"/>
        </w:rPr>
        <w:t>an</w:t>
      </w:r>
      <w:r w:rsidRPr="004969EF">
        <w:rPr>
          <w:rFonts w:ascii="Arial" w:hAnsi="Arial" w:cs="Arial"/>
          <w:sz w:val="22"/>
          <w:szCs w:val="22"/>
        </w:rPr>
        <w:t xml:space="preserve"> </w:t>
      </w:r>
      <w:r w:rsidRPr="00B0215A">
        <w:rPr>
          <w:rFonts w:ascii="Arial" w:hAnsi="Arial" w:cs="Arial"/>
          <w:sz w:val="22"/>
          <w:szCs w:val="22"/>
        </w:rPr>
        <w:t>individual receiv</w:t>
      </w:r>
      <w:r w:rsidRPr="004969EF">
        <w:rPr>
          <w:rFonts w:ascii="Arial" w:hAnsi="Arial" w:cs="Arial"/>
          <w:sz w:val="22"/>
          <w:szCs w:val="22"/>
        </w:rPr>
        <w:t>ing the right support</w:t>
      </w:r>
      <w:r w:rsidRPr="00B0215A">
        <w:rPr>
          <w:rFonts w:ascii="Arial" w:hAnsi="Arial" w:cs="Arial"/>
          <w:sz w:val="22"/>
          <w:szCs w:val="22"/>
        </w:rPr>
        <w:t>.</w:t>
      </w:r>
    </w:p>
    <w:p w14:paraId="714554CC" w14:textId="5CE1315A" w:rsidR="003B75FB" w:rsidRPr="004969EF" w:rsidRDefault="001C3AF6" w:rsidP="004969EF">
      <w:pPr>
        <w:pStyle w:val="Heading2"/>
        <w:spacing w:line="360" w:lineRule="auto"/>
        <w:jc w:val="both"/>
        <w:rPr>
          <w:rFonts w:ascii="Arial" w:hAnsi="Arial" w:cs="Arial"/>
          <w:b/>
          <w:bCs/>
          <w:color w:val="auto"/>
          <w:sz w:val="22"/>
          <w:szCs w:val="22"/>
          <w:u w:val="single"/>
        </w:rPr>
      </w:pPr>
      <w:bookmarkStart w:id="15" w:name="_Toc226379371"/>
      <w:r w:rsidRPr="004969EF">
        <w:rPr>
          <w:rFonts w:ascii="Arial" w:hAnsi="Arial" w:cs="Arial"/>
          <w:b/>
          <w:bCs/>
          <w:color w:val="auto"/>
          <w:sz w:val="22"/>
          <w:szCs w:val="22"/>
          <w:u w:val="single"/>
        </w:rPr>
        <w:t>4.4 – Theme 2</w:t>
      </w:r>
      <w:r w:rsidR="00AE66C4" w:rsidRPr="004969EF">
        <w:rPr>
          <w:rFonts w:ascii="Arial" w:hAnsi="Arial" w:cs="Arial"/>
          <w:b/>
          <w:bCs/>
          <w:color w:val="auto"/>
          <w:sz w:val="22"/>
          <w:szCs w:val="22"/>
          <w:u w:val="single"/>
        </w:rPr>
        <w:t xml:space="preserve">: </w:t>
      </w:r>
      <w:r w:rsidR="00AE66C4" w:rsidRPr="004969EF">
        <w:rPr>
          <w:rFonts w:ascii="Arial" w:hAnsi="Arial" w:cs="Arial"/>
          <w:b/>
          <w:bCs/>
          <w:color w:val="auto"/>
          <w:sz w:val="22"/>
          <w:szCs w:val="22"/>
          <w:u w:val="single"/>
        </w:rPr>
        <w:t>Local Authority and Service-Level Variation in Referral Pathways</w:t>
      </w:r>
      <w:bookmarkEnd w:id="15"/>
    </w:p>
    <w:p w14:paraId="462F2FD3" w14:textId="77777777" w:rsidR="003B75FB" w:rsidRPr="004969EF" w:rsidRDefault="003B75FB" w:rsidP="004969EF">
      <w:pPr>
        <w:spacing w:line="360" w:lineRule="auto"/>
        <w:jc w:val="both"/>
        <w:rPr>
          <w:rFonts w:ascii="Arial" w:hAnsi="Arial" w:cs="Arial"/>
          <w:sz w:val="22"/>
          <w:szCs w:val="22"/>
        </w:rPr>
      </w:pPr>
    </w:p>
    <w:p w14:paraId="1B877AEB" w14:textId="3EDECA64" w:rsidR="002865F5" w:rsidRPr="004969EF" w:rsidRDefault="002865F5" w:rsidP="004969EF">
      <w:pPr>
        <w:pStyle w:val="Heading4"/>
        <w:spacing w:line="360" w:lineRule="auto"/>
        <w:jc w:val="both"/>
        <w:rPr>
          <w:rFonts w:ascii="Arial" w:hAnsi="Arial" w:cs="Arial"/>
          <w:b/>
          <w:bCs/>
          <w:i w:val="0"/>
          <w:iCs w:val="0"/>
          <w:color w:val="auto"/>
          <w:sz w:val="22"/>
          <w:szCs w:val="22"/>
          <w:u w:val="single"/>
        </w:rPr>
      </w:pPr>
      <w:r w:rsidRPr="004969EF">
        <w:rPr>
          <w:rFonts w:ascii="Arial" w:hAnsi="Arial" w:cs="Arial"/>
          <w:b/>
          <w:bCs/>
          <w:i w:val="0"/>
          <w:iCs w:val="0"/>
          <w:color w:val="auto"/>
          <w:sz w:val="22"/>
          <w:szCs w:val="22"/>
          <w:u w:val="single"/>
        </w:rPr>
        <w:t xml:space="preserve">Definition </w:t>
      </w:r>
    </w:p>
    <w:p w14:paraId="0B5F5445" w14:textId="3BF5D480" w:rsidR="00160468" w:rsidRPr="004969EF" w:rsidRDefault="00160468" w:rsidP="004969EF">
      <w:pPr>
        <w:spacing w:line="360" w:lineRule="auto"/>
        <w:jc w:val="both"/>
        <w:rPr>
          <w:rFonts w:ascii="Arial" w:hAnsi="Arial" w:cs="Arial"/>
          <w:color w:val="222222"/>
          <w:sz w:val="22"/>
          <w:szCs w:val="22"/>
        </w:rPr>
      </w:pPr>
      <w:r w:rsidRPr="00160468">
        <w:rPr>
          <w:rFonts w:ascii="Arial" w:hAnsi="Arial" w:cs="Arial"/>
          <w:color w:val="222222"/>
          <w:sz w:val="22"/>
          <w:szCs w:val="22"/>
        </w:rPr>
        <w:t>Local authorities (LAs) are responsible for coordinating and delivering statutory services for children with special educational needs and disabilities (SEND) under the Children and Families Act 2014. This includes identifying and assessing needs, coordinating education, health and care services, issuing Education, Health and Care Plans (EHCPs), commissioning specialist services such as educational psychology and ADHD assessment pathways, and providing information and support to families through services such as SENDIASS.</w:t>
      </w:r>
    </w:p>
    <w:p w14:paraId="60E609B7" w14:textId="77777777" w:rsidR="00160468" w:rsidRPr="00160468" w:rsidRDefault="00160468" w:rsidP="004969EF">
      <w:pPr>
        <w:spacing w:line="360" w:lineRule="auto"/>
        <w:jc w:val="both"/>
        <w:rPr>
          <w:rFonts w:ascii="Arial" w:hAnsi="Arial" w:cs="Arial"/>
          <w:color w:val="222222"/>
          <w:sz w:val="22"/>
          <w:szCs w:val="22"/>
        </w:rPr>
      </w:pPr>
    </w:p>
    <w:p w14:paraId="633081E1" w14:textId="77777777" w:rsidR="00160468" w:rsidRPr="00160468" w:rsidRDefault="00160468" w:rsidP="004969EF">
      <w:pPr>
        <w:spacing w:line="360" w:lineRule="auto"/>
        <w:jc w:val="both"/>
        <w:rPr>
          <w:rFonts w:ascii="Arial" w:hAnsi="Arial" w:cs="Arial"/>
          <w:color w:val="222222"/>
          <w:sz w:val="22"/>
          <w:szCs w:val="22"/>
        </w:rPr>
      </w:pPr>
      <w:r w:rsidRPr="00160468">
        <w:rPr>
          <w:rFonts w:ascii="Arial" w:hAnsi="Arial" w:cs="Arial"/>
          <w:color w:val="222222"/>
          <w:sz w:val="22"/>
          <w:szCs w:val="22"/>
        </w:rPr>
        <w:t>While the SEND Code of Practice 0 to 25 years outlines how these duties should be delivered, local authorities retain discretion in how services are organised. This includes how referral pathways are structured, who manages referrals, waiting times, and whether support such as interpreters is available. As a result, local authorities do not operate as uniform systems but as varied service structures that directly shape access to ADHD assessment.</w:t>
      </w:r>
    </w:p>
    <w:p w14:paraId="56F37206" w14:textId="740F9BCD" w:rsidR="00160468" w:rsidRPr="004969EF" w:rsidRDefault="00160468" w:rsidP="004969EF">
      <w:pPr>
        <w:spacing w:line="360" w:lineRule="auto"/>
        <w:jc w:val="both"/>
        <w:rPr>
          <w:rFonts w:ascii="Arial" w:hAnsi="Arial" w:cs="Arial"/>
          <w:color w:val="222222"/>
          <w:sz w:val="22"/>
          <w:szCs w:val="22"/>
        </w:rPr>
      </w:pPr>
      <w:r w:rsidRPr="00160468">
        <w:rPr>
          <w:rFonts w:ascii="Arial" w:hAnsi="Arial" w:cs="Arial"/>
          <w:color w:val="222222"/>
          <w:sz w:val="22"/>
          <w:szCs w:val="22"/>
        </w:rPr>
        <w:t>Background Information</w:t>
      </w:r>
    </w:p>
    <w:p w14:paraId="15D8FE03" w14:textId="77777777" w:rsidR="00160468" w:rsidRPr="00160468" w:rsidRDefault="00160468" w:rsidP="004969EF">
      <w:pPr>
        <w:spacing w:line="360" w:lineRule="auto"/>
        <w:jc w:val="both"/>
        <w:rPr>
          <w:rFonts w:ascii="Arial" w:hAnsi="Arial" w:cs="Arial"/>
          <w:color w:val="222222"/>
          <w:sz w:val="22"/>
          <w:szCs w:val="22"/>
        </w:rPr>
      </w:pPr>
    </w:p>
    <w:p w14:paraId="546A2F7D" w14:textId="40957A5A" w:rsidR="00160468" w:rsidRPr="004969EF" w:rsidRDefault="00160468" w:rsidP="004969EF">
      <w:pPr>
        <w:spacing w:line="360" w:lineRule="auto"/>
        <w:jc w:val="both"/>
        <w:rPr>
          <w:rFonts w:ascii="Arial" w:hAnsi="Arial" w:cs="Arial"/>
          <w:color w:val="222222"/>
          <w:sz w:val="22"/>
          <w:szCs w:val="22"/>
        </w:rPr>
      </w:pPr>
      <w:r w:rsidRPr="00160468">
        <w:rPr>
          <w:rFonts w:ascii="Arial" w:hAnsi="Arial" w:cs="Arial"/>
          <w:color w:val="222222"/>
          <w:sz w:val="22"/>
          <w:szCs w:val="22"/>
        </w:rPr>
        <w:t>The Children and Families Act 2014 aimed to create a more consistent and integrated SEND system across England by requiring joint working between education, health and social care. However, evidence suggests that this consistency has not been achieved in practice. The Department for Education (2025) acknowledges that the current SEND system is “failing to deliver mainstream inclusion,” with families often required to navigate complex systems to access support. Similarly, the Local Government Association (2025) reports that many local authorities lack sufficient funding and workforce capacity to deliver services effectively.</w:t>
      </w:r>
    </w:p>
    <w:p w14:paraId="4183B08D" w14:textId="77777777" w:rsidR="00160468" w:rsidRPr="00160468" w:rsidRDefault="00160468" w:rsidP="004969EF">
      <w:pPr>
        <w:spacing w:line="360" w:lineRule="auto"/>
        <w:jc w:val="both"/>
        <w:rPr>
          <w:rFonts w:ascii="Arial" w:hAnsi="Arial" w:cs="Arial"/>
          <w:color w:val="222222"/>
          <w:sz w:val="22"/>
          <w:szCs w:val="22"/>
        </w:rPr>
      </w:pPr>
    </w:p>
    <w:p w14:paraId="5B010C35" w14:textId="77777777" w:rsidR="002865F5" w:rsidRPr="004969EF" w:rsidRDefault="002865F5" w:rsidP="004969EF">
      <w:pPr>
        <w:pStyle w:val="Heading4"/>
        <w:spacing w:line="360" w:lineRule="auto"/>
        <w:jc w:val="both"/>
        <w:rPr>
          <w:rFonts w:ascii="Arial" w:hAnsi="Arial" w:cs="Arial"/>
          <w:b/>
          <w:bCs/>
          <w:i w:val="0"/>
          <w:iCs w:val="0"/>
          <w:color w:val="auto"/>
          <w:sz w:val="22"/>
          <w:szCs w:val="22"/>
        </w:rPr>
      </w:pPr>
      <w:r w:rsidRPr="004969EF">
        <w:rPr>
          <w:rFonts w:ascii="Arial" w:hAnsi="Arial" w:cs="Arial"/>
          <w:b/>
          <w:bCs/>
          <w:i w:val="0"/>
          <w:iCs w:val="0"/>
          <w:color w:val="auto"/>
          <w:sz w:val="22"/>
          <w:szCs w:val="22"/>
        </w:rPr>
        <w:t>Background Information</w:t>
      </w:r>
    </w:p>
    <w:p w14:paraId="4F411C47" w14:textId="77777777" w:rsidR="00222DD4" w:rsidRPr="00191A6E" w:rsidRDefault="00222DD4" w:rsidP="004969EF">
      <w:pPr>
        <w:spacing w:line="360" w:lineRule="auto"/>
        <w:jc w:val="both"/>
        <w:rPr>
          <w:rFonts w:ascii="Arial" w:hAnsi="Arial" w:cs="Arial"/>
          <w:sz w:val="22"/>
          <w:szCs w:val="22"/>
        </w:rPr>
      </w:pPr>
      <w:r w:rsidRPr="00191A6E">
        <w:rPr>
          <w:rFonts w:ascii="Arial" w:hAnsi="Arial" w:cs="Arial"/>
          <w:sz w:val="22"/>
          <w:szCs w:val="22"/>
        </w:rPr>
        <w:t>Local authorities sit at the centre of SEND systems, coordinating education, health and social care. This means they play a key role in shaping how schools respond to early concerns. However, evidence suggests that this support is not always delivered consistently.</w:t>
      </w:r>
    </w:p>
    <w:p w14:paraId="0FE69CD3" w14:textId="77777777" w:rsidR="00222DD4" w:rsidRPr="00191A6E" w:rsidRDefault="00222DD4" w:rsidP="004969EF">
      <w:pPr>
        <w:spacing w:line="360" w:lineRule="auto"/>
        <w:jc w:val="both"/>
        <w:rPr>
          <w:rFonts w:ascii="Arial" w:hAnsi="Arial" w:cs="Arial"/>
          <w:sz w:val="22"/>
          <w:szCs w:val="22"/>
        </w:rPr>
      </w:pPr>
    </w:p>
    <w:p w14:paraId="2E019BC4" w14:textId="7418F39A" w:rsidR="00222DD4" w:rsidRPr="00191A6E" w:rsidRDefault="00222DD4" w:rsidP="004969EF">
      <w:pPr>
        <w:spacing w:line="360" w:lineRule="auto"/>
        <w:jc w:val="both"/>
        <w:rPr>
          <w:rFonts w:ascii="Arial" w:hAnsi="Arial" w:cs="Arial"/>
          <w:sz w:val="22"/>
          <w:szCs w:val="22"/>
        </w:rPr>
      </w:pPr>
      <w:r w:rsidRPr="00191A6E">
        <w:rPr>
          <w:rFonts w:ascii="Arial" w:hAnsi="Arial" w:cs="Arial"/>
          <w:sz w:val="22"/>
          <w:szCs w:val="22"/>
        </w:rPr>
        <w:t xml:space="preserve">The Birmingham City Council SEN Parent Partnership Full Equality Assessment (2013) highlights how reductions in local-authority-led support can affect this process. The report </w:t>
      </w:r>
      <w:r w:rsidRPr="00191A6E">
        <w:rPr>
          <w:rFonts w:ascii="Arial" w:hAnsi="Arial" w:cs="Arial"/>
          <w:sz w:val="22"/>
          <w:szCs w:val="22"/>
        </w:rPr>
        <w:lastRenderedPageBreak/>
        <w:t>warned that reducing parent support services could lower confidence, increase disputes and weaken assessment and provision, stating that “some children may not achieve their full potential and assessment and provision for SEN may deteriorate” (Birmingham City Council, 2013).</w:t>
      </w:r>
    </w:p>
    <w:p w14:paraId="2949001C" w14:textId="0C5798F0" w:rsidR="00222DD4" w:rsidRPr="004969EF" w:rsidRDefault="00222DD4" w:rsidP="004969EF">
      <w:pPr>
        <w:spacing w:line="360" w:lineRule="auto"/>
        <w:jc w:val="both"/>
        <w:rPr>
          <w:rFonts w:ascii="Arial" w:hAnsi="Arial" w:cs="Arial"/>
          <w:sz w:val="22"/>
          <w:szCs w:val="22"/>
        </w:rPr>
      </w:pPr>
      <w:r w:rsidRPr="00191A6E">
        <w:rPr>
          <w:rFonts w:ascii="Arial" w:hAnsi="Arial" w:cs="Arial"/>
          <w:sz w:val="22"/>
          <w:szCs w:val="22"/>
        </w:rPr>
        <w:t>This suggests that when support services are reduced, both schools and families lose access to guidance at an early stage. In the context of ADHD, where behaviours may already be misunderstood, this increases the risk that concerns are not progressed or are delayed.</w:t>
      </w:r>
    </w:p>
    <w:p w14:paraId="1792D85D" w14:textId="77777777" w:rsidR="00B12FC6" w:rsidRPr="004969EF" w:rsidRDefault="00B12FC6" w:rsidP="004969EF">
      <w:pPr>
        <w:spacing w:line="360" w:lineRule="auto"/>
        <w:jc w:val="both"/>
        <w:rPr>
          <w:rFonts w:ascii="Arial" w:hAnsi="Arial" w:cs="Arial"/>
          <w:sz w:val="22"/>
          <w:szCs w:val="22"/>
        </w:rPr>
      </w:pPr>
    </w:p>
    <w:p w14:paraId="1A6790AF" w14:textId="43A5EB4F" w:rsidR="00867C74" w:rsidRPr="004969EF" w:rsidRDefault="002865F5" w:rsidP="004969EF">
      <w:pPr>
        <w:pStyle w:val="Heading4"/>
        <w:spacing w:line="360" w:lineRule="auto"/>
        <w:jc w:val="both"/>
        <w:rPr>
          <w:rFonts w:ascii="Arial" w:hAnsi="Arial" w:cs="Arial"/>
          <w:b/>
          <w:bCs/>
          <w:i w:val="0"/>
          <w:iCs w:val="0"/>
          <w:color w:val="auto"/>
          <w:sz w:val="22"/>
          <w:szCs w:val="22"/>
          <w:u w:val="single"/>
        </w:rPr>
      </w:pPr>
      <w:r w:rsidRPr="004969EF">
        <w:rPr>
          <w:rFonts w:ascii="Arial" w:hAnsi="Arial" w:cs="Arial"/>
          <w:b/>
          <w:bCs/>
          <w:i w:val="0"/>
          <w:iCs w:val="0"/>
          <w:color w:val="auto"/>
          <w:sz w:val="22"/>
          <w:szCs w:val="22"/>
          <w:u w:val="single"/>
        </w:rPr>
        <w:t>Impact on Research Question</w:t>
      </w:r>
    </w:p>
    <w:p w14:paraId="122655DB" w14:textId="77777777" w:rsidR="00867C74" w:rsidRPr="004969EF" w:rsidRDefault="00867C74" w:rsidP="004969EF">
      <w:pPr>
        <w:pStyle w:val="NormalWeb"/>
        <w:spacing w:line="360" w:lineRule="auto"/>
        <w:jc w:val="both"/>
        <w:rPr>
          <w:rFonts w:ascii="Arial" w:hAnsi="Arial" w:cs="Arial"/>
          <w:sz w:val="22"/>
          <w:szCs w:val="22"/>
        </w:rPr>
      </w:pPr>
      <w:r w:rsidRPr="004969EF">
        <w:rPr>
          <w:rFonts w:ascii="Arial" w:hAnsi="Arial" w:cs="Arial"/>
          <w:sz w:val="22"/>
          <w:szCs w:val="22"/>
        </w:rPr>
        <w:t xml:space="preserve">This </w:t>
      </w:r>
      <w:r w:rsidRPr="004969EF">
        <w:rPr>
          <w:rStyle w:val="il"/>
          <w:rFonts w:ascii="Arial" w:eastAsia="Calibri Light" w:hAnsi="Arial" w:cs="Arial"/>
          <w:sz w:val="22"/>
          <w:szCs w:val="22"/>
        </w:rPr>
        <w:t>theme</w:t>
      </w:r>
      <w:r w:rsidRPr="004969EF">
        <w:rPr>
          <w:rFonts w:ascii="Arial" w:hAnsi="Arial" w:cs="Arial"/>
          <w:sz w:val="22"/>
          <w:szCs w:val="22"/>
        </w:rPr>
        <w:t xml:space="preserve"> directly addresses the research question by examining how LA support structures influence the under</w:t>
      </w:r>
      <w:r w:rsidRPr="004969EF">
        <w:rPr>
          <w:rFonts w:ascii="Arial" w:hAnsi="Arial" w:cs="Arial"/>
          <w:sz w:val="22"/>
          <w:szCs w:val="22"/>
        </w:rPr>
        <w:noBreakHyphen/>
        <w:t>recognition and referral of ADHD among ethnic minority children. Even when schools identify concerns, referral depends on LA systems being clear, accessible and culturally responsive. When LAs provide inconsistent guidance or lack awareness of cultural differences, families may struggle to navigate pathways, leading to delays in recognition.</w:t>
      </w:r>
    </w:p>
    <w:p w14:paraId="63B86296" w14:textId="77777777" w:rsidR="00867C74" w:rsidRPr="004969EF" w:rsidRDefault="00867C74" w:rsidP="004969EF">
      <w:pPr>
        <w:pStyle w:val="NormalWeb"/>
        <w:spacing w:line="360" w:lineRule="auto"/>
        <w:jc w:val="both"/>
        <w:rPr>
          <w:rFonts w:ascii="Arial" w:hAnsi="Arial" w:cs="Arial"/>
          <w:sz w:val="22"/>
          <w:szCs w:val="22"/>
        </w:rPr>
      </w:pPr>
      <w:r w:rsidRPr="004969EF">
        <w:rPr>
          <w:rFonts w:ascii="Arial" w:hAnsi="Arial" w:cs="Arial"/>
          <w:sz w:val="22"/>
          <w:szCs w:val="22"/>
        </w:rPr>
        <w:t>Local authority variation also interacts with school</w:t>
      </w:r>
      <w:r w:rsidRPr="004969EF">
        <w:rPr>
          <w:rFonts w:ascii="Arial" w:hAnsi="Arial" w:cs="Arial"/>
          <w:sz w:val="22"/>
          <w:szCs w:val="22"/>
        </w:rPr>
        <w:noBreakHyphen/>
        <w:t>based misinterpretation (</w:t>
      </w:r>
      <w:r w:rsidRPr="004969EF">
        <w:rPr>
          <w:rStyle w:val="il"/>
          <w:rFonts w:ascii="Arial" w:eastAsia="Calibri Light" w:hAnsi="Arial" w:cs="Arial"/>
          <w:sz w:val="22"/>
          <w:szCs w:val="22"/>
        </w:rPr>
        <w:t>Theme</w:t>
      </w:r>
      <w:r w:rsidRPr="004969EF">
        <w:rPr>
          <w:rFonts w:ascii="Arial" w:hAnsi="Arial" w:cs="Arial"/>
          <w:sz w:val="22"/>
          <w:szCs w:val="22"/>
        </w:rPr>
        <w:t xml:space="preserve"> 1). A child with identical behaviours may be referred promptly in one borough but experience prolonged delays in another. This postcode</w:t>
      </w:r>
      <w:r w:rsidRPr="004969EF">
        <w:rPr>
          <w:rFonts w:ascii="Arial" w:hAnsi="Arial" w:cs="Arial"/>
          <w:sz w:val="22"/>
          <w:szCs w:val="22"/>
        </w:rPr>
        <w:noBreakHyphen/>
        <w:t>based inconsistency is a key mechanism through which inequalities in ADHD recognition emerge, particularly for families who already face linguistic or cultural barriers.</w:t>
      </w:r>
    </w:p>
    <w:p w14:paraId="3E136F75" w14:textId="77777777" w:rsidR="003B75FB" w:rsidRPr="004969EF" w:rsidRDefault="003B75FB" w:rsidP="004969EF">
      <w:pPr>
        <w:pStyle w:val="NormalWeb"/>
        <w:spacing w:line="360" w:lineRule="auto"/>
        <w:jc w:val="both"/>
        <w:rPr>
          <w:rFonts w:ascii="Arial" w:eastAsiaTheme="majorEastAsia" w:hAnsi="Arial" w:cs="Arial"/>
          <w:b/>
          <w:bCs/>
          <w:kern w:val="2"/>
          <w:sz w:val="22"/>
          <w:szCs w:val="22"/>
          <w:u w:val="single"/>
          <w:lang w:eastAsia="zh-CN"/>
          <w14:ligatures w14:val="standardContextual"/>
        </w:rPr>
      </w:pPr>
      <w:r w:rsidRPr="004969EF">
        <w:rPr>
          <w:rFonts w:ascii="Arial" w:eastAsiaTheme="majorEastAsia" w:hAnsi="Arial" w:cs="Arial"/>
          <w:b/>
          <w:bCs/>
          <w:kern w:val="2"/>
          <w:sz w:val="22"/>
          <w:szCs w:val="22"/>
          <w:u w:val="single"/>
          <w:lang w:eastAsia="zh-CN"/>
          <w14:ligatures w14:val="standardContextual"/>
        </w:rPr>
        <w:t>Statistical Information</w:t>
      </w:r>
    </w:p>
    <w:p w14:paraId="335A46D5" w14:textId="00C5C496" w:rsidR="00867C74" w:rsidRPr="004969EF" w:rsidRDefault="00867C74" w:rsidP="004969EF">
      <w:pPr>
        <w:pStyle w:val="NormalWeb"/>
        <w:spacing w:line="360" w:lineRule="auto"/>
        <w:jc w:val="both"/>
        <w:rPr>
          <w:rFonts w:ascii="Arial" w:hAnsi="Arial" w:cs="Arial"/>
          <w:sz w:val="22"/>
          <w:szCs w:val="22"/>
        </w:rPr>
      </w:pPr>
      <w:r w:rsidRPr="004969EF">
        <w:rPr>
          <w:rFonts w:ascii="Arial" w:hAnsi="Arial" w:cs="Arial"/>
          <w:sz w:val="22"/>
          <w:szCs w:val="22"/>
        </w:rPr>
        <w:t>National SEND inspection outcomes highlight the scale of inconsistency across LAs. Of the 54 areas inspected under the current framework, only around a quarter were judged to provide consistently positive SEND experiences, while nearly half demonstrated inconsistent provision and a further quarter showed systemic failings. These findings indicate that early identification processes are not reliably embedded across England.</w:t>
      </w:r>
    </w:p>
    <w:p w14:paraId="295C17F2" w14:textId="6B2568AF" w:rsidR="00867C74" w:rsidRPr="004969EF" w:rsidRDefault="00867C74" w:rsidP="004969EF">
      <w:pPr>
        <w:pStyle w:val="NormalWeb"/>
        <w:spacing w:line="360" w:lineRule="auto"/>
        <w:jc w:val="both"/>
        <w:rPr>
          <w:rFonts w:ascii="Arial" w:hAnsi="Arial" w:cs="Arial"/>
          <w:sz w:val="22"/>
          <w:szCs w:val="22"/>
        </w:rPr>
      </w:pPr>
      <w:r w:rsidRPr="004969EF">
        <w:rPr>
          <w:rFonts w:ascii="Arial" w:hAnsi="Arial" w:cs="Arial"/>
          <w:sz w:val="22"/>
          <w:szCs w:val="22"/>
        </w:rPr>
        <w:t xml:space="preserve">Lewis </w:t>
      </w:r>
      <w:r w:rsidR="003B75FB" w:rsidRPr="004969EF">
        <w:rPr>
          <w:rFonts w:ascii="Arial" w:hAnsi="Arial" w:cs="Arial"/>
          <w:sz w:val="22"/>
          <w:szCs w:val="22"/>
        </w:rPr>
        <w:t>et al.,</w:t>
      </w:r>
      <w:r w:rsidRPr="004969EF">
        <w:rPr>
          <w:rFonts w:ascii="Arial" w:hAnsi="Arial" w:cs="Arial"/>
          <w:sz w:val="22"/>
          <w:szCs w:val="22"/>
        </w:rPr>
        <w:t xml:space="preserve"> (2025), analysing school</w:t>
      </w:r>
      <w:r w:rsidRPr="004969EF">
        <w:rPr>
          <w:rFonts w:ascii="Arial" w:hAnsi="Arial" w:cs="Arial"/>
          <w:sz w:val="22"/>
          <w:szCs w:val="22"/>
        </w:rPr>
        <w:noBreakHyphen/>
        <w:t>recorded SEND provision for over 600,000 children, found substantial differences between LAs, even after adjusting for deprivation. The authors concluded that “where you live determines whether you are recognised,” reinforcing the postcode lottery described in national reports.</w:t>
      </w:r>
    </w:p>
    <w:p w14:paraId="4D0F6C17" w14:textId="01E0ECBA" w:rsidR="00867C74" w:rsidRPr="004969EF" w:rsidRDefault="00867C74" w:rsidP="004969EF">
      <w:pPr>
        <w:pStyle w:val="NormalWeb"/>
        <w:spacing w:line="360" w:lineRule="auto"/>
        <w:jc w:val="both"/>
        <w:rPr>
          <w:rFonts w:ascii="Arial" w:hAnsi="Arial" w:cs="Arial"/>
          <w:sz w:val="22"/>
          <w:szCs w:val="22"/>
        </w:rPr>
      </w:pPr>
      <w:r w:rsidRPr="004969EF">
        <w:rPr>
          <w:rFonts w:ascii="Arial" w:hAnsi="Arial" w:cs="Arial"/>
          <w:sz w:val="22"/>
          <w:szCs w:val="22"/>
        </w:rPr>
        <w:t xml:space="preserve">Chui </w:t>
      </w:r>
      <w:r w:rsidR="003B75FB" w:rsidRPr="004969EF">
        <w:rPr>
          <w:rFonts w:ascii="Arial" w:hAnsi="Arial" w:cs="Arial"/>
          <w:sz w:val="22"/>
          <w:szCs w:val="22"/>
        </w:rPr>
        <w:t>et al.,</w:t>
      </w:r>
      <w:r w:rsidRPr="004969EF">
        <w:rPr>
          <w:rFonts w:ascii="Arial" w:hAnsi="Arial" w:cs="Arial"/>
          <w:sz w:val="22"/>
          <w:szCs w:val="22"/>
        </w:rPr>
        <w:t xml:space="preserve"> (2020), analysing referral pathways for over 2,000 young people in </w:t>
      </w:r>
      <w:r w:rsidR="003B75FB" w:rsidRPr="004969EF">
        <w:rPr>
          <w:rFonts w:ascii="Arial" w:hAnsi="Arial" w:cs="Arial"/>
          <w:sz w:val="22"/>
          <w:szCs w:val="22"/>
        </w:rPr>
        <w:t>Southeast</w:t>
      </w:r>
      <w:r w:rsidRPr="004969EF">
        <w:rPr>
          <w:rFonts w:ascii="Arial" w:hAnsi="Arial" w:cs="Arial"/>
          <w:sz w:val="22"/>
          <w:szCs w:val="22"/>
        </w:rPr>
        <w:t xml:space="preserve"> London, found that Black and South Asian children were referred less often than White children. Although geographically limited, the study demonstrates how LA</w:t>
      </w:r>
      <w:r w:rsidRPr="004969EF">
        <w:rPr>
          <w:rFonts w:ascii="Arial" w:hAnsi="Arial" w:cs="Arial"/>
          <w:sz w:val="22"/>
          <w:szCs w:val="22"/>
        </w:rPr>
        <w:noBreakHyphen/>
        <w:t xml:space="preserve">linked pathways </w:t>
      </w:r>
      <w:r w:rsidRPr="004969EF">
        <w:rPr>
          <w:rFonts w:ascii="Arial" w:hAnsi="Arial" w:cs="Arial"/>
          <w:sz w:val="22"/>
          <w:szCs w:val="22"/>
        </w:rPr>
        <w:lastRenderedPageBreak/>
        <w:t>can reproduce ethnic inequalities in access to secondary mental health services, including ADHD assessment.</w:t>
      </w:r>
    </w:p>
    <w:p w14:paraId="5B31944E" w14:textId="77777777" w:rsidR="00867C74" w:rsidRPr="004969EF" w:rsidRDefault="002865F5" w:rsidP="004969EF">
      <w:pPr>
        <w:pStyle w:val="Heading4"/>
        <w:spacing w:line="360" w:lineRule="auto"/>
        <w:jc w:val="both"/>
        <w:rPr>
          <w:rFonts w:ascii="Arial" w:hAnsi="Arial" w:cs="Arial"/>
          <w:b/>
          <w:bCs/>
          <w:i w:val="0"/>
          <w:iCs w:val="0"/>
          <w:color w:val="auto"/>
          <w:sz w:val="22"/>
          <w:szCs w:val="22"/>
          <w:u w:val="single"/>
        </w:rPr>
      </w:pPr>
      <w:r w:rsidRPr="004969EF">
        <w:rPr>
          <w:rFonts w:ascii="Arial" w:hAnsi="Arial" w:cs="Arial"/>
          <w:b/>
          <w:bCs/>
          <w:i w:val="0"/>
          <w:iCs w:val="0"/>
          <w:color w:val="auto"/>
          <w:sz w:val="22"/>
          <w:szCs w:val="22"/>
          <w:u w:val="single"/>
        </w:rPr>
        <w:t>Theories, Policies, and Legislation</w:t>
      </w:r>
    </w:p>
    <w:p w14:paraId="385AB7C1" w14:textId="07F78E3E" w:rsidR="00867C74" w:rsidRPr="004969EF" w:rsidRDefault="00867C74" w:rsidP="004969EF">
      <w:pPr>
        <w:pStyle w:val="Heading4"/>
        <w:spacing w:line="360" w:lineRule="auto"/>
        <w:jc w:val="both"/>
        <w:rPr>
          <w:rFonts w:ascii="Arial" w:hAnsi="Arial" w:cs="Arial"/>
          <w:i w:val="0"/>
          <w:iCs w:val="0"/>
          <w:color w:val="auto"/>
          <w:sz w:val="22"/>
          <w:szCs w:val="22"/>
        </w:rPr>
      </w:pPr>
      <w:r w:rsidRPr="004969EF">
        <w:rPr>
          <w:rFonts w:ascii="Arial" w:hAnsi="Arial" w:cs="Arial"/>
          <w:i w:val="0"/>
          <w:iCs w:val="0"/>
          <w:color w:val="auto"/>
          <w:sz w:val="22"/>
          <w:szCs w:val="22"/>
        </w:rPr>
        <w:t xml:space="preserve">Intersectionality provides the most relevant theoretical lens for understanding how LA support structures contribute to inequalities in ADHD recognition. Bastia </w:t>
      </w:r>
      <w:r w:rsidR="003B75FB" w:rsidRPr="004969EF">
        <w:rPr>
          <w:rFonts w:ascii="Arial" w:hAnsi="Arial" w:cs="Arial"/>
          <w:i w:val="0"/>
          <w:iCs w:val="0"/>
          <w:color w:val="auto"/>
          <w:sz w:val="22"/>
          <w:szCs w:val="22"/>
        </w:rPr>
        <w:t>et al.,</w:t>
      </w:r>
      <w:r w:rsidRPr="004969EF">
        <w:rPr>
          <w:rFonts w:ascii="Arial" w:hAnsi="Arial" w:cs="Arial"/>
          <w:i w:val="0"/>
          <w:iCs w:val="0"/>
          <w:color w:val="auto"/>
          <w:sz w:val="22"/>
          <w:szCs w:val="22"/>
        </w:rPr>
        <w:t xml:space="preserve"> (2022) argue that overlapping identities</w:t>
      </w:r>
      <w:r w:rsidR="00222DD4" w:rsidRPr="004969EF">
        <w:rPr>
          <w:rFonts w:ascii="Arial" w:hAnsi="Arial" w:cs="Arial"/>
          <w:i w:val="0"/>
          <w:iCs w:val="0"/>
          <w:color w:val="auto"/>
          <w:sz w:val="22"/>
          <w:szCs w:val="22"/>
        </w:rPr>
        <w:t xml:space="preserve"> </w:t>
      </w:r>
      <w:r w:rsidRPr="004969EF">
        <w:rPr>
          <w:rFonts w:ascii="Arial" w:hAnsi="Arial" w:cs="Arial"/>
          <w:i w:val="0"/>
          <w:iCs w:val="0"/>
          <w:color w:val="auto"/>
          <w:sz w:val="22"/>
          <w:szCs w:val="22"/>
        </w:rPr>
        <w:t>such as ethnicity, socioeconomic status, language background and disability</w:t>
      </w:r>
      <w:r w:rsidR="00222DD4" w:rsidRPr="004969EF">
        <w:rPr>
          <w:rFonts w:ascii="Arial" w:hAnsi="Arial" w:cs="Arial"/>
          <w:i w:val="0"/>
          <w:iCs w:val="0"/>
          <w:color w:val="auto"/>
          <w:sz w:val="22"/>
          <w:szCs w:val="22"/>
        </w:rPr>
        <w:t xml:space="preserve"> </w:t>
      </w:r>
      <w:r w:rsidRPr="004969EF">
        <w:rPr>
          <w:rFonts w:ascii="Arial" w:hAnsi="Arial" w:cs="Arial"/>
          <w:i w:val="0"/>
          <w:iCs w:val="0"/>
          <w:color w:val="auto"/>
          <w:sz w:val="22"/>
          <w:szCs w:val="22"/>
        </w:rPr>
        <w:t xml:space="preserve">shape experiences within institutional systems. This perspective is directly applicable to LA processes, as families from minority backgrounds often navigate multiple, interacting disadvantages when attempting to access SEND pathways. For example, a parent may simultaneously face language barriers, limited familiarity with SEND procedures and previous negative encounters with public services, all of which influence how they experience LA guidance. Although intersectionality has been criticised for its conceptual breadth (Severs, </w:t>
      </w:r>
      <w:proofErr w:type="spellStart"/>
      <w:r w:rsidRPr="004969EF">
        <w:rPr>
          <w:rFonts w:ascii="Arial" w:hAnsi="Arial" w:cs="Arial"/>
          <w:i w:val="0"/>
          <w:iCs w:val="0"/>
          <w:color w:val="auto"/>
          <w:sz w:val="22"/>
          <w:szCs w:val="22"/>
        </w:rPr>
        <w:t>Celis</w:t>
      </w:r>
      <w:proofErr w:type="spellEnd"/>
      <w:r w:rsidRPr="004969EF">
        <w:rPr>
          <w:rFonts w:ascii="Arial" w:hAnsi="Arial" w:cs="Arial"/>
          <w:i w:val="0"/>
          <w:iCs w:val="0"/>
          <w:color w:val="auto"/>
          <w:sz w:val="22"/>
          <w:szCs w:val="22"/>
        </w:rPr>
        <w:t xml:space="preserve"> and </w:t>
      </w:r>
      <w:proofErr w:type="spellStart"/>
      <w:r w:rsidRPr="004969EF">
        <w:rPr>
          <w:rFonts w:ascii="Arial" w:hAnsi="Arial" w:cs="Arial"/>
          <w:i w:val="0"/>
          <w:iCs w:val="0"/>
          <w:color w:val="auto"/>
          <w:sz w:val="22"/>
          <w:szCs w:val="22"/>
        </w:rPr>
        <w:t>Erzeel</w:t>
      </w:r>
      <w:proofErr w:type="spellEnd"/>
      <w:r w:rsidRPr="004969EF">
        <w:rPr>
          <w:rFonts w:ascii="Arial" w:hAnsi="Arial" w:cs="Arial"/>
          <w:i w:val="0"/>
          <w:iCs w:val="0"/>
          <w:color w:val="auto"/>
          <w:sz w:val="22"/>
          <w:szCs w:val="22"/>
        </w:rPr>
        <w:t>, 2016), it remains a useful framework for analysing how structural power and inequality shape access to assessment.</w:t>
      </w:r>
    </w:p>
    <w:p w14:paraId="6B5B800E" w14:textId="76B63645" w:rsidR="00867C74" w:rsidRPr="004969EF" w:rsidRDefault="00867C74" w:rsidP="004969EF">
      <w:pPr>
        <w:pStyle w:val="NormalWeb"/>
        <w:spacing w:line="360" w:lineRule="auto"/>
        <w:jc w:val="both"/>
        <w:rPr>
          <w:rFonts w:ascii="Arial" w:hAnsi="Arial" w:cs="Arial"/>
          <w:sz w:val="22"/>
          <w:szCs w:val="22"/>
        </w:rPr>
      </w:pPr>
      <w:r w:rsidRPr="004969EF">
        <w:rPr>
          <w:rFonts w:ascii="Arial" w:hAnsi="Arial" w:cs="Arial"/>
          <w:sz w:val="22"/>
          <w:szCs w:val="22"/>
        </w:rPr>
        <w:t>The Children and Families Act 2014 places a statutory duty on LAs to identify children with potential SEND at the earliest opportunity. The SEND Code of Practice (Department for Education, 2015) reinforces this by emphasising coordinated multi</w:t>
      </w:r>
      <w:r w:rsidRPr="004969EF">
        <w:rPr>
          <w:rFonts w:ascii="Arial" w:hAnsi="Arial" w:cs="Arial"/>
          <w:sz w:val="22"/>
          <w:szCs w:val="22"/>
        </w:rPr>
        <w:noBreakHyphen/>
        <w:t xml:space="preserve">agency working and accessible information for families. The Equality Act 2010 further requires reasonable adjustments where disadvantage </w:t>
      </w:r>
      <w:proofErr w:type="gramStart"/>
      <w:r w:rsidRPr="004969EF">
        <w:rPr>
          <w:rFonts w:ascii="Arial" w:hAnsi="Arial" w:cs="Arial"/>
          <w:sz w:val="22"/>
          <w:szCs w:val="22"/>
        </w:rPr>
        <w:t>occurs</w:t>
      </w:r>
      <w:r w:rsidR="008104F4" w:rsidRPr="004969EF">
        <w:rPr>
          <w:rFonts w:ascii="Arial" w:hAnsi="Arial" w:cs="Arial"/>
          <w:sz w:val="22"/>
          <w:szCs w:val="22"/>
        </w:rPr>
        <w:t xml:space="preserve"> </w:t>
      </w:r>
      <w:r w:rsidRPr="004969EF">
        <w:rPr>
          <w:rFonts w:ascii="Arial" w:hAnsi="Arial" w:cs="Arial"/>
          <w:sz w:val="22"/>
          <w:szCs w:val="22"/>
        </w:rPr>
        <w:t>.</w:t>
      </w:r>
      <w:proofErr w:type="gramEnd"/>
    </w:p>
    <w:p w14:paraId="304C8D9A" w14:textId="25F97CDD" w:rsidR="00867C74" w:rsidRPr="004969EF" w:rsidRDefault="00867C74" w:rsidP="004969EF">
      <w:pPr>
        <w:pStyle w:val="NormalWeb"/>
        <w:spacing w:line="360" w:lineRule="auto"/>
        <w:jc w:val="both"/>
        <w:rPr>
          <w:rFonts w:ascii="Arial" w:hAnsi="Arial" w:cs="Arial"/>
          <w:sz w:val="22"/>
          <w:szCs w:val="22"/>
        </w:rPr>
      </w:pPr>
      <w:r w:rsidRPr="004969EF">
        <w:rPr>
          <w:rFonts w:ascii="Arial" w:hAnsi="Arial" w:cs="Arial"/>
          <w:sz w:val="22"/>
          <w:szCs w:val="22"/>
        </w:rPr>
        <w:t>The Local Government Association’s SEND ‘Must Know’ Guide outlines the responsibilities of elected members in overseeing early identification and ensuring that SEND pathways are accessible and effective. It emphasises strategic leadership, accountability and partnership with schools, noting that unclear processes can undermine parental confidence and widen inequalities (Local Government Association, 2015). For families from minority ethnic backgrounds, these inconsistencies are experienced not as abstract policy failures but as practical barriers</w:t>
      </w:r>
      <w:r w:rsidR="00222DD4" w:rsidRPr="004969EF">
        <w:rPr>
          <w:rFonts w:ascii="Arial" w:hAnsi="Arial" w:cs="Arial"/>
          <w:sz w:val="22"/>
          <w:szCs w:val="22"/>
        </w:rPr>
        <w:t xml:space="preserve"> </w:t>
      </w:r>
      <w:r w:rsidRPr="004969EF">
        <w:rPr>
          <w:rFonts w:ascii="Arial" w:hAnsi="Arial" w:cs="Arial"/>
          <w:sz w:val="22"/>
          <w:szCs w:val="22"/>
        </w:rPr>
        <w:t>such as unclear referral routes, inconsistent communication or limited cultural responsiveness</w:t>
      </w:r>
      <w:r w:rsidR="00222DD4" w:rsidRPr="004969EF">
        <w:rPr>
          <w:rFonts w:ascii="Arial" w:hAnsi="Arial" w:cs="Arial"/>
          <w:sz w:val="22"/>
          <w:szCs w:val="22"/>
        </w:rPr>
        <w:t xml:space="preserve"> </w:t>
      </w:r>
      <w:r w:rsidRPr="004969EF">
        <w:rPr>
          <w:rFonts w:ascii="Arial" w:hAnsi="Arial" w:cs="Arial"/>
          <w:sz w:val="22"/>
          <w:szCs w:val="22"/>
        </w:rPr>
        <w:t>which shape whether concerns are recognised and acted upon.</w:t>
      </w:r>
    </w:p>
    <w:p w14:paraId="549E8E86" w14:textId="77777777" w:rsidR="002865F5" w:rsidRPr="004969EF" w:rsidRDefault="002865F5" w:rsidP="004969EF">
      <w:pPr>
        <w:pStyle w:val="Heading4"/>
        <w:spacing w:line="360" w:lineRule="auto"/>
        <w:jc w:val="both"/>
        <w:rPr>
          <w:rFonts w:ascii="Arial" w:hAnsi="Arial" w:cs="Arial"/>
          <w:b/>
          <w:bCs/>
          <w:i w:val="0"/>
          <w:iCs w:val="0"/>
          <w:color w:val="auto"/>
          <w:sz w:val="22"/>
          <w:szCs w:val="22"/>
        </w:rPr>
      </w:pPr>
      <w:r w:rsidRPr="004969EF">
        <w:rPr>
          <w:rFonts w:ascii="Arial" w:hAnsi="Arial" w:cs="Arial"/>
          <w:b/>
          <w:bCs/>
          <w:i w:val="0"/>
          <w:iCs w:val="0"/>
          <w:color w:val="auto"/>
          <w:sz w:val="22"/>
          <w:szCs w:val="22"/>
        </w:rPr>
        <w:t>Implications</w:t>
      </w:r>
    </w:p>
    <w:p w14:paraId="4C140164" w14:textId="57ABAFAC" w:rsidR="00867C74" w:rsidRPr="004969EF" w:rsidRDefault="00867C74" w:rsidP="004969EF">
      <w:pPr>
        <w:pStyle w:val="NormalWeb"/>
        <w:spacing w:line="360" w:lineRule="auto"/>
        <w:jc w:val="both"/>
        <w:rPr>
          <w:rFonts w:ascii="Arial" w:hAnsi="Arial" w:cs="Arial"/>
          <w:sz w:val="22"/>
          <w:szCs w:val="22"/>
        </w:rPr>
      </w:pPr>
      <w:r w:rsidRPr="004969EF">
        <w:rPr>
          <w:rFonts w:ascii="Arial" w:hAnsi="Arial" w:cs="Arial"/>
          <w:sz w:val="22"/>
          <w:szCs w:val="22"/>
        </w:rPr>
        <w:t xml:space="preserve">Variation between authorities creates inequitable access to assessment, meaning that children with similar needs may experience vastly different outcomes depending on their postcode. For ethnic minority families, these disparities are compounded by cultural misunderstanding and communication barriers. Vincent </w:t>
      </w:r>
      <w:r w:rsidR="003B75FB" w:rsidRPr="004969EF">
        <w:rPr>
          <w:rFonts w:ascii="Arial" w:hAnsi="Arial" w:cs="Arial"/>
          <w:sz w:val="22"/>
          <w:szCs w:val="22"/>
        </w:rPr>
        <w:t>et al.,</w:t>
      </w:r>
      <w:r w:rsidRPr="004969EF">
        <w:rPr>
          <w:rFonts w:ascii="Arial" w:hAnsi="Arial" w:cs="Arial"/>
          <w:sz w:val="22"/>
          <w:szCs w:val="22"/>
        </w:rPr>
        <w:t xml:space="preserve"> (2025) found that carers from </w:t>
      </w:r>
      <w:r w:rsidRPr="004969EF">
        <w:rPr>
          <w:rFonts w:ascii="Arial" w:hAnsi="Arial" w:cs="Arial"/>
          <w:sz w:val="22"/>
          <w:szCs w:val="22"/>
        </w:rPr>
        <w:lastRenderedPageBreak/>
        <w:t>minority backgrounds frequently encountered stigma, mistrust and difficulty navigating services, highlighting how LA guidance often fails to meet cultural or linguistic needs.</w:t>
      </w:r>
    </w:p>
    <w:p w14:paraId="36863D82" w14:textId="59E0F455" w:rsidR="00867C74" w:rsidRPr="004969EF" w:rsidRDefault="00867C74" w:rsidP="004969EF">
      <w:pPr>
        <w:pStyle w:val="NormalWeb"/>
        <w:spacing w:line="360" w:lineRule="auto"/>
        <w:jc w:val="both"/>
        <w:rPr>
          <w:rFonts w:ascii="Arial" w:hAnsi="Arial" w:cs="Arial"/>
          <w:sz w:val="22"/>
          <w:szCs w:val="22"/>
        </w:rPr>
      </w:pPr>
      <w:r w:rsidRPr="004969EF">
        <w:rPr>
          <w:rFonts w:ascii="Arial" w:hAnsi="Arial" w:cs="Arial"/>
          <w:sz w:val="22"/>
          <w:szCs w:val="22"/>
        </w:rPr>
        <w:t xml:space="preserve">Fragmented pathways also delay recognition. Chui </w:t>
      </w:r>
      <w:r w:rsidR="003B75FB" w:rsidRPr="004969EF">
        <w:rPr>
          <w:rFonts w:ascii="Arial" w:hAnsi="Arial" w:cs="Arial"/>
          <w:sz w:val="22"/>
          <w:szCs w:val="22"/>
        </w:rPr>
        <w:t>et al.,</w:t>
      </w:r>
      <w:r w:rsidRPr="004969EF">
        <w:rPr>
          <w:rFonts w:ascii="Arial" w:hAnsi="Arial" w:cs="Arial"/>
          <w:sz w:val="22"/>
          <w:szCs w:val="22"/>
        </w:rPr>
        <w:t xml:space="preserve"> (2020) found that Black and South Asian children were less likely to be referred into secondary services, suggesting systemic bias within local pathways. These delays increase the risk of unmet needs, school exclusion and emotional distress.</w:t>
      </w:r>
    </w:p>
    <w:p w14:paraId="05437544" w14:textId="07F65C57" w:rsidR="003B75FB" w:rsidRPr="004969EF" w:rsidRDefault="00867C74" w:rsidP="004969EF">
      <w:pPr>
        <w:pStyle w:val="NormalWeb"/>
        <w:spacing w:line="360" w:lineRule="auto"/>
        <w:jc w:val="both"/>
        <w:rPr>
          <w:rFonts w:ascii="Arial" w:hAnsi="Arial" w:cs="Arial"/>
          <w:sz w:val="22"/>
          <w:szCs w:val="22"/>
        </w:rPr>
      </w:pPr>
      <w:r w:rsidRPr="004969EF">
        <w:rPr>
          <w:rFonts w:ascii="Arial" w:hAnsi="Arial" w:cs="Arial"/>
          <w:sz w:val="22"/>
          <w:szCs w:val="22"/>
        </w:rPr>
        <w:t>However, some LAs demonstrate that well</w:t>
      </w:r>
      <w:r w:rsidRPr="004969EF">
        <w:rPr>
          <w:rFonts w:ascii="Arial" w:hAnsi="Arial" w:cs="Arial"/>
          <w:sz w:val="22"/>
          <w:szCs w:val="22"/>
        </w:rPr>
        <w:noBreakHyphen/>
        <w:t xml:space="preserve">designed support structures can strengthen early identification. </w:t>
      </w:r>
      <w:proofErr w:type="spellStart"/>
      <w:r w:rsidRPr="004969EF">
        <w:rPr>
          <w:rFonts w:ascii="Arial" w:hAnsi="Arial" w:cs="Arial"/>
          <w:sz w:val="22"/>
          <w:szCs w:val="22"/>
        </w:rPr>
        <w:t>Cognus</w:t>
      </w:r>
      <w:proofErr w:type="spellEnd"/>
      <w:r w:rsidRPr="004969EF">
        <w:rPr>
          <w:rFonts w:ascii="Arial" w:hAnsi="Arial" w:cs="Arial"/>
          <w:sz w:val="22"/>
          <w:szCs w:val="22"/>
        </w:rPr>
        <w:t>, a local authority</w:t>
      </w:r>
      <w:r w:rsidRPr="004969EF">
        <w:rPr>
          <w:rFonts w:ascii="Arial" w:hAnsi="Arial" w:cs="Arial"/>
          <w:sz w:val="22"/>
          <w:szCs w:val="22"/>
        </w:rPr>
        <w:noBreakHyphen/>
        <w:t>commissioned service in Sutton, provides an example through its “Empowering SEND Champions” programme, which trains school staff to recognise and respond to social, emotional and mental health needs. Although not a peer</w:t>
      </w:r>
      <w:r w:rsidRPr="004969EF">
        <w:rPr>
          <w:rFonts w:ascii="Arial" w:hAnsi="Arial" w:cs="Arial"/>
          <w:sz w:val="22"/>
          <w:szCs w:val="22"/>
        </w:rPr>
        <w:noBreakHyphen/>
        <w:t>reviewed study, it illustrates how targeted LA investment can enhance early recognition by equipping schools with the skills needed to identify concerns before they escalate (</w:t>
      </w:r>
      <w:proofErr w:type="spellStart"/>
      <w:r w:rsidRPr="004969EF">
        <w:rPr>
          <w:rFonts w:ascii="Arial" w:hAnsi="Arial" w:cs="Arial"/>
          <w:sz w:val="22"/>
          <w:szCs w:val="22"/>
        </w:rPr>
        <w:t>Cognus</w:t>
      </w:r>
      <w:proofErr w:type="spellEnd"/>
      <w:r w:rsidRPr="004969EF">
        <w:rPr>
          <w:rFonts w:ascii="Arial" w:hAnsi="Arial" w:cs="Arial"/>
          <w:sz w:val="22"/>
          <w:szCs w:val="22"/>
        </w:rPr>
        <w:t>, 2024).</w:t>
      </w:r>
    </w:p>
    <w:p w14:paraId="5D138A61" w14:textId="3F188CE2" w:rsidR="0082760D" w:rsidRPr="004969EF" w:rsidRDefault="0082760D" w:rsidP="004969EF">
      <w:pPr>
        <w:pStyle w:val="Heading4"/>
        <w:spacing w:line="360" w:lineRule="auto"/>
        <w:jc w:val="both"/>
        <w:rPr>
          <w:rFonts w:ascii="Arial" w:hAnsi="Arial" w:cs="Arial"/>
          <w:b/>
          <w:bCs/>
          <w:i w:val="0"/>
          <w:iCs w:val="0"/>
          <w:color w:val="auto"/>
          <w:sz w:val="22"/>
          <w:szCs w:val="22"/>
        </w:rPr>
      </w:pPr>
      <w:r w:rsidRPr="004969EF">
        <w:rPr>
          <w:rFonts w:ascii="Arial" w:hAnsi="Arial" w:cs="Arial"/>
          <w:b/>
          <w:bCs/>
          <w:i w:val="0"/>
          <w:iCs w:val="0"/>
          <w:color w:val="auto"/>
          <w:sz w:val="22"/>
          <w:szCs w:val="22"/>
        </w:rPr>
        <w:t>Examples from Your Articles</w:t>
      </w:r>
    </w:p>
    <w:p w14:paraId="1919C50A" w14:textId="48CBE496" w:rsidR="00867C74" w:rsidRPr="00B0215A" w:rsidRDefault="00867C74"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Teacher awareness and </w:t>
      </w:r>
      <w:r w:rsidRPr="004969EF">
        <w:rPr>
          <w:rFonts w:ascii="Arial" w:hAnsi="Arial" w:cs="Arial"/>
          <w:sz w:val="22"/>
          <w:szCs w:val="22"/>
        </w:rPr>
        <w:t>intervention</w:t>
      </w:r>
      <w:r w:rsidRPr="00B0215A">
        <w:rPr>
          <w:rFonts w:ascii="Arial" w:hAnsi="Arial" w:cs="Arial"/>
          <w:sz w:val="22"/>
          <w:szCs w:val="22"/>
        </w:rPr>
        <w:t xml:space="preserve"> within classrooms appear to be the key factors associated with early identification of ADHD. </w:t>
      </w:r>
      <w:proofErr w:type="spellStart"/>
      <w:r w:rsidRPr="00B0215A">
        <w:rPr>
          <w:rFonts w:ascii="Arial" w:hAnsi="Arial" w:cs="Arial"/>
          <w:sz w:val="22"/>
          <w:szCs w:val="22"/>
        </w:rPr>
        <w:t>Aldabbagh</w:t>
      </w:r>
      <w:proofErr w:type="spellEnd"/>
      <w:r w:rsidRPr="00B0215A">
        <w:rPr>
          <w:rFonts w:ascii="Arial" w:hAnsi="Arial" w:cs="Arial"/>
          <w:sz w:val="22"/>
          <w:szCs w:val="22"/>
        </w:rPr>
        <w:t xml:space="preserve"> </w:t>
      </w:r>
      <w:r w:rsidR="003B75FB" w:rsidRPr="004969EF">
        <w:rPr>
          <w:rFonts w:ascii="Arial" w:hAnsi="Arial" w:cs="Arial"/>
          <w:sz w:val="22"/>
          <w:szCs w:val="22"/>
        </w:rPr>
        <w:t>et al.,</w:t>
      </w:r>
      <w:r w:rsidRPr="00B0215A">
        <w:rPr>
          <w:rFonts w:ascii="Arial" w:hAnsi="Arial" w:cs="Arial"/>
          <w:sz w:val="22"/>
          <w:szCs w:val="22"/>
        </w:rPr>
        <w:t xml:space="preserve"> (2024) indicate that teachers tend to describe </w:t>
      </w:r>
      <w:r w:rsidRPr="004969EF">
        <w:rPr>
          <w:rFonts w:ascii="Arial" w:hAnsi="Arial" w:cs="Arial"/>
          <w:sz w:val="22"/>
          <w:szCs w:val="22"/>
        </w:rPr>
        <w:t xml:space="preserve">and label </w:t>
      </w:r>
      <w:r w:rsidRPr="00B0215A">
        <w:rPr>
          <w:rFonts w:ascii="Arial" w:hAnsi="Arial" w:cs="Arial"/>
          <w:sz w:val="22"/>
          <w:szCs w:val="22"/>
        </w:rPr>
        <w:t>students</w:t>
      </w:r>
      <w:r w:rsidRPr="004969EF">
        <w:rPr>
          <w:rFonts w:ascii="Arial" w:hAnsi="Arial" w:cs="Arial"/>
          <w:sz w:val="22"/>
          <w:szCs w:val="22"/>
        </w:rPr>
        <w:t xml:space="preserve"> behaviour</w:t>
      </w:r>
      <w:r w:rsidRPr="00B0215A">
        <w:rPr>
          <w:rFonts w:ascii="Arial" w:hAnsi="Arial" w:cs="Arial"/>
          <w:sz w:val="22"/>
          <w:szCs w:val="22"/>
        </w:rPr>
        <w:t xml:space="preserve"> as </w:t>
      </w:r>
      <w:r w:rsidRPr="00B0215A">
        <w:rPr>
          <w:rFonts w:ascii="Arial" w:hAnsi="Arial" w:cs="Arial"/>
          <w:i/>
          <w:iCs/>
          <w:sz w:val="22"/>
          <w:szCs w:val="22"/>
        </w:rPr>
        <w:t>naughty</w:t>
      </w:r>
      <w:r w:rsidRPr="004969EF">
        <w:rPr>
          <w:rFonts w:ascii="Arial" w:hAnsi="Arial" w:cs="Arial"/>
          <w:sz w:val="22"/>
          <w:szCs w:val="22"/>
        </w:rPr>
        <w:t>, even in instances where a child repeats a set behaviour. What further contributes to this form of labelling is the</w:t>
      </w:r>
      <w:r w:rsidRPr="00B0215A">
        <w:rPr>
          <w:rFonts w:ascii="Arial" w:hAnsi="Arial" w:cs="Arial"/>
          <w:sz w:val="22"/>
          <w:szCs w:val="22"/>
        </w:rPr>
        <w:t xml:space="preserve"> </w:t>
      </w:r>
      <w:r w:rsidRPr="004969EF">
        <w:rPr>
          <w:rFonts w:ascii="Arial" w:hAnsi="Arial" w:cs="Arial"/>
          <w:sz w:val="22"/>
          <w:szCs w:val="22"/>
        </w:rPr>
        <w:t>lack</w:t>
      </w:r>
      <w:r w:rsidRPr="00B0215A">
        <w:rPr>
          <w:rFonts w:ascii="Arial" w:hAnsi="Arial" w:cs="Arial"/>
          <w:sz w:val="22"/>
          <w:szCs w:val="22"/>
        </w:rPr>
        <w:t xml:space="preserve"> of </w:t>
      </w:r>
      <w:r w:rsidRPr="004969EF">
        <w:rPr>
          <w:rFonts w:ascii="Arial" w:hAnsi="Arial" w:cs="Arial"/>
          <w:sz w:val="22"/>
          <w:szCs w:val="22"/>
        </w:rPr>
        <w:t xml:space="preserve">opportunity for </w:t>
      </w:r>
      <w:r w:rsidRPr="00B0215A">
        <w:rPr>
          <w:rFonts w:ascii="Arial" w:hAnsi="Arial" w:cs="Arial"/>
          <w:sz w:val="22"/>
          <w:szCs w:val="22"/>
        </w:rPr>
        <w:t xml:space="preserve">professional development and inadequate support given to educators that results in many classroom </w:t>
      </w:r>
      <w:r w:rsidRPr="004969EF">
        <w:rPr>
          <w:rFonts w:ascii="Arial" w:hAnsi="Arial" w:cs="Arial"/>
          <w:sz w:val="22"/>
          <w:szCs w:val="22"/>
        </w:rPr>
        <w:t>teachers misinterpreting</w:t>
      </w:r>
      <w:r w:rsidRPr="00B0215A">
        <w:rPr>
          <w:rFonts w:ascii="Arial" w:hAnsi="Arial" w:cs="Arial"/>
          <w:sz w:val="22"/>
          <w:szCs w:val="22"/>
        </w:rPr>
        <w:t xml:space="preserve"> early signs of ADHD</w:t>
      </w:r>
      <w:r w:rsidRPr="004969EF">
        <w:rPr>
          <w:rFonts w:ascii="Arial" w:hAnsi="Arial" w:cs="Arial"/>
          <w:sz w:val="22"/>
          <w:szCs w:val="22"/>
        </w:rPr>
        <w:t xml:space="preserve"> (</w:t>
      </w:r>
      <w:r w:rsidRPr="00B0215A">
        <w:rPr>
          <w:rFonts w:ascii="Arial" w:hAnsi="Arial" w:cs="Arial"/>
          <w:sz w:val="22"/>
          <w:szCs w:val="22"/>
        </w:rPr>
        <w:t xml:space="preserve">Ward </w:t>
      </w:r>
      <w:r w:rsidR="00A153CF" w:rsidRPr="004969EF">
        <w:rPr>
          <w:rFonts w:ascii="Arial" w:hAnsi="Arial" w:cs="Arial"/>
          <w:sz w:val="22"/>
          <w:szCs w:val="22"/>
        </w:rPr>
        <w:t>et al.,</w:t>
      </w:r>
      <w:r w:rsidRPr="004969EF">
        <w:rPr>
          <w:rFonts w:ascii="Arial" w:hAnsi="Arial" w:cs="Arial"/>
          <w:sz w:val="22"/>
          <w:szCs w:val="22"/>
        </w:rPr>
        <w:t xml:space="preserve"> </w:t>
      </w:r>
      <w:r w:rsidRPr="00B0215A">
        <w:rPr>
          <w:rFonts w:ascii="Arial" w:hAnsi="Arial" w:cs="Arial"/>
          <w:sz w:val="22"/>
          <w:szCs w:val="22"/>
        </w:rPr>
        <w:t>2021).</w:t>
      </w:r>
    </w:p>
    <w:p w14:paraId="0CA8D02D" w14:textId="67EF8EDA" w:rsidR="00867C74" w:rsidRPr="00B0215A" w:rsidRDefault="00867C74"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Diener </w:t>
      </w:r>
      <w:r w:rsidR="003B75FB" w:rsidRPr="004969EF">
        <w:rPr>
          <w:rFonts w:ascii="Arial" w:hAnsi="Arial" w:cs="Arial"/>
          <w:sz w:val="22"/>
          <w:szCs w:val="22"/>
        </w:rPr>
        <w:t>et al.,</w:t>
      </w:r>
      <w:r w:rsidRPr="00B0215A">
        <w:rPr>
          <w:rFonts w:ascii="Arial" w:hAnsi="Arial" w:cs="Arial"/>
          <w:sz w:val="22"/>
          <w:szCs w:val="22"/>
        </w:rPr>
        <w:t xml:space="preserve"> (2025) expand upon this issue</w:t>
      </w:r>
      <w:r w:rsidRPr="004969EF">
        <w:rPr>
          <w:rFonts w:ascii="Arial" w:hAnsi="Arial" w:cs="Arial"/>
          <w:sz w:val="22"/>
          <w:szCs w:val="22"/>
        </w:rPr>
        <w:t xml:space="preserve"> further by</w:t>
      </w:r>
      <w:r w:rsidRPr="00B0215A">
        <w:rPr>
          <w:rFonts w:ascii="Arial" w:hAnsi="Arial" w:cs="Arial"/>
          <w:sz w:val="22"/>
          <w:szCs w:val="22"/>
        </w:rPr>
        <w:t xml:space="preserve"> </w:t>
      </w:r>
      <w:r w:rsidRPr="004969EF">
        <w:rPr>
          <w:rFonts w:ascii="Arial" w:hAnsi="Arial" w:cs="Arial"/>
          <w:sz w:val="22"/>
          <w:szCs w:val="22"/>
        </w:rPr>
        <w:t xml:space="preserve">stating </w:t>
      </w:r>
      <w:r w:rsidRPr="00B0215A">
        <w:rPr>
          <w:rFonts w:ascii="Arial" w:hAnsi="Arial" w:cs="Arial"/>
          <w:sz w:val="22"/>
          <w:szCs w:val="22"/>
        </w:rPr>
        <w:t xml:space="preserve">that teachers tend to underreport ADHD symptoms in children from diverse racial/ethnic backgrounds. Their study finds that educators commonly interpret students' </w:t>
      </w:r>
      <w:r w:rsidRPr="004969EF">
        <w:rPr>
          <w:rFonts w:ascii="Arial" w:hAnsi="Arial" w:cs="Arial"/>
          <w:sz w:val="22"/>
          <w:szCs w:val="22"/>
        </w:rPr>
        <w:t>behaviours</w:t>
      </w:r>
      <w:r w:rsidRPr="00B0215A">
        <w:rPr>
          <w:rFonts w:ascii="Arial" w:hAnsi="Arial" w:cs="Arial"/>
          <w:sz w:val="22"/>
          <w:szCs w:val="22"/>
        </w:rPr>
        <w:t xml:space="preserve"> based on what they perceive as cultural background characteristics rather than as indicators of a child's clinical needs</w:t>
      </w:r>
    </w:p>
    <w:p w14:paraId="70C2B916" w14:textId="6F814CE4" w:rsidR="0082760D" w:rsidRPr="004969EF" w:rsidRDefault="00867C74" w:rsidP="004969EF">
      <w:pPr>
        <w:spacing w:line="360" w:lineRule="auto"/>
        <w:jc w:val="both"/>
        <w:rPr>
          <w:rFonts w:ascii="Arial" w:hAnsi="Arial" w:cs="Arial"/>
          <w:sz w:val="22"/>
          <w:szCs w:val="22"/>
        </w:rPr>
      </w:pPr>
      <w:r w:rsidRPr="00A22514">
        <w:rPr>
          <w:rFonts w:ascii="Arial" w:hAnsi="Arial" w:cs="Arial"/>
          <w:sz w:val="22"/>
          <w:szCs w:val="22"/>
        </w:rPr>
        <w:t xml:space="preserve">Across all three studies, there is a clear overlap in the limitations of </w:t>
      </w:r>
      <w:r w:rsidR="00A153CF" w:rsidRPr="004969EF">
        <w:rPr>
          <w:rFonts w:ascii="Arial" w:hAnsi="Arial" w:cs="Arial"/>
          <w:sz w:val="22"/>
          <w:szCs w:val="22"/>
        </w:rPr>
        <w:t>teacher’s</w:t>
      </w:r>
      <w:r w:rsidRPr="00A22514">
        <w:rPr>
          <w:rFonts w:ascii="Arial" w:hAnsi="Arial" w:cs="Arial"/>
          <w:sz w:val="22"/>
          <w:szCs w:val="22"/>
        </w:rPr>
        <w:t xml:space="preserve"> knowledge, although each </w:t>
      </w:r>
      <w:r w:rsidRPr="004969EF">
        <w:rPr>
          <w:rFonts w:ascii="Arial" w:hAnsi="Arial" w:cs="Arial"/>
          <w:sz w:val="22"/>
          <w:szCs w:val="22"/>
        </w:rPr>
        <w:t>present</w:t>
      </w:r>
      <w:r w:rsidRPr="00A22514">
        <w:rPr>
          <w:rFonts w:ascii="Arial" w:hAnsi="Arial" w:cs="Arial"/>
          <w:sz w:val="22"/>
          <w:szCs w:val="22"/>
        </w:rPr>
        <w:t xml:space="preserve"> this from a different angle: </w:t>
      </w:r>
      <w:proofErr w:type="spellStart"/>
      <w:r w:rsidRPr="00A22514">
        <w:rPr>
          <w:rFonts w:ascii="Arial" w:hAnsi="Arial" w:cs="Arial"/>
          <w:sz w:val="22"/>
          <w:szCs w:val="22"/>
        </w:rPr>
        <w:t>Aldabbagh</w:t>
      </w:r>
      <w:proofErr w:type="spellEnd"/>
      <w:r w:rsidRPr="00A22514">
        <w:rPr>
          <w:rFonts w:ascii="Arial" w:hAnsi="Arial" w:cs="Arial"/>
          <w:sz w:val="22"/>
          <w:szCs w:val="22"/>
        </w:rPr>
        <w:t xml:space="preserve"> </w:t>
      </w:r>
      <w:r w:rsidR="003B75FB" w:rsidRPr="004969EF">
        <w:rPr>
          <w:rFonts w:ascii="Arial" w:hAnsi="Arial" w:cs="Arial"/>
          <w:sz w:val="22"/>
          <w:szCs w:val="22"/>
        </w:rPr>
        <w:t>et al.,</w:t>
      </w:r>
      <w:r w:rsidRPr="00A22514">
        <w:rPr>
          <w:rFonts w:ascii="Arial" w:hAnsi="Arial" w:cs="Arial"/>
          <w:sz w:val="22"/>
          <w:szCs w:val="22"/>
        </w:rPr>
        <w:t xml:space="preserve"> (2024) focus on immediate classroom responses to behaviour; Diener </w:t>
      </w:r>
      <w:r w:rsidR="003B75FB" w:rsidRPr="004969EF">
        <w:rPr>
          <w:rFonts w:ascii="Arial" w:hAnsi="Arial" w:cs="Arial"/>
          <w:sz w:val="22"/>
          <w:szCs w:val="22"/>
        </w:rPr>
        <w:t>et al.,</w:t>
      </w:r>
      <w:r w:rsidRPr="00A22514">
        <w:rPr>
          <w:rFonts w:ascii="Arial" w:hAnsi="Arial" w:cs="Arial"/>
          <w:sz w:val="22"/>
          <w:szCs w:val="22"/>
        </w:rPr>
        <w:t xml:space="preserve"> (2025) highlight cultural misperceptions; and Ward </w:t>
      </w:r>
      <w:r w:rsidR="003B75FB" w:rsidRPr="004969EF">
        <w:rPr>
          <w:rFonts w:ascii="Arial" w:hAnsi="Arial" w:cs="Arial"/>
          <w:sz w:val="22"/>
          <w:szCs w:val="22"/>
        </w:rPr>
        <w:t>et al.,</w:t>
      </w:r>
      <w:r w:rsidRPr="00A22514">
        <w:rPr>
          <w:rFonts w:ascii="Arial" w:hAnsi="Arial" w:cs="Arial"/>
          <w:sz w:val="22"/>
          <w:szCs w:val="22"/>
        </w:rPr>
        <w:t xml:space="preserve"> (2021) emphasise how insufficient training prolongs referral pathways. Collectively, these studies demonstrate that school</w:t>
      </w:r>
      <w:r w:rsidRPr="00A22514">
        <w:rPr>
          <w:rFonts w:ascii="Arial" w:hAnsi="Arial" w:cs="Arial"/>
          <w:sz w:val="22"/>
          <w:szCs w:val="22"/>
        </w:rPr>
        <w:noBreakHyphen/>
        <w:t>based practice plays a significant role in the under</w:t>
      </w:r>
      <w:r w:rsidRPr="00A22514">
        <w:rPr>
          <w:rFonts w:ascii="Arial" w:hAnsi="Arial" w:cs="Arial"/>
          <w:sz w:val="22"/>
          <w:szCs w:val="22"/>
        </w:rPr>
        <w:noBreakHyphen/>
        <w:t>recognition of ADHD, contributing to comparatively lower rates of support among minority families.</w:t>
      </w:r>
    </w:p>
    <w:p w14:paraId="5B5E860D" w14:textId="77777777" w:rsidR="00867C74" w:rsidRPr="004969EF" w:rsidRDefault="00867C74" w:rsidP="004969EF">
      <w:pPr>
        <w:pStyle w:val="Heading4"/>
        <w:spacing w:line="360" w:lineRule="auto"/>
        <w:jc w:val="both"/>
        <w:rPr>
          <w:rFonts w:ascii="Arial" w:hAnsi="Arial" w:cs="Arial"/>
          <w:color w:val="auto"/>
          <w:sz w:val="22"/>
          <w:szCs w:val="22"/>
        </w:rPr>
      </w:pPr>
    </w:p>
    <w:p w14:paraId="219757CE" w14:textId="38C43CD5" w:rsidR="002865F5" w:rsidRPr="004969EF" w:rsidRDefault="002865F5" w:rsidP="004969EF">
      <w:pPr>
        <w:pStyle w:val="Heading4"/>
        <w:spacing w:line="360" w:lineRule="auto"/>
        <w:jc w:val="both"/>
        <w:rPr>
          <w:rFonts w:ascii="Arial" w:hAnsi="Arial" w:cs="Arial"/>
          <w:color w:val="auto"/>
          <w:sz w:val="22"/>
          <w:szCs w:val="22"/>
        </w:rPr>
      </w:pPr>
      <w:r w:rsidRPr="004969EF">
        <w:rPr>
          <w:rFonts w:ascii="Arial" w:hAnsi="Arial" w:cs="Arial"/>
          <w:color w:val="auto"/>
          <w:sz w:val="22"/>
          <w:szCs w:val="22"/>
        </w:rPr>
        <w:t>Connections to Other Themes</w:t>
      </w:r>
    </w:p>
    <w:p w14:paraId="26174823" w14:textId="27DC535F" w:rsidR="00867C74" w:rsidRPr="004969EF" w:rsidRDefault="00867C74" w:rsidP="004969EF">
      <w:pPr>
        <w:spacing w:line="360" w:lineRule="auto"/>
        <w:jc w:val="both"/>
        <w:rPr>
          <w:rStyle w:val="Strong"/>
          <w:rFonts w:ascii="Arial" w:hAnsi="Arial" w:cs="Arial"/>
          <w:b w:val="0"/>
          <w:bCs w:val="0"/>
          <w:sz w:val="22"/>
          <w:szCs w:val="22"/>
        </w:rPr>
      </w:pPr>
      <w:r w:rsidRPr="004969EF">
        <w:rPr>
          <w:rStyle w:val="Strong"/>
          <w:rFonts w:ascii="Arial" w:hAnsi="Arial" w:cs="Arial"/>
          <w:b w:val="0"/>
          <w:bCs w:val="0"/>
          <w:sz w:val="22"/>
          <w:szCs w:val="22"/>
        </w:rPr>
        <w:t xml:space="preserve">This theme links closely with Theme 1 School-Based Practices and Early Recognition, as difficulties in recognising ADHD within classrooms are often reinforced by inconsistent local authority (LA) referral pathways. When concerns are not clearly followed through at a service level, early signs identified in schools may not progress into formal assessment, leading to delays in support (Lewis </w:t>
      </w:r>
      <w:proofErr w:type="gramStart"/>
      <w:r w:rsidR="003B75FB" w:rsidRPr="004969EF">
        <w:rPr>
          <w:rStyle w:val="Strong"/>
          <w:rFonts w:ascii="Arial" w:hAnsi="Arial" w:cs="Arial"/>
          <w:b w:val="0"/>
          <w:bCs w:val="0"/>
          <w:sz w:val="22"/>
          <w:szCs w:val="22"/>
        </w:rPr>
        <w:t>et al.,</w:t>
      </w:r>
      <w:r w:rsidRPr="004969EF">
        <w:rPr>
          <w:rStyle w:val="Strong"/>
          <w:rFonts w:ascii="Arial" w:hAnsi="Arial" w:cs="Arial"/>
          <w:b w:val="0"/>
          <w:bCs w:val="0"/>
          <w:sz w:val="22"/>
          <w:szCs w:val="22"/>
        </w:rPr>
        <w:t>,</w:t>
      </w:r>
      <w:proofErr w:type="gramEnd"/>
      <w:r w:rsidRPr="004969EF">
        <w:rPr>
          <w:rStyle w:val="Strong"/>
          <w:rFonts w:ascii="Arial" w:hAnsi="Arial" w:cs="Arial"/>
          <w:b w:val="0"/>
          <w:bCs w:val="0"/>
          <w:sz w:val="22"/>
          <w:szCs w:val="22"/>
        </w:rPr>
        <w:t xml:space="preserve"> 2025; </w:t>
      </w:r>
      <w:proofErr w:type="spellStart"/>
      <w:r w:rsidRPr="004969EF">
        <w:rPr>
          <w:rStyle w:val="Strong"/>
          <w:rFonts w:ascii="Arial" w:hAnsi="Arial" w:cs="Arial"/>
          <w:b w:val="0"/>
          <w:bCs w:val="0"/>
          <w:sz w:val="22"/>
          <w:szCs w:val="22"/>
        </w:rPr>
        <w:t>Ogundele</w:t>
      </w:r>
      <w:proofErr w:type="spellEnd"/>
      <w:r w:rsidRPr="004969EF">
        <w:rPr>
          <w:rStyle w:val="Strong"/>
          <w:rFonts w:ascii="Arial" w:hAnsi="Arial" w:cs="Arial"/>
          <w:b w:val="0"/>
          <w:bCs w:val="0"/>
          <w:sz w:val="22"/>
          <w:szCs w:val="22"/>
        </w:rPr>
        <w:t xml:space="preserve"> and Ayyash, 2023).</w:t>
      </w:r>
    </w:p>
    <w:p w14:paraId="6637237B" w14:textId="5B067C8A" w:rsidR="00867C74" w:rsidRPr="004969EF" w:rsidRDefault="00867C74" w:rsidP="004969EF">
      <w:pPr>
        <w:spacing w:line="360" w:lineRule="auto"/>
        <w:jc w:val="both"/>
        <w:rPr>
          <w:rStyle w:val="Strong"/>
          <w:rFonts w:ascii="Arial" w:hAnsi="Arial" w:cs="Arial"/>
          <w:b w:val="0"/>
          <w:bCs w:val="0"/>
          <w:sz w:val="22"/>
          <w:szCs w:val="22"/>
        </w:rPr>
      </w:pPr>
      <w:r w:rsidRPr="004969EF">
        <w:rPr>
          <w:rStyle w:val="Strong"/>
          <w:rFonts w:ascii="Arial" w:hAnsi="Arial" w:cs="Arial"/>
          <w:b w:val="0"/>
          <w:bCs w:val="0"/>
          <w:sz w:val="22"/>
          <w:szCs w:val="22"/>
        </w:rPr>
        <w:t xml:space="preserve">It also connects with Theme 3 – Parental Perceptions and Help-Seeking, where complex and fragmented systems can discourage families from engaging with services. Vincent </w:t>
      </w:r>
      <w:r w:rsidR="003B75FB" w:rsidRPr="004969EF">
        <w:rPr>
          <w:rStyle w:val="Strong"/>
          <w:rFonts w:ascii="Arial" w:hAnsi="Arial" w:cs="Arial"/>
          <w:b w:val="0"/>
          <w:bCs w:val="0"/>
          <w:sz w:val="22"/>
          <w:szCs w:val="22"/>
        </w:rPr>
        <w:t>et al.,</w:t>
      </w:r>
      <w:r w:rsidRPr="004969EF">
        <w:rPr>
          <w:rStyle w:val="Strong"/>
          <w:rFonts w:ascii="Arial" w:hAnsi="Arial" w:cs="Arial"/>
          <w:b w:val="0"/>
          <w:bCs w:val="0"/>
          <w:sz w:val="22"/>
          <w:szCs w:val="22"/>
        </w:rPr>
        <w:t xml:space="preserve"> (2025) highlights how stigma, mistrust, and language barriers already make access challenging, and when combined with unclear LA guidance, these barriers become even harder to overcome.</w:t>
      </w:r>
    </w:p>
    <w:p w14:paraId="6C590B6F" w14:textId="17D2D60A" w:rsidR="00867C74" w:rsidRPr="004969EF" w:rsidRDefault="00867C74" w:rsidP="004969EF">
      <w:pPr>
        <w:spacing w:line="360" w:lineRule="auto"/>
        <w:jc w:val="both"/>
        <w:rPr>
          <w:rStyle w:val="Strong"/>
          <w:rFonts w:ascii="Arial" w:hAnsi="Arial" w:cs="Arial"/>
          <w:b w:val="0"/>
          <w:bCs w:val="0"/>
          <w:sz w:val="22"/>
          <w:szCs w:val="22"/>
        </w:rPr>
      </w:pPr>
      <w:r w:rsidRPr="004969EF">
        <w:rPr>
          <w:rStyle w:val="Strong"/>
          <w:rFonts w:ascii="Arial" w:hAnsi="Arial" w:cs="Arial"/>
          <w:b w:val="0"/>
          <w:bCs w:val="0"/>
          <w:sz w:val="22"/>
          <w:szCs w:val="22"/>
        </w:rPr>
        <w:t>In addition, this theme intersects with Theme 4</w:t>
      </w:r>
      <w:r w:rsidR="0016229A" w:rsidRPr="004969EF">
        <w:rPr>
          <w:rStyle w:val="Strong"/>
          <w:rFonts w:ascii="Arial" w:hAnsi="Arial" w:cs="Arial"/>
          <w:b w:val="0"/>
          <w:bCs w:val="0"/>
          <w:sz w:val="22"/>
          <w:szCs w:val="22"/>
        </w:rPr>
        <w:t xml:space="preserve"> </w:t>
      </w:r>
      <w:r w:rsidRPr="004969EF">
        <w:rPr>
          <w:rStyle w:val="Strong"/>
          <w:rFonts w:ascii="Arial" w:hAnsi="Arial" w:cs="Arial"/>
          <w:b w:val="0"/>
          <w:bCs w:val="0"/>
          <w:sz w:val="22"/>
          <w:szCs w:val="22"/>
        </w:rPr>
        <w:t xml:space="preserve">Structural Inequalities and Systemic Bias, as variation in referral pathways contributes to unequal outcomes across regions and populations. Evidence shows that Black and South Asian children are referred less frequently than their White peers (Chui </w:t>
      </w:r>
      <w:r w:rsidR="0016229A" w:rsidRPr="004969EF">
        <w:rPr>
          <w:rStyle w:val="Strong"/>
          <w:rFonts w:ascii="Arial" w:hAnsi="Arial" w:cs="Arial"/>
          <w:b w:val="0"/>
          <w:bCs w:val="0"/>
          <w:sz w:val="22"/>
          <w:szCs w:val="22"/>
        </w:rPr>
        <w:t>et al.,</w:t>
      </w:r>
      <w:r w:rsidRPr="004969EF">
        <w:rPr>
          <w:rStyle w:val="Strong"/>
          <w:rFonts w:ascii="Arial" w:hAnsi="Arial" w:cs="Arial"/>
          <w:b w:val="0"/>
          <w:bCs w:val="0"/>
          <w:sz w:val="22"/>
          <w:szCs w:val="22"/>
        </w:rPr>
        <w:t xml:space="preserve"> 2020), alongside ongoing delays and regional variation in services described as a “postcode lottery” (Young </w:t>
      </w:r>
      <w:proofErr w:type="gramStart"/>
      <w:r w:rsidR="003B75FB" w:rsidRPr="004969EF">
        <w:rPr>
          <w:rStyle w:val="Strong"/>
          <w:rFonts w:ascii="Arial" w:hAnsi="Arial" w:cs="Arial"/>
          <w:b w:val="0"/>
          <w:bCs w:val="0"/>
          <w:sz w:val="22"/>
          <w:szCs w:val="22"/>
        </w:rPr>
        <w:t>et al.,</w:t>
      </w:r>
      <w:r w:rsidRPr="004969EF">
        <w:rPr>
          <w:rStyle w:val="Strong"/>
          <w:rFonts w:ascii="Arial" w:hAnsi="Arial" w:cs="Arial"/>
          <w:b w:val="0"/>
          <w:bCs w:val="0"/>
          <w:sz w:val="22"/>
          <w:szCs w:val="22"/>
        </w:rPr>
        <w:t>,</w:t>
      </w:r>
      <w:proofErr w:type="gramEnd"/>
      <w:r w:rsidRPr="004969EF">
        <w:rPr>
          <w:rStyle w:val="Strong"/>
          <w:rFonts w:ascii="Arial" w:hAnsi="Arial" w:cs="Arial"/>
          <w:b w:val="0"/>
          <w:bCs w:val="0"/>
          <w:sz w:val="22"/>
          <w:szCs w:val="22"/>
        </w:rPr>
        <w:t xml:space="preserve"> 2021).</w:t>
      </w:r>
    </w:p>
    <w:p w14:paraId="4A9258D8" w14:textId="77777777" w:rsidR="00F21E50" w:rsidRPr="004969EF" w:rsidRDefault="00867C74" w:rsidP="004969EF">
      <w:pPr>
        <w:spacing w:line="360" w:lineRule="auto"/>
        <w:jc w:val="both"/>
        <w:rPr>
          <w:rStyle w:val="Strong"/>
          <w:rFonts w:ascii="Arial" w:hAnsi="Arial" w:cs="Arial"/>
          <w:b w:val="0"/>
          <w:bCs w:val="0"/>
          <w:sz w:val="22"/>
          <w:szCs w:val="22"/>
        </w:rPr>
      </w:pPr>
      <w:r w:rsidRPr="004969EF">
        <w:rPr>
          <w:rStyle w:val="Strong"/>
          <w:rFonts w:ascii="Arial" w:hAnsi="Arial" w:cs="Arial"/>
          <w:b w:val="0"/>
          <w:bCs w:val="0"/>
          <w:sz w:val="22"/>
          <w:szCs w:val="22"/>
        </w:rPr>
        <w:t>Together, these connections show that local authority variation does not operate in isolation. Instead, it works alongside school-level challenges (Theme 1), parental barriers (Theme 3), and wider systemic inequalities (Theme 4), all of which contribute to delays in recognition and access to support</w:t>
      </w:r>
    </w:p>
    <w:p w14:paraId="7258C57D" w14:textId="77777777" w:rsidR="00F21E50" w:rsidRPr="004969EF" w:rsidRDefault="00F21E50" w:rsidP="004969EF">
      <w:pPr>
        <w:pStyle w:val="Heading2"/>
        <w:spacing w:line="360" w:lineRule="auto"/>
        <w:jc w:val="both"/>
        <w:rPr>
          <w:rStyle w:val="Strong"/>
          <w:rFonts w:ascii="Arial" w:hAnsi="Arial" w:cs="Arial"/>
          <w:b w:val="0"/>
          <w:bCs w:val="0"/>
          <w:color w:val="auto"/>
          <w:sz w:val="22"/>
          <w:szCs w:val="22"/>
        </w:rPr>
      </w:pPr>
    </w:p>
    <w:p w14:paraId="3CADB6AC" w14:textId="188B84A2" w:rsidR="001C3AF6" w:rsidRPr="004969EF" w:rsidRDefault="001C3AF6" w:rsidP="00250E65">
      <w:pPr>
        <w:pStyle w:val="Heading2"/>
        <w:numPr>
          <w:ilvl w:val="1"/>
          <w:numId w:val="22"/>
        </w:numPr>
        <w:spacing w:line="360" w:lineRule="auto"/>
        <w:jc w:val="both"/>
        <w:rPr>
          <w:rFonts w:ascii="Arial" w:hAnsi="Arial" w:cs="Arial"/>
          <w:b/>
          <w:bCs/>
          <w:color w:val="auto"/>
          <w:sz w:val="22"/>
          <w:szCs w:val="22"/>
        </w:rPr>
      </w:pPr>
      <w:bookmarkStart w:id="16" w:name="_Toc226379372"/>
      <w:r w:rsidRPr="004969EF">
        <w:rPr>
          <w:rFonts w:ascii="Arial" w:hAnsi="Arial" w:cs="Arial"/>
          <w:b/>
          <w:bCs/>
          <w:color w:val="auto"/>
          <w:sz w:val="22"/>
          <w:szCs w:val="22"/>
        </w:rPr>
        <w:t>– Theme 3</w:t>
      </w:r>
      <w:r w:rsidR="00AE66C4" w:rsidRPr="004969EF">
        <w:rPr>
          <w:rFonts w:ascii="Arial" w:hAnsi="Arial" w:cs="Arial"/>
          <w:b/>
          <w:bCs/>
          <w:color w:val="auto"/>
          <w:sz w:val="22"/>
          <w:szCs w:val="22"/>
        </w:rPr>
        <w:t xml:space="preserve">: </w:t>
      </w:r>
      <w:r w:rsidR="00AE66C4" w:rsidRPr="004969EF">
        <w:rPr>
          <w:rFonts w:ascii="Arial" w:hAnsi="Arial" w:cs="Arial"/>
          <w:b/>
          <w:bCs/>
          <w:color w:val="auto"/>
          <w:sz w:val="22"/>
          <w:szCs w:val="22"/>
        </w:rPr>
        <w:t>Parental Perceptions, Cultural Meanings, and Help-Seeking</w:t>
      </w:r>
      <w:bookmarkEnd w:id="16"/>
      <w:r w:rsidRPr="004969EF">
        <w:rPr>
          <w:rFonts w:ascii="Arial" w:hAnsi="Arial" w:cs="Arial"/>
          <w:b/>
          <w:bCs/>
          <w:color w:val="auto"/>
          <w:sz w:val="22"/>
          <w:szCs w:val="22"/>
        </w:rPr>
        <w:t xml:space="preserve"> </w:t>
      </w:r>
    </w:p>
    <w:p w14:paraId="1B0F9CDD" w14:textId="77777777" w:rsidR="00B9124C" w:rsidRPr="004969EF" w:rsidRDefault="00B9124C" w:rsidP="004969EF">
      <w:pPr>
        <w:pStyle w:val="Heading4"/>
        <w:spacing w:line="360" w:lineRule="auto"/>
        <w:jc w:val="both"/>
        <w:rPr>
          <w:rFonts w:ascii="Arial" w:hAnsi="Arial" w:cs="Arial"/>
          <w:b/>
          <w:bCs/>
          <w:i w:val="0"/>
          <w:iCs w:val="0"/>
          <w:color w:val="auto"/>
          <w:sz w:val="22"/>
          <w:szCs w:val="22"/>
        </w:rPr>
      </w:pPr>
    </w:p>
    <w:p w14:paraId="350AFC63" w14:textId="1C7A4E03" w:rsidR="004B019F" w:rsidRPr="004969EF" w:rsidRDefault="002865F5" w:rsidP="00250E65">
      <w:pPr>
        <w:pStyle w:val="Heading4"/>
        <w:numPr>
          <w:ilvl w:val="0"/>
          <w:numId w:val="23"/>
        </w:numPr>
        <w:spacing w:line="360" w:lineRule="auto"/>
        <w:jc w:val="both"/>
        <w:rPr>
          <w:rFonts w:ascii="Arial" w:hAnsi="Arial" w:cs="Arial"/>
          <w:b/>
          <w:bCs/>
          <w:i w:val="0"/>
          <w:iCs w:val="0"/>
          <w:color w:val="auto"/>
          <w:sz w:val="22"/>
          <w:szCs w:val="22"/>
          <w:u w:val="single"/>
        </w:rPr>
      </w:pPr>
      <w:r w:rsidRPr="004969EF">
        <w:rPr>
          <w:rFonts w:ascii="Arial" w:hAnsi="Arial" w:cs="Arial"/>
          <w:b/>
          <w:bCs/>
          <w:i w:val="0"/>
          <w:iCs w:val="0"/>
          <w:color w:val="auto"/>
          <w:sz w:val="22"/>
          <w:szCs w:val="22"/>
          <w:u w:val="single"/>
        </w:rPr>
        <w:t xml:space="preserve">Definition </w:t>
      </w:r>
    </w:p>
    <w:p w14:paraId="238D536C" w14:textId="3202EB55" w:rsidR="004B019F" w:rsidRPr="004969EF" w:rsidRDefault="004B019F" w:rsidP="004969EF">
      <w:pPr>
        <w:pStyle w:val="Heading4"/>
        <w:spacing w:line="360" w:lineRule="auto"/>
        <w:jc w:val="both"/>
        <w:rPr>
          <w:rFonts w:ascii="Arial" w:hAnsi="Arial" w:cs="Arial"/>
          <w:b/>
          <w:bCs/>
          <w:i w:val="0"/>
          <w:iCs w:val="0"/>
          <w:color w:val="auto"/>
          <w:sz w:val="22"/>
          <w:szCs w:val="22"/>
        </w:rPr>
      </w:pPr>
      <w:r w:rsidRPr="004969EF">
        <w:rPr>
          <w:rFonts w:ascii="Arial" w:eastAsia="Times New Roman" w:hAnsi="Arial" w:cs="Arial"/>
          <w:i w:val="0"/>
          <w:iCs w:val="0"/>
          <w:color w:val="222222"/>
          <w:sz w:val="22"/>
          <w:szCs w:val="22"/>
          <w:shd w:val="clear" w:color="auto" w:fill="FFFFFF"/>
        </w:rPr>
        <w:t>Parental perceptions refer to how mothers and fathers interpret their child's behaviour. Some parents view these behaviours as symptoms of a neurodevelopmental condition, while others see them as personality traits or issues of discipline (Patel et al., 2024). Cultural meanings are the shared beliefs, values, and norms that shape these interpretations, including religious understandings, stigma, and expectations around authority (Olatunji et al., 2023). Help-seeking describes the process by which parents contact schools, GPs, or other agencies for support. These elements are interconnected: cultural context determines how behaviour is understood, and this understanding directly influences whether a parent perceives professional support as necessary (Vincent et al., 2025).</w:t>
      </w:r>
    </w:p>
    <w:p w14:paraId="4E3901F6" w14:textId="77777777" w:rsidR="00E02DD4" w:rsidRPr="004969EF" w:rsidRDefault="00E02DD4" w:rsidP="004969EF">
      <w:pPr>
        <w:spacing w:line="360" w:lineRule="auto"/>
        <w:jc w:val="both"/>
        <w:rPr>
          <w:rFonts w:ascii="Arial" w:hAnsi="Arial" w:cs="Arial"/>
          <w:sz w:val="22"/>
          <w:szCs w:val="22"/>
        </w:rPr>
      </w:pPr>
    </w:p>
    <w:p w14:paraId="73055C57" w14:textId="29E847DE" w:rsidR="002865F5" w:rsidRPr="004969EF" w:rsidRDefault="002865F5" w:rsidP="00250E65">
      <w:pPr>
        <w:pStyle w:val="Heading4"/>
        <w:numPr>
          <w:ilvl w:val="0"/>
          <w:numId w:val="11"/>
        </w:numPr>
        <w:spacing w:line="360" w:lineRule="auto"/>
        <w:jc w:val="both"/>
        <w:rPr>
          <w:rFonts w:ascii="Arial" w:hAnsi="Arial" w:cs="Arial"/>
          <w:b/>
          <w:bCs/>
          <w:i w:val="0"/>
          <w:iCs w:val="0"/>
          <w:color w:val="auto"/>
          <w:sz w:val="22"/>
          <w:szCs w:val="22"/>
        </w:rPr>
      </w:pPr>
      <w:r w:rsidRPr="004969EF">
        <w:rPr>
          <w:rFonts w:ascii="Arial" w:hAnsi="Arial" w:cs="Arial"/>
          <w:b/>
          <w:bCs/>
          <w:i w:val="0"/>
          <w:iCs w:val="0"/>
          <w:color w:val="auto"/>
          <w:sz w:val="22"/>
          <w:szCs w:val="22"/>
        </w:rPr>
        <w:lastRenderedPageBreak/>
        <w:t>Background Information</w:t>
      </w:r>
    </w:p>
    <w:p w14:paraId="1600C9C8" w14:textId="77777777" w:rsidR="00086E7D" w:rsidRPr="004969EF" w:rsidRDefault="00086E7D" w:rsidP="004969EF">
      <w:pPr>
        <w:spacing w:line="360" w:lineRule="auto"/>
        <w:jc w:val="both"/>
        <w:rPr>
          <w:rFonts w:ascii="Arial" w:hAnsi="Arial" w:cs="Arial"/>
          <w:color w:val="222222"/>
          <w:sz w:val="22"/>
          <w:szCs w:val="22"/>
        </w:rPr>
      </w:pPr>
      <w:r w:rsidRPr="004969EF">
        <w:rPr>
          <w:rFonts w:ascii="Arial" w:hAnsi="Arial" w:cs="Arial"/>
          <w:color w:val="222222"/>
          <w:sz w:val="22"/>
          <w:szCs w:val="22"/>
        </w:rPr>
        <w:t>Parental perceptions of children’s behaviour are shaped by long-standing cultural, social and familial frameworks rather than purely clinical understandings. Earlier research has shown that within many ethnic minority communities, behavioural differences have historically been interpreted through moral or disciplinary lenses, often linked to parenting practices, respect and social expectations rather than neurodevelopmental conditions (Patel et al., 2024). In contexts where awareness of ADHD has been limited, particularly in countries with less developed diagnostic systems, such behaviours may not be recognised as requiring medical or educational intervention (</w:t>
      </w:r>
      <w:proofErr w:type="spellStart"/>
      <w:r w:rsidRPr="004969EF">
        <w:rPr>
          <w:rFonts w:ascii="Arial" w:hAnsi="Arial" w:cs="Arial"/>
          <w:color w:val="222222"/>
          <w:sz w:val="22"/>
          <w:szCs w:val="22"/>
        </w:rPr>
        <w:t>Shegere</w:t>
      </w:r>
      <w:proofErr w:type="spellEnd"/>
      <w:r w:rsidRPr="004969EF">
        <w:rPr>
          <w:rFonts w:ascii="Arial" w:hAnsi="Arial" w:cs="Arial"/>
          <w:color w:val="222222"/>
          <w:sz w:val="22"/>
          <w:szCs w:val="22"/>
        </w:rPr>
        <w:t xml:space="preserve"> et al., 2025).</w:t>
      </w:r>
    </w:p>
    <w:p w14:paraId="3749AA77" w14:textId="77777777" w:rsidR="00086E7D" w:rsidRPr="004969EF" w:rsidRDefault="00086E7D" w:rsidP="004969EF">
      <w:pPr>
        <w:spacing w:line="360" w:lineRule="auto"/>
        <w:jc w:val="both"/>
        <w:rPr>
          <w:rFonts w:ascii="Arial" w:hAnsi="Arial" w:cs="Arial"/>
          <w:color w:val="222222"/>
          <w:sz w:val="22"/>
          <w:szCs w:val="22"/>
        </w:rPr>
      </w:pPr>
    </w:p>
    <w:p w14:paraId="201D6289" w14:textId="32300F1F" w:rsidR="00086E7D" w:rsidRPr="004969EF" w:rsidRDefault="00086E7D" w:rsidP="004969EF">
      <w:pPr>
        <w:spacing w:line="360" w:lineRule="auto"/>
        <w:jc w:val="both"/>
        <w:rPr>
          <w:rFonts w:ascii="Arial" w:hAnsi="Arial" w:cs="Arial"/>
          <w:color w:val="222222"/>
          <w:sz w:val="22"/>
          <w:szCs w:val="22"/>
        </w:rPr>
      </w:pPr>
      <w:r w:rsidRPr="004969EF">
        <w:rPr>
          <w:rFonts w:ascii="Arial" w:hAnsi="Arial" w:cs="Arial"/>
          <w:color w:val="222222"/>
          <w:sz w:val="22"/>
          <w:szCs w:val="22"/>
        </w:rPr>
        <w:t>As families migrate to the UK, they encounter a system that places emphasis on early identification and parental engagement in referral pathways. However, this shift requires not only awareness but also trust in formal services. Cultural beliefs, including religious interpretations and community norms, continue to influence how behaviour is understood and responded to across generations (Olatunji et al., 2023). Evidence also suggests that previous experiences of exclusion or misunderstanding within services contribute to cautious engagement, reinforcing reliance on informal networks such as family or community leaders (Vincent et al., 2025).</w:t>
      </w:r>
    </w:p>
    <w:p w14:paraId="78C0D76C" w14:textId="19154F29" w:rsidR="00086E7D" w:rsidRPr="004969EF" w:rsidRDefault="00086E7D" w:rsidP="004969EF">
      <w:pPr>
        <w:spacing w:line="360" w:lineRule="auto"/>
        <w:jc w:val="both"/>
        <w:rPr>
          <w:rFonts w:ascii="Arial" w:hAnsi="Arial" w:cs="Arial"/>
          <w:color w:val="222222"/>
          <w:sz w:val="22"/>
          <w:szCs w:val="22"/>
        </w:rPr>
      </w:pPr>
    </w:p>
    <w:p w14:paraId="618A945C" w14:textId="77777777" w:rsidR="00086E7D" w:rsidRPr="004969EF" w:rsidRDefault="00086E7D" w:rsidP="004969EF">
      <w:pPr>
        <w:spacing w:line="360" w:lineRule="auto"/>
        <w:jc w:val="both"/>
        <w:rPr>
          <w:rFonts w:ascii="Arial" w:hAnsi="Arial" w:cs="Arial"/>
          <w:color w:val="222222"/>
          <w:sz w:val="22"/>
          <w:szCs w:val="22"/>
        </w:rPr>
      </w:pPr>
    </w:p>
    <w:p w14:paraId="416E3F8C" w14:textId="77777777" w:rsidR="002865F5" w:rsidRPr="004969EF" w:rsidRDefault="002865F5" w:rsidP="00250E65">
      <w:pPr>
        <w:pStyle w:val="Heading4"/>
        <w:numPr>
          <w:ilvl w:val="0"/>
          <w:numId w:val="11"/>
        </w:numPr>
        <w:spacing w:line="360" w:lineRule="auto"/>
        <w:jc w:val="both"/>
        <w:rPr>
          <w:rFonts w:ascii="Arial" w:hAnsi="Arial" w:cs="Arial"/>
          <w:b/>
          <w:bCs/>
          <w:i w:val="0"/>
          <w:iCs w:val="0"/>
          <w:color w:val="auto"/>
          <w:sz w:val="22"/>
          <w:szCs w:val="22"/>
        </w:rPr>
      </w:pPr>
      <w:r w:rsidRPr="004969EF">
        <w:rPr>
          <w:rFonts w:ascii="Arial" w:hAnsi="Arial" w:cs="Arial"/>
          <w:b/>
          <w:bCs/>
          <w:i w:val="0"/>
          <w:iCs w:val="0"/>
          <w:color w:val="auto"/>
          <w:sz w:val="22"/>
          <w:szCs w:val="22"/>
        </w:rPr>
        <w:t>Impact on Research Question</w:t>
      </w:r>
    </w:p>
    <w:p w14:paraId="3A7D70B3" w14:textId="17852F97" w:rsidR="00E02DD4" w:rsidRPr="004969EF" w:rsidRDefault="004B019F" w:rsidP="004969EF">
      <w:pPr>
        <w:spacing w:before="100" w:beforeAutospacing="1" w:after="100" w:afterAutospacing="1" w:line="360" w:lineRule="auto"/>
        <w:jc w:val="both"/>
        <w:rPr>
          <w:rFonts w:ascii="Arial" w:hAnsi="Arial" w:cs="Arial"/>
          <w:b/>
          <w:bCs/>
          <w:sz w:val="22"/>
          <w:szCs w:val="22"/>
        </w:rPr>
      </w:pPr>
      <w:r w:rsidRPr="004969EF">
        <w:rPr>
          <w:rStyle w:val="Strong"/>
          <w:rFonts w:ascii="Arial" w:hAnsi="Arial" w:cs="Arial"/>
          <w:b w:val="0"/>
          <w:bCs w:val="0"/>
          <w:sz w:val="22"/>
          <w:szCs w:val="22"/>
        </w:rPr>
        <w:t>This theme is central to answering the research question because it explains why disparities in recognition and diagnosis exist. A parent who has never encountered the concept of ADHD in their country of origin is unlikely to identify it immediately in a UK classroom (</w:t>
      </w:r>
      <w:proofErr w:type="spellStart"/>
      <w:r w:rsidRPr="004969EF">
        <w:rPr>
          <w:rStyle w:val="Strong"/>
          <w:rFonts w:ascii="Arial" w:hAnsi="Arial" w:cs="Arial"/>
          <w:b w:val="0"/>
          <w:bCs w:val="0"/>
          <w:sz w:val="22"/>
          <w:szCs w:val="22"/>
        </w:rPr>
        <w:t>Shegere</w:t>
      </w:r>
      <w:proofErr w:type="spellEnd"/>
      <w:r w:rsidRPr="004969EF">
        <w:rPr>
          <w:rStyle w:val="Strong"/>
          <w:rFonts w:ascii="Arial" w:hAnsi="Arial" w:cs="Arial"/>
          <w:b w:val="0"/>
          <w:bCs w:val="0"/>
          <w:sz w:val="22"/>
          <w:szCs w:val="22"/>
        </w:rPr>
        <w:t xml:space="preserve"> et al., 2025). Furthermore, help-seeking is rarely an individual decision; it is often influenced by extended family and community views (Patel et al., 2024). Stigma, fear of judgement, and reliance on spiritual explanations can delay or prevent parents from seeking formal support (Patel et al., 2024). If religious leaders or family members view behaviour as normal or morally wrong, the window for early intervention may be missed (Thurston et al., 2018). Therefore, parental perceptions act as a critical filter that determines whether a child enters the support system.</w:t>
      </w:r>
    </w:p>
    <w:p w14:paraId="54B244D8" w14:textId="08AEF1C3" w:rsidR="002865F5" w:rsidRPr="004969EF" w:rsidRDefault="002865F5" w:rsidP="00250E65">
      <w:pPr>
        <w:pStyle w:val="Heading4"/>
        <w:numPr>
          <w:ilvl w:val="0"/>
          <w:numId w:val="24"/>
        </w:numPr>
        <w:spacing w:line="360" w:lineRule="auto"/>
        <w:jc w:val="both"/>
        <w:rPr>
          <w:rFonts w:ascii="Arial" w:hAnsi="Arial" w:cs="Arial"/>
          <w:b/>
          <w:bCs/>
          <w:i w:val="0"/>
          <w:iCs w:val="0"/>
          <w:color w:val="auto"/>
          <w:sz w:val="22"/>
          <w:szCs w:val="22"/>
        </w:rPr>
      </w:pPr>
      <w:r w:rsidRPr="004969EF">
        <w:rPr>
          <w:rFonts w:ascii="Arial" w:hAnsi="Arial" w:cs="Arial"/>
          <w:b/>
          <w:bCs/>
          <w:i w:val="0"/>
          <w:iCs w:val="0"/>
          <w:color w:val="auto"/>
          <w:sz w:val="22"/>
          <w:szCs w:val="22"/>
        </w:rPr>
        <w:t>Statistical Information</w:t>
      </w:r>
    </w:p>
    <w:p w14:paraId="6DFA679A" w14:textId="2BF73D82" w:rsidR="00DD5375" w:rsidRPr="004969EF" w:rsidRDefault="00DD5375" w:rsidP="004969EF">
      <w:pPr>
        <w:spacing w:line="360" w:lineRule="auto"/>
        <w:jc w:val="both"/>
        <w:rPr>
          <w:rFonts w:ascii="Arial" w:hAnsi="Arial" w:cs="Arial"/>
          <w:color w:val="222222"/>
          <w:sz w:val="22"/>
          <w:szCs w:val="22"/>
        </w:rPr>
      </w:pPr>
      <w:r w:rsidRPr="004969EF">
        <w:rPr>
          <w:rFonts w:ascii="Arial" w:hAnsi="Arial" w:cs="Arial"/>
          <w:color w:val="222222"/>
          <w:sz w:val="22"/>
          <w:szCs w:val="22"/>
        </w:rPr>
        <w:t xml:space="preserve">Parental help-seeking is shaped not only by awareness, but by how systems operate in practice. In England, around 42% of working-age adults struggle to use everyday health information (Department of Health, 2015), which is significant in a system that requires parents </w:t>
      </w:r>
      <w:r w:rsidRPr="004969EF">
        <w:rPr>
          <w:rFonts w:ascii="Arial" w:hAnsi="Arial" w:cs="Arial"/>
          <w:color w:val="222222"/>
          <w:sz w:val="22"/>
          <w:szCs w:val="22"/>
        </w:rPr>
        <w:lastRenderedPageBreak/>
        <w:t>to interpret behaviour and navigate complex referral pathways. This occurs within a diverse population, where 18% of people in England and Wales identify as belonging to an ethnic minority group (Office for National Statistics, 2021), meaning a substantial proportion of families may experience these challenges differently. Health literacy is often uneven across these groups and linked to poorer experiences of care (Waqar, 2025). While it may be assumed that parents can independently seek support online, this relies on digital access and skills, which are not universal (Office for National Statistics, 2019). Parents’ experiences show that systems do not respond consistently, with delays, unclear thresholds and poor coordination across services. In some cases, parents reported being told their child would “grow out of” their difficulties (Saxton et al., 2024). Together, this suggests delays in recognition and referral reflect systemic inconsistency rather than parental inaction.</w:t>
      </w:r>
    </w:p>
    <w:p w14:paraId="159E2966" w14:textId="77777777" w:rsidR="005A087C" w:rsidRPr="004969EF" w:rsidRDefault="005A087C" w:rsidP="004969EF">
      <w:pPr>
        <w:pStyle w:val="Heading4"/>
        <w:spacing w:line="360" w:lineRule="auto"/>
        <w:jc w:val="both"/>
        <w:rPr>
          <w:rFonts w:ascii="Arial" w:hAnsi="Arial" w:cs="Arial"/>
          <w:color w:val="auto"/>
          <w:sz w:val="22"/>
          <w:szCs w:val="22"/>
        </w:rPr>
      </w:pPr>
    </w:p>
    <w:p w14:paraId="28E29938" w14:textId="700E1250" w:rsidR="002865F5" w:rsidRPr="004969EF" w:rsidRDefault="002865F5" w:rsidP="004969EF">
      <w:pPr>
        <w:pStyle w:val="Heading4"/>
        <w:spacing w:line="360" w:lineRule="auto"/>
        <w:jc w:val="both"/>
        <w:rPr>
          <w:rFonts w:ascii="Arial" w:hAnsi="Arial" w:cs="Arial"/>
          <w:b/>
          <w:bCs/>
          <w:i w:val="0"/>
          <w:iCs w:val="0"/>
          <w:color w:val="auto"/>
          <w:sz w:val="22"/>
          <w:szCs w:val="22"/>
        </w:rPr>
      </w:pPr>
      <w:r w:rsidRPr="004969EF">
        <w:rPr>
          <w:rFonts w:ascii="Arial" w:hAnsi="Arial" w:cs="Arial"/>
          <w:b/>
          <w:bCs/>
          <w:i w:val="0"/>
          <w:iCs w:val="0"/>
          <w:color w:val="auto"/>
          <w:sz w:val="22"/>
          <w:szCs w:val="22"/>
        </w:rPr>
        <w:t>Theories, Policies, and Legislation</w:t>
      </w:r>
    </w:p>
    <w:p w14:paraId="6B5150B6" w14:textId="639C59E7" w:rsidR="004B019F" w:rsidRPr="004969EF" w:rsidRDefault="004B019F" w:rsidP="004969EF">
      <w:pPr>
        <w:pStyle w:val="NormalWeb"/>
        <w:spacing w:line="360" w:lineRule="auto"/>
        <w:jc w:val="both"/>
        <w:rPr>
          <w:rFonts w:ascii="Arial" w:hAnsi="Arial" w:cs="Arial"/>
          <w:sz w:val="22"/>
          <w:szCs w:val="22"/>
        </w:rPr>
      </w:pPr>
      <w:r w:rsidRPr="004969EF">
        <w:rPr>
          <w:rFonts w:ascii="Arial" w:hAnsi="Arial" w:cs="Arial"/>
          <w:color w:val="222222"/>
          <w:sz w:val="22"/>
          <w:szCs w:val="22"/>
        </w:rPr>
        <w:t xml:space="preserve">Acculturation Theory (Schwartz et al., 2010; </w:t>
      </w:r>
      <w:proofErr w:type="spellStart"/>
      <w:r w:rsidRPr="004969EF">
        <w:rPr>
          <w:rFonts w:ascii="Arial" w:hAnsi="Arial" w:cs="Arial"/>
          <w:color w:val="222222"/>
          <w:sz w:val="22"/>
          <w:szCs w:val="22"/>
        </w:rPr>
        <w:t>Mesoudi</w:t>
      </w:r>
      <w:proofErr w:type="spellEnd"/>
      <w:r w:rsidRPr="004969EF">
        <w:rPr>
          <w:rFonts w:ascii="Arial" w:hAnsi="Arial" w:cs="Arial"/>
          <w:color w:val="222222"/>
          <w:sz w:val="22"/>
          <w:szCs w:val="22"/>
        </w:rPr>
        <w:t>, 2018) provides the most relevant lens for this theme. It explains that parents do not simply abandon their cultural beliefs upon moving to a new country. Instead, they engage in a process of "negotiation" between the frameworks of their country of origin and those of the host country. This theory helps explain why some parents retain spiritual or disciplinary explanations for behaviour, while others may adopt clinical understandings over time. The process of acculturation directly affects the timing and willingness of parents to seek help.</w:t>
      </w:r>
    </w:p>
    <w:p w14:paraId="0FC93BF7" w14:textId="4DA5C2E7" w:rsidR="002865F5" w:rsidRPr="004969EF" w:rsidRDefault="002865F5" w:rsidP="00250E65">
      <w:pPr>
        <w:pStyle w:val="NormalWeb"/>
        <w:numPr>
          <w:ilvl w:val="0"/>
          <w:numId w:val="14"/>
        </w:numPr>
        <w:spacing w:line="360" w:lineRule="auto"/>
        <w:jc w:val="both"/>
        <w:rPr>
          <w:rFonts w:ascii="Arial" w:hAnsi="Arial" w:cs="Arial"/>
          <w:sz w:val="22"/>
          <w:szCs w:val="22"/>
        </w:rPr>
      </w:pPr>
      <w:r w:rsidRPr="004969EF">
        <w:rPr>
          <w:rStyle w:val="Strong"/>
          <w:rFonts w:ascii="Arial" w:eastAsia="Calibri Light" w:hAnsi="Arial" w:cs="Arial"/>
          <w:sz w:val="22"/>
          <w:szCs w:val="22"/>
        </w:rPr>
        <w:t>Policy and Legislation:</w:t>
      </w:r>
    </w:p>
    <w:p w14:paraId="0940E219" w14:textId="6DD8E9B7" w:rsidR="00B9124C" w:rsidRPr="004969EF" w:rsidRDefault="00B9124C" w:rsidP="004969EF">
      <w:pPr>
        <w:spacing w:line="360" w:lineRule="auto"/>
        <w:jc w:val="both"/>
        <w:rPr>
          <w:rFonts w:ascii="Arial" w:hAnsi="Arial" w:cs="Arial"/>
          <w:sz w:val="22"/>
          <w:szCs w:val="22"/>
        </w:rPr>
      </w:pPr>
      <w:r w:rsidRPr="004969EF">
        <w:rPr>
          <w:rFonts w:ascii="Arial" w:hAnsi="Arial" w:cs="Arial"/>
          <w:sz w:val="22"/>
          <w:szCs w:val="22"/>
        </w:rPr>
        <w:t>Several policies govern how support should be provided, though gaps exist in practice. The Equality Act 2010, specifically under Section 20, requires public bodies to make reasonable adjustments for individuals with disabilities. However, these adjustments cannot be applied if ADHD is not recognised or diagnosed. The Children and Families Act 2014 and the SEND Code of Practice mandate early identification and partnership working with parents, yet these rely on effective communication which is often hindered by language barriers or differing cultural understandings. Furthermore, NICE Guideline NG87 sets standards for assessment and support, yet inequalities persist. The NHS Race and Health Observatory (2023) notes that while policies exist, ethnic minority families still face greater barriers to access compared to White British families, highlighting a persistent gap between legislative intent and practical delivery.</w:t>
      </w:r>
    </w:p>
    <w:p w14:paraId="358B11D5" w14:textId="77777777" w:rsidR="00086E7D" w:rsidRPr="004969EF" w:rsidRDefault="00086E7D" w:rsidP="004969EF">
      <w:pPr>
        <w:spacing w:line="360" w:lineRule="auto"/>
        <w:jc w:val="both"/>
        <w:rPr>
          <w:rFonts w:ascii="Arial" w:hAnsi="Arial" w:cs="Arial"/>
          <w:sz w:val="22"/>
          <w:szCs w:val="22"/>
        </w:rPr>
      </w:pPr>
    </w:p>
    <w:p w14:paraId="637B0DED" w14:textId="77777777" w:rsidR="002865F5" w:rsidRPr="004969EF" w:rsidRDefault="002865F5" w:rsidP="004969EF">
      <w:pPr>
        <w:pStyle w:val="Heading4"/>
        <w:spacing w:line="360" w:lineRule="auto"/>
        <w:jc w:val="both"/>
        <w:rPr>
          <w:rFonts w:ascii="Arial" w:hAnsi="Arial" w:cs="Arial"/>
          <w:b/>
          <w:bCs/>
          <w:i w:val="0"/>
          <w:iCs w:val="0"/>
          <w:color w:val="auto"/>
          <w:sz w:val="22"/>
          <w:szCs w:val="22"/>
          <w:u w:val="single"/>
        </w:rPr>
      </w:pPr>
      <w:r w:rsidRPr="004969EF">
        <w:rPr>
          <w:rFonts w:ascii="Arial" w:hAnsi="Arial" w:cs="Arial"/>
          <w:b/>
          <w:bCs/>
          <w:i w:val="0"/>
          <w:iCs w:val="0"/>
          <w:color w:val="auto"/>
          <w:sz w:val="22"/>
          <w:szCs w:val="22"/>
          <w:u w:val="single"/>
        </w:rPr>
        <w:lastRenderedPageBreak/>
        <w:t>Implications</w:t>
      </w:r>
    </w:p>
    <w:p w14:paraId="5B59BBB3" w14:textId="09E16BB6" w:rsidR="00086E7D" w:rsidRPr="004969EF" w:rsidRDefault="00086E7D" w:rsidP="004969EF">
      <w:pPr>
        <w:spacing w:line="360" w:lineRule="auto"/>
        <w:jc w:val="both"/>
        <w:rPr>
          <w:rFonts w:ascii="Arial" w:hAnsi="Arial" w:cs="Arial"/>
          <w:color w:val="222222"/>
          <w:sz w:val="22"/>
          <w:szCs w:val="22"/>
        </w:rPr>
      </w:pPr>
      <w:r w:rsidRPr="004969EF">
        <w:rPr>
          <w:rFonts w:ascii="Arial" w:hAnsi="Arial" w:cs="Arial"/>
          <w:color w:val="222222"/>
          <w:sz w:val="22"/>
          <w:szCs w:val="22"/>
        </w:rPr>
        <w:t>The implications of parental perceptions for early ADHD recognition are significant. On a negative level, misinterpretation of behaviour and stigma associated with mental health can delay or prevent engagement with support services. When behaviours are viewed as disciplinary issues rather than potential indicators of ADHD, children may experience prolonged difficulties in education and social development before any intervention is considered (Patel et al., 2024). These delays are compounded when parents encounter services that feel culturally unresponsive or difficult to navigate, increasing the likelihood of disengagement and reinforcing late diagnosis (Vincent et al., 2025).</w:t>
      </w:r>
    </w:p>
    <w:p w14:paraId="27EDCB8F" w14:textId="77777777" w:rsidR="00086E7D" w:rsidRPr="004969EF" w:rsidRDefault="00086E7D" w:rsidP="004969EF">
      <w:pPr>
        <w:spacing w:line="360" w:lineRule="auto"/>
        <w:jc w:val="both"/>
        <w:rPr>
          <w:rFonts w:ascii="Arial" w:hAnsi="Arial" w:cs="Arial"/>
          <w:color w:val="222222"/>
          <w:sz w:val="22"/>
          <w:szCs w:val="22"/>
        </w:rPr>
      </w:pPr>
    </w:p>
    <w:p w14:paraId="1C82B08D" w14:textId="68A6E764" w:rsidR="00086E7D" w:rsidRPr="004969EF" w:rsidRDefault="00086E7D" w:rsidP="004969EF">
      <w:pPr>
        <w:spacing w:line="360" w:lineRule="auto"/>
        <w:jc w:val="both"/>
        <w:rPr>
          <w:rFonts w:ascii="Arial" w:hAnsi="Arial" w:cs="Arial"/>
          <w:color w:val="222222"/>
          <w:sz w:val="22"/>
          <w:szCs w:val="22"/>
        </w:rPr>
      </w:pPr>
      <w:r w:rsidRPr="004969EF">
        <w:rPr>
          <w:rFonts w:ascii="Arial" w:hAnsi="Arial" w:cs="Arial"/>
          <w:color w:val="222222"/>
          <w:sz w:val="22"/>
          <w:szCs w:val="22"/>
        </w:rPr>
        <w:t>At the same time, parental perceptions are not fixed and can evolve through interaction with supportive and culturally aware systems. Evidence suggests that increased awareness, clearer communication, and culturally sensitive engagement can improve parents’ understanding of neurodevelopmental conditions and encourage earlier help-seeking (Vincent et al., 2025). This suggests that improving early recognition is not solely dependent on changing parental beliefs, but on creating environments that actively support understanding and engagement.</w:t>
      </w:r>
    </w:p>
    <w:p w14:paraId="6607DB3D" w14:textId="77777777" w:rsidR="00086E7D" w:rsidRPr="004969EF" w:rsidRDefault="00086E7D" w:rsidP="004969EF">
      <w:pPr>
        <w:spacing w:line="360" w:lineRule="auto"/>
        <w:jc w:val="both"/>
        <w:rPr>
          <w:rFonts w:ascii="Arial" w:hAnsi="Arial" w:cs="Arial"/>
          <w:color w:val="222222"/>
          <w:sz w:val="22"/>
          <w:szCs w:val="22"/>
        </w:rPr>
      </w:pPr>
    </w:p>
    <w:p w14:paraId="5CBBC1A0" w14:textId="77777777" w:rsidR="00086E7D" w:rsidRPr="004969EF" w:rsidRDefault="00086E7D" w:rsidP="004969EF">
      <w:pPr>
        <w:spacing w:line="360" w:lineRule="auto"/>
        <w:jc w:val="both"/>
        <w:rPr>
          <w:rFonts w:ascii="Arial" w:hAnsi="Arial" w:cs="Arial"/>
          <w:color w:val="222222"/>
          <w:sz w:val="22"/>
          <w:szCs w:val="22"/>
        </w:rPr>
      </w:pPr>
      <w:r w:rsidRPr="004969EF">
        <w:rPr>
          <w:rFonts w:ascii="Arial" w:hAnsi="Arial" w:cs="Arial"/>
          <w:color w:val="222222"/>
          <w:sz w:val="22"/>
          <w:szCs w:val="22"/>
        </w:rPr>
        <w:t>However, as highlighted across the literature, these improvements are often inconsistent and dependent on individual service provision rather than embedded practice (</w:t>
      </w:r>
      <w:proofErr w:type="spellStart"/>
      <w:r w:rsidRPr="004969EF">
        <w:rPr>
          <w:rFonts w:ascii="Arial" w:hAnsi="Arial" w:cs="Arial"/>
          <w:color w:val="222222"/>
          <w:sz w:val="22"/>
          <w:szCs w:val="22"/>
        </w:rPr>
        <w:t>Ogundele</w:t>
      </w:r>
      <w:proofErr w:type="spellEnd"/>
      <w:r w:rsidRPr="004969EF">
        <w:rPr>
          <w:rFonts w:ascii="Arial" w:hAnsi="Arial" w:cs="Arial"/>
          <w:color w:val="222222"/>
          <w:sz w:val="22"/>
          <w:szCs w:val="22"/>
        </w:rPr>
        <w:t xml:space="preserve"> and Ayyash, 2023). Without sustained efforts to address communication barriers, cultural understanding and system accessibility, disparities in help-seeking are likely to persist. Therefore, addressing parental perceptions must be understood as part of a wider structural issue, requiring coordinated changes across education and healthcare systems.</w:t>
      </w:r>
    </w:p>
    <w:p w14:paraId="6AC6F604" w14:textId="77777777" w:rsidR="00086E7D" w:rsidRPr="004969EF" w:rsidRDefault="00086E7D" w:rsidP="004969EF">
      <w:pPr>
        <w:pStyle w:val="Heading4"/>
        <w:spacing w:line="360" w:lineRule="auto"/>
        <w:jc w:val="both"/>
        <w:rPr>
          <w:rFonts w:ascii="Arial" w:hAnsi="Arial" w:cs="Arial"/>
          <w:color w:val="auto"/>
          <w:sz w:val="22"/>
          <w:szCs w:val="22"/>
        </w:rPr>
      </w:pPr>
    </w:p>
    <w:p w14:paraId="0AD9FEAE" w14:textId="12413625" w:rsidR="00FE5C58" w:rsidRPr="004969EF" w:rsidRDefault="00FE5C58" w:rsidP="004969EF">
      <w:pPr>
        <w:pStyle w:val="Heading4"/>
        <w:spacing w:line="360" w:lineRule="auto"/>
        <w:jc w:val="both"/>
        <w:rPr>
          <w:rFonts w:ascii="Arial" w:hAnsi="Arial" w:cs="Arial"/>
          <w:color w:val="auto"/>
          <w:sz w:val="22"/>
          <w:szCs w:val="22"/>
        </w:rPr>
      </w:pPr>
      <w:r w:rsidRPr="004969EF">
        <w:rPr>
          <w:rFonts w:ascii="Arial" w:hAnsi="Arial" w:cs="Arial"/>
          <w:color w:val="auto"/>
          <w:sz w:val="22"/>
          <w:szCs w:val="22"/>
        </w:rPr>
        <w:t>Examples from Your Articles</w:t>
      </w:r>
    </w:p>
    <w:p w14:paraId="05F565C5" w14:textId="387F2BE4" w:rsidR="001D2D45" w:rsidRPr="00B0215A"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Parents rarely make decisions to seek medical attention simply because of a child's health problem; their decision is influenced by the cultural values they hold and their previous social experiences. Patel </w:t>
      </w:r>
      <w:r w:rsidR="003B75FB" w:rsidRPr="004969EF">
        <w:rPr>
          <w:rFonts w:ascii="Arial" w:hAnsi="Arial" w:cs="Arial"/>
          <w:sz w:val="22"/>
          <w:szCs w:val="22"/>
        </w:rPr>
        <w:t>et al.,</w:t>
      </w:r>
      <w:r w:rsidRPr="00B0215A">
        <w:rPr>
          <w:rFonts w:ascii="Arial" w:hAnsi="Arial" w:cs="Arial"/>
          <w:sz w:val="22"/>
          <w:szCs w:val="22"/>
        </w:rPr>
        <w:t xml:space="preserve"> (2024) demonstrated that traditional South Asian parenting values and expectations can conceal ADHD symptomatology. Many families view high levels of discipline as desirable, thereby viewing fidgetiness or lack of attention as evidence of a child's lack of effort or "poor manners" rather than as indicative of a health condition. Such lenses result in families normalizing or hiding their concerns about their child's well-being as a result of avoiding the stigma associated with </w:t>
      </w:r>
      <w:r w:rsidRPr="004969EF">
        <w:rPr>
          <w:rFonts w:ascii="Arial" w:hAnsi="Arial" w:cs="Arial"/>
          <w:sz w:val="22"/>
          <w:szCs w:val="22"/>
        </w:rPr>
        <w:t>labelling</w:t>
      </w:r>
      <w:r w:rsidRPr="00B0215A">
        <w:rPr>
          <w:rFonts w:ascii="Arial" w:hAnsi="Arial" w:cs="Arial"/>
          <w:sz w:val="22"/>
          <w:szCs w:val="22"/>
        </w:rPr>
        <w:t xml:space="preserve"> their child's mental health issues.</w:t>
      </w:r>
    </w:p>
    <w:p w14:paraId="324DEF23" w14:textId="0954E897" w:rsidR="001D2D45" w:rsidRPr="00B0215A"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lastRenderedPageBreak/>
        <w:t xml:space="preserve">Thus, help-seeking </w:t>
      </w:r>
      <w:r w:rsidRPr="004969EF">
        <w:rPr>
          <w:rFonts w:ascii="Arial" w:hAnsi="Arial" w:cs="Arial"/>
          <w:sz w:val="22"/>
          <w:szCs w:val="22"/>
        </w:rPr>
        <w:t>behaviour</w:t>
      </w:r>
      <w:r w:rsidRPr="00B0215A">
        <w:rPr>
          <w:rFonts w:ascii="Arial" w:hAnsi="Arial" w:cs="Arial"/>
          <w:sz w:val="22"/>
          <w:szCs w:val="22"/>
        </w:rPr>
        <w:t xml:space="preserve"> tends to occur much later than necessary </w:t>
      </w:r>
      <w:r w:rsidR="00086E7D" w:rsidRPr="004969EF">
        <w:rPr>
          <w:rFonts w:ascii="Arial" w:hAnsi="Arial" w:cs="Arial"/>
          <w:sz w:val="22"/>
          <w:szCs w:val="22"/>
        </w:rPr>
        <w:t>because of</w:t>
      </w:r>
      <w:r w:rsidRPr="00B0215A">
        <w:rPr>
          <w:rFonts w:ascii="Arial" w:hAnsi="Arial" w:cs="Arial"/>
          <w:sz w:val="22"/>
          <w:szCs w:val="22"/>
        </w:rPr>
        <w:t xml:space="preserve"> the fear of being judged by the community. Additionally, Vincent </w:t>
      </w:r>
      <w:r w:rsidR="003B75FB" w:rsidRPr="004969EF">
        <w:rPr>
          <w:rFonts w:ascii="Arial" w:hAnsi="Arial" w:cs="Arial"/>
          <w:sz w:val="22"/>
          <w:szCs w:val="22"/>
        </w:rPr>
        <w:t>et al.,</w:t>
      </w:r>
      <w:r w:rsidRPr="00B0215A">
        <w:rPr>
          <w:rFonts w:ascii="Arial" w:hAnsi="Arial" w:cs="Arial"/>
          <w:sz w:val="22"/>
          <w:szCs w:val="22"/>
        </w:rPr>
        <w:t xml:space="preserve"> (2025) identified cultural misunderstandings between families and healthcare providers that exist when families from diverse racial/ethnic backgrounds seek help for their children's ADHD-related difficulties. Their data indicate that the mistrust experienced by carers from ethnic minority backgrounds stems largely from healthcare providers' lack of cultural competency and poor language proficiency. This results in what Vincent </w:t>
      </w:r>
      <w:r w:rsidR="003B75FB" w:rsidRPr="004969EF">
        <w:rPr>
          <w:rFonts w:ascii="Arial" w:hAnsi="Arial" w:cs="Arial"/>
          <w:sz w:val="22"/>
          <w:szCs w:val="22"/>
        </w:rPr>
        <w:t>et al.,</w:t>
      </w:r>
      <w:r w:rsidRPr="00B0215A">
        <w:rPr>
          <w:rFonts w:ascii="Arial" w:hAnsi="Arial" w:cs="Arial"/>
          <w:sz w:val="22"/>
          <w:szCs w:val="22"/>
        </w:rPr>
        <w:t xml:space="preserve"> (2025) refer to as the "double burden": parents must not only contend with internalized stigma related to seeking medical assistance for their child but must also deal with an unfamiliar service environment. Moreover, Vincent </w:t>
      </w:r>
      <w:r w:rsidR="003B75FB" w:rsidRPr="004969EF">
        <w:rPr>
          <w:rFonts w:ascii="Arial" w:hAnsi="Arial" w:cs="Arial"/>
          <w:sz w:val="22"/>
          <w:szCs w:val="22"/>
        </w:rPr>
        <w:t>et al.,</w:t>
      </w:r>
      <w:r w:rsidRPr="00B0215A">
        <w:rPr>
          <w:rFonts w:ascii="Arial" w:hAnsi="Arial" w:cs="Arial"/>
          <w:sz w:val="22"/>
          <w:szCs w:val="22"/>
        </w:rPr>
        <w:t xml:space="preserve"> (2025) argue that continued communication barriers reinforce carers' sense of disconnection and contribute to late diagnoses.</w:t>
      </w:r>
    </w:p>
    <w:p w14:paraId="72DBF0DF" w14:textId="77777777" w:rsidR="001D2D45" w:rsidRPr="00B0215A"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w:t>
      </w:r>
    </w:p>
    <w:p w14:paraId="7AB48F13" w14:textId="77777777" w:rsidR="001D2D45" w:rsidRPr="00B0215A"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Together, these articles show that delays in recognizing ADHD are the result of interaction between cultural meanings and systemic barriers, not solely parental hesitation. Thus, increasing referral rates for families from diverse racial/ethnic backgrounds requires developing trust across cultures rather than merely enhancing screening tools.</w:t>
      </w:r>
    </w:p>
    <w:p w14:paraId="550FA876" w14:textId="77777777" w:rsidR="001D2D45" w:rsidRPr="004969EF" w:rsidRDefault="001D2D45" w:rsidP="004969EF">
      <w:pPr>
        <w:pStyle w:val="Heading4"/>
        <w:spacing w:line="360" w:lineRule="auto"/>
        <w:jc w:val="both"/>
        <w:rPr>
          <w:rFonts w:ascii="Arial" w:hAnsi="Arial" w:cs="Arial"/>
          <w:color w:val="auto"/>
          <w:sz w:val="22"/>
          <w:szCs w:val="22"/>
        </w:rPr>
      </w:pPr>
      <w:r w:rsidRPr="004969EF">
        <w:rPr>
          <w:rFonts w:ascii="Arial" w:hAnsi="Arial" w:cs="Arial"/>
          <w:color w:val="auto"/>
          <w:sz w:val="22"/>
          <w:szCs w:val="22"/>
        </w:rPr>
        <w:t>Connections to Other Themes</w:t>
      </w:r>
    </w:p>
    <w:p w14:paraId="082E87B9" w14:textId="1CD531C9" w:rsidR="001D2D45" w:rsidRPr="00B0215A" w:rsidRDefault="001D2D45" w:rsidP="004969EF">
      <w:pPr>
        <w:pStyle w:val="Heading4"/>
        <w:spacing w:line="360" w:lineRule="auto"/>
        <w:jc w:val="both"/>
        <w:rPr>
          <w:rFonts w:ascii="Arial" w:hAnsi="Arial" w:cs="Arial"/>
          <w:i w:val="0"/>
          <w:iCs w:val="0"/>
          <w:color w:val="auto"/>
          <w:sz w:val="22"/>
          <w:szCs w:val="22"/>
          <w:lang w:eastAsia="zh-CN"/>
        </w:rPr>
      </w:pPr>
      <w:r w:rsidRPr="00B0215A">
        <w:rPr>
          <w:rFonts w:ascii="Arial" w:eastAsia="Times New Roman" w:hAnsi="Arial" w:cs="Arial"/>
          <w:i w:val="0"/>
          <w:iCs w:val="0"/>
          <w:color w:val="auto"/>
          <w:sz w:val="22"/>
          <w:szCs w:val="22"/>
        </w:rPr>
        <w:t xml:space="preserve">How parental perceptions relate to institutional responses is addressed in Theme 1 (School-Based Practices). When teachers classify a child's </w:t>
      </w:r>
      <w:r w:rsidR="00AD1365" w:rsidRPr="004969EF">
        <w:rPr>
          <w:rFonts w:ascii="Arial" w:eastAsia="Times New Roman" w:hAnsi="Arial" w:cs="Arial"/>
          <w:i w:val="0"/>
          <w:iCs w:val="0"/>
          <w:color w:val="auto"/>
          <w:sz w:val="22"/>
          <w:szCs w:val="22"/>
        </w:rPr>
        <w:t>behaviour</w:t>
      </w:r>
      <w:r w:rsidRPr="00B0215A">
        <w:rPr>
          <w:rFonts w:ascii="Arial" w:eastAsia="Times New Roman" w:hAnsi="Arial" w:cs="Arial"/>
          <w:i w:val="0"/>
          <w:iCs w:val="0"/>
          <w:color w:val="auto"/>
          <w:sz w:val="22"/>
          <w:szCs w:val="22"/>
        </w:rPr>
        <w:t>al difficulties as "naughty" instead of exploring the possibility of ADHD, they reinforce parents' fears that their child is experiencing disciplinary difficulties rather than health difficulties. Therefore, institutional stigmatization discourages parents from pursuing medical evaluation for their children since the school has framed their children's struggles as failures in discipline.</w:t>
      </w:r>
    </w:p>
    <w:p w14:paraId="7C196625" w14:textId="77777777" w:rsidR="001D2D45" w:rsidRPr="00B0215A"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In addition, there is a connection to Theme 2 (Variations in Service Delivery): </w:t>
      </w:r>
      <w:proofErr w:type="spellStart"/>
      <w:r w:rsidRPr="00B0215A">
        <w:rPr>
          <w:rFonts w:ascii="Arial" w:hAnsi="Arial" w:cs="Arial"/>
          <w:sz w:val="22"/>
          <w:szCs w:val="22"/>
        </w:rPr>
        <w:t>Ogundele</w:t>
      </w:r>
      <w:proofErr w:type="spellEnd"/>
      <w:r w:rsidRPr="00B0215A">
        <w:rPr>
          <w:rFonts w:ascii="Arial" w:hAnsi="Arial" w:cs="Arial"/>
          <w:sz w:val="22"/>
          <w:szCs w:val="22"/>
        </w:rPr>
        <w:t xml:space="preserve"> and Ayyash (2023) and </w:t>
      </w:r>
      <w:proofErr w:type="spellStart"/>
      <w:r w:rsidRPr="00B0215A">
        <w:rPr>
          <w:rFonts w:ascii="Arial" w:hAnsi="Arial" w:cs="Arial"/>
          <w:sz w:val="22"/>
          <w:szCs w:val="22"/>
        </w:rPr>
        <w:t>Barua</w:t>
      </w:r>
      <w:proofErr w:type="spellEnd"/>
      <w:r w:rsidRPr="00B0215A">
        <w:rPr>
          <w:rFonts w:ascii="Arial" w:hAnsi="Arial" w:cs="Arial"/>
          <w:sz w:val="22"/>
          <w:szCs w:val="22"/>
        </w:rPr>
        <w:t xml:space="preserve"> &amp; Maheshwari (2025) indicate that even when parents overcame the stigma associated with seeking medical assistance, many families encounter "disjointed care". For example, immigrant families or those who experience social exclusion experience great exhaustion when attempting to navigate a disjointed health/education system. Furthermore, if a family already encounters language barriers during a confusing referral process, they are likely to abandon the process altogether.</w:t>
      </w:r>
    </w:p>
    <w:p w14:paraId="53251E90" w14:textId="4813077D" w:rsidR="001D2D45" w:rsidRPr="00B0215A" w:rsidRDefault="001D2D45" w:rsidP="004969EF">
      <w:p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T</w:t>
      </w:r>
      <w:r w:rsidRPr="00B0215A">
        <w:rPr>
          <w:rFonts w:ascii="Arial" w:hAnsi="Arial" w:cs="Arial"/>
          <w:sz w:val="22"/>
          <w:szCs w:val="22"/>
        </w:rPr>
        <w:t xml:space="preserve">his theme intersects with Theme 4 (Systemic Inequality): the mistrust identified by Vincent </w:t>
      </w:r>
      <w:r w:rsidR="003B75FB" w:rsidRPr="004969EF">
        <w:rPr>
          <w:rFonts w:ascii="Arial" w:hAnsi="Arial" w:cs="Arial"/>
          <w:sz w:val="22"/>
          <w:szCs w:val="22"/>
        </w:rPr>
        <w:t>et al.,</w:t>
      </w:r>
      <w:r w:rsidRPr="00B0215A">
        <w:rPr>
          <w:rFonts w:ascii="Arial" w:hAnsi="Arial" w:cs="Arial"/>
          <w:sz w:val="22"/>
          <w:szCs w:val="22"/>
        </w:rPr>
        <w:t xml:space="preserve"> (2025); and the "bad manners" interpretations identified by Diener </w:t>
      </w:r>
      <w:r w:rsidR="003B75FB" w:rsidRPr="004969EF">
        <w:rPr>
          <w:rFonts w:ascii="Arial" w:hAnsi="Arial" w:cs="Arial"/>
          <w:sz w:val="22"/>
          <w:szCs w:val="22"/>
        </w:rPr>
        <w:t>et al.,</w:t>
      </w:r>
      <w:r w:rsidRPr="00B0215A">
        <w:rPr>
          <w:rFonts w:ascii="Arial" w:hAnsi="Arial" w:cs="Arial"/>
          <w:sz w:val="22"/>
          <w:szCs w:val="22"/>
        </w:rPr>
        <w:t xml:space="preserve"> (2025) represent broader systemic biases against minority children. These connections illustrate that parental </w:t>
      </w:r>
      <w:r w:rsidRPr="00B0215A">
        <w:rPr>
          <w:rFonts w:ascii="Arial" w:hAnsi="Arial" w:cs="Arial"/>
          <w:sz w:val="22"/>
          <w:szCs w:val="22"/>
        </w:rPr>
        <w:lastRenderedPageBreak/>
        <w:t>perceptions are the last step in an inequality process: when schools and healthcare providers provide biased treatment to minority children, parents internalize that bias, and therefore view seeking help as a risk rather than a resource.</w:t>
      </w:r>
    </w:p>
    <w:p w14:paraId="30C57EA5" w14:textId="68711BBB" w:rsidR="00AE66C4" w:rsidRPr="004969EF" w:rsidRDefault="00AE66C4" w:rsidP="004969EF">
      <w:pPr>
        <w:spacing w:line="360" w:lineRule="auto"/>
        <w:jc w:val="both"/>
        <w:rPr>
          <w:rFonts w:ascii="Arial" w:hAnsi="Arial" w:cs="Arial"/>
          <w:sz w:val="22"/>
          <w:szCs w:val="22"/>
        </w:rPr>
      </w:pPr>
    </w:p>
    <w:p w14:paraId="36B1705A" w14:textId="5572272F" w:rsidR="00AE66C4" w:rsidRPr="004969EF" w:rsidRDefault="00AE66C4" w:rsidP="004969EF">
      <w:pPr>
        <w:pStyle w:val="Heading2"/>
        <w:spacing w:line="360" w:lineRule="auto"/>
        <w:jc w:val="both"/>
        <w:rPr>
          <w:rFonts w:ascii="Arial" w:hAnsi="Arial" w:cs="Arial"/>
          <w:color w:val="auto"/>
          <w:sz w:val="22"/>
          <w:szCs w:val="22"/>
        </w:rPr>
      </w:pPr>
      <w:bookmarkStart w:id="17" w:name="_Toc226379373"/>
      <w:r w:rsidRPr="004969EF">
        <w:rPr>
          <w:rFonts w:ascii="Arial" w:hAnsi="Arial" w:cs="Arial"/>
          <w:color w:val="auto"/>
          <w:sz w:val="22"/>
          <w:szCs w:val="22"/>
        </w:rPr>
        <w:t xml:space="preserve">4.5 – Theme </w:t>
      </w:r>
      <w:r w:rsidRPr="004969EF">
        <w:rPr>
          <w:rFonts w:ascii="Arial" w:hAnsi="Arial" w:cs="Arial"/>
          <w:color w:val="auto"/>
          <w:sz w:val="22"/>
          <w:szCs w:val="22"/>
        </w:rPr>
        <w:t xml:space="preserve">4: </w:t>
      </w:r>
      <w:r w:rsidRPr="004969EF">
        <w:rPr>
          <w:rFonts w:ascii="Arial" w:hAnsi="Arial" w:cs="Arial"/>
          <w:color w:val="auto"/>
          <w:sz w:val="22"/>
          <w:szCs w:val="22"/>
        </w:rPr>
        <w:t>Consequences of Under-Recognition and Delayed Referral for Children</w:t>
      </w:r>
      <w:bookmarkEnd w:id="17"/>
    </w:p>
    <w:p w14:paraId="50300B7B" w14:textId="77777777" w:rsidR="00AE66C4" w:rsidRPr="004969EF" w:rsidRDefault="00AE66C4" w:rsidP="004969EF">
      <w:pPr>
        <w:pStyle w:val="Heading1"/>
        <w:spacing w:line="360" w:lineRule="auto"/>
        <w:jc w:val="both"/>
        <w:rPr>
          <w:rFonts w:cs="Arial"/>
          <w:sz w:val="22"/>
          <w:szCs w:val="22"/>
        </w:rPr>
      </w:pPr>
    </w:p>
    <w:p w14:paraId="5E353EE8" w14:textId="77777777" w:rsidR="00AE66C4" w:rsidRPr="004969EF" w:rsidRDefault="00AE66C4" w:rsidP="004969EF">
      <w:pPr>
        <w:pStyle w:val="Heading4"/>
        <w:spacing w:line="360" w:lineRule="auto"/>
        <w:jc w:val="both"/>
        <w:rPr>
          <w:rFonts w:ascii="Arial" w:hAnsi="Arial" w:cs="Arial"/>
          <w:color w:val="auto"/>
          <w:sz w:val="22"/>
          <w:szCs w:val="22"/>
        </w:rPr>
      </w:pPr>
      <w:r w:rsidRPr="004969EF">
        <w:rPr>
          <w:rFonts w:ascii="Arial" w:hAnsi="Arial" w:cs="Arial"/>
          <w:color w:val="auto"/>
          <w:sz w:val="22"/>
          <w:szCs w:val="22"/>
        </w:rPr>
        <w:t xml:space="preserve">Definition </w:t>
      </w:r>
    </w:p>
    <w:p w14:paraId="3BBB2039" w14:textId="77777777" w:rsidR="00AE66C4" w:rsidRPr="004969EF" w:rsidRDefault="00AE66C4" w:rsidP="00250E65">
      <w:pPr>
        <w:numPr>
          <w:ilvl w:val="0"/>
          <w:numId w:val="10"/>
        </w:numPr>
        <w:spacing w:before="100" w:beforeAutospacing="1" w:after="100" w:afterAutospacing="1" w:line="360" w:lineRule="auto"/>
        <w:jc w:val="both"/>
        <w:rPr>
          <w:rFonts w:ascii="Arial" w:hAnsi="Arial" w:cs="Arial"/>
          <w:sz w:val="22"/>
          <w:szCs w:val="22"/>
        </w:rPr>
      </w:pPr>
      <w:r w:rsidRPr="004969EF">
        <w:rPr>
          <w:rStyle w:val="Strong"/>
          <w:rFonts w:ascii="Arial" w:hAnsi="Arial" w:cs="Arial"/>
          <w:sz w:val="22"/>
          <w:szCs w:val="22"/>
        </w:rPr>
        <w:t>Definition:</w:t>
      </w:r>
    </w:p>
    <w:p w14:paraId="14D011A9" w14:textId="77777777" w:rsidR="00AE66C4" w:rsidRPr="004969EF" w:rsidRDefault="00AE66C4" w:rsidP="00250E65">
      <w:pPr>
        <w:numPr>
          <w:ilvl w:val="1"/>
          <w:numId w:val="10"/>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Provide a clear and concise definition of the theme, if relevant to your discussion.</w:t>
      </w:r>
    </w:p>
    <w:p w14:paraId="0D4249E7" w14:textId="77777777" w:rsidR="00AE66C4" w:rsidRPr="004969EF" w:rsidRDefault="00AE66C4" w:rsidP="00250E65">
      <w:pPr>
        <w:numPr>
          <w:ilvl w:val="1"/>
          <w:numId w:val="10"/>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Explain any specific terminology related to the theme.</w:t>
      </w:r>
    </w:p>
    <w:p w14:paraId="4319DDA9" w14:textId="77777777" w:rsidR="00AE66C4" w:rsidRPr="004969EF" w:rsidRDefault="00AE66C4" w:rsidP="004969EF">
      <w:pPr>
        <w:pStyle w:val="Heading4"/>
        <w:spacing w:line="360" w:lineRule="auto"/>
        <w:jc w:val="both"/>
        <w:rPr>
          <w:rFonts w:ascii="Arial" w:hAnsi="Arial" w:cs="Arial"/>
          <w:color w:val="auto"/>
          <w:sz w:val="22"/>
          <w:szCs w:val="22"/>
        </w:rPr>
      </w:pPr>
      <w:r w:rsidRPr="004969EF">
        <w:rPr>
          <w:rFonts w:ascii="Arial" w:hAnsi="Arial" w:cs="Arial"/>
          <w:color w:val="auto"/>
          <w:sz w:val="22"/>
          <w:szCs w:val="22"/>
        </w:rPr>
        <w:t>Background Information</w:t>
      </w:r>
    </w:p>
    <w:p w14:paraId="525985D1" w14:textId="77777777" w:rsidR="00AE66C4" w:rsidRPr="004969EF" w:rsidRDefault="00AE66C4" w:rsidP="00250E65">
      <w:pPr>
        <w:numPr>
          <w:ilvl w:val="0"/>
          <w:numId w:val="11"/>
        </w:numPr>
        <w:spacing w:before="100" w:beforeAutospacing="1" w:after="100" w:afterAutospacing="1" w:line="360" w:lineRule="auto"/>
        <w:jc w:val="both"/>
        <w:rPr>
          <w:rFonts w:ascii="Arial" w:hAnsi="Arial" w:cs="Arial"/>
          <w:sz w:val="22"/>
          <w:szCs w:val="22"/>
        </w:rPr>
      </w:pPr>
      <w:r w:rsidRPr="004969EF">
        <w:rPr>
          <w:rStyle w:val="Strong"/>
          <w:rFonts w:ascii="Arial" w:hAnsi="Arial" w:cs="Arial"/>
          <w:sz w:val="22"/>
          <w:szCs w:val="22"/>
        </w:rPr>
        <w:t>Historical/Contextual Background:</w:t>
      </w:r>
    </w:p>
    <w:p w14:paraId="4F6F9291" w14:textId="77777777" w:rsidR="00AE66C4" w:rsidRPr="004969EF" w:rsidRDefault="00AE66C4" w:rsidP="00250E65">
      <w:pPr>
        <w:numPr>
          <w:ilvl w:val="1"/>
          <w:numId w:val="11"/>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Offer a brief overview of the background information related to the theme.</w:t>
      </w:r>
    </w:p>
    <w:p w14:paraId="0656B73F" w14:textId="77777777" w:rsidR="00AE66C4" w:rsidRPr="004969EF" w:rsidRDefault="00AE66C4" w:rsidP="00250E65">
      <w:pPr>
        <w:numPr>
          <w:ilvl w:val="1"/>
          <w:numId w:val="11"/>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Discuss any historical context or developments that are pertinent.</w:t>
      </w:r>
    </w:p>
    <w:p w14:paraId="47C094F3" w14:textId="77777777" w:rsidR="00AE66C4" w:rsidRPr="004969EF" w:rsidRDefault="00AE66C4" w:rsidP="004969EF">
      <w:pPr>
        <w:pStyle w:val="Heading4"/>
        <w:spacing w:line="360" w:lineRule="auto"/>
        <w:jc w:val="both"/>
        <w:rPr>
          <w:rFonts w:ascii="Arial" w:hAnsi="Arial" w:cs="Arial"/>
          <w:color w:val="auto"/>
          <w:sz w:val="22"/>
          <w:szCs w:val="22"/>
        </w:rPr>
      </w:pPr>
      <w:r w:rsidRPr="004969EF">
        <w:rPr>
          <w:rFonts w:ascii="Arial" w:hAnsi="Arial" w:cs="Arial"/>
          <w:color w:val="auto"/>
          <w:sz w:val="22"/>
          <w:szCs w:val="22"/>
        </w:rPr>
        <w:t>Impact on Research Question</w:t>
      </w:r>
    </w:p>
    <w:p w14:paraId="421EF66F" w14:textId="77777777" w:rsidR="00AE66C4" w:rsidRPr="004969EF" w:rsidRDefault="00AE66C4" w:rsidP="00250E65">
      <w:pPr>
        <w:numPr>
          <w:ilvl w:val="0"/>
          <w:numId w:val="12"/>
        </w:numPr>
        <w:spacing w:before="100" w:beforeAutospacing="1" w:after="100" w:afterAutospacing="1" w:line="360" w:lineRule="auto"/>
        <w:jc w:val="both"/>
        <w:rPr>
          <w:rFonts w:ascii="Arial" w:hAnsi="Arial" w:cs="Arial"/>
          <w:sz w:val="22"/>
          <w:szCs w:val="22"/>
        </w:rPr>
      </w:pPr>
      <w:r w:rsidRPr="004969EF">
        <w:rPr>
          <w:rStyle w:val="Strong"/>
          <w:rFonts w:ascii="Arial" w:hAnsi="Arial" w:cs="Arial"/>
          <w:sz w:val="22"/>
          <w:szCs w:val="22"/>
        </w:rPr>
        <w:t>Relevance to Title/Research Question:</w:t>
      </w:r>
    </w:p>
    <w:p w14:paraId="38E0D718" w14:textId="77777777" w:rsidR="00AE66C4" w:rsidRPr="004969EF" w:rsidRDefault="00AE66C4" w:rsidP="00250E65">
      <w:pPr>
        <w:numPr>
          <w:ilvl w:val="1"/>
          <w:numId w:val="12"/>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Explain how this theme impacts your research question or dissertation title.</w:t>
      </w:r>
    </w:p>
    <w:p w14:paraId="24A8743C" w14:textId="77777777" w:rsidR="00AE66C4" w:rsidRPr="004969EF" w:rsidRDefault="00AE66C4" w:rsidP="00250E65">
      <w:pPr>
        <w:numPr>
          <w:ilvl w:val="1"/>
          <w:numId w:val="12"/>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Discuss the significance of the theme in relation to the overall topic.</w:t>
      </w:r>
    </w:p>
    <w:p w14:paraId="6D7FE455" w14:textId="77777777" w:rsidR="00AE66C4" w:rsidRPr="004969EF" w:rsidRDefault="00AE66C4" w:rsidP="004969EF">
      <w:pPr>
        <w:pStyle w:val="Heading4"/>
        <w:spacing w:line="360" w:lineRule="auto"/>
        <w:jc w:val="both"/>
        <w:rPr>
          <w:rFonts w:ascii="Arial" w:hAnsi="Arial" w:cs="Arial"/>
          <w:color w:val="auto"/>
          <w:sz w:val="22"/>
          <w:szCs w:val="22"/>
        </w:rPr>
      </w:pPr>
      <w:r w:rsidRPr="004969EF">
        <w:rPr>
          <w:rFonts w:ascii="Arial" w:hAnsi="Arial" w:cs="Arial"/>
          <w:color w:val="auto"/>
          <w:sz w:val="22"/>
          <w:szCs w:val="22"/>
        </w:rPr>
        <w:t>Statistical Information</w:t>
      </w:r>
    </w:p>
    <w:p w14:paraId="5E67761B" w14:textId="77777777" w:rsidR="00AE66C4" w:rsidRPr="004969EF" w:rsidRDefault="00AE66C4" w:rsidP="00250E65">
      <w:pPr>
        <w:numPr>
          <w:ilvl w:val="0"/>
          <w:numId w:val="13"/>
        </w:numPr>
        <w:spacing w:before="100" w:beforeAutospacing="1" w:after="100" w:afterAutospacing="1" w:line="360" w:lineRule="auto"/>
        <w:jc w:val="both"/>
        <w:rPr>
          <w:rFonts w:ascii="Arial" w:hAnsi="Arial" w:cs="Arial"/>
          <w:sz w:val="22"/>
          <w:szCs w:val="22"/>
        </w:rPr>
      </w:pPr>
      <w:r w:rsidRPr="004969EF">
        <w:rPr>
          <w:rStyle w:val="Strong"/>
          <w:rFonts w:ascii="Arial" w:hAnsi="Arial" w:cs="Arial"/>
          <w:sz w:val="22"/>
          <w:szCs w:val="22"/>
        </w:rPr>
        <w:t>Data and Statistics:</w:t>
      </w:r>
    </w:p>
    <w:p w14:paraId="422AD2EF" w14:textId="77777777" w:rsidR="00AE66C4" w:rsidRPr="004969EF" w:rsidRDefault="00AE66C4" w:rsidP="00250E65">
      <w:pPr>
        <w:numPr>
          <w:ilvl w:val="1"/>
          <w:numId w:val="13"/>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Include relevant statistical information that supports your theme.</w:t>
      </w:r>
    </w:p>
    <w:p w14:paraId="7FEAEE97" w14:textId="77777777" w:rsidR="00AE66C4" w:rsidRPr="004969EF" w:rsidRDefault="00AE66C4" w:rsidP="00250E65">
      <w:pPr>
        <w:numPr>
          <w:ilvl w:val="1"/>
          <w:numId w:val="13"/>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Discuss any controversial or noteworthy statistics and their implications.</w:t>
      </w:r>
    </w:p>
    <w:p w14:paraId="72D019E7" w14:textId="77777777" w:rsidR="00AE66C4" w:rsidRPr="004969EF" w:rsidRDefault="00AE66C4" w:rsidP="004969EF">
      <w:pPr>
        <w:pStyle w:val="Heading4"/>
        <w:spacing w:line="360" w:lineRule="auto"/>
        <w:jc w:val="both"/>
        <w:rPr>
          <w:rFonts w:ascii="Arial" w:hAnsi="Arial" w:cs="Arial"/>
          <w:color w:val="auto"/>
          <w:sz w:val="22"/>
          <w:szCs w:val="22"/>
        </w:rPr>
      </w:pPr>
      <w:r w:rsidRPr="004969EF">
        <w:rPr>
          <w:rFonts w:ascii="Arial" w:hAnsi="Arial" w:cs="Arial"/>
          <w:color w:val="auto"/>
          <w:sz w:val="22"/>
          <w:szCs w:val="22"/>
        </w:rPr>
        <w:t>Theories, Policies, and Legislation</w:t>
      </w:r>
    </w:p>
    <w:p w14:paraId="347EA748" w14:textId="77777777" w:rsidR="00AE66C4" w:rsidRPr="004969EF" w:rsidRDefault="00AE66C4" w:rsidP="00250E65">
      <w:pPr>
        <w:pStyle w:val="NormalWeb"/>
        <w:numPr>
          <w:ilvl w:val="0"/>
          <w:numId w:val="14"/>
        </w:numPr>
        <w:spacing w:line="360" w:lineRule="auto"/>
        <w:jc w:val="both"/>
        <w:rPr>
          <w:rFonts w:ascii="Arial" w:hAnsi="Arial" w:cs="Arial"/>
          <w:sz w:val="22"/>
          <w:szCs w:val="22"/>
        </w:rPr>
      </w:pPr>
      <w:r w:rsidRPr="004969EF">
        <w:rPr>
          <w:rStyle w:val="Strong"/>
          <w:rFonts w:ascii="Arial" w:eastAsia="Calibri Light" w:hAnsi="Arial" w:cs="Arial"/>
          <w:sz w:val="22"/>
          <w:szCs w:val="22"/>
        </w:rPr>
        <w:t>Theoretical Framework:</w:t>
      </w:r>
    </w:p>
    <w:p w14:paraId="79E45270" w14:textId="77777777" w:rsidR="00AE66C4" w:rsidRPr="004969EF" w:rsidRDefault="00AE66C4" w:rsidP="00250E65">
      <w:pPr>
        <w:numPr>
          <w:ilvl w:val="1"/>
          <w:numId w:val="14"/>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Discuss relevant theories that relate to your theme.</w:t>
      </w:r>
    </w:p>
    <w:p w14:paraId="473B985C" w14:textId="77777777" w:rsidR="00AE66C4" w:rsidRPr="004969EF" w:rsidRDefault="00AE66C4" w:rsidP="00250E65">
      <w:pPr>
        <w:numPr>
          <w:ilvl w:val="1"/>
          <w:numId w:val="14"/>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Explain how these theories apply to your theme and research question.</w:t>
      </w:r>
    </w:p>
    <w:p w14:paraId="5450DD0F" w14:textId="77777777" w:rsidR="00AE66C4" w:rsidRPr="004969EF" w:rsidRDefault="00AE66C4" w:rsidP="00250E65">
      <w:pPr>
        <w:pStyle w:val="NormalWeb"/>
        <w:numPr>
          <w:ilvl w:val="0"/>
          <w:numId w:val="14"/>
        </w:numPr>
        <w:spacing w:line="360" w:lineRule="auto"/>
        <w:jc w:val="both"/>
        <w:rPr>
          <w:rFonts w:ascii="Arial" w:hAnsi="Arial" w:cs="Arial"/>
          <w:sz w:val="22"/>
          <w:szCs w:val="22"/>
        </w:rPr>
      </w:pPr>
      <w:r w:rsidRPr="004969EF">
        <w:rPr>
          <w:rStyle w:val="Strong"/>
          <w:rFonts w:ascii="Arial" w:eastAsia="Calibri Light" w:hAnsi="Arial" w:cs="Arial"/>
          <w:sz w:val="22"/>
          <w:szCs w:val="22"/>
        </w:rPr>
        <w:t>Policy and Legislation:</w:t>
      </w:r>
    </w:p>
    <w:p w14:paraId="3D3D67E9" w14:textId="77777777" w:rsidR="00AE66C4" w:rsidRPr="004969EF" w:rsidRDefault="00AE66C4" w:rsidP="00250E65">
      <w:pPr>
        <w:numPr>
          <w:ilvl w:val="1"/>
          <w:numId w:val="14"/>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Describe any relevant policies or legislation that pertain to your theme.</w:t>
      </w:r>
    </w:p>
    <w:p w14:paraId="77C818DA" w14:textId="77777777" w:rsidR="00AE66C4" w:rsidRPr="004969EF" w:rsidRDefault="00AE66C4" w:rsidP="00250E65">
      <w:pPr>
        <w:numPr>
          <w:ilvl w:val="1"/>
          <w:numId w:val="14"/>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Analyse the impact of these policies or laws on your theme and research area.</w:t>
      </w:r>
    </w:p>
    <w:p w14:paraId="526E60C6" w14:textId="77777777" w:rsidR="00AE66C4" w:rsidRPr="004969EF" w:rsidRDefault="00AE66C4" w:rsidP="004969EF">
      <w:pPr>
        <w:pStyle w:val="Heading4"/>
        <w:spacing w:line="360" w:lineRule="auto"/>
        <w:jc w:val="both"/>
        <w:rPr>
          <w:rFonts w:ascii="Arial" w:hAnsi="Arial" w:cs="Arial"/>
          <w:color w:val="auto"/>
          <w:sz w:val="22"/>
          <w:szCs w:val="22"/>
        </w:rPr>
      </w:pPr>
      <w:r w:rsidRPr="004969EF">
        <w:rPr>
          <w:rFonts w:ascii="Arial" w:hAnsi="Arial" w:cs="Arial"/>
          <w:color w:val="auto"/>
          <w:sz w:val="22"/>
          <w:szCs w:val="22"/>
        </w:rPr>
        <w:lastRenderedPageBreak/>
        <w:t>Implications</w:t>
      </w:r>
    </w:p>
    <w:p w14:paraId="6F837640" w14:textId="77777777" w:rsidR="00AE66C4" w:rsidRPr="004969EF" w:rsidRDefault="00AE66C4" w:rsidP="00250E65">
      <w:pPr>
        <w:numPr>
          <w:ilvl w:val="0"/>
          <w:numId w:val="15"/>
        </w:numPr>
        <w:spacing w:before="100" w:beforeAutospacing="1" w:after="100" w:afterAutospacing="1" w:line="360" w:lineRule="auto"/>
        <w:jc w:val="both"/>
        <w:rPr>
          <w:rFonts w:ascii="Arial" w:hAnsi="Arial" w:cs="Arial"/>
          <w:sz w:val="22"/>
          <w:szCs w:val="22"/>
        </w:rPr>
      </w:pPr>
      <w:r w:rsidRPr="004969EF">
        <w:rPr>
          <w:rStyle w:val="Strong"/>
          <w:rFonts w:ascii="Arial" w:hAnsi="Arial" w:cs="Arial"/>
          <w:sz w:val="22"/>
          <w:szCs w:val="22"/>
        </w:rPr>
        <w:t>Positive and Negative Implications:</w:t>
      </w:r>
    </w:p>
    <w:p w14:paraId="215C6BCA" w14:textId="77777777" w:rsidR="00AE66C4" w:rsidRPr="004969EF" w:rsidRDefault="00AE66C4" w:rsidP="00250E65">
      <w:pPr>
        <w:numPr>
          <w:ilvl w:val="1"/>
          <w:numId w:val="15"/>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Analyse the implications of the theme on your research question.</w:t>
      </w:r>
    </w:p>
    <w:p w14:paraId="719FE5A5" w14:textId="77777777" w:rsidR="00AE66C4" w:rsidRPr="004969EF" w:rsidRDefault="00AE66C4" w:rsidP="00250E65">
      <w:pPr>
        <w:numPr>
          <w:ilvl w:val="1"/>
          <w:numId w:val="15"/>
        </w:num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Discuss both positive and negative impacts, providing a balanced view.</w:t>
      </w:r>
    </w:p>
    <w:p w14:paraId="1E39CCCD" w14:textId="77777777" w:rsidR="00AE66C4" w:rsidRPr="004969EF" w:rsidRDefault="00AE66C4" w:rsidP="004969EF">
      <w:pPr>
        <w:pStyle w:val="Heading4"/>
        <w:spacing w:line="360" w:lineRule="auto"/>
        <w:jc w:val="both"/>
        <w:rPr>
          <w:rFonts w:ascii="Arial" w:hAnsi="Arial" w:cs="Arial"/>
          <w:color w:val="auto"/>
          <w:sz w:val="22"/>
          <w:szCs w:val="22"/>
        </w:rPr>
      </w:pPr>
      <w:r w:rsidRPr="004969EF">
        <w:rPr>
          <w:rFonts w:ascii="Arial" w:hAnsi="Arial" w:cs="Arial"/>
          <w:color w:val="auto"/>
          <w:sz w:val="22"/>
          <w:szCs w:val="22"/>
        </w:rPr>
        <w:t>Examples from Your Articles</w:t>
      </w:r>
    </w:p>
    <w:p w14:paraId="11B6AA8E" w14:textId="55283B9D" w:rsidR="001D2D45" w:rsidRPr="00B0215A" w:rsidRDefault="001D2D45" w:rsidP="004969EF">
      <w:pPr>
        <w:spacing w:before="100" w:beforeAutospacing="1" w:after="100" w:afterAutospacing="1" w:line="360" w:lineRule="auto"/>
        <w:jc w:val="both"/>
        <w:rPr>
          <w:rFonts w:ascii="Arial" w:hAnsi="Arial" w:cs="Arial"/>
          <w:sz w:val="22"/>
          <w:szCs w:val="22"/>
        </w:rPr>
      </w:pPr>
      <w:r w:rsidRPr="004969EF">
        <w:rPr>
          <w:rFonts w:ascii="Arial" w:hAnsi="Arial" w:cs="Arial"/>
          <w:sz w:val="22"/>
          <w:szCs w:val="22"/>
        </w:rPr>
        <w:t>Under recognition</w:t>
      </w:r>
      <w:r w:rsidRPr="00B0215A">
        <w:rPr>
          <w:rFonts w:ascii="Arial" w:hAnsi="Arial" w:cs="Arial"/>
          <w:sz w:val="22"/>
          <w:szCs w:val="22"/>
        </w:rPr>
        <w:t xml:space="preserve"> of ADHD has severe consequences for children's future well-being. French </w:t>
      </w:r>
      <w:r w:rsidR="003B75FB" w:rsidRPr="004969EF">
        <w:rPr>
          <w:rFonts w:ascii="Arial" w:hAnsi="Arial" w:cs="Arial"/>
          <w:sz w:val="22"/>
          <w:szCs w:val="22"/>
        </w:rPr>
        <w:t>et al.,</w:t>
      </w:r>
      <w:r w:rsidRPr="00B0215A">
        <w:rPr>
          <w:rFonts w:ascii="Arial" w:hAnsi="Arial" w:cs="Arial"/>
          <w:sz w:val="22"/>
          <w:szCs w:val="22"/>
        </w:rPr>
        <w:t xml:space="preserve"> (2023) associate undiagnosed ADHD with various negative outcomes extending far beyond the classroom setting. French </w:t>
      </w:r>
      <w:r w:rsidR="003B75FB" w:rsidRPr="004969EF">
        <w:rPr>
          <w:rFonts w:ascii="Arial" w:hAnsi="Arial" w:cs="Arial"/>
          <w:sz w:val="22"/>
          <w:szCs w:val="22"/>
        </w:rPr>
        <w:t xml:space="preserve">et </w:t>
      </w:r>
      <w:proofErr w:type="spellStart"/>
      <w:r w:rsidR="003B75FB" w:rsidRPr="004969EF">
        <w:rPr>
          <w:rFonts w:ascii="Arial" w:hAnsi="Arial" w:cs="Arial"/>
          <w:sz w:val="22"/>
          <w:szCs w:val="22"/>
        </w:rPr>
        <w:t>al.,</w:t>
      </w:r>
      <w:r w:rsidRPr="00B0215A">
        <w:rPr>
          <w:rFonts w:ascii="Arial" w:hAnsi="Arial" w:cs="Arial"/>
          <w:sz w:val="22"/>
          <w:szCs w:val="22"/>
        </w:rPr>
        <w:t>'s</w:t>
      </w:r>
      <w:proofErr w:type="spellEnd"/>
      <w:r w:rsidRPr="00B0215A">
        <w:rPr>
          <w:rFonts w:ascii="Arial" w:hAnsi="Arial" w:cs="Arial"/>
          <w:sz w:val="22"/>
          <w:szCs w:val="22"/>
        </w:rPr>
        <w:t xml:space="preserve"> (2023) review demonstrates that children without timely interventions have increased vulnerability to mental health issues such as depression and low self-esteem. Children who experience "invisible" struggles often attribute those struggles incorrectly to themselves as personal shortcomings. Therefore, those children experience decreased self-concepts and increased susceptibility to substance use or involvement in the juvenile justice system in adulthood.</w:t>
      </w:r>
    </w:p>
    <w:p w14:paraId="27B9BAE4" w14:textId="77777777" w:rsidR="001D2D45" w:rsidRPr="00B0215A"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w:t>
      </w:r>
    </w:p>
    <w:p w14:paraId="0834CF9C" w14:textId="77092529" w:rsidR="001D2D45" w:rsidRPr="00B0215A"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May </w:t>
      </w:r>
      <w:r w:rsidR="003B75FB" w:rsidRPr="004969EF">
        <w:rPr>
          <w:rFonts w:ascii="Arial" w:hAnsi="Arial" w:cs="Arial"/>
          <w:sz w:val="22"/>
          <w:szCs w:val="22"/>
        </w:rPr>
        <w:t>et al.,</w:t>
      </w:r>
      <w:r w:rsidRPr="00B0215A">
        <w:rPr>
          <w:rFonts w:ascii="Arial" w:hAnsi="Arial" w:cs="Arial"/>
          <w:sz w:val="22"/>
          <w:szCs w:val="22"/>
        </w:rPr>
        <w:t xml:space="preserve"> (2020) quantify the academic/social impacts caused by unrecognized ADHD among children by finding correlations between social disadvantages and missed opportunities for support via early intervention. Their findings indicate that children from racial/ethnic minorities experience lower grade averages and greater school absences relative to their peers. Since minority children experience social disadvantage relative to other groups of children, it follows logically that they experience more obstacles accessing the support provided by earlier intervention. Therefore, minority children are disproportionately represented among excluded youth populations as opposed to receiving support.</w:t>
      </w:r>
    </w:p>
    <w:p w14:paraId="33D0B30F" w14:textId="6A911BE7" w:rsidR="001D2D45" w:rsidRPr="00B0215A"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Young </w:t>
      </w:r>
      <w:r w:rsidR="003B75FB" w:rsidRPr="004969EF">
        <w:rPr>
          <w:rFonts w:ascii="Arial" w:hAnsi="Arial" w:cs="Arial"/>
          <w:sz w:val="22"/>
          <w:szCs w:val="22"/>
        </w:rPr>
        <w:t xml:space="preserve">et </w:t>
      </w:r>
      <w:proofErr w:type="spellStart"/>
      <w:r w:rsidR="003B75FB" w:rsidRPr="004969EF">
        <w:rPr>
          <w:rFonts w:ascii="Arial" w:hAnsi="Arial" w:cs="Arial"/>
          <w:sz w:val="22"/>
          <w:szCs w:val="22"/>
        </w:rPr>
        <w:t>al.,</w:t>
      </w:r>
      <w:r w:rsidRPr="00B0215A">
        <w:rPr>
          <w:rFonts w:ascii="Arial" w:hAnsi="Arial" w:cs="Arial"/>
          <w:sz w:val="22"/>
          <w:szCs w:val="22"/>
        </w:rPr>
        <w:t>'s</w:t>
      </w:r>
      <w:proofErr w:type="spellEnd"/>
      <w:r w:rsidRPr="00B0215A">
        <w:rPr>
          <w:rFonts w:ascii="Arial" w:hAnsi="Arial" w:cs="Arial"/>
          <w:sz w:val="22"/>
          <w:szCs w:val="22"/>
        </w:rPr>
        <w:t xml:space="preserve"> (2021) consensus statement concerning the "postcode lottery" in the United Kingdom supports this argument: Young </w:t>
      </w:r>
      <w:r w:rsidR="003B75FB" w:rsidRPr="004969EF">
        <w:rPr>
          <w:rFonts w:ascii="Arial" w:hAnsi="Arial" w:cs="Arial"/>
          <w:sz w:val="22"/>
          <w:szCs w:val="22"/>
        </w:rPr>
        <w:t>et al.,</w:t>
      </w:r>
      <w:r w:rsidRPr="00B0215A">
        <w:rPr>
          <w:rFonts w:ascii="Arial" w:hAnsi="Arial" w:cs="Arial"/>
          <w:sz w:val="22"/>
          <w:szCs w:val="22"/>
        </w:rPr>
        <w:t xml:space="preserve"> (2021) state that long waiting times and inequitable access create conditions whereby when a child is eventually identified as requiring support, the window for intervening effectively has often passed.</w:t>
      </w:r>
    </w:p>
    <w:p w14:paraId="5D397A48" w14:textId="6AC9E13C" w:rsidR="00FE5C58" w:rsidRPr="004969EF"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Together, these articles demonstrate that </w:t>
      </w:r>
      <w:r w:rsidRPr="004969EF">
        <w:rPr>
          <w:rFonts w:ascii="Arial" w:hAnsi="Arial" w:cs="Arial"/>
          <w:sz w:val="22"/>
          <w:szCs w:val="22"/>
        </w:rPr>
        <w:t>under recognition</w:t>
      </w:r>
      <w:r w:rsidRPr="00B0215A">
        <w:rPr>
          <w:rFonts w:ascii="Arial" w:hAnsi="Arial" w:cs="Arial"/>
          <w:sz w:val="22"/>
          <w:szCs w:val="22"/>
        </w:rPr>
        <w:t xml:space="preserve"> represents an organizational failure that exacerbates existing social/economic disparities. While French </w:t>
      </w:r>
      <w:r w:rsidR="003B75FB" w:rsidRPr="004969EF">
        <w:rPr>
          <w:rFonts w:ascii="Arial" w:hAnsi="Arial" w:cs="Arial"/>
          <w:sz w:val="22"/>
          <w:szCs w:val="22"/>
        </w:rPr>
        <w:t>et al.,</w:t>
      </w:r>
      <w:r w:rsidRPr="00B0215A">
        <w:rPr>
          <w:rFonts w:ascii="Arial" w:hAnsi="Arial" w:cs="Arial"/>
          <w:sz w:val="22"/>
          <w:szCs w:val="22"/>
        </w:rPr>
        <w:t xml:space="preserve"> (2023) focuses on the psychological vulnerabilities created by </w:t>
      </w:r>
      <w:r w:rsidRPr="004969EF">
        <w:rPr>
          <w:rFonts w:ascii="Arial" w:hAnsi="Arial" w:cs="Arial"/>
          <w:sz w:val="22"/>
          <w:szCs w:val="22"/>
        </w:rPr>
        <w:t>under recognition</w:t>
      </w:r>
      <w:r w:rsidRPr="00B0215A">
        <w:rPr>
          <w:rFonts w:ascii="Arial" w:hAnsi="Arial" w:cs="Arial"/>
          <w:sz w:val="22"/>
          <w:szCs w:val="22"/>
        </w:rPr>
        <w:t xml:space="preserve">/delayed referrals; May </w:t>
      </w:r>
      <w:r w:rsidR="003B75FB" w:rsidRPr="004969EF">
        <w:rPr>
          <w:rFonts w:ascii="Arial" w:hAnsi="Arial" w:cs="Arial"/>
          <w:sz w:val="22"/>
          <w:szCs w:val="22"/>
        </w:rPr>
        <w:t>et al.,</w:t>
      </w:r>
      <w:r w:rsidRPr="00B0215A">
        <w:rPr>
          <w:rFonts w:ascii="Arial" w:hAnsi="Arial" w:cs="Arial"/>
          <w:sz w:val="22"/>
          <w:szCs w:val="22"/>
        </w:rPr>
        <w:t xml:space="preserve"> (2020) and Young </w:t>
      </w:r>
      <w:r w:rsidR="003B75FB" w:rsidRPr="004969EF">
        <w:rPr>
          <w:rFonts w:ascii="Arial" w:hAnsi="Arial" w:cs="Arial"/>
          <w:sz w:val="22"/>
          <w:szCs w:val="22"/>
        </w:rPr>
        <w:t>et al.,</w:t>
      </w:r>
      <w:r w:rsidRPr="00B0215A">
        <w:rPr>
          <w:rFonts w:ascii="Arial" w:hAnsi="Arial" w:cs="Arial"/>
          <w:sz w:val="22"/>
          <w:szCs w:val="22"/>
        </w:rPr>
        <w:t xml:space="preserve"> (2021) emphasize structural/academic deficiencies. In total, these articles address the research question by providing evidence that </w:t>
      </w:r>
      <w:r w:rsidRPr="004969EF">
        <w:rPr>
          <w:rFonts w:ascii="Arial" w:hAnsi="Arial" w:cs="Arial"/>
          <w:sz w:val="22"/>
          <w:szCs w:val="22"/>
        </w:rPr>
        <w:t xml:space="preserve">under </w:t>
      </w:r>
      <w:r w:rsidRPr="004969EF">
        <w:rPr>
          <w:rFonts w:ascii="Arial" w:hAnsi="Arial" w:cs="Arial"/>
          <w:sz w:val="22"/>
          <w:szCs w:val="22"/>
        </w:rPr>
        <w:lastRenderedPageBreak/>
        <w:t>recognition</w:t>
      </w:r>
      <w:r w:rsidRPr="00B0215A">
        <w:rPr>
          <w:rFonts w:ascii="Arial" w:hAnsi="Arial" w:cs="Arial"/>
          <w:sz w:val="22"/>
          <w:szCs w:val="22"/>
        </w:rPr>
        <w:t>/delayed referrals limit minority children's life opportunities and create unnecessary mental health crises.</w:t>
      </w:r>
    </w:p>
    <w:p w14:paraId="486EB594" w14:textId="77777777" w:rsidR="002865F5" w:rsidRPr="004969EF" w:rsidRDefault="002865F5" w:rsidP="004969EF">
      <w:pPr>
        <w:pStyle w:val="Heading4"/>
        <w:spacing w:line="360" w:lineRule="auto"/>
        <w:jc w:val="both"/>
        <w:rPr>
          <w:rFonts w:ascii="Arial" w:hAnsi="Arial" w:cs="Arial"/>
          <w:color w:val="auto"/>
          <w:sz w:val="22"/>
          <w:szCs w:val="22"/>
        </w:rPr>
      </w:pPr>
      <w:r w:rsidRPr="004969EF">
        <w:rPr>
          <w:rFonts w:ascii="Arial" w:hAnsi="Arial" w:cs="Arial"/>
          <w:color w:val="auto"/>
          <w:sz w:val="22"/>
          <w:szCs w:val="22"/>
        </w:rPr>
        <w:t>Connections to Other Themes</w:t>
      </w:r>
    </w:p>
    <w:p w14:paraId="3FAA7B63" w14:textId="6D02F5F4" w:rsidR="001D2D45" w:rsidRPr="00B0215A"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The consequences outlined above are directly attributable to the problems discussed in Theme 1 (School-Based Practices) and Theme 3 (Parental Perceptions). As stated previously, when teachers have no professional development training and describe student </w:t>
      </w:r>
      <w:r w:rsidR="00AD1365" w:rsidRPr="004969EF">
        <w:rPr>
          <w:rFonts w:ascii="Arial" w:hAnsi="Arial" w:cs="Arial"/>
          <w:sz w:val="22"/>
          <w:szCs w:val="22"/>
        </w:rPr>
        <w:t>behaviour</w:t>
      </w:r>
      <w:r w:rsidRPr="00B0215A">
        <w:rPr>
          <w:rFonts w:ascii="Arial" w:hAnsi="Arial" w:cs="Arial"/>
          <w:sz w:val="22"/>
          <w:szCs w:val="22"/>
        </w:rPr>
        <w:t xml:space="preserve"> as "naughty", students develop a negative self-image of themselves. Institutional failures related to school-based practices ultimately lead directly to decreased confidence/self-esteem among students struggling academically/socially; as documented by French </w:t>
      </w:r>
      <w:r w:rsidR="003B75FB" w:rsidRPr="004969EF">
        <w:rPr>
          <w:rFonts w:ascii="Arial" w:hAnsi="Arial" w:cs="Arial"/>
          <w:sz w:val="22"/>
          <w:szCs w:val="22"/>
        </w:rPr>
        <w:t>et al.,</w:t>
      </w:r>
      <w:r w:rsidRPr="00B0215A">
        <w:rPr>
          <w:rFonts w:ascii="Arial" w:hAnsi="Arial" w:cs="Arial"/>
          <w:sz w:val="22"/>
          <w:szCs w:val="22"/>
        </w:rPr>
        <w:t xml:space="preserve"> (2023).</w:t>
      </w:r>
    </w:p>
    <w:p w14:paraId="3050A5D3" w14:textId="79C54034" w:rsidR="001D2D45" w:rsidRPr="00B0215A"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As indicated by Russell </w:t>
      </w:r>
      <w:r w:rsidR="003B75FB" w:rsidRPr="004969EF">
        <w:rPr>
          <w:rFonts w:ascii="Arial" w:hAnsi="Arial" w:cs="Arial"/>
          <w:sz w:val="22"/>
          <w:szCs w:val="22"/>
        </w:rPr>
        <w:t>et al.,</w:t>
      </w:r>
      <w:r w:rsidRPr="00B0215A">
        <w:rPr>
          <w:rFonts w:ascii="Arial" w:hAnsi="Arial" w:cs="Arial"/>
          <w:sz w:val="22"/>
          <w:szCs w:val="22"/>
        </w:rPr>
        <w:t xml:space="preserve"> (2023) and </w:t>
      </w:r>
      <w:proofErr w:type="spellStart"/>
      <w:r w:rsidRPr="00B0215A">
        <w:rPr>
          <w:rFonts w:ascii="Arial" w:hAnsi="Arial" w:cs="Arial"/>
          <w:sz w:val="22"/>
          <w:szCs w:val="22"/>
        </w:rPr>
        <w:t>Aldabbagh</w:t>
      </w:r>
      <w:proofErr w:type="spellEnd"/>
      <w:r w:rsidRPr="00B0215A">
        <w:rPr>
          <w:rFonts w:ascii="Arial" w:hAnsi="Arial" w:cs="Arial"/>
          <w:sz w:val="22"/>
          <w:szCs w:val="22"/>
        </w:rPr>
        <w:t xml:space="preserve"> </w:t>
      </w:r>
      <w:r w:rsidR="003B75FB" w:rsidRPr="004969EF">
        <w:rPr>
          <w:rFonts w:ascii="Arial" w:hAnsi="Arial" w:cs="Arial"/>
          <w:sz w:val="22"/>
          <w:szCs w:val="22"/>
        </w:rPr>
        <w:t>et al.,</w:t>
      </w:r>
      <w:r w:rsidRPr="00B0215A">
        <w:rPr>
          <w:rFonts w:ascii="Arial" w:hAnsi="Arial" w:cs="Arial"/>
          <w:sz w:val="22"/>
          <w:szCs w:val="22"/>
        </w:rPr>
        <w:t xml:space="preserve"> (2024), school-based practice is critical in establishing early recognition/intervention strategies to minimize potential negative outcomes for students.</w:t>
      </w:r>
    </w:p>
    <w:p w14:paraId="28FA6FC8" w14:textId="2F50877B" w:rsidR="001D2D45" w:rsidRPr="00B0215A"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 xml:space="preserve">A connection exists between this theme and Theme 2 (Variations in Service Delivery). Young </w:t>
      </w:r>
      <w:r w:rsidR="00DD5375" w:rsidRPr="004969EF">
        <w:rPr>
          <w:rFonts w:ascii="Arial" w:hAnsi="Arial" w:cs="Arial"/>
          <w:sz w:val="22"/>
          <w:szCs w:val="22"/>
        </w:rPr>
        <w:t>et al., s</w:t>
      </w:r>
      <w:r w:rsidRPr="00B0215A">
        <w:rPr>
          <w:rFonts w:ascii="Arial" w:hAnsi="Arial" w:cs="Arial"/>
          <w:sz w:val="22"/>
          <w:szCs w:val="22"/>
        </w:rPr>
        <w:t xml:space="preserve"> (2021) reference to the “postcode lottery” illustrates how systemic barriers intersect with institutional bias experienced by Black/South Asian families when seeking early intervention services for their children's ADHD-related difficulties; consistent with conclusions drawn by Chui </w:t>
      </w:r>
      <w:r w:rsidR="003B75FB" w:rsidRPr="004969EF">
        <w:rPr>
          <w:rFonts w:ascii="Arial" w:hAnsi="Arial" w:cs="Arial"/>
          <w:sz w:val="22"/>
          <w:szCs w:val="22"/>
        </w:rPr>
        <w:t>et al.,</w:t>
      </w:r>
      <w:r w:rsidRPr="00B0215A">
        <w:rPr>
          <w:rFonts w:ascii="Arial" w:hAnsi="Arial" w:cs="Arial"/>
          <w:sz w:val="22"/>
          <w:szCs w:val="22"/>
        </w:rPr>
        <w:t xml:space="preserve"> (2020). When Black/South Asian children receive fewer referrals due to institutional bias; coupled with subsequent fragmented service delivery models; their risk of school exclusion or entry into juvenile justice systems increase, according to </w:t>
      </w:r>
      <w:proofErr w:type="spellStart"/>
      <w:r w:rsidRPr="00B0215A">
        <w:rPr>
          <w:rFonts w:ascii="Arial" w:hAnsi="Arial" w:cs="Arial"/>
          <w:sz w:val="22"/>
          <w:szCs w:val="22"/>
        </w:rPr>
        <w:t>Ogundele</w:t>
      </w:r>
      <w:proofErr w:type="spellEnd"/>
      <w:r w:rsidRPr="00B0215A">
        <w:rPr>
          <w:rFonts w:ascii="Arial" w:hAnsi="Arial" w:cs="Arial"/>
          <w:sz w:val="22"/>
          <w:szCs w:val="22"/>
        </w:rPr>
        <w:t xml:space="preserve"> &amp; Ayyash (2023).</w:t>
      </w:r>
    </w:p>
    <w:p w14:paraId="7403873C" w14:textId="18C326DD" w:rsidR="001D2D45" w:rsidRPr="004969EF" w:rsidRDefault="001D2D45" w:rsidP="004969EF">
      <w:pPr>
        <w:spacing w:before="100" w:beforeAutospacing="1" w:after="100" w:afterAutospacing="1" w:line="360" w:lineRule="auto"/>
        <w:jc w:val="both"/>
        <w:rPr>
          <w:rFonts w:ascii="Arial" w:hAnsi="Arial" w:cs="Arial"/>
          <w:sz w:val="22"/>
          <w:szCs w:val="22"/>
        </w:rPr>
      </w:pPr>
      <w:r w:rsidRPr="00B0215A">
        <w:rPr>
          <w:rFonts w:ascii="Arial" w:hAnsi="Arial" w:cs="Arial"/>
          <w:sz w:val="22"/>
          <w:szCs w:val="22"/>
        </w:rPr>
        <w:t>Ultimately, these themes collectively illustrate that cultural barriers established in Theme 3; coupled with systemic barriers illustrated in Theme 2; ultimately result in harm rather than merely causing delays; for many minority children diagnosed with ADHD</w:t>
      </w:r>
    </w:p>
    <w:p w14:paraId="0B7345EE" w14:textId="77777777" w:rsidR="001C3AF6" w:rsidRPr="004969EF" w:rsidRDefault="001C3AF6" w:rsidP="004969EF">
      <w:pPr>
        <w:pStyle w:val="Heading2"/>
        <w:spacing w:line="360" w:lineRule="auto"/>
        <w:jc w:val="both"/>
        <w:rPr>
          <w:rFonts w:ascii="Arial" w:hAnsi="Arial" w:cs="Arial"/>
          <w:color w:val="auto"/>
          <w:sz w:val="22"/>
          <w:szCs w:val="22"/>
        </w:rPr>
      </w:pPr>
      <w:bookmarkStart w:id="18" w:name="_Toc226379374"/>
      <w:r w:rsidRPr="004969EF">
        <w:rPr>
          <w:rFonts w:ascii="Arial" w:hAnsi="Arial" w:cs="Arial"/>
          <w:color w:val="auto"/>
          <w:sz w:val="22"/>
          <w:szCs w:val="22"/>
        </w:rPr>
        <w:t>4.6 – Chapter Conclusion (200 words approx.)</w:t>
      </w:r>
      <w:bookmarkEnd w:id="18"/>
      <w:r w:rsidRPr="004969EF">
        <w:rPr>
          <w:rFonts w:ascii="Arial" w:hAnsi="Arial" w:cs="Arial"/>
          <w:color w:val="auto"/>
          <w:sz w:val="22"/>
          <w:szCs w:val="22"/>
        </w:rPr>
        <w:t xml:space="preserve"> </w:t>
      </w:r>
    </w:p>
    <w:p w14:paraId="262F5D7C" w14:textId="77777777" w:rsidR="00636D9A" w:rsidRPr="004969EF" w:rsidRDefault="00636D9A" w:rsidP="004969EF">
      <w:pPr>
        <w:pStyle w:val="Heading1"/>
        <w:spacing w:line="360" w:lineRule="auto"/>
        <w:jc w:val="both"/>
        <w:rPr>
          <w:rFonts w:cs="Arial"/>
          <w:sz w:val="22"/>
          <w:szCs w:val="22"/>
        </w:rPr>
      </w:pPr>
    </w:p>
    <w:p w14:paraId="3AC5E236" w14:textId="219A42AC" w:rsidR="002865F5" w:rsidRPr="004969EF" w:rsidRDefault="001C3AF6" w:rsidP="004969EF">
      <w:pPr>
        <w:spacing w:line="360" w:lineRule="auto"/>
        <w:jc w:val="both"/>
        <w:rPr>
          <w:rFonts w:ascii="Arial" w:hAnsi="Arial" w:cs="Arial"/>
          <w:sz w:val="22"/>
          <w:szCs w:val="22"/>
        </w:rPr>
      </w:pPr>
      <w:r w:rsidRPr="004969EF">
        <w:rPr>
          <w:rFonts w:ascii="Arial" w:hAnsi="Arial" w:cs="Arial"/>
          <w:sz w:val="22"/>
          <w:szCs w:val="22"/>
        </w:rPr>
        <w:t xml:space="preserve">This is where you will conclude the Chapter! </w:t>
      </w:r>
      <w:r w:rsidR="0082760D" w:rsidRPr="004969EF">
        <w:rPr>
          <w:rFonts w:ascii="Arial" w:hAnsi="Arial" w:cs="Arial"/>
          <w:sz w:val="22"/>
          <w:szCs w:val="22"/>
        </w:rPr>
        <w:t xml:space="preserve"> </w:t>
      </w:r>
      <w:r w:rsidRPr="004969EF">
        <w:rPr>
          <w:rFonts w:ascii="Arial" w:hAnsi="Arial" w:cs="Arial"/>
          <w:sz w:val="22"/>
          <w:szCs w:val="22"/>
        </w:rPr>
        <w:t xml:space="preserve">Remember every chapter you write will have an introduction section and a conclusion section. </w:t>
      </w:r>
      <w:r w:rsidR="0082760D" w:rsidRPr="004969EF">
        <w:rPr>
          <w:rFonts w:ascii="Arial" w:hAnsi="Arial" w:cs="Arial"/>
          <w:sz w:val="22"/>
          <w:szCs w:val="22"/>
        </w:rPr>
        <w:t xml:space="preserve"> </w:t>
      </w:r>
      <w:r w:rsidRPr="004969EF">
        <w:rPr>
          <w:rFonts w:ascii="Arial" w:hAnsi="Arial" w:cs="Arial"/>
          <w:sz w:val="22"/>
          <w:szCs w:val="22"/>
        </w:rPr>
        <w:t xml:space="preserve">You will provide a </w:t>
      </w:r>
      <w:r w:rsidRPr="004969EF">
        <w:rPr>
          <w:rFonts w:ascii="Arial" w:hAnsi="Arial" w:cs="Arial"/>
          <w:b/>
          <w:bCs/>
          <w:sz w:val="22"/>
          <w:szCs w:val="22"/>
          <w:u w:val="single"/>
        </w:rPr>
        <w:t>brief</w:t>
      </w:r>
      <w:r w:rsidRPr="004969EF">
        <w:rPr>
          <w:rFonts w:ascii="Arial" w:hAnsi="Arial" w:cs="Arial"/>
          <w:b/>
          <w:bCs/>
          <w:sz w:val="22"/>
          <w:szCs w:val="22"/>
        </w:rPr>
        <w:t xml:space="preserve"> </w:t>
      </w:r>
      <w:r w:rsidRPr="004969EF">
        <w:rPr>
          <w:rFonts w:ascii="Arial" w:hAnsi="Arial" w:cs="Arial"/>
          <w:sz w:val="22"/>
          <w:szCs w:val="22"/>
        </w:rPr>
        <w:t>summary of what you have covered within Chapter 4 – Findings and Discussion</w:t>
      </w:r>
      <w:r w:rsidR="0082760D" w:rsidRPr="004969EF">
        <w:rPr>
          <w:rFonts w:ascii="Arial" w:hAnsi="Arial" w:cs="Arial"/>
          <w:sz w:val="22"/>
          <w:szCs w:val="22"/>
        </w:rPr>
        <w:t xml:space="preserve">. </w:t>
      </w:r>
      <w:r w:rsidRPr="004969EF">
        <w:rPr>
          <w:rFonts w:ascii="Arial" w:hAnsi="Arial" w:cs="Arial"/>
          <w:sz w:val="22"/>
          <w:szCs w:val="22"/>
        </w:rPr>
        <w:t xml:space="preserve">You will also signpost to Chapter 5 e.g. “the following chapter will evaluate current literature in relation to (insert </w:t>
      </w:r>
      <w:proofErr w:type="gramStart"/>
      <w:r w:rsidRPr="004969EF">
        <w:rPr>
          <w:rFonts w:ascii="Arial" w:hAnsi="Arial" w:cs="Arial"/>
          <w:sz w:val="22"/>
          <w:szCs w:val="22"/>
        </w:rPr>
        <w:t>topic)…</w:t>
      </w:r>
      <w:proofErr w:type="gramEnd"/>
      <w:r w:rsidRPr="004969EF">
        <w:rPr>
          <w:rFonts w:ascii="Arial" w:hAnsi="Arial" w:cs="Arial"/>
          <w:sz w:val="22"/>
          <w:szCs w:val="22"/>
        </w:rPr>
        <w:t>”</w:t>
      </w:r>
    </w:p>
    <w:p w14:paraId="519EB35A" w14:textId="5350B043" w:rsidR="00636D9A" w:rsidRPr="004969EF" w:rsidRDefault="00636D9A" w:rsidP="004969EF">
      <w:pPr>
        <w:pStyle w:val="Heading1"/>
        <w:spacing w:line="360" w:lineRule="auto"/>
        <w:ind w:left="0"/>
        <w:jc w:val="both"/>
        <w:rPr>
          <w:rFonts w:cs="Arial"/>
          <w:sz w:val="22"/>
          <w:szCs w:val="22"/>
        </w:rPr>
      </w:pPr>
      <w:bookmarkStart w:id="19" w:name="_Toc226379375"/>
      <w:r w:rsidRPr="004969EF">
        <w:rPr>
          <w:rFonts w:cs="Arial"/>
          <w:sz w:val="22"/>
          <w:szCs w:val="22"/>
        </w:rPr>
        <w:t>CHAPTER 5 – Conclusion and Recommendations (1,000 words approx.)</w:t>
      </w:r>
      <w:bookmarkEnd w:id="19"/>
    </w:p>
    <w:p w14:paraId="5053749D" w14:textId="77777777" w:rsidR="00636D9A" w:rsidRPr="004969EF" w:rsidRDefault="00636D9A" w:rsidP="004969EF">
      <w:pPr>
        <w:spacing w:line="360" w:lineRule="auto"/>
        <w:jc w:val="both"/>
        <w:rPr>
          <w:rFonts w:ascii="Arial" w:hAnsi="Arial" w:cs="Arial"/>
          <w:sz w:val="22"/>
          <w:szCs w:val="22"/>
        </w:rPr>
      </w:pPr>
    </w:p>
    <w:p w14:paraId="2C633CBA" w14:textId="218201BA" w:rsidR="00636D9A" w:rsidRPr="004969EF" w:rsidRDefault="00636D9A" w:rsidP="004969EF">
      <w:pPr>
        <w:pStyle w:val="Heading2"/>
        <w:spacing w:line="360" w:lineRule="auto"/>
        <w:jc w:val="both"/>
        <w:rPr>
          <w:rFonts w:ascii="Arial" w:hAnsi="Arial" w:cs="Arial"/>
          <w:color w:val="auto"/>
          <w:sz w:val="22"/>
          <w:szCs w:val="22"/>
        </w:rPr>
      </w:pPr>
      <w:bookmarkStart w:id="20" w:name="_Toc226379376"/>
      <w:r w:rsidRPr="004969EF">
        <w:rPr>
          <w:rFonts w:ascii="Arial" w:hAnsi="Arial" w:cs="Arial"/>
          <w:color w:val="auto"/>
          <w:sz w:val="22"/>
          <w:szCs w:val="22"/>
        </w:rPr>
        <w:lastRenderedPageBreak/>
        <w:t>5.1 – Overall Conclusion</w:t>
      </w:r>
      <w:bookmarkEnd w:id="20"/>
      <w:r w:rsidRPr="004969EF">
        <w:rPr>
          <w:rFonts w:ascii="Arial" w:hAnsi="Arial" w:cs="Arial"/>
          <w:color w:val="auto"/>
          <w:sz w:val="22"/>
          <w:szCs w:val="22"/>
        </w:rPr>
        <w:t xml:space="preserve"> </w:t>
      </w:r>
    </w:p>
    <w:p w14:paraId="3628F6DF" w14:textId="77777777" w:rsidR="00292A36" w:rsidRPr="004969EF" w:rsidRDefault="00292A36" w:rsidP="004969EF">
      <w:pPr>
        <w:spacing w:line="360" w:lineRule="auto"/>
        <w:jc w:val="both"/>
        <w:rPr>
          <w:rFonts w:ascii="Arial" w:hAnsi="Arial" w:cs="Arial"/>
          <w:sz w:val="22"/>
          <w:szCs w:val="22"/>
        </w:rPr>
      </w:pPr>
    </w:p>
    <w:p w14:paraId="4D9926BD" w14:textId="77777777" w:rsidR="000400E4" w:rsidRPr="004969EF" w:rsidRDefault="000400E4" w:rsidP="00250E65">
      <w:pPr>
        <w:numPr>
          <w:ilvl w:val="0"/>
          <w:numId w:val="17"/>
        </w:numPr>
        <w:spacing w:line="360" w:lineRule="auto"/>
        <w:jc w:val="both"/>
        <w:rPr>
          <w:rFonts w:ascii="Arial" w:hAnsi="Arial" w:cs="Arial"/>
          <w:sz w:val="22"/>
          <w:szCs w:val="22"/>
        </w:rPr>
      </w:pPr>
      <w:r w:rsidRPr="004969EF">
        <w:rPr>
          <w:rFonts w:ascii="Arial" w:hAnsi="Arial" w:cs="Arial"/>
          <w:b/>
          <w:bCs/>
          <w:sz w:val="22"/>
          <w:szCs w:val="22"/>
        </w:rPr>
        <w:t>Purpose of the Conclusion:</w:t>
      </w:r>
    </w:p>
    <w:p w14:paraId="07700957" w14:textId="77777777" w:rsidR="000400E4" w:rsidRPr="004969EF" w:rsidRDefault="000400E4" w:rsidP="00250E65">
      <w:pPr>
        <w:numPr>
          <w:ilvl w:val="1"/>
          <w:numId w:val="17"/>
        </w:numPr>
        <w:spacing w:line="360" w:lineRule="auto"/>
        <w:jc w:val="both"/>
        <w:rPr>
          <w:rFonts w:ascii="Arial" w:hAnsi="Arial" w:cs="Arial"/>
          <w:sz w:val="22"/>
          <w:szCs w:val="22"/>
        </w:rPr>
      </w:pPr>
      <w:r w:rsidRPr="004969EF">
        <w:rPr>
          <w:rFonts w:ascii="Arial" w:hAnsi="Arial" w:cs="Arial"/>
          <w:sz w:val="22"/>
          <w:szCs w:val="22"/>
        </w:rPr>
        <w:t>In this section, you will provide a clear and concise summary of your entire dissertation. This is your opportunity to reflect on what you have explored and achieved.</w:t>
      </w:r>
    </w:p>
    <w:p w14:paraId="7022F890" w14:textId="77777777" w:rsidR="000400E4" w:rsidRPr="004969EF" w:rsidRDefault="000400E4" w:rsidP="00250E65">
      <w:pPr>
        <w:numPr>
          <w:ilvl w:val="0"/>
          <w:numId w:val="17"/>
        </w:numPr>
        <w:spacing w:line="360" w:lineRule="auto"/>
        <w:jc w:val="both"/>
        <w:rPr>
          <w:rFonts w:ascii="Arial" w:hAnsi="Arial" w:cs="Arial"/>
          <w:sz w:val="22"/>
          <w:szCs w:val="22"/>
        </w:rPr>
      </w:pPr>
      <w:r w:rsidRPr="004969EF">
        <w:rPr>
          <w:rFonts w:ascii="Arial" w:hAnsi="Arial" w:cs="Arial"/>
          <w:b/>
          <w:bCs/>
          <w:sz w:val="22"/>
          <w:szCs w:val="22"/>
        </w:rPr>
        <w:t>Key Points to Include:</w:t>
      </w:r>
    </w:p>
    <w:p w14:paraId="08A6A1BB" w14:textId="77777777" w:rsidR="000400E4" w:rsidRPr="004969EF" w:rsidRDefault="000400E4" w:rsidP="00250E65">
      <w:pPr>
        <w:numPr>
          <w:ilvl w:val="1"/>
          <w:numId w:val="17"/>
        </w:numPr>
        <w:spacing w:line="360" w:lineRule="auto"/>
        <w:jc w:val="both"/>
        <w:rPr>
          <w:rFonts w:ascii="Arial" w:hAnsi="Arial" w:cs="Arial"/>
          <w:sz w:val="22"/>
          <w:szCs w:val="22"/>
        </w:rPr>
      </w:pPr>
      <w:r w:rsidRPr="004969EF">
        <w:rPr>
          <w:rFonts w:ascii="Arial" w:hAnsi="Arial" w:cs="Arial"/>
          <w:sz w:val="22"/>
          <w:szCs w:val="22"/>
        </w:rPr>
        <w:t>Summarise the main findings from each chapter, drawing together the most important ideas, insights, and outcomes of your work.</w:t>
      </w:r>
    </w:p>
    <w:p w14:paraId="7B972852" w14:textId="77777777" w:rsidR="000400E4" w:rsidRPr="004969EF" w:rsidRDefault="000400E4" w:rsidP="00250E65">
      <w:pPr>
        <w:numPr>
          <w:ilvl w:val="1"/>
          <w:numId w:val="17"/>
        </w:numPr>
        <w:spacing w:line="360" w:lineRule="auto"/>
        <w:jc w:val="both"/>
        <w:rPr>
          <w:rFonts w:ascii="Arial" w:hAnsi="Arial" w:cs="Arial"/>
          <w:sz w:val="22"/>
          <w:szCs w:val="22"/>
        </w:rPr>
      </w:pPr>
      <w:r w:rsidRPr="004969EF">
        <w:rPr>
          <w:rFonts w:ascii="Arial" w:hAnsi="Arial" w:cs="Arial"/>
          <w:sz w:val="22"/>
          <w:szCs w:val="22"/>
        </w:rPr>
        <w:t xml:space="preserve">Revisit the </w:t>
      </w:r>
      <w:r w:rsidRPr="004969EF">
        <w:rPr>
          <w:rFonts w:ascii="Arial" w:hAnsi="Arial" w:cs="Arial"/>
          <w:b/>
          <w:bCs/>
          <w:sz w:val="22"/>
          <w:szCs w:val="22"/>
        </w:rPr>
        <w:t>research aim and objectives</w:t>
      </w:r>
      <w:r w:rsidRPr="004969EF">
        <w:rPr>
          <w:rFonts w:ascii="Arial" w:hAnsi="Arial" w:cs="Arial"/>
          <w:sz w:val="22"/>
          <w:szCs w:val="22"/>
        </w:rPr>
        <w:t xml:space="preserve"> you stated in Chapter 1. Explain how each of these has been addressed through your research, and whether they have been fully or partially met.</w:t>
      </w:r>
    </w:p>
    <w:p w14:paraId="70F2C421" w14:textId="77777777" w:rsidR="000400E4" w:rsidRPr="004969EF" w:rsidRDefault="000400E4" w:rsidP="00250E65">
      <w:pPr>
        <w:numPr>
          <w:ilvl w:val="0"/>
          <w:numId w:val="17"/>
        </w:numPr>
        <w:spacing w:line="360" w:lineRule="auto"/>
        <w:jc w:val="both"/>
        <w:rPr>
          <w:rFonts w:ascii="Arial" w:hAnsi="Arial" w:cs="Arial"/>
          <w:sz w:val="22"/>
          <w:szCs w:val="22"/>
        </w:rPr>
      </w:pPr>
      <w:r w:rsidRPr="004969EF">
        <w:rPr>
          <w:rFonts w:ascii="Arial" w:hAnsi="Arial" w:cs="Arial"/>
          <w:b/>
          <w:bCs/>
          <w:sz w:val="22"/>
          <w:szCs w:val="22"/>
        </w:rPr>
        <w:t>Important Reminders:</w:t>
      </w:r>
    </w:p>
    <w:p w14:paraId="2C5B0706" w14:textId="77777777" w:rsidR="000400E4" w:rsidRPr="004969EF" w:rsidRDefault="000400E4" w:rsidP="00250E65">
      <w:pPr>
        <w:numPr>
          <w:ilvl w:val="1"/>
          <w:numId w:val="17"/>
        </w:numPr>
        <w:spacing w:line="360" w:lineRule="auto"/>
        <w:jc w:val="both"/>
        <w:rPr>
          <w:rFonts w:ascii="Arial" w:hAnsi="Arial" w:cs="Arial"/>
          <w:sz w:val="22"/>
          <w:szCs w:val="22"/>
        </w:rPr>
      </w:pPr>
      <w:r w:rsidRPr="004969EF">
        <w:rPr>
          <w:rFonts w:ascii="Arial" w:hAnsi="Arial" w:cs="Arial"/>
          <w:sz w:val="22"/>
          <w:szCs w:val="22"/>
        </w:rPr>
        <w:t>Do not introduce any new information, analysis, or references in this section.</w:t>
      </w:r>
    </w:p>
    <w:p w14:paraId="4F1483CE" w14:textId="77777777" w:rsidR="000400E4" w:rsidRPr="004969EF" w:rsidRDefault="000400E4" w:rsidP="00250E65">
      <w:pPr>
        <w:numPr>
          <w:ilvl w:val="1"/>
          <w:numId w:val="17"/>
        </w:numPr>
        <w:spacing w:line="360" w:lineRule="auto"/>
        <w:jc w:val="both"/>
        <w:rPr>
          <w:rFonts w:ascii="Arial" w:hAnsi="Arial" w:cs="Arial"/>
          <w:sz w:val="22"/>
          <w:szCs w:val="22"/>
        </w:rPr>
      </w:pPr>
      <w:r w:rsidRPr="004969EF">
        <w:rPr>
          <w:rFonts w:ascii="Arial" w:hAnsi="Arial" w:cs="Arial"/>
          <w:sz w:val="22"/>
          <w:szCs w:val="22"/>
        </w:rPr>
        <w:t xml:space="preserve">Focus only on what has already been discussed and evidenced in your previous chapters. </w:t>
      </w:r>
    </w:p>
    <w:p w14:paraId="5DD960CB" w14:textId="17B83E15" w:rsidR="000400E4" w:rsidRPr="004969EF" w:rsidRDefault="000400E4" w:rsidP="00250E65">
      <w:pPr>
        <w:numPr>
          <w:ilvl w:val="1"/>
          <w:numId w:val="17"/>
        </w:numPr>
        <w:spacing w:line="360" w:lineRule="auto"/>
        <w:jc w:val="both"/>
        <w:rPr>
          <w:rFonts w:ascii="Arial" w:hAnsi="Arial" w:cs="Arial"/>
          <w:sz w:val="22"/>
          <w:szCs w:val="22"/>
        </w:rPr>
      </w:pPr>
      <w:r w:rsidRPr="004969EF">
        <w:rPr>
          <w:rFonts w:ascii="Arial" w:hAnsi="Arial" w:cs="Arial"/>
          <w:sz w:val="22"/>
          <w:szCs w:val="22"/>
        </w:rPr>
        <w:t xml:space="preserve">You </w:t>
      </w:r>
      <w:r w:rsidRPr="004969EF">
        <w:rPr>
          <w:rFonts w:ascii="Arial" w:hAnsi="Arial" w:cs="Arial"/>
          <w:b/>
          <w:bCs/>
          <w:sz w:val="22"/>
          <w:szCs w:val="22"/>
        </w:rPr>
        <w:t>might</w:t>
      </w:r>
      <w:r w:rsidRPr="004969EF">
        <w:rPr>
          <w:rFonts w:ascii="Arial" w:hAnsi="Arial" w:cs="Arial"/>
          <w:sz w:val="22"/>
          <w:szCs w:val="22"/>
        </w:rPr>
        <w:t xml:space="preserve"> go over the suggested word count, that is okay but don’t forget you also have the abstract!</w:t>
      </w:r>
    </w:p>
    <w:p w14:paraId="0AA56080" w14:textId="7D2CB77E" w:rsidR="003B1E32" w:rsidRPr="004969EF" w:rsidRDefault="000400E4" w:rsidP="00250E65">
      <w:pPr>
        <w:numPr>
          <w:ilvl w:val="1"/>
          <w:numId w:val="17"/>
        </w:numPr>
        <w:spacing w:line="360" w:lineRule="auto"/>
        <w:jc w:val="both"/>
        <w:rPr>
          <w:rFonts w:ascii="Arial" w:hAnsi="Arial" w:cs="Arial"/>
          <w:sz w:val="22"/>
          <w:szCs w:val="22"/>
        </w:rPr>
      </w:pPr>
      <w:r w:rsidRPr="004969EF">
        <w:rPr>
          <w:rFonts w:ascii="Arial" w:hAnsi="Arial" w:cs="Arial"/>
          <w:i/>
          <w:iCs/>
          <w:sz w:val="22"/>
          <w:szCs w:val="22"/>
        </w:rPr>
        <w:t xml:space="preserve"> </w:t>
      </w:r>
      <w:r w:rsidRPr="004969EF">
        <w:rPr>
          <w:rFonts w:ascii="Arial" w:hAnsi="Arial" w:cs="Arial"/>
          <w:sz w:val="22"/>
          <w:szCs w:val="22"/>
        </w:rPr>
        <w:t>Keep your language clear, confident, and conclusive. This is the final reflection of your work.</w:t>
      </w:r>
    </w:p>
    <w:p w14:paraId="6599D6CF" w14:textId="0C01981F" w:rsidR="005C5E80" w:rsidRPr="004969EF" w:rsidRDefault="00636D9A" w:rsidP="004969EF">
      <w:pPr>
        <w:pStyle w:val="Heading2"/>
        <w:spacing w:line="360" w:lineRule="auto"/>
        <w:jc w:val="both"/>
        <w:rPr>
          <w:rFonts w:ascii="Arial" w:hAnsi="Arial" w:cs="Arial"/>
          <w:color w:val="auto"/>
          <w:sz w:val="22"/>
          <w:szCs w:val="22"/>
        </w:rPr>
      </w:pPr>
      <w:bookmarkStart w:id="21" w:name="_Toc226379377"/>
      <w:r w:rsidRPr="004969EF">
        <w:rPr>
          <w:rFonts w:ascii="Arial" w:hAnsi="Arial" w:cs="Arial"/>
          <w:color w:val="auto"/>
          <w:sz w:val="22"/>
          <w:szCs w:val="22"/>
        </w:rPr>
        <w:t>5.</w:t>
      </w:r>
      <w:r w:rsidR="005C5E80" w:rsidRPr="004969EF">
        <w:rPr>
          <w:rFonts w:ascii="Arial" w:hAnsi="Arial" w:cs="Arial"/>
          <w:color w:val="auto"/>
          <w:sz w:val="22"/>
          <w:szCs w:val="22"/>
        </w:rPr>
        <w:t>2</w:t>
      </w:r>
      <w:r w:rsidRPr="004969EF">
        <w:rPr>
          <w:rFonts w:ascii="Arial" w:hAnsi="Arial" w:cs="Arial"/>
          <w:color w:val="auto"/>
          <w:sz w:val="22"/>
          <w:szCs w:val="22"/>
        </w:rPr>
        <w:t xml:space="preserve"> – </w:t>
      </w:r>
      <w:r w:rsidR="005C5E80" w:rsidRPr="004969EF">
        <w:rPr>
          <w:rFonts w:ascii="Arial" w:hAnsi="Arial" w:cs="Arial"/>
          <w:color w:val="auto"/>
          <w:sz w:val="22"/>
          <w:szCs w:val="22"/>
        </w:rPr>
        <w:t>Recommendations</w:t>
      </w:r>
      <w:bookmarkEnd w:id="21"/>
      <w:r w:rsidRPr="004969EF">
        <w:rPr>
          <w:rFonts w:ascii="Arial" w:hAnsi="Arial" w:cs="Arial"/>
          <w:color w:val="auto"/>
          <w:sz w:val="22"/>
          <w:szCs w:val="22"/>
        </w:rPr>
        <w:t xml:space="preserve">  </w:t>
      </w:r>
    </w:p>
    <w:p w14:paraId="0737C63D" w14:textId="77777777" w:rsidR="00E97D1C" w:rsidRPr="004969EF" w:rsidRDefault="00E97D1C" w:rsidP="004969EF">
      <w:pPr>
        <w:pStyle w:val="Heading1"/>
        <w:spacing w:line="360" w:lineRule="auto"/>
        <w:ind w:left="0"/>
        <w:jc w:val="both"/>
        <w:rPr>
          <w:rFonts w:cs="Arial"/>
          <w:sz w:val="22"/>
          <w:szCs w:val="22"/>
        </w:rPr>
      </w:pPr>
      <w:bookmarkStart w:id="22" w:name="_Toc226379378"/>
    </w:p>
    <w:p w14:paraId="6D481D61" w14:textId="343598E8" w:rsidR="005C5E80" w:rsidRPr="004969EF" w:rsidRDefault="005C5E80" w:rsidP="004969EF">
      <w:pPr>
        <w:pStyle w:val="Heading1"/>
        <w:spacing w:line="360" w:lineRule="auto"/>
        <w:ind w:left="0"/>
        <w:jc w:val="both"/>
        <w:rPr>
          <w:rFonts w:cs="Arial"/>
          <w:sz w:val="22"/>
          <w:szCs w:val="22"/>
        </w:rPr>
      </w:pPr>
      <w:r w:rsidRPr="004969EF">
        <w:rPr>
          <w:rFonts w:cs="Arial"/>
          <w:sz w:val="22"/>
          <w:szCs w:val="22"/>
        </w:rPr>
        <w:t>5.2.1 – Recommendation 1</w:t>
      </w:r>
      <w:bookmarkEnd w:id="22"/>
      <w:r w:rsidRPr="004969EF">
        <w:rPr>
          <w:rFonts w:cs="Arial"/>
          <w:sz w:val="22"/>
          <w:szCs w:val="22"/>
        </w:rPr>
        <w:t xml:space="preserve"> </w:t>
      </w:r>
    </w:p>
    <w:p w14:paraId="159B9075" w14:textId="77777777" w:rsidR="00E97D1C" w:rsidRPr="004969EF" w:rsidRDefault="00E97D1C" w:rsidP="004969EF">
      <w:pPr>
        <w:spacing w:line="360" w:lineRule="auto"/>
        <w:jc w:val="both"/>
        <w:rPr>
          <w:rFonts w:ascii="Arial" w:hAnsi="Arial" w:cs="Arial"/>
          <w:color w:val="222222"/>
          <w:sz w:val="22"/>
          <w:szCs w:val="22"/>
        </w:rPr>
      </w:pPr>
    </w:p>
    <w:p w14:paraId="4F956D07" w14:textId="13B996AD" w:rsidR="00AA5DED" w:rsidRPr="004969EF" w:rsidRDefault="00AA5DED" w:rsidP="004969EF">
      <w:pPr>
        <w:spacing w:line="360" w:lineRule="auto"/>
        <w:jc w:val="both"/>
        <w:rPr>
          <w:rFonts w:ascii="Arial" w:hAnsi="Arial" w:cs="Arial"/>
          <w:i/>
          <w:iCs/>
          <w:color w:val="222222"/>
          <w:sz w:val="22"/>
          <w:szCs w:val="22"/>
        </w:rPr>
      </w:pPr>
      <w:r w:rsidRPr="00AA5DED">
        <w:rPr>
          <w:rFonts w:ascii="Arial" w:hAnsi="Arial" w:cs="Arial"/>
          <w:i/>
          <w:iCs/>
          <w:color w:val="222222"/>
          <w:sz w:val="22"/>
          <w:szCs w:val="22"/>
        </w:rPr>
        <w:t>Media-Based ADHD Awareness Campaign</w:t>
      </w:r>
    </w:p>
    <w:p w14:paraId="51D62DD5" w14:textId="77777777" w:rsidR="004969EF" w:rsidRPr="00AA5DED" w:rsidRDefault="004969EF" w:rsidP="004969EF">
      <w:pPr>
        <w:spacing w:line="360" w:lineRule="auto"/>
        <w:jc w:val="both"/>
        <w:rPr>
          <w:rFonts w:ascii="Arial" w:hAnsi="Arial" w:cs="Arial"/>
          <w:b/>
          <w:bCs/>
          <w:i/>
          <w:iCs/>
          <w:color w:val="222222"/>
          <w:sz w:val="22"/>
          <w:szCs w:val="22"/>
        </w:rPr>
      </w:pPr>
    </w:p>
    <w:p w14:paraId="1EFDF0F3" w14:textId="4DE73739" w:rsidR="00AA5DED" w:rsidRPr="004969EF"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It is recommended that NHS England, local authorities, and integrated care systems implement culturally tailored, bilingual ADHD awareness campaigns using short-form digital media, broadcast platforms, and community-based dissemination channels, including mainstream and ethnic media outlets.</w:t>
      </w:r>
    </w:p>
    <w:p w14:paraId="3A3E53C8" w14:textId="77777777" w:rsidR="00E97D1C" w:rsidRPr="00AA5DED" w:rsidRDefault="00E97D1C" w:rsidP="004969EF">
      <w:pPr>
        <w:spacing w:line="360" w:lineRule="auto"/>
        <w:jc w:val="both"/>
        <w:rPr>
          <w:rFonts w:ascii="Arial" w:hAnsi="Arial" w:cs="Arial"/>
          <w:color w:val="222222"/>
          <w:sz w:val="22"/>
          <w:szCs w:val="22"/>
        </w:rPr>
      </w:pPr>
    </w:p>
    <w:p w14:paraId="28D794A5" w14:textId="77777777" w:rsidR="00AA5DED" w:rsidRP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 xml:space="preserve">Under-recognition of ADHD among ethnic minority children is strongly linked to low mental health literacy, stigma, and culturally embedded interpretations of behaviour that delay help-seeking and referral. The Health Belief Model provides a clear framework for understanding this, demonstrating that help-seeking behaviour is shaped by perceived susceptibility, perceived severity, perceived benefits, perceived barriers, cues to action, and self-efficacy (Becker, 1974). Within this context, ADHD may not be recognised as clinically significant, </w:t>
      </w:r>
      <w:r w:rsidRPr="00AA5DED">
        <w:rPr>
          <w:rFonts w:ascii="Arial" w:hAnsi="Arial" w:cs="Arial"/>
          <w:color w:val="222222"/>
          <w:sz w:val="22"/>
          <w:szCs w:val="22"/>
        </w:rPr>
        <w:lastRenderedPageBreak/>
        <w:t>reducing perceived susceptibility, while stigma and fear of judgement increase perceived barriers.</w:t>
      </w:r>
    </w:p>
    <w:p w14:paraId="716E498B" w14:textId="77777777" w:rsidR="00AA5DED" w:rsidRPr="00AA5DED" w:rsidRDefault="00AA5DED" w:rsidP="004969EF">
      <w:pPr>
        <w:spacing w:line="360" w:lineRule="auto"/>
        <w:jc w:val="both"/>
        <w:rPr>
          <w:rFonts w:ascii="Arial" w:hAnsi="Arial" w:cs="Arial"/>
          <w:color w:val="222222"/>
          <w:sz w:val="22"/>
          <w:szCs w:val="22"/>
        </w:rPr>
      </w:pPr>
    </w:p>
    <w:p w14:paraId="2F083DE7" w14:textId="01BCD05B" w:rsidR="00AA5DED" w:rsidRPr="004969EF"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Media-based awareness campaigns directly intervene at each of these levels by improving symptom recognition (susceptibility and severity), demonstrating the value of early intervention (benefits), reducing stigma through normalisation (barriers), and providing clear guidance on referral pathways (cues to action). By increasing understanding and confidence in navigating services, such campaigns strengthen self-efficacy, increasing the likelihood of active help-seeking. This is further supported by the Theory of Planned Behaviour, which highlights the role of attitudes, social norms, and perceived behavioural control in shaping intentions to seek support (</w:t>
      </w:r>
      <w:proofErr w:type="spellStart"/>
      <w:r w:rsidRPr="00AA5DED">
        <w:rPr>
          <w:rFonts w:ascii="Arial" w:hAnsi="Arial" w:cs="Arial"/>
          <w:color w:val="222222"/>
          <w:sz w:val="22"/>
          <w:szCs w:val="22"/>
        </w:rPr>
        <w:t>Bosnjak</w:t>
      </w:r>
      <w:proofErr w:type="spellEnd"/>
      <w:r w:rsidRPr="00AA5DED">
        <w:rPr>
          <w:rFonts w:ascii="Arial" w:hAnsi="Arial" w:cs="Arial"/>
          <w:color w:val="222222"/>
          <w:sz w:val="22"/>
          <w:szCs w:val="22"/>
        </w:rPr>
        <w:t>, Ajzen and Schmidt, 2020).</w:t>
      </w:r>
    </w:p>
    <w:p w14:paraId="4391DD65" w14:textId="77777777" w:rsidR="00E97D1C" w:rsidRPr="00AA5DED" w:rsidRDefault="00E97D1C" w:rsidP="004969EF">
      <w:pPr>
        <w:spacing w:line="360" w:lineRule="auto"/>
        <w:jc w:val="both"/>
        <w:rPr>
          <w:rFonts w:ascii="Arial" w:hAnsi="Arial" w:cs="Arial"/>
          <w:color w:val="222222"/>
          <w:sz w:val="22"/>
          <w:szCs w:val="22"/>
        </w:rPr>
      </w:pPr>
    </w:p>
    <w:p w14:paraId="6A3B89AD" w14:textId="4BC1E2AD" w:rsid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Empirical evidence demonstrates that structured digital and social media campaigns significantly improve mental health knowledge, attitudes, and help-seeking behaviours, particularly when individuals are exposed to campaign content (</w:t>
      </w:r>
      <w:proofErr w:type="spellStart"/>
      <w:r w:rsidRPr="00AA5DED">
        <w:rPr>
          <w:rFonts w:ascii="Arial" w:hAnsi="Arial" w:cs="Arial"/>
          <w:color w:val="222222"/>
          <w:sz w:val="22"/>
          <w:szCs w:val="22"/>
        </w:rPr>
        <w:t>Plackett</w:t>
      </w:r>
      <w:proofErr w:type="spellEnd"/>
      <w:r w:rsidRPr="00AA5DED">
        <w:rPr>
          <w:rFonts w:ascii="Arial" w:hAnsi="Arial" w:cs="Arial"/>
          <w:color w:val="222222"/>
          <w:sz w:val="22"/>
          <w:szCs w:val="22"/>
        </w:rPr>
        <w:t xml:space="preserve"> et al., 2025). Campaign effectiveness is further enhanced when content incorporates lived experiences and real-world scenarios, as co-produced materials increase relatability and engagement among target populations (</w:t>
      </w:r>
      <w:proofErr w:type="spellStart"/>
      <w:r w:rsidRPr="00AA5DED">
        <w:rPr>
          <w:rFonts w:ascii="Arial" w:hAnsi="Arial" w:cs="Arial"/>
          <w:color w:val="222222"/>
          <w:sz w:val="22"/>
          <w:szCs w:val="22"/>
        </w:rPr>
        <w:t>Plackett</w:t>
      </w:r>
      <w:proofErr w:type="spellEnd"/>
      <w:r w:rsidRPr="00AA5DED">
        <w:rPr>
          <w:rFonts w:ascii="Arial" w:hAnsi="Arial" w:cs="Arial"/>
          <w:color w:val="222222"/>
          <w:sz w:val="22"/>
          <w:szCs w:val="22"/>
        </w:rPr>
        <w:t xml:space="preserve"> et al., 2025). This aligns with wider public health strategies that prioritise community-centred communication and improved health literacy as mechanisms for reducing inequalities (Office for Health Improvement and Disparities, 2022; Local Government Association, 2023). The World Health Organization also recognises the role of media in shaping health understanding and influencing behaviour at population level (World Health Organization, no date).</w:t>
      </w:r>
    </w:p>
    <w:p w14:paraId="6821D333" w14:textId="77777777" w:rsidR="004969EF" w:rsidRPr="00AA5DED" w:rsidRDefault="004969EF" w:rsidP="004969EF">
      <w:pPr>
        <w:spacing w:line="360" w:lineRule="auto"/>
        <w:jc w:val="both"/>
        <w:rPr>
          <w:rFonts w:ascii="Arial" w:hAnsi="Arial" w:cs="Arial"/>
          <w:color w:val="222222"/>
          <w:sz w:val="22"/>
          <w:szCs w:val="22"/>
        </w:rPr>
      </w:pPr>
    </w:p>
    <w:p w14:paraId="091DABFC" w14:textId="75C7BA9D" w:rsidR="00AA5DED" w:rsidRP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Th</w:t>
      </w:r>
      <w:r w:rsidR="004969EF">
        <w:rPr>
          <w:rFonts w:ascii="Arial" w:hAnsi="Arial" w:cs="Arial"/>
          <w:color w:val="222222"/>
          <w:sz w:val="22"/>
          <w:szCs w:val="22"/>
        </w:rPr>
        <w:t>e</w:t>
      </w:r>
      <w:r w:rsidRPr="00AA5DED">
        <w:rPr>
          <w:rFonts w:ascii="Arial" w:hAnsi="Arial" w:cs="Arial"/>
          <w:color w:val="222222"/>
          <w:sz w:val="22"/>
          <w:szCs w:val="22"/>
        </w:rPr>
        <w:t xml:space="preserve"> recommendation is financially and operationally feasible, as it can be embedded within existing NHS communication strategies and campaign partnership frameworks, allowing delivery through established media channels and collaborative networks (NHS England, 2024). Media-based interventions are also evaluated in relation to public funding, demonstrating measurable outcomes and value for money within health systems (</w:t>
      </w:r>
      <w:proofErr w:type="spellStart"/>
      <w:r w:rsidRPr="00AA5DED">
        <w:rPr>
          <w:rFonts w:ascii="Arial" w:hAnsi="Arial" w:cs="Arial"/>
          <w:color w:val="222222"/>
          <w:sz w:val="22"/>
          <w:szCs w:val="22"/>
        </w:rPr>
        <w:t>Plackett</w:t>
      </w:r>
      <w:proofErr w:type="spellEnd"/>
      <w:r w:rsidRPr="00AA5DED">
        <w:rPr>
          <w:rFonts w:ascii="Arial" w:hAnsi="Arial" w:cs="Arial"/>
          <w:color w:val="222222"/>
          <w:sz w:val="22"/>
          <w:szCs w:val="22"/>
        </w:rPr>
        <w:t xml:space="preserve"> et al., 2025).</w:t>
      </w:r>
    </w:p>
    <w:p w14:paraId="525B98DE" w14:textId="77777777" w:rsidR="00AA5DED" w:rsidRPr="00AA5DED" w:rsidRDefault="00AA5DED" w:rsidP="004969EF">
      <w:pPr>
        <w:spacing w:line="360" w:lineRule="auto"/>
        <w:jc w:val="both"/>
        <w:rPr>
          <w:rFonts w:ascii="Arial" w:hAnsi="Arial" w:cs="Arial"/>
          <w:color w:val="222222"/>
          <w:sz w:val="22"/>
          <w:szCs w:val="22"/>
        </w:rPr>
      </w:pPr>
    </w:p>
    <w:p w14:paraId="086D7D6F" w14:textId="385FB959" w:rsid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 xml:space="preserve">A key limitation is competing funding priorities within public health systems, which may reduce investment in ADHD-specific awareness initiatives. Campaigns may also be ineffective if messaging is too generic or not culturally adapted, limiting engagement among minority groups. Additionally, reliance on digital platforms may exclude individuals with lower digital access or literacy. Importantly, engagement with digital health interventions is often inconsistent, as individuals face practical, cultural, and motivational barriers to participation, </w:t>
      </w:r>
      <w:r w:rsidRPr="00AA5DED">
        <w:rPr>
          <w:rFonts w:ascii="Arial" w:hAnsi="Arial" w:cs="Arial"/>
          <w:color w:val="222222"/>
          <w:sz w:val="22"/>
          <w:szCs w:val="22"/>
        </w:rPr>
        <w:lastRenderedPageBreak/>
        <w:t>particularly at the stage of initial awareness and recruitment (O’Connor and Mair, 2016). This indicates that increasing information alone is insufficient without addressing how individuals engage with and act upon health messages. The spread of misinformation through unregulated social media presents a further challenge, as ADHD-related content is often oversimplified or inaccurate, potentially delaying appropriate help-seeking and referral (</w:t>
      </w:r>
      <w:proofErr w:type="spellStart"/>
      <w:r w:rsidRPr="00AA5DED">
        <w:rPr>
          <w:rFonts w:ascii="Arial" w:hAnsi="Arial" w:cs="Arial"/>
          <w:color w:val="222222"/>
          <w:sz w:val="22"/>
          <w:szCs w:val="22"/>
        </w:rPr>
        <w:t>Hulsizer</w:t>
      </w:r>
      <w:proofErr w:type="spellEnd"/>
      <w:r w:rsidRPr="00AA5DED">
        <w:rPr>
          <w:rFonts w:ascii="Arial" w:hAnsi="Arial" w:cs="Arial"/>
          <w:color w:val="222222"/>
          <w:sz w:val="22"/>
          <w:szCs w:val="22"/>
        </w:rPr>
        <w:t xml:space="preserve"> and </w:t>
      </w:r>
      <w:proofErr w:type="spellStart"/>
      <w:r w:rsidRPr="00AA5DED">
        <w:rPr>
          <w:rFonts w:ascii="Arial" w:hAnsi="Arial" w:cs="Arial"/>
          <w:color w:val="222222"/>
          <w:sz w:val="22"/>
          <w:szCs w:val="22"/>
        </w:rPr>
        <w:t>Passaro</w:t>
      </w:r>
      <w:proofErr w:type="spellEnd"/>
      <w:r w:rsidRPr="00AA5DED">
        <w:rPr>
          <w:rFonts w:ascii="Arial" w:hAnsi="Arial" w:cs="Arial"/>
          <w:color w:val="222222"/>
          <w:sz w:val="22"/>
          <w:szCs w:val="22"/>
        </w:rPr>
        <w:t>, 2025).</w:t>
      </w:r>
      <w:r w:rsidR="007A5AC7" w:rsidRPr="004969EF">
        <w:rPr>
          <w:rFonts w:ascii="Arial" w:hAnsi="Arial" w:cs="Arial"/>
          <w:color w:val="222222"/>
          <w:sz w:val="22"/>
          <w:szCs w:val="22"/>
        </w:rPr>
        <w:t xml:space="preserve"> </w:t>
      </w:r>
      <w:r w:rsidR="007A5AC7" w:rsidRPr="00AA5DED">
        <w:rPr>
          <w:rFonts w:ascii="Arial" w:hAnsi="Arial" w:cs="Arial"/>
          <w:color w:val="222222"/>
          <w:sz w:val="22"/>
          <w:szCs w:val="22"/>
        </w:rPr>
        <w:t xml:space="preserve">Campaigns may also be ineffective if messaging is too generic or not culturally adapted, limiting engagement among minority </w:t>
      </w:r>
      <w:r w:rsidR="007A5AC7" w:rsidRPr="004969EF">
        <w:rPr>
          <w:rFonts w:ascii="Arial" w:hAnsi="Arial" w:cs="Arial"/>
          <w:color w:val="222222"/>
          <w:sz w:val="22"/>
          <w:szCs w:val="22"/>
        </w:rPr>
        <w:t>groups. Campaigns</w:t>
      </w:r>
      <w:r w:rsidR="007A5AC7" w:rsidRPr="00AA5DED">
        <w:rPr>
          <w:rFonts w:ascii="Arial" w:hAnsi="Arial" w:cs="Arial"/>
          <w:color w:val="222222"/>
          <w:sz w:val="22"/>
          <w:szCs w:val="22"/>
        </w:rPr>
        <w:t xml:space="preserve"> may also be ineffective if messaging is too generic or not culturally adapted, limiting engagement among minority groups. </w:t>
      </w:r>
    </w:p>
    <w:p w14:paraId="4B566086" w14:textId="77777777" w:rsidR="004969EF" w:rsidRPr="00AA5DED" w:rsidRDefault="004969EF" w:rsidP="004969EF">
      <w:pPr>
        <w:spacing w:line="360" w:lineRule="auto"/>
        <w:jc w:val="both"/>
        <w:rPr>
          <w:rFonts w:ascii="Arial" w:hAnsi="Arial" w:cs="Arial"/>
          <w:color w:val="222222"/>
          <w:sz w:val="22"/>
          <w:szCs w:val="22"/>
        </w:rPr>
      </w:pPr>
    </w:p>
    <w:p w14:paraId="6B71C16C" w14:textId="4A33CBF3" w:rsidR="00AA5DED" w:rsidRPr="00AA5DED" w:rsidRDefault="00AA5DED" w:rsidP="004969EF">
      <w:pPr>
        <w:spacing w:line="360" w:lineRule="auto"/>
        <w:jc w:val="both"/>
        <w:rPr>
          <w:rFonts w:ascii="Arial" w:hAnsi="Arial" w:cs="Arial"/>
          <w:color w:val="222222"/>
          <w:sz w:val="22"/>
          <w:szCs w:val="22"/>
          <w:u w:val="single"/>
        </w:rPr>
      </w:pPr>
      <w:r w:rsidRPr="00AA5DED">
        <w:rPr>
          <w:rFonts w:ascii="Arial" w:hAnsi="Arial" w:cs="Arial"/>
          <w:color w:val="222222"/>
          <w:sz w:val="22"/>
          <w:szCs w:val="22"/>
          <w:u w:val="single"/>
        </w:rPr>
        <w:t xml:space="preserve">Overcoming Challenges </w:t>
      </w:r>
    </w:p>
    <w:p w14:paraId="7B982268" w14:textId="166CE246" w:rsidR="004969EF" w:rsidRP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To address these barriers, campaigns should be co-funded through integrated care systems, local authorities, and voluntary sector partnerships, distributing financial responsibility and improving sustainability. Content should be co-produced with community organisations and leaders to ensure cultural relevance and trust, while bilingual delivery should be supported through established NHS translation and interpreting frameworks (NHS England, 2025). To reduce digital exclusion, campaigns should extend beyond online platforms into community settings such as GP surgeries, schools, religious centres, and local hubs. Delivering content through contextually relevant public displays and community-based environments has been shown to increase engagement and interaction, particularly when information is embedded within familiar settings (M</w:t>
      </w:r>
      <w:r w:rsidR="003253A6" w:rsidRPr="004969EF">
        <w:rPr>
          <w:rFonts w:ascii="Arial" w:hAnsi="Arial" w:cs="Arial"/>
          <w:color w:val="222222"/>
          <w:sz w:val="22"/>
          <w:szCs w:val="22"/>
        </w:rPr>
        <w:t>u</w:t>
      </w:r>
      <w:r w:rsidRPr="00AA5DED">
        <w:rPr>
          <w:rFonts w:ascii="Arial" w:hAnsi="Arial" w:cs="Arial"/>
          <w:color w:val="222222"/>
          <w:sz w:val="22"/>
          <w:szCs w:val="22"/>
        </w:rPr>
        <w:t>ller et al., 2014). Finally, aligning campaigns with existing national awareness initiatives and utilising trusted media partnerships will maximise reach while maintaining cost-efficiency and consistency in messaging.</w:t>
      </w:r>
    </w:p>
    <w:p w14:paraId="4263DD9E" w14:textId="77777777" w:rsidR="005C5E80" w:rsidRPr="004969EF" w:rsidRDefault="005C5E80" w:rsidP="004969EF">
      <w:pPr>
        <w:pStyle w:val="Heading1"/>
        <w:spacing w:line="360" w:lineRule="auto"/>
        <w:jc w:val="both"/>
        <w:rPr>
          <w:rFonts w:cs="Arial"/>
          <w:sz w:val="22"/>
          <w:szCs w:val="22"/>
        </w:rPr>
      </w:pPr>
    </w:p>
    <w:p w14:paraId="2458AAE9" w14:textId="77777777" w:rsidR="004969EF" w:rsidRDefault="005C5E80" w:rsidP="004969EF">
      <w:pPr>
        <w:pStyle w:val="Heading1"/>
        <w:spacing w:line="360" w:lineRule="auto"/>
        <w:jc w:val="both"/>
        <w:rPr>
          <w:rFonts w:cs="Arial"/>
          <w:sz w:val="22"/>
          <w:szCs w:val="22"/>
        </w:rPr>
      </w:pPr>
      <w:bookmarkStart w:id="23" w:name="_Toc226379379"/>
      <w:r w:rsidRPr="004969EF">
        <w:rPr>
          <w:rFonts w:cs="Arial"/>
          <w:sz w:val="22"/>
          <w:szCs w:val="22"/>
        </w:rPr>
        <w:t>5.2.2 – Recommendation 2</w:t>
      </w:r>
      <w:bookmarkEnd w:id="23"/>
      <w:r w:rsidRPr="004969EF">
        <w:rPr>
          <w:rFonts w:cs="Arial"/>
          <w:sz w:val="22"/>
          <w:szCs w:val="22"/>
        </w:rPr>
        <w:t xml:space="preserve"> </w:t>
      </w:r>
    </w:p>
    <w:p w14:paraId="64FC53E2" w14:textId="77777777" w:rsidR="004969EF" w:rsidRPr="004969EF" w:rsidRDefault="004969EF" w:rsidP="004969EF">
      <w:pPr>
        <w:rPr>
          <w:rFonts w:ascii="Arial" w:hAnsi="Arial" w:cs="Arial"/>
          <w:sz w:val="22"/>
          <w:szCs w:val="22"/>
        </w:rPr>
      </w:pPr>
    </w:p>
    <w:p w14:paraId="387BB006" w14:textId="78A1746C" w:rsidR="006C0BE9" w:rsidRPr="004969EF" w:rsidRDefault="006C0BE9" w:rsidP="00250E65">
      <w:pPr>
        <w:pStyle w:val="ListParagraph"/>
        <w:numPr>
          <w:ilvl w:val="0"/>
          <w:numId w:val="23"/>
        </w:numPr>
        <w:rPr>
          <w:rFonts w:ascii="Arial" w:hAnsi="Arial" w:cs="Arial"/>
          <w:i/>
          <w:iCs/>
          <w:sz w:val="22"/>
          <w:szCs w:val="22"/>
        </w:rPr>
      </w:pPr>
      <w:r w:rsidRPr="004969EF">
        <w:rPr>
          <w:rFonts w:ascii="Arial" w:hAnsi="Arial" w:cs="Arial"/>
          <w:i/>
          <w:iCs/>
          <w:color w:val="222222"/>
          <w:sz w:val="22"/>
          <w:szCs w:val="22"/>
        </w:rPr>
        <w:t>Strengthening Early ADHD Recognition through Leadership-Supported Reflective Practice in Schools</w:t>
      </w:r>
    </w:p>
    <w:p w14:paraId="44940784" w14:textId="77777777" w:rsidR="006C0BE9" w:rsidRPr="004969EF" w:rsidRDefault="006C0BE9" w:rsidP="004969EF">
      <w:pPr>
        <w:spacing w:line="360" w:lineRule="auto"/>
        <w:jc w:val="both"/>
        <w:rPr>
          <w:rFonts w:ascii="Arial" w:hAnsi="Arial" w:cs="Arial"/>
          <w:color w:val="222222"/>
          <w:sz w:val="22"/>
          <w:szCs w:val="22"/>
        </w:rPr>
      </w:pPr>
    </w:p>
    <w:p w14:paraId="40A9E311" w14:textId="77777777" w:rsidR="00B42A86" w:rsidRPr="004969EF" w:rsidRDefault="006C0BE9" w:rsidP="004969EF">
      <w:pPr>
        <w:spacing w:line="360" w:lineRule="auto"/>
        <w:jc w:val="both"/>
        <w:rPr>
          <w:rFonts w:ascii="Arial" w:hAnsi="Arial" w:cs="Arial"/>
          <w:color w:val="222222"/>
          <w:sz w:val="22"/>
          <w:szCs w:val="22"/>
        </w:rPr>
      </w:pPr>
      <w:r w:rsidRPr="004969EF">
        <w:rPr>
          <w:rFonts w:ascii="Arial" w:hAnsi="Arial" w:cs="Arial"/>
          <w:color w:val="222222"/>
          <w:sz w:val="22"/>
          <w:szCs w:val="22"/>
        </w:rPr>
        <w:t xml:space="preserve">It is recommended that schools implement structured, leadership-supported opportunities for staff to collaboratively review concerns, share knowledge from training and experience, and reflect on behavioural patterns in order to improve the consistency and accuracy of decision-making in early ADHD recognition. </w:t>
      </w:r>
      <w:r w:rsidR="00B42A86" w:rsidRPr="004969EF">
        <w:rPr>
          <w:rFonts w:ascii="Arial" w:hAnsi="Arial" w:cs="Arial"/>
          <w:color w:val="000000"/>
          <w:sz w:val="22"/>
          <w:szCs w:val="22"/>
        </w:rPr>
        <w:t>Reflective practice enables educators to critically examine their interpretations of behaviour and make more informed professional judgements</w:t>
      </w:r>
      <w:r w:rsidR="00B42A86" w:rsidRPr="004969EF">
        <w:rPr>
          <w:rFonts w:ascii="Arial" w:hAnsi="Arial" w:cs="Arial"/>
          <w:color w:val="000000"/>
          <w:sz w:val="22"/>
          <w:szCs w:val="22"/>
        </w:rPr>
        <w:t xml:space="preserve"> </w:t>
      </w:r>
      <w:r w:rsidRPr="004969EF">
        <w:rPr>
          <w:rFonts w:ascii="Arial" w:hAnsi="Arial" w:cs="Arial"/>
          <w:color w:val="222222"/>
          <w:sz w:val="22"/>
          <w:szCs w:val="22"/>
        </w:rPr>
        <w:t>(</w:t>
      </w:r>
      <w:proofErr w:type="spellStart"/>
      <w:r w:rsidRPr="004969EF">
        <w:rPr>
          <w:rFonts w:ascii="Arial" w:hAnsi="Arial" w:cs="Arial"/>
          <w:color w:val="222222"/>
          <w:sz w:val="22"/>
          <w:szCs w:val="22"/>
        </w:rPr>
        <w:t>Machost</w:t>
      </w:r>
      <w:proofErr w:type="spellEnd"/>
      <w:r w:rsidRPr="004969EF">
        <w:rPr>
          <w:rFonts w:ascii="Arial" w:hAnsi="Arial" w:cs="Arial"/>
          <w:color w:val="222222"/>
          <w:sz w:val="22"/>
          <w:szCs w:val="22"/>
        </w:rPr>
        <w:t xml:space="preserve"> and Stains, 2023). This is particularly important in the context of ADHD, where behaviours such as inattention or impulsivity may otherwise be misread as misconduct rather than indicators of underlying need. Kolb’s experiential learning cycle further supports this approach by showing how reflection on experience contributes to improved professional decision-</w:t>
      </w:r>
      <w:r w:rsidRPr="004969EF">
        <w:rPr>
          <w:rFonts w:ascii="Arial" w:hAnsi="Arial" w:cs="Arial"/>
          <w:color w:val="222222"/>
          <w:sz w:val="22"/>
          <w:szCs w:val="22"/>
        </w:rPr>
        <w:lastRenderedPageBreak/>
        <w:t>making over time McLeod, S.A. (2017).</w:t>
      </w:r>
      <w:r w:rsidR="00B42A86" w:rsidRPr="004969EF">
        <w:rPr>
          <w:rFonts w:ascii="Arial" w:hAnsi="Arial" w:cs="Arial"/>
          <w:sz w:val="22"/>
          <w:szCs w:val="22"/>
        </w:rPr>
        <w:t xml:space="preserve"> </w:t>
      </w:r>
      <w:r w:rsidR="00B42A86" w:rsidRPr="004969EF">
        <w:rPr>
          <w:rFonts w:ascii="Arial" w:hAnsi="Arial" w:cs="Arial"/>
          <w:color w:val="000000"/>
          <w:sz w:val="22"/>
          <w:szCs w:val="22"/>
        </w:rPr>
        <w:t>Schools should embed this approach within existing systems</w:t>
      </w:r>
      <w:r w:rsidR="00B42A86" w:rsidRPr="004969EF">
        <w:rPr>
          <w:rFonts w:ascii="Arial" w:hAnsi="Arial" w:cs="Arial"/>
          <w:sz w:val="22"/>
          <w:szCs w:val="22"/>
        </w:rPr>
        <w:t xml:space="preserve"> </w:t>
      </w:r>
      <w:r w:rsidRPr="004969EF">
        <w:rPr>
          <w:rFonts w:ascii="Arial" w:hAnsi="Arial" w:cs="Arial"/>
          <w:color w:val="222222"/>
          <w:sz w:val="22"/>
          <w:szCs w:val="22"/>
        </w:rPr>
        <w:t>through regular staff meetings, SEND reviews, and peer discussions</w:t>
      </w:r>
      <w:r w:rsidR="00B42A86" w:rsidRPr="004969EF">
        <w:rPr>
          <w:rFonts w:ascii="Arial" w:hAnsi="Arial" w:cs="Arial"/>
          <w:color w:val="222222"/>
          <w:sz w:val="22"/>
          <w:szCs w:val="22"/>
        </w:rPr>
        <w:t>. These should be</w:t>
      </w:r>
      <w:r w:rsidRPr="004969EF">
        <w:rPr>
          <w:rFonts w:ascii="Arial" w:hAnsi="Arial" w:cs="Arial"/>
          <w:color w:val="222222"/>
          <w:sz w:val="22"/>
          <w:szCs w:val="22"/>
        </w:rPr>
        <w:t xml:space="preserve"> supported by senior leadership teams. </w:t>
      </w:r>
    </w:p>
    <w:p w14:paraId="4528D221" w14:textId="77777777" w:rsidR="00B42A86" w:rsidRPr="004969EF" w:rsidRDefault="00B42A86" w:rsidP="004969EF">
      <w:pPr>
        <w:spacing w:line="360" w:lineRule="auto"/>
        <w:jc w:val="both"/>
        <w:rPr>
          <w:rFonts w:ascii="Arial" w:hAnsi="Arial" w:cs="Arial"/>
          <w:color w:val="222222"/>
          <w:sz w:val="22"/>
          <w:szCs w:val="22"/>
        </w:rPr>
      </w:pPr>
    </w:p>
    <w:p w14:paraId="7182D98A" w14:textId="5078CBA1" w:rsidR="006C0BE9" w:rsidRPr="004969EF" w:rsidRDefault="006C0BE9" w:rsidP="004969EF">
      <w:pPr>
        <w:spacing w:line="360" w:lineRule="auto"/>
        <w:jc w:val="both"/>
        <w:rPr>
          <w:rFonts w:ascii="Arial" w:hAnsi="Arial" w:cs="Arial"/>
          <w:sz w:val="22"/>
          <w:szCs w:val="22"/>
        </w:rPr>
      </w:pPr>
      <w:r w:rsidRPr="004969EF">
        <w:rPr>
          <w:rFonts w:ascii="Arial" w:hAnsi="Arial" w:cs="Arial"/>
          <w:color w:val="222222"/>
          <w:sz w:val="22"/>
          <w:szCs w:val="22"/>
        </w:rPr>
        <w:t>Leadership plays a central role in shaping school culture and influencing how staff interpret and respond to behaviour, with evidence showing that effective leadership improves both teacher development and pupil outcomes (Day et al., 2010). When leadership promotes collaboration and shared responsibility, staff are more likely to develop consistent approaches to recognising behavioural patterns, reducing variation across classrooms (Zheng et al., 2023). Boyle and Anderson (2025) further emphasise that inclusive practice is a leadership responsibility, requiring schools to actively embed equitable approaches rather than assume consistency will occur naturally.</w:t>
      </w:r>
    </w:p>
    <w:p w14:paraId="43E08223" w14:textId="77777777" w:rsidR="006C0BE9" w:rsidRPr="004969EF" w:rsidRDefault="006C0BE9" w:rsidP="004969EF">
      <w:pPr>
        <w:spacing w:line="360" w:lineRule="auto"/>
        <w:jc w:val="both"/>
        <w:rPr>
          <w:rFonts w:ascii="Arial" w:hAnsi="Arial" w:cs="Arial"/>
          <w:color w:val="222222"/>
          <w:sz w:val="22"/>
          <w:szCs w:val="22"/>
        </w:rPr>
      </w:pPr>
    </w:p>
    <w:p w14:paraId="16ED4E10" w14:textId="77777777" w:rsidR="006C0BE9" w:rsidRPr="004969EF" w:rsidRDefault="006C0BE9" w:rsidP="004969EF">
      <w:pPr>
        <w:spacing w:line="360" w:lineRule="auto"/>
        <w:jc w:val="both"/>
        <w:rPr>
          <w:rFonts w:ascii="Arial" w:hAnsi="Arial" w:cs="Arial"/>
          <w:color w:val="222222"/>
          <w:sz w:val="22"/>
          <w:szCs w:val="22"/>
        </w:rPr>
      </w:pPr>
      <w:r w:rsidRPr="004969EF">
        <w:rPr>
          <w:rFonts w:ascii="Arial" w:hAnsi="Arial" w:cs="Arial"/>
          <w:color w:val="222222"/>
          <w:sz w:val="22"/>
          <w:szCs w:val="22"/>
        </w:rPr>
        <w:t>This recommendation directly responds to the findings, which indicate that early ADHD recognition is often shaped by interpretation rather than objective assessment. Teachers may observe similar behaviours but interpret them differently depending on experience, confidence, and underlying assumptions, leading to inconsistent identification. Research on implicit bias highlights that professional judgement is not neutral, and without structured reflection, educators may rely on ingrained assumptions when interpreting behaviour, particularly for children from different cultural backgrounds (Gonzalez et al., 2021). This is reinforced by wider evidence showing that disparities in educational experience are linked to how behaviour is understood and responded to within systems (Cabinet Office, 2021). Structured collaborative reflection provides an opportunity for these interpretations to be discussed and challenged, reducing the influence of bias and supporting more consistent and equitable recognition practices.</w:t>
      </w:r>
    </w:p>
    <w:p w14:paraId="28D86B05" w14:textId="77777777" w:rsidR="006C0BE9" w:rsidRPr="004969EF" w:rsidRDefault="006C0BE9" w:rsidP="004969EF">
      <w:pPr>
        <w:spacing w:line="360" w:lineRule="auto"/>
        <w:jc w:val="both"/>
        <w:rPr>
          <w:rFonts w:ascii="Arial" w:hAnsi="Arial" w:cs="Arial"/>
          <w:color w:val="222222"/>
          <w:sz w:val="22"/>
          <w:szCs w:val="22"/>
        </w:rPr>
      </w:pPr>
    </w:p>
    <w:p w14:paraId="118E62EE" w14:textId="77777777" w:rsidR="006C0BE9" w:rsidRPr="004969EF" w:rsidRDefault="006C0BE9" w:rsidP="004969EF">
      <w:pPr>
        <w:spacing w:line="360" w:lineRule="auto"/>
        <w:jc w:val="both"/>
        <w:rPr>
          <w:rFonts w:ascii="Arial" w:hAnsi="Arial" w:cs="Arial"/>
          <w:color w:val="222222"/>
          <w:sz w:val="22"/>
          <w:szCs w:val="22"/>
        </w:rPr>
      </w:pPr>
      <w:r w:rsidRPr="004969EF">
        <w:rPr>
          <w:rFonts w:ascii="Arial" w:hAnsi="Arial" w:cs="Arial"/>
          <w:color w:val="222222"/>
          <w:sz w:val="22"/>
          <w:szCs w:val="22"/>
        </w:rPr>
        <w:t>In terms of feasibility, this approach is practical because it builds on existing school structures rather than requiring additional funding or external services. Current policy emphasises the importance of strengthening internal systems and making effective use of available resources within schools (Department for Education, 2022). Embedding reflective practice within scheduled meetings ensures that it becomes part of routine practice rather than an additional burden. This aligns with adaptive teaching approaches, where educators continuously adjust their practice in response to student needs and classroom context (Bach et al., 2024). The SENCo also plays an important role in supporting this process by coordinating provision and ensuring that reflective discussions lead to consistent action across staff (</w:t>
      </w:r>
      <w:proofErr w:type="spellStart"/>
      <w:r w:rsidRPr="004969EF">
        <w:rPr>
          <w:rFonts w:ascii="Arial" w:hAnsi="Arial" w:cs="Arial"/>
          <w:color w:val="222222"/>
          <w:sz w:val="22"/>
          <w:szCs w:val="22"/>
        </w:rPr>
        <w:t>nasen</w:t>
      </w:r>
      <w:proofErr w:type="spellEnd"/>
      <w:r w:rsidRPr="004969EF">
        <w:rPr>
          <w:rFonts w:ascii="Arial" w:hAnsi="Arial" w:cs="Arial"/>
          <w:color w:val="222222"/>
          <w:sz w:val="22"/>
          <w:szCs w:val="22"/>
        </w:rPr>
        <w:t>, no date).</w:t>
      </w:r>
    </w:p>
    <w:p w14:paraId="1E75FC36" w14:textId="77777777" w:rsidR="006C0BE9" w:rsidRPr="004969EF" w:rsidRDefault="006C0BE9" w:rsidP="004969EF">
      <w:pPr>
        <w:spacing w:line="360" w:lineRule="auto"/>
        <w:jc w:val="both"/>
        <w:rPr>
          <w:rFonts w:ascii="Arial" w:hAnsi="Arial" w:cs="Arial"/>
          <w:color w:val="222222"/>
          <w:sz w:val="22"/>
          <w:szCs w:val="22"/>
        </w:rPr>
      </w:pPr>
    </w:p>
    <w:p w14:paraId="2F595C7D" w14:textId="5F9E14B5" w:rsidR="006C0BE9" w:rsidRPr="004969EF" w:rsidRDefault="006C0BE9" w:rsidP="004969EF">
      <w:pPr>
        <w:spacing w:line="360" w:lineRule="auto"/>
        <w:jc w:val="both"/>
        <w:rPr>
          <w:rFonts w:ascii="Arial" w:hAnsi="Arial" w:cs="Arial"/>
          <w:color w:val="222222"/>
          <w:sz w:val="22"/>
          <w:szCs w:val="22"/>
        </w:rPr>
      </w:pPr>
      <w:r w:rsidRPr="004969EF">
        <w:rPr>
          <w:rFonts w:ascii="Arial" w:hAnsi="Arial" w:cs="Arial"/>
          <w:color w:val="222222"/>
          <w:sz w:val="22"/>
          <w:szCs w:val="22"/>
        </w:rPr>
        <w:lastRenderedPageBreak/>
        <w:t>However, several barriers may affect implementation. Resistance to change may arise where staff are accustomed to relying on individual judgement or where existing beliefs about behaviour remain unchallenged, particularly when underlying biases are not openly addressed, as research shows that professional decision-making is often shaped by unconscious assumptions that are difficult to recognise without structured reflection (Gonzalez et al., 2021). In addition, engaging in reflective practice requires staff to question their own interpretations, which can create discomfort and reluctance, particularly where there is fear of making incorrect judgements or being perceived as lacking competence, with reflective learning shown to depend on individuals being willing to engage with uncertainty and critique their own thinking (</w:t>
      </w:r>
      <w:proofErr w:type="spellStart"/>
      <w:r w:rsidRPr="004969EF">
        <w:rPr>
          <w:rFonts w:ascii="Arial" w:hAnsi="Arial" w:cs="Arial"/>
          <w:color w:val="222222"/>
          <w:sz w:val="22"/>
          <w:szCs w:val="22"/>
        </w:rPr>
        <w:t>Machost</w:t>
      </w:r>
      <w:proofErr w:type="spellEnd"/>
      <w:r w:rsidRPr="004969EF">
        <w:rPr>
          <w:rFonts w:ascii="Arial" w:hAnsi="Arial" w:cs="Arial"/>
          <w:color w:val="222222"/>
          <w:sz w:val="22"/>
          <w:szCs w:val="22"/>
        </w:rPr>
        <w:t xml:space="preserve"> and Stains, 2023).</w:t>
      </w:r>
    </w:p>
    <w:p w14:paraId="4E8D5CEA" w14:textId="77777777" w:rsidR="006C0BE9" w:rsidRPr="004969EF" w:rsidRDefault="006C0BE9" w:rsidP="004969EF">
      <w:pPr>
        <w:spacing w:line="360" w:lineRule="auto"/>
        <w:jc w:val="both"/>
        <w:rPr>
          <w:rFonts w:ascii="Arial" w:hAnsi="Arial" w:cs="Arial"/>
          <w:color w:val="222222"/>
          <w:sz w:val="22"/>
          <w:szCs w:val="22"/>
        </w:rPr>
      </w:pPr>
    </w:p>
    <w:p w14:paraId="123DFC15" w14:textId="77777777" w:rsidR="006C0BE9" w:rsidRPr="004969EF" w:rsidRDefault="006C0BE9" w:rsidP="004969EF">
      <w:pPr>
        <w:spacing w:line="360" w:lineRule="auto"/>
        <w:jc w:val="both"/>
        <w:rPr>
          <w:rFonts w:ascii="Arial" w:hAnsi="Arial" w:cs="Arial"/>
          <w:color w:val="222222"/>
          <w:sz w:val="22"/>
          <w:szCs w:val="22"/>
        </w:rPr>
      </w:pPr>
      <w:r w:rsidRPr="004969EF">
        <w:rPr>
          <w:rFonts w:ascii="Arial" w:hAnsi="Arial" w:cs="Arial"/>
          <w:color w:val="222222"/>
          <w:sz w:val="22"/>
          <w:szCs w:val="22"/>
        </w:rPr>
        <w:t>Workload pressures may further limit engagement, as teachers already experience high levels of demand within classroom settings, reducing the time and capacity available for collaborative reflection (Ofsted, 2019). These challenges are reinforced by organisational factors, as staff are less likely to engage in reflective or collaborative practices where leadership does not actively support or model these approaches, highlighting the importance of school culture in shaping professional behaviour and openness to change (</w:t>
      </w:r>
      <w:proofErr w:type="spellStart"/>
      <w:r w:rsidRPr="004969EF">
        <w:rPr>
          <w:rFonts w:ascii="Arial" w:hAnsi="Arial" w:cs="Arial"/>
          <w:color w:val="222222"/>
          <w:sz w:val="22"/>
          <w:szCs w:val="22"/>
        </w:rPr>
        <w:t>Ruge</w:t>
      </w:r>
      <w:proofErr w:type="spellEnd"/>
      <w:r w:rsidRPr="004969EF">
        <w:rPr>
          <w:rFonts w:ascii="Arial" w:hAnsi="Arial" w:cs="Arial"/>
          <w:color w:val="222222"/>
          <w:sz w:val="22"/>
          <w:szCs w:val="22"/>
        </w:rPr>
        <w:t xml:space="preserve"> et al., 2022).</w:t>
      </w:r>
    </w:p>
    <w:p w14:paraId="6EFC6ED8" w14:textId="77777777" w:rsidR="006C0BE9" w:rsidRPr="004969EF" w:rsidRDefault="006C0BE9" w:rsidP="004969EF">
      <w:pPr>
        <w:spacing w:line="360" w:lineRule="auto"/>
        <w:jc w:val="both"/>
        <w:rPr>
          <w:rFonts w:ascii="Arial" w:hAnsi="Arial" w:cs="Arial"/>
          <w:color w:val="222222"/>
          <w:sz w:val="22"/>
          <w:szCs w:val="22"/>
        </w:rPr>
      </w:pPr>
    </w:p>
    <w:p w14:paraId="65353DAB" w14:textId="77777777" w:rsidR="006C0BE9" w:rsidRPr="004969EF" w:rsidRDefault="006C0BE9" w:rsidP="004969EF">
      <w:pPr>
        <w:spacing w:line="360" w:lineRule="auto"/>
        <w:jc w:val="both"/>
        <w:rPr>
          <w:rFonts w:ascii="Arial" w:hAnsi="Arial" w:cs="Arial"/>
          <w:color w:val="222222"/>
          <w:sz w:val="22"/>
          <w:szCs w:val="22"/>
        </w:rPr>
      </w:pPr>
      <w:r w:rsidRPr="004969EF">
        <w:rPr>
          <w:rFonts w:ascii="Arial" w:hAnsi="Arial" w:cs="Arial"/>
          <w:color w:val="222222"/>
          <w:sz w:val="22"/>
          <w:szCs w:val="22"/>
        </w:rPr>
        <w:t>To address these challenges, leadership must actively create a culture of openness, accountability, and continuous professional reflection. This includes embedding structured reflective discussions within existing meetings rather than introducing additional tasks, ensuring that the approach remains manageable within current workloads (Department for Education, 2022). Leadership should also promote psychological safety, allowing staff to question their own interpretations and discuss uncertainty without fear of judgement, which is essential for addressing bias and improving decision-making (</w:t>
      </w:r>
      <w:proofErr w:type="spellStart"/>
      <w:r w:rsidRPr="004969EF">
        <w:rPr>
          <w:rFonts w:ascii="Arial" w:hAnsi="Arial" w:cs="Arial"/>
          <w:color w:val="222222"/>
          <w:sz w:val="22"/>
          <w:szCs w:val="22"/>
        </w:rPr>
        <w:t>Ruge</w:t>
      </w:r>
      <w:proofErr w:type="spellEnd"/>
      <w:r w:rsidRPr="004969EF">
        <w:rPr>
          <w:rFonts w:ascii="Arial" w:hAnsi="Arial" w:cs="Arial"/>
          <w:color w:val="222222"/>
          <w:sz w:val="22"/>
          <w:szCs w:val="22"/>
        </w:rPr>
        <w:t xml:space="preserve"> et al., 2022). Clear expectations, supported by consistent leadership involvement, ensure that reflective practices are embedded within everyday school processes rather than applied inconsistently. By aligning reflective practice with leadership accountability and existing school structures, this approach becomes sustainable and capable of improving both the accuracy and equity of early ADHD recognition.</w:t>
      </w:r>
    </w:p>
    <w:p w14:paraId="61146647" w14:textId="77777777" w:rsidR="00AE66C4" w:rsidRPr="004969EF" w:rsidRDefault="00AE66C4" w:rsidP="004969EF">
      <w:pPr>
        <w:pStyle w:val="Heading1"/>
        <w:spacing w:line="360" w:lineRule="auto"/>
        <w:ind w:left="0"/>
        <w:jc w:val="both"/>
        <w:rPr>
          <w:rFonts w:cs="Arial"/>
          <w:sz w:val="22"/>
          <w:szCs w:val="22"/>
        </w:rPr>
      </w:pPr>
    </w:p>
    <w:p w14:paraId="61CD43C9" w14:textId="77777777" w:rsidR="00211184" w:rsidRPr="004969EF" w:rsidRDefault="00211184" w:rsidP="004969EF">
      <w:pPr>
        <w:spacing w:line="360" w:lineRule="auto"/>
        <w:jc w:val="both"/>
        <w:rPr>
          <w:rFonts w:ascii="Arial" w:hAnsi="Arial" w:cs="Arial"/>
          <w:sz w:val="22"/>
          <w:szCs w:val="22"/>
        </w:rPr>
      </w:pPr>
    </w:p>
    <w:p w14:paraId="020B1B1C" w14:textId="77777777" w:rsidR="000400E4" w:rsidRPr="004969EF" w:rsidRDefault="000400E4" w:rsidP="004969EF">
      <w:pPr>
        <w:spacing w:line="360" w:lineRule="auto"/>
        <w:jc w:val="both"/>
        <w:rPr>
          <w:rFonts w:ascii="Arial" w:hAnsi="Arial" w:cs="Arial"/>
          <w:sz w:val="22"/>
          <w:szCs w:val="22"/>
        </w:rPr>
      </w:pPr>
    </w:p>
    <w:p w14:paraId="65F969F3" w14:textId="77777777" w:rsidR="000400E4" w:rsidRPr="004969EF" w:rsidRDefault="000400E4" w:rsidP="004969EF">
      <w:pPr>
        <w:spacing w:line="360" w:lineRule="auto"/>
        <w:jc w:val="both"/>
        <w:rPr>
          <w:rFonts w:ascii="Arial" w:hAnsi="Arial" w:cs="Arial"/>
          <w:sz w:val="22"/>
          <w:szCs w:val="22"/>
        </w:rPr>
      </w:pPr>
    </w:p>
    <w:p w14:paraId="59D70DFF" w14:textId="7391085A" w:rsidR="000400E4" w:rsidRPr="004969EF" w:rsidRDefault="000400E4" w:rsidP="004969EF">
      <w:pPr>
        <w:spacing w:line="360" w:lineRule="auto"/>
        <w:jc w:val="both"/>
        <w:rPr>
          <w:rFonts w:ascii="Arial" w:hAnsi="Arial" w:cs="Arial"/>
          <w:sz w:val="22"/>
          <w:szCs w:val="22"/>
        </w:rPr>
      </w:pPr>
    </w:p>
    <w:p w14:paraId="1DFA6859" w14:textId="2A81D75B" w:rsidR="00934B10" w:rsidRPr="004969EF" w:rsidRDefault="00934B10" w:rsidP="004969EF">
      <w:pPr>
        <w:spacing w:line="360" w:lineRule="auto"/>
        <w:jc w:val="both"/>
        <w:rPr>
          <w:rFonts w:ascii="Arial" w:hAnsi="Arial" w:cs="Arial"/>
          <w:sz w:val="22"/>
          <w:szCs w:val="22"/>
        </w:rPr>
      </w:pPr>
    </w:p>
    <w:p w14:paraId="522F7A4D" w14:textId="0273B750" w:rsidR="00934B10" w:rsidRPr="004969EF" w:rsidRDefault="00934B10" w:rsidP="004969EF">
      <w:pPr>
        <w:spacing w:line="360" w:lineRule="auto"/>
        <w:jc w:val="both"/>
        <w:rPr>
          <w:rFonts w:ascii="Arial" w:hAnsi="Arial" w:cs="Arial"/>
          <w:sz w:val="22"/>
          <w:szCs w:val="22"/>
        </w:rPr>
      </w:pPr>
    </w:p>
    <w:p w14:paraId="2C4C3BA6" w14:textId="03992302" w:rsidR="00934B10" w:rsidRPr="004969EF" w:rsidRDefault="00934B10" w:rsidP="004969EF">
      <w:pPr>
        <w:spacing w:line="360" w:lineRule="auto"/>
        <w:jc w:val="both"/>
        <w:rPr>
          <w:rFonts w:ascii="Arial" w:hAnsi="Arial" w:cs="Arial"/>
          <w:sz w:val="22"/>
          <w:szCs w:val="22"/>
        </w:rPr>
      </w:pPr>
    </w:p>
    <w:p w14:paraId="24E0A3B9" w14:textId="58F5B930" w:rsidR="00934B10" w:rsidRPr="004969EF" w:rsidRDefault="00934B10" w:rsidP="004969EF">
      <w:pPr>
        <w:spacing w:line="360" w:lineRule="auto"/>
        <w:jc w:val="both"/>
        <w:rPr>
          <w:rFonts w:ascii="Arial" w:hAnsi="Arial" w:cs="Arial"/>
          <w:sz w:val="22"/>
          <w:szCs w:val="22"/>
        </w:rPr>
      </w:pPr>
    </w:p>
    <w:p w14:paraId="65CE3D21" w14:textId="340BFAE6" w:rsidR="00934B10" w:rsidRPr="004969EF" w:rsidRDefault="00934B10" w:rsidP="004969EF">
      <w:pPr>
        <w:spacing w:line="360" w:lineRule="auto"/>
        <w:jc w:val="both"/>
        <w:rPr>
          <w:rFonts w:ascii="Arial" w:hAnsi="Arial" w:cs="Arial"/>
          <w:sz w:val="22"/>
          <w:szCs w:val="22"/>
        </w:rPr>
      </w:pPr>
    </w:p>
    <w:p w14:paraId="4AA51036" w14:textId="77777777" w:rsidR="00934B10" w:rsidRPr="004969EF" w:rsidRDefault="00934B10" w:rsidP="004969EF">
      <w:pPr>
        <w:spacing w:line="360" w:lineRule="auto"/>
        <w:jc w:val="both"/>
        <w:rPr>
          <w:rFonts w:ascii="Arial" w:hAnsi="Arial" w:cs="Arial"/>
          <w:sz w:val="22"/>
          <w:szCs w:val="22"/>
        </w:rPr>
      </w:pPr>
    </w:p>
    <w:p w14:paraId="2EE69DD1" w14:textId="77777777" w:rsidR="00211184" w:rsidRPr="004969EF" w:rsidRDefault="00211184" w:rsidP="004969EF">
      <w:pPr>
        <w:spacing w:line="360" w:lineRule="auto"/>
        <w:jc w:val="both"/>
        <w:rPr>
          <w:rFonts w:ascii="Arial" w:hAnsi="Arial" w:cs="Arial"/>
          <w:sz w:val="22"/>
          <w:szCs w:val="22"/>
        </w:rPr>
      </w:pPr>
    </w:p>
    <w:p w14:paraId="3C7AA80C" w14:textId="2F82E7D4" w:rsidR="00621776" w:rsidRPr="004969EF" w:rsidRDefault="00621776" w:rsidP="004969EF">
      <w:pPr>
        <w:pStyle w:val="Heading1"/>
        <w:spacing w:line="360" w:lineRule="auto"/>
        <w:ind w:left="0"/>
        <w:jc w:val="both"/>
        <w:rPr>
          <w:rFonts w:cs="Arial"/>
          <w:sz w:val="22"/>
          <w:szCs w:val="22"/>
        </w:rPr>
      </w:pPr>
      <w:bookmarkStart w:id="24" w:name="_Toc226379381"/>
      <w:r w:rsidRPr="004969EF">
        <w:rPr>
          <w:rFonts w:cs="Arial"/>
          <w:sz w:val="22"/>
          <w:szCs w:val="22"/>
        </w:rPr>
        <w:t>6.1 – References</w:t>
      </w:r>
      <w:bookmarkEnd w:id="24"/>
      <w:r w:rsidRPr="004969EF">
        <w:rPr>
          <w:rFonts w:cs="Arial"/>
          <w:sz w:val="22"/>
          <w:szCs w:val="22"/>
        </w:rPr>
        <w:t xml:space="preserve"> </w:t>
      </w:r>
    </w:p>
    <w:p w14:paraId="4C048A9B" w14:textId="654626EF" w:rsidR="00AA5DED" w:rsidRPr="004969EF" w:rsidRDefault="00AA5DED" w:rsidP="004969EF">
      <w:pPr>
        <w:pStyle w:val="Heading1"/>
        <w:spacing w:line="360" w:lineRule="auto"/>
        <w:ind w:left="0"/>
        <w:jc w:val="both"/>
        <w:rPr>
          <w:rFonts w:cs="Arial"/>
          <w:sz w:val="22"/>
          <w:szCs w:val="22"/>
        </w:rPr>
      </w:pPr>
    </w:p>
    <w:p w14:paraId="627326E7" w14:textId="77777777" w:rsidR="00AA5DED" w:rsidRPr="00AA5DED" w:rsidRDefault="00AA5DED" w:rsidP="004969EF">
      <w:pPr>
        <w:spacing w:line="360" w:lineRule="auto"/>
        <w:jc w:val="both"/>
        <w:rPr>
          <w:rFonts w:ascii="Arial" w:hAnsi="Arial" w:cs="Arial"/>
          <w:color w:val="222222"/>
          <w:sz w:val="22"/>
          <w:szCs w:val="22"/>
        </w:rPr>
      </w:pPr>
      <w:proofErr w:type="spellStart"/>
      <w:r w:rsidRPr="00AA5DED">
        <w:rPr>
          <w:rFonts w:ascii="Arial" w:hAnsi="Arial" w:cs="Arial"/>
          <w:color w:val="222222"/>
          <w:sz w:val="22"/>
          <w:szCs w:val="22"/>
        </w:rPr>
        <w:t>Alyafei</w:t>
      </w:r>
      <w:proofErr w:type="spellEnd"/>
      <w:r w:rsidRPr="00AA5DED">
        <w:rPr>
          <w:rFonts w:ascii="Arial" w:hAnsi="Arial" w:cs="Arial"/>
          <w:color w:val="222222"/>
          <w:sz w:val="22"/>
          <w:szCs w:val="22"/>
        </w:rPr>
        <w:t xml:space="preserve">, A. (2024) The health belief model of </w:t>
      </w:r>
      <w:proofErr w:type="spellStart"/>
      <w:r w:rsidRPr="00AA5DED">
        <w:rPr>
          <w:rFonts w:ascii="Arial" w:hAnsi="Arial" w:cs="Arial"/>
          <w:color w:val="222222"/>
          <w:sz w:val="22"/>
          <w:szCs w:val="22"/>
        </w:rPr>
        <w:t>behavior</w:t>
      </w:r>
      <w:proofErr w:type="spellEnd"/>
      <w:r w:rsidRPr="00AA5DED">
        <w:rPr>
          <w:rFonts w:ascii="Arial" w:hAnsi="Arial" w:cs="Arial"/>
          <w:color w:val="222222"/>
          <w:sz w:val="22"/>
          <w:szCs w:val="22"/>
        </w:rPr>
        <w:t xml:space="preserve"> change. In: </w:t>
      </w:r>
      <w:proofErr w:type="spellStart"/>
      <w:r w:rsidRPr="00AA5DED">
        <w:rPr>
          <w:rFonts w:ascii="Arial" w:hAnsi="Arial" w:cs="Arial"/>
          <w:color w:val="222222"/>
          <w:sz w:val="22"/>
          <w:szCs w:val="22"/>
        </w:rPr>
        <w:t>StatPearls</w:t>
      </w:r>
      <w:proofErr w:type="spellEnd"/>
      <w:r w:rsidRPr="00AA5DED">
        <w:rPr>
          <w:rFonts w:ascii="Arial" w:hAnsi="Arial" w:cs="Arial"/>
          <w:color w:val="222222"/>
          <w:sz w:val="22"/>
          <w:szCs w:val="22"/>
        </w:rPr>
        <w:t>. Available at: </w:t>
      </w:r>
      <w:hyperlink r:id="rId10" w:tgtFrame="_blank" w:history="1">
        <w:r w:rsidRPr="00AA5DED">
          <w:rPr>
            <w:rFonts w:ascii="Arial" w:hAnsi="Arial" w:cs="Arial"/>
            <w:color w:val="1155CC"/>
            <w:sz w:val="22"/>
            <w:szCs w:val="22"/>
            <w:u w:val="single"/>
          </w:rPr>
          <w:t>https://www.ncbi.nlm.nih.gov/books/NBK606120/</w:t>
        </w:r>
      </w:hyperlink>
      <w:r w:rsidRPr="00AA5DED">
        <w:rPr>
          <w:rFonts w:ascii="Segoe UI Symbol" w:hAnsi="Segoe UI Symbol" w:cs="Segoe UI Symbol"/>
          <w:color w:val="222222"/>
          <w:sz w:val="22"/>
          <w:szCs w:val="22"/>
        </w:rPr>
        <w:t>⁠</w:t>
      </w:r>
      <w:r w:rsidRPr="00AA5DED">
        <w:rPr>
          <w:rFonts w:ascii="Arial" w:hAnsi="Arial" w:cs="Arial"/>
          <w:color w:val="222222"/>
          <w:sz w:val="22"/>
          <w:szCs w:val="22"/>
        </w:rPr>
        <w:t xml:space="preserve">(Accessed: </w:t>
      </w:r>
      <w:r w:rsidRPr="004969EF">
        <w:rPr>
          <w:rFonts w:ascii="Arial" w:hAnsi="Arial" w:cs="Arial"/>
          <w:color w:val="222222"/>
          <w:sz w:val="22"/>
          <w:szCs w:val="22"/>
        </w:rPr>
        <w:t>26 March</w:t>
      </w:r>
      <w:r w:rsidRPr="00AA5DED">
        <w:rPr>
          <w:rFonts w:ascii="Arial" w:hAnsi="Arial" w:cs="Arial"/>
          <w:color w:val="222222"/>
          <w:sz w:val="22"/>
          <w:szCs w:val="22"/>
        </w:rPr>
        <w:t xml:space="preserve"> 2026).</w:t>
      </w:r>
    </w:p>
    <w:p w14:paraId="76A8612D" w14:textId="77777777" w:rsidR="00AA5DED" w:rsidRPr="00AA5DED" w:rsidRDefault="00AA5DED" w:rsidP="004969EF">
      <w:pPr>
        <w:spacing w:line="360" w:lineRule="auto"/>
        <w:jc w:val="both"/>
        <w:rPr>
          <w:rFonts w:ascii="Arial" w:hAnsi="Arial" w:cs="Arial"/>
          <w:color w:val="222222"/>
          <w:sz w:val="22"/>
          <w:szCs w:val="22"/>
        </w:rPr>
      </w:pPr>
    </w:p>
    <w:p w14:paraId="34A505D1" w14:textId="77777777" w:rsidR="00AA5DED" w:rsidRPr="00AA5DED" w:rsidRDefault="00AA5DED" w:rsidP="004969EF">
      <w:pPr>
        <w:spacing w:line="360" w:lineRule="auto"/>
        <w:jc w:val="both"/>
        <w:rPr>
          <w:rFonts w:ascii="Arial" w:hAnsi="Arial" w:cs="Arial"/>
          <w:color w:val="222222"/>
          <w:sz w:val="22"/>
          <w:szCs w:val="22"/>
        </w:rPr>
      </w:pPr>
      <w:proofErr w:type="spellStart"/>
      <w:r w:rsidRPr="00AA5DED">
        <w:rPr>
          <w:rFonts w:ascii="Arial" w:hAnsi="Arial" w:cs="Arial"/>
          <w:color w:val="222222"/>
          <w:sz w:val="22"/>
          <w:szCs w:val="22"/>
        </w:rPr>
        <w:t>Bosnjak</w:t>
      </w:r>
      <w:proofErr w:type="spellEnd"/>
      <w:r w:rsidRPr="00AA5DED">
        <w:rPr>
          <w:rFonts w:ascii="Arial" w:hAnsi="Arial" w:cs="Arial"/>
          <w:color w:val="222222"/>
          <w:sz w:val="22"/>
          <w:szCs w:val="22"/>
        </w:rPr>
        <w:t xml:space="preserve">, M., Ajzen, I. and Schmidt, P. (2020) ‘The theory of planned </w:t>
      </w:r>
      <w:proofErr w:type="spellStart"/>
      <w:r w:rsidRPr="00AA5DED">
        <w:rPr>
          <w:rFonts w:ascii="Arial" w:hAnsi="Arial" w:cs="Arial"/>
          <w:color w:val="222222"/>
          <w:sz w:val="22"/>
          <w:szCs w:val="22"/>
        </w:rPr>
        <w:t>behavior</w:t>
      </w:r>
      <w:proofErr w:type="spellEnd"/>
      <w:r w:rsidRPr="00AA5DED">
        <w:rPr>
          <w:rFonts w:ascii="Arial" w:hAnsi="Arial" w:cs="Arial"/>
          <w:color w:val="222222"/>
          <w:sz w:val="22"/>
          <w:szCs w:val="22"/>
        </w:rPr>
        <w:t>: Selected recent advances and applications’, Psychology &amp; Health. Available at: </w:t>
      </w:r>
      <w:hyperlink r:id="rId11" w:tgtFrame="_blank" w:history="1">
        <w:r w:rsidRPr="00AA5DED">
          <w:rPr>
            <w:rFonts w:ascii="Arial" w:hAnsi="Arial" w:cs="Arial"/>
            <w:color w:val="1155CC"/>
            <w:sz w:val="22"/>
            <w:szCs w:val="22"/>
            <w:u w:val="single"/>
          </w:rPr>
          <w:t>https://pmc.ncbi.nlm.nih.gov/articles/PMC7909498/</w:t>
        </w:r>
      </w:hyperlink>
      <w:r w:rsidRPr="00AA5DED">
        <w:rPr>
          <w:rFonts w:ascii="Segoe UI Symbol" w:hAnsi="Segoe UI Symbol" w:cs="Segoe UI Symbol"/>
          <w:color w:val="222222"/>
          <w:sz w:val="22"/>
          <w:szCs w:val="22"/>
        </w:rPr>
        <w:t>⁠</w:t>
      </w:r>
      <w:r w:rsidRPr="00AA5DED">
        <w:rPr>
          <w:rFonts w:ascii="Arial" w:hAnsi="Arial" w:cs="Arial"/>
          <w:color w:val="222222"/>
          <w:sz w:val="22"/>
          <w:szCs w:val="22"/>
        </w:rPr>
        <w:t xml:space="preserve"> (Accessed: </w:t>
      </w:r>
      <w:r w:rsidRPr="004969EF">
        <w:rPr>
          <w:rFonts w:ascii="Arial" w:hAnsi="Arial" w:cs="Arial"/>
          <w:color w:val="222222"/>
          <w:sz w:val="22"/>
          <w:szCs w:val="22"/>
        </w:rPr>
        <w:t>24 March</w:t>
      </w:r>
      <w:r w:rsidRPr="00AA5DED">
        <w:rPr>
          <w:rFonts w:ascii="Arial" w:hAnsi="Arial" w:cs="Arial"/>
          <w:color w:val="222222"/>
          <w:sz w:val="22"/>
          <w:szCs w:val="22"/>
        </w:rPr>
        <w:t xml:space="preserve"> 2026).</w:t>
      </w:r>
    </w:p>
    <w:p w14:paraId="39DCF02D" w14:textId="77777777" w:rsidR="00AA5DED" w:rsidRPr="00AA5DED" w:rsidRDefault="00AA5DED" w:rsidP="004969EF">
      <w:pPr>
        <w:spacing w:line="360" w:lineRule="auto"/>
        <w:jc w:val="both"/>
        <w:rPr>
          <w:rFonts w:ascii="Arial" w:hAnsi="Arial" w:cs="Arial"/>
          <w:color w:val="222222"/>
          <w:sz w:val="22"/>
          <w:szCs w:val="22"/>
        </w:rPr>
      </w:pPr>
    </w:p>
    <w:p w14:paraId="6BF6D299" w14:textId="77777777" w:rsidR="00AA5DED" w:rsidRPr="00AA5DED" w:rsidRDefault="00AA5DED" w:rsidP="004969EF">
      <w:pPr>
        <w:spacing w:line="360" w:lineRule="auto"/>
        <w:jc w:val="both"/>
        <w:rPr>
          <w:rFonts w:ascii="Arial" w:hAnsi="Arial" w:cs="Arial"/>
          <w:color w:val="222222"/>
          <w:sz w:val="22"/>
          <w:szCs w:val="22"/>
        </w:rPr>
      </w:pPr>
      <w:proofErr w:type="spellStart"/>
      <w:r w:rsidRPr="00AA5DED">
        <w:rPr>
          <w:rFonts w:ascii="Arial" w:hAnsi="Arial" w:cs="Arial"/>
          <w:color w:val="222222"/>
          <w:sz w:val="22"/>
          <w:szCs w:val="22"/>
        </w:rPr>
        <w:t>Hulsizer</w:t>
      </w:r>
      <w:proofErr w:type="spellEnd"/>
      <w:r w:rsidRPr="00AA5DED">
        <w:rPr>
          <w:rFonts w:ascii="Arial" w:hAnsi="Arial" w:cs="Arial"/>
          <w:color w:val="222222"/>
          <w:sz w:val="22"/>
          <w:szCs w:val="22"/>
        </w:rPr>
        <w:t xml:space="preserve">, B. and </w:t>
      </w:r>
      <w:proofErr w:type="spellStart"/>
      <w:r w:rsidRPr="00AA5DED">
        <w:rPr>
          <w:rFonts w:ascii="Arial" w:hAnsi="Arial" w:cs="Arial"/>
          <w:color w:val="222222"/>
          <w:sz w:val="22"/>
          <w:szCs w:val="22"/>
        </w:rPr>
        <w:t>Passaro</w:t>
      </w:r>
      <w:proofErr w:type="spellEnd"/>
      <w:r w:rsidRPr="00AA5DED">
        <w:rPr>
          <w:rFonts w:ascii="Arial" w:hAnsi="Arial" w:cs="Arial"/>
          <w:color w:val="222222"/>
          <w:sz w:val="22"/>
          <w:szCs w:val="22"/>
        </w:rPr>
        <w:t>, F. (2025) ‘My socials told me I have ADHD: A cross-sectional study of information about ADHD symptomatology on social media’, Journal of Social Media Research, 2(3), pp. 211–225. Available at: </w:t>
      </w:r>
      <w:hyperlink r:id="rId12" w:tgtFrame="_blank" w:history="1">
        <w:r w:rsidRPr="00AA5DED">
          <w:rPr>
            <w:rFonts w:ascii="Arial" w:hAnsi="Arial" w:cs="Arial"/>
            <w:color w:val="1155CC"/>
            <w:sz w:val="22"/>
            <w:szCs w:val="22"/>
            <w:u w:val="single"/>
          </w:rPr>
          <w:t>https://jsomer.org/</w:t>
        </w:r>
        <w:proofErr w:type="spellStart"/>
        <w:r w:rsidRPr="00AA5DED">
          <w:rPr>
            <w:rFonts w:ascii="Arial" w:hAnsi="Arial" w:cs="Arial"/>
            <w:color w:val="1155CC"/>
            <w:sz w:val="22"/>
            <w:szCs w:val="22"/>
            <w:u w:val="single"/>
          </w:rPr>
          <w:t>index.php</w:t>
        </w:r>
        <w:proofErr w:type="spellEnd"/>
        <w:r w:rsidRPr="00AA5DED">
          <w:rPr>
            <w:rFonts w:ascii="Arial" w:hAnsi="Arial" w:cs="Arial"/>
            <w:color w:val="1155CC"/>
            <w:sz w:val="22"/>
            <w:szCs w:val="22"/>
            <w:u w:val="single"/>
          </w:rPr>
          <w:t>/pub/article/view/29</w:t>
        </w:r>
      </w:hyperlink>
      <w:r w:rsidRPr="00AA5DED">
        <w:rPr>
          <w:rFonts w:ascii="Segoe UI Symbol" w:hAnsi="Segoe UI Symbol" w:cs="Segoe UI Symbol"/>
          <w:color w:val="222222"/>
          <w:sz w:val="22"/>
          <w:szCs w:val="22"/>
        </w:rPr>
        <w:t>⁠</w:t>
      </w:r>
      <w:r w:rsidRPr="00AA5DED">
        <w:rPr>
          <w:rFonts w:ascii="Arial" w:hAnsi="Arial" w:cs="Arial"/>
          <w:color w:val="222222"/>
          <w:sz w:val="22"/>
          <w:szCs w:val="22"/>
        </w:rPr>
        <w:t xml:space="preserve"> (Accessed: </w:t>
      </w:r>
      <w:r w:rsidRPr="004969EF">
        <w:rPr>
          <w:rFonts w:ascii="Arial" w:hAnsi="Arial" w:cs="Arial"/>
          <w:color w:val="222222"/>
          <w:sz w:val="22"/>
          <w:szCs w:val="22"/>
        </w:rPr>
        <w:t>29 March</w:t>
      </w:r>
      <w:r w:rsidRPr="00AA5DED">
        <w:rPr>
          <w:rFonts w:ascii="Arial" w:hAnsi="Arial" w:cs="Arial"/>
          <w:color w:val="222222"/>
          <w:sz w:val="22"/>
          <w:szCs w:val="22"/>
        </w:rPr>
        <w:t xml:space="preserve"> 2026).</w:t>
      </w:r>
    </w:p>
    <w:p w14:paraId="76FA3921" w14:textId="77777777" w:rsidR="00AA5DED" w:rsidRPr="00AA5DED" w:rsidRDefault="00AA5DED" w:rsidP="004969EF">
      <w:pPr>
        <w:spacing w:line="360" w:lineRule="auto"/>
        <w:jc w:val="both"/>
        <w:rPr>
          <w:rFonts w:ascii="Arial" w:hAnsi="Arial" w:cs="Arial"/>
          <w:color w:val="222222"/>
          <w:sz w:val="22"/>
          <w:szCs w:val="22"/>
        </w:rPr>
      </w:pPr>
    </w:p>
    <w:p w14:paraId="786EA96F" w14:textId="77777777" w:rsidR="00AA5DED" w:rsidRP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Local Government Association (2023) Understanding health literacy: empowering communities. Available at: </w:t>
      </w:r>
      <w:hyperlink r:id="rId13" w:tgtFrame="_blank" w:history="1">
        <w:r w:rsidRPr="00AA5DED">
          <w:rPr>
            <w:rFonts w:ascii="Arial" w:hAnsi="Arial" w:cs="Arial"/>
            <w:color w:val="1155CC"/>
            <w:sz w:val="22"/>
            <w:szCs w:val="22"/>
            <w:u w:val="single"/>
          </w:rPr>
          <w:t>https://www.local.gov.uk/topics/social-care-health-and-integration/understanding-health-literacy-empowering-communities</w:t>
        </w:r>
      </w:hyperlink>
      <w:r w:rsidRPr="00AA5DED">
        <w:rPr>
          <w:rFonts w:ascii="Segoe UI Symbol" w:hAnsi="Segoe UI Symbol" w:cs="Segoe UI Symbol"/>
          <w:color w:val="222222"/>
          <w:sz w:val="22"/>
          <w:szCs w:val="22"/>
        </w:rPr>
        <w:t>⁠</w:t>
      </w:r>
      <w:r w:rsidRPr="00AA5DED">
        <w:rPr>
          <w:rFonts w:ascii="Arial" w:hAnsi="Arial" w:cs="Arial"/>
          <w:color w:val="222222"/>
          <w:sz w:val="22"/>
          <w:szCs w:val="22"/>
        </w:rPr>
        <w:t xml:space="preserve"> (Accessed: </w:t>
      </w:r>
      <w:r w:rsidRPr="004969EF">
        <w:rPr>
          <w:rFonts w:ascii="Arial" w:hAnsi="Arial" w:cs="Arial"/>
          <w:color w:val="222222"/>
          <w:sz w:val="22"/>
          <w:szCs w:val="22"/>
        </w:rPr>
        <w:t>25 March</w:t>
      </w:r>
      <w:r w:rsidRPr="00AA5DED">
        <w:rPr>
          <w:rFonts w:ascii="Arial" w:hAnsi="Arial" w:cs="Arial"/>
          <w:color w:val="222222"/>
          <w:sz w:val="22"/>
          <w:szCs w:val="22"/>
        </w:rPr>
        <w:t xml:space="preserve"> 2026).</w:t>
      </w:r>
    </w:p>
    <w:p w14:paraId="486710AB" w14:textId="77777777" w:rsidR="00AA5DED" w:rsidRPr="00AA5DED" w:rsidRDefault="00AA5DED" w:rsidP="004969EF">
      <w:pPr>
        <w:spacing w:line="360" w:lineRule="auto"/>
        <w:jc w:val="both"/>
        <w:rPr>
          <w:rFonts w:ascii="Arial" w:hAnsi="Arial" w:cs="Arial"/>
          <w:color w:val="222222"/>
          <w:sz w:val="22"/>
          <w:szCs w:val="22"/>
        </w:rPr>
      </w:pPr>
    </w:p>
    <w:p w14:paraId="34F74803" w14:textId="77777777" w:rsidR="00AA5DED" w:rsidRP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 xml:space="preserve">Müller, J., Alt, F., </w:t>
      </w:r>
      <w:proofErr w:type="spellStart"/>
      <w:r w:rsidRPr="00AA5DED">
        <w:rPr>
          <w:rFonts w:ascii="Arial" w:hAnsi="Arial" w:cs="Arial"/>
          <w:color w:val="222222"/>
          <w:sz w:val="22"/>
          <w:szCs w:val="22"/>
        </w:rPr>
        <w:t>Michelis</w:t>
      </w:r>
      <w:proofErr w:type="spellEnd"/>
      <w:r w:rsidRPr="00AA5DED">
        <w:rPr>
          <w:rFonts w:ascii="Arial" w:hAnsi="Arial" w:cs="Arial"/>
          <w:color w:val="222222"/>
          <w:sz w:val="22"/>
          <w:szCs w:val="22"/>
        </w:rPr>
        <w:t>, D. and Schmidt, A. (2014) ‘Requirements and design space for interactive public displays’, Proceedings of the ACM International Conference on Interactive Tabletops and Surfaces. Available at: </w:t>
      </w:r>
      <w:hyperlink r:id="rId14" w:tgtFrame="_blank" w:history="1">
        <w:r w:rsidRPr="00AA5DED">
          <w:rPr>
            <w:rFonts w:ascii="Arial" w:hAnsi="Arial" w:cs="Arial"/>
            <w:color w:val="1155CC"/>
            <w:sz w:val="22"/>
            <w:szCs w:val="22"/>
            <w:u w:val="single"/>
          </w:rPr>
          <w:t>https://dl.acm.org/</w:t>
        </w:r>
        <w:proofErr w:type="spellStart"/>
        <w:r w:rsidRPr="00AA5DED">
          <w:rPr>
            <w:rFonts w:ascii="Arial" w:hAnsi="Arial" w:cs="Arial"/>
            <w:color w:val="1155CC"/>
            <w:sz w:val="22"/>
            <w:szCs w:val="22"/>
            <w:u w:val="single"/>
          </w:rPr>
          <w:t>doi</w:t>
        </w:r>
        <w:proofErr w:type="spellEnd"/>
        <w:r w:rsidRPr="00AA5DED">
          <w:rPr>
            <w:rFonts w:ascii="Arial" w:hAnsi="Arial" w:cs="Arial"/>
            <w:color w:val="1155CC"/>
            <w:sz w:val="22"/>
            <w:szCs w:val="22"/>
            <w:u w:val="single"/>
          </w:rPr>
          <w:t>/10.1145/2611009.2611020</w:t>
        </w:r>
      </w:hyperlink>
      <w:r w:rsidRPr="00AA5DED">
        <w:rPr>
          <w:rFonts w:ascii="Segoe UI Symbol" w:hAnsi="Segoe UI Symbol" w:cs="Segoe UI Symbol"/>
          <w:color w:val="222222"/>
          <w:sz w:val="22"/>
          <w:szCs w:val="22"/>
        </w:rPr>
        <w:t>⁠</w:t>
      </w:r>
      <w:r w:rsidRPr="00AA5DED">
        <w:rPr>
          <w:rFonts w:ascii="Arial" w:hAnsi="Arial" w:cs="Arial"/>
          <w:color w:val="222222"/>
          <w:sz w:val="22"/>
          <w:szCs w:val="22"/>
        </w:rPr>
        <w:t xml:space="preserve"> (Accessed: </w:t>
      </w:r>
      <w:r w:rsidRPr="004969EF">
        <w:rPr>
          <w:rFonts w:ascii="Arial" w:hAnsi="Arial" w:cs="Arial"/>
          <w:color w:val="222222"/>
          <w:sz w:val="22"/>
          <w:szCs w:val="22"/>
        </w:rPr>
        <w:t>26 March</w:t>
      </w:r>
      <w:r w:rsidRPr="00AA5DED">
        <w:rPr>
          <w:rFonts w:ascii="Arial" w:hAnsi="Arial" w:cs="Arial"/>
          <w:color w:val="222222"/>
          <w:sz w:val="22"/>
          <w:szCs w:val="22"/>
        </w:rPr>
        <w:t xml:space="preserve"> 2026).</w:t>
      </w:r>
    </w:p>
    <w:p w14:paraId="0D927768" w14:textId="77777777" w:rsidR="00AA5DED" w:rsidRPr="00AA5DED" w:rsidRDefault="00AA5DED" w:rsidP="004969EF">
      <w:pPr>
        <w:spacing w:line="360" w:lineRule="auto"/>
        <w:jc w:val="both"/>
        <w:rPr>
          <w:rFonts w:ascii="Arial" w:hAnsi="Arial" w:cs="Arial"/>
          <w:color w:val="222222"/>
          <w:sz w:val="22"/>
          <w:szCs w:val="22"/>
        </w:rPr>
      </w:pPr>
    </w:p>
    <w:p w14:paraId="46FB7BDD" w14:textId="77777777" w:rsidR="00AA5DED" w:rsidRP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NHS England (2024) Campaign partnerships. Available at: </w:t>
      </w:r>
      <w:hyperlink r:id="rId15" w:tgtFrame="_blank" w:history="1">
        <w:r w:rsidRPr="00AA5DED">
          <w:rPr>
            <w:rFonts w:ascii="Arial" w:hAnsi="Arial" w:cs="Arial"/>
            <w:color w:val="1155CC"/>
            <w:sz w:val="22"/>
            <w:szCs w:val="22"/>
            <w:u w:val="single"/>
          </w:rPr>
          <w:t>https://www.england.nhs.uk/campaign-partnerships/</w:t>
        </w:r>
      </w:hyperlink>
      <w:r w:rsidRPr="00AA5DED">
        <w:rPr>
          <w:rFonts w:ascii="Segoe UI Symbol" w:hAnsi="Segoe UI Symbol" w:cs="Segoe UI Symbol"/>
          <w:color w:val="222222"/>
          <w:sz w:val="22"/>
          <w:szCs w:val="22"/>
        </w:rPr>
        <w:t>⁠</w:t>
      </w:r>
      <w:r w:rsidRPr="00AA5DED">
        <w:rPr>
          <w:rFonts w:ascii="Arial" w:hAnsi="Arial" w:cs="Arial"/>
          <w:color w:val="222222"/>
          <w:sz w:val="22"/>
          <w:szCs w:val="22"/>
        </w:rPr>
        <w:t xml:space="preserve"> (Accessed: </w:t>
      </w:r>
      <w:r w:rsidRPr="004969EF">
        <w:rPr>
          <w:rFonts w:ascii="Arial" w:hAnsi="Arial" w:cs="Arial"/>
          <w:color w:val="222222"/>
          <w:sz w:val="22"/>
          <w:szCs w:val="22"/>
        </w:rPr>
        <w:t>26 March</w:t>
      </w:r>
      <w:r w:rsidRPr="00AA5DED">
        <w:rPr>
          <w:rFonts w:ascii="Arial" w:hAnsi="Arial" w:cs="Arial"/>
          <w:color w:val="222222"/>
          <w:sz w:val="22"/>
          <w:szCs w:val="22"/>
        </w:rPr>
        <w:t xml:space="preserve"> 2026).</w:t>
      </w:r>
    </w:p>
    <w:p w14:paraId="38CBB822" w14:textId="77777777" w:rsidR="00AA5DED" w:rsidRPr="00AA5DED" w:rsidRDefault="00AA5DED" w:rsidP="004969EF">
      <w:pPr>
        <w:spacing w:line="360" w:lineRule="auto"/>
        <w:jc w:val="both"/>
        <w:rPr>
          <w:rFonts w:ascii="Arial" w:hAnsi="Arial" w:cs="Arial"/>
          <w:color w:val="222222"/>
          <w:sz w:val="22"/>
          <w:szCs w:val="22"/>
        </w:rPr>
      </w:pPr>
    </w:p>
    <w:p w14:paraId="7A63CAF0" w14:textId="77777777" w:rsidR="00AA5DED" w:rsidRP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NHS England (2025) Improvement framework: Community language translation and interpreting services. Available at: </w:t>
      </w:r>
      <w:hyperlink r:id="rId16" w:tgtFrame="_blank" w:history="1">
        <w:r w:rsidRPr="00AA5DED">
          <w:rPr>
            <w:rFonts w:ascii="Arial" w:hAnsi="Arial" w:cs="Arial"/>
            <w:color w:val="1155CC"/>
            <w:sz w:val="22"/>
            <w:szCs w:val="22"/>
            <w:u w:val="single"/>
          </w:rPr>
          <w:t>https://www.england.nhs.uk/long-read/improvement-framework-community-language-translation-and-interpreting-services/</w:t>
        </w:r>
      </w:hyperlink>
      <w:r w:rsidRPr="00AA5DED">
        <w:rPr>
          <w:rFonts w:ascii="Segoe UI Symbol" w:hAnsi="Segoe UI Symbol" w:cs="Segoe UI Symbol"/>
          <w:color w:val="222222"/>
          <w:sz w:val="22"/>
          <w:szCs w:val="22"/>
        </w:rPr>
        <w:t>⁠</w:t>
      </w:r>
      <w:r w:rsidRPr="00AA5DED">
        <w:rPr>
          <w:rFonts w:ascii="Arial" w:hAnsi="Arial" w:cs="Arial"/>
          <w:color w:val="222222"/>
          <w:sz w:val="22"/>
          <w:szCs w:val="22"/>
        </w:rPr>
        <w:t xml:space="preserve"> (Accessed: </w:t>
      </w:r>
      <w:r w:rsidRPr="004969EF">
        <w:rPr>
          <w:rFonts w:ascii="Arial" w:hAnsi="Arial" w:cs="Arial"/>
          <w:color w:val="222222"/>
          <w:sz w:val="22"/>
          <w:szCs w:val="22"/>
        </w:rPr>
        <w:t>28 March</w:t>
      </w:r>
      <w:r w:rsidRPr="00AA5DED">
        <w:rPr>
          <w:rFonts w:ascii="Arial" w:hAnsi="Arial" w:cs="Arial"/>
          <w:color w:val="222222"/>
          <w:sz w:val="22"/>
          <w:szCs w:val="22"/>
        </w:rPr>
        <w:t xml:space="preserve"> 2026).</w:t>
      </w:r>
    </w:p>
    <w:p w14:paraId="616D4A2D" w14:textId="77777777" w:rsidR="00AA5DED" w:rsidRPr="00AA5DED" w:rsidRDefault="00AA5DED" w:rsidP="004969EF">
      <w:pPr>
        <w:spacing w:line="360" w:lineRule="auto"/>
        <w:jc w:val="both"/>
        <w:rPr>
          <w:rFonts w:ascii="Arial" w:hAnsi="Arial" w:cs="Arial"/>
          <w:color w:val="222222"/>
          <w:sz w:val="22"/>
          <w:szCs w:val="22"/>
        </w:rPr>
      </w:pPr>
    </w:p>
    <w:p w14:paraId="38C39D41" w14:textId="77777777" w:rsidR="00AA5DED" w:rsidRP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O’Connor, S. and Mair, F.S. (2016) ‘Barriers and facilitators to patient and public engagement and recruitment to digital health interventions’, BMC Medical Informatics and Decision Making. Available at: </w:t>
      </w:r>
      <w:hyperlink r:id="rId17" w:tgtFrame="_blank" w:history="1">
        <w:r w:rsidRPr="00AA5DED">
          <w:rPr>
            <w:rFonts w:ascii="Arial" w:hAnsi="Arial" w:cs="Arial"/>
            <w:color w:val="1155CC"/>
            <w:sz w:val="22"/>
            <w:szCs w:val="22"/>
            <w:u w:val="single"/>
          </w:rPr>
          <w:t>https://pmc.ncbi.nlm.nih.gov/articles/PMC9879880/</w:t>
        </w:r>
      </w:hyperlink>
      <w:r w:rsidRPr="00AA5DED">
        <w:rPr>
          <w:rFonts w:ascii="Segoe UI Symbol" w:hAnsi="Segoe UI Symbol" w:cs="Segoe UI Symbol"/>
          <w:color w:val="222222"/>
          <w:sz w:val="22"/>
          <w:szCs w:val="22"/>
        </w:rPr>
        <w:t>⁠</w:t>
      </w:r>
      <w:r w:rsidRPr="00AA5DED">
        <w:rPr>
          <w:rFonts w:ascii="Arial" w:hAnsi="Arial" w:cs="Arial"/>
          <w:color w:val="222222"/>
          <w:sz w:val="22"/>
          <w:szCs w:val="22"/>
        </w:rPr>
        <w:t>(Accessed: 6 April 2026).</w:t>
      </w:r>
    </w:p>
    <w:p w14:paraId="43749896" w14:textId="77777777" w:rsidR="00AA5DED" w:rsidRPr="00AA5DED" w:rsidRDefault="00AA5DED" w:rsidP="004969EF">
      <w:pPr>
        <w:spacing w:line="360" w:lineRule="auto"/>
        <w:jc w:val="both"/>
        <w:rPr>
          <w:rFonts w:ascii="Arial" w:hAnsi="Arial" w:cs="Arial"/>
          <w:color w:val="222222"/>
          <w:sz w:val="22"/>
          <w:szCs w:val="22"/>
        </w:rPr>
      </w:pPr>
    </w:p>
    <w:p w14:paraId="6B0E8164" w14:textId="77777777" w:rsidR="00AA5DED" w:rsidRP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Office for Health Improvement and Disparities (2022) Health matters: community-centred approaches for health and wellbeing. Available at: </w:t>
      </w:r>
      <w:hyperlink r:id="rId18" w:tgtFrame="_blank" w:history="1">
        <w:r w:rsidRPr="00AA5DED">
          <w:rPr>
            <w:rFonts w:ascii="Arial" w:hAnsi="Arial" w:cs="Arial"/>
            <w:color w:val="1155CC"/>
            <w:sz w:val="22"/>
            <w:szCs w:val="22"/>
            <w:u w:val="single"/>
          </w:rPr>
          <w:t>https://www.gov.uk/government/publications/health-matters-health-and-wellbeing-community-centred-approaches/health-matters-community-centred-approaches-for-health-and-wellbeing</w:t>
        </w:r>
      </w:hyperlink>
      <w:r w:rsidRPr="00AA5DED">
        <w:rPr>
          <w:rFonts w:ascii="Segoe UI Symbol" w:hAnsi="Segoe UI Symbol" w:cs="Segoe UI Symbol"/>
          <w:color w:val="222222"/>
          <w:sz w:val="22"/>
          <w:szCs w:val="22"/>
        </w:rPr>
        <w:t>⁠</w:t>
      </w:r>
    </w:p>
    <w:p w14:paraId="2686BD6F" w14:textId="77777777" w:rsidR="00AA5DED" w:rsidRP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 xml:space="preserve">(Accessed: </w:t>
      </w:r>
      <w:r w:rsidRPr="004969EF">
        <w:rPr>
          <w:rFonts w:ascii="Arial" w:hAnsi="Arial" w:cs="Arial"/>
          <w:color w:val="222222"/>
          <w:sz w:val="22"/>
          <w:szCs w:val="22"/>
        </w:rPr>
        <w:t>28 March</w:t>
      </w:r>
      <w:r w:rsidRPr="00AA5DED">
        <w:rPr>
          <w:rFonts w:ascii="Arial" w:hAnsi="Arial" w:cs="Arial"/>
          <w:color w:val="222222"/>
          <w:sz w:val="22"/>
          <w:szCs w:val="22"/>
        </w:rPr>
        <w:t xml:space="preserve"> 2026).</w:t>
      </w:r>
    </w:p>
    <w:p w14:paraId="1A1E1894" w14:textId="77777777" w:rsidR="00AA5DED" w:rsidRPr="00AA5DED" w:rsidRDefault="00AA5DED" w:rsidP="004969EF">
      <w:pPr>
        <w:spacing w:line="360" w:lineRule="auto"/>
        <w:jc w:val="both"/>
        <w:rPr>
          <w:rFonts w:ascii="Arial" w:hAnsi="Arial" w:cs="Arial"/>
          <w:color w:val="222222"/>
          <w:sz w:val="22"/>
          <w:szCs w:val="22"/>
        </w:rPr>
      </w:pPr>
    </w:p>
    <w:p w14:paraId="0FA1A3A9" w14:textId="77777777" w:rsidR="00AA5DED" w:rsidRPr="00AA5DED" w:rsidRDefault="00AA5DED" w:rsidP="004969EF">
      <w:pPr>
        <w:spacing w:line="360" w:lineRule="auto"/>
        <w:jc w:val="both"/>
        <w:rPr>
          <w:rFonts w:ascii="Arial" w:hAnsi="Arial" w:cs="Arial"/>
          <w:color w:val="222222"/>
          <w:sz w:val="22"/>
          <w:szCs w:val="22"/>
        </w:rPr>
      </w:pPr>
      <w:proofErr w:type="spellStart"/>
      <w:r w:rsidRPr="00AA5DED">
        <w:rPr>
          <w:rFonts w:ascii="Arial" w:hAnsi="Arial" w:cs="Arial"/>
          <w:color w:val="222222"/>
          <w:sz w:val="22"/>
          <w:szCs w:val="22"/>
        </w:rPr>
        <w:t>Plackett</w:t>
      </w:r>
      <w:proofErr w:type="spellEnd"/>
      <w:r w:rsidRPr="00AA5DED">
        <w:rPr>
          <w:rFonts w:ascii="Arial" w:hAnsi="Arial" w:cs="Arial"/>
          <w:color w:val="222222"/>
          <w:sz w:val="22"/>
          <w:szCs w:val="22"/>
        </w:rPr>
        <w:t xml:space="preserve">, R., Steward, J.-M., </w:t>
      </w:r>
      <w:proofErr w:type="spellStart"/>
      <w:r w:rsidRPr="00AA5DED">
        <w:rPr>
          <w:rFonts w:ascii="Arial" w:hAnsi="Arial" w:cs="Arial"/>
          <w:color w:val="222222"/>
          <w:sz w:val="22"/>
          <w:szCs w:val="22"/>
        </w:rPr>
        <w:t>Kassianos</w:t>
      </w:r>
      <w:proofErr w:type="spellEnd"/>
      <w:r w:rsidRPr="00AA5DED">
        <w:rPr>
          <w:rFonts w:ascii="Arial" w:hAnsi="Arial" w:cs="Arial"/>
          <w:color w:val="222222"/>
          <w:sz w:val="22"/>
          <w:szCs w:val="22"/>
        </w:rPr>
        <w:t xml:space="preserve">, A.P., </w:t>
      </w:r>
      <w:proofErr w:type="spellStart"/>
      <w:r w:rsidRPr="00AA5DED">
        <w:rPr>
          <w:rFonts w:ascii="Arial" w:hAnsi="Arial" w:cs="Arial"/>
          <w:color w:val="222222"/>
          <w:sz w:val="22"/>
          <w:szCs w:val="22"/>
        </w:rPr>
        <w:t>Duengern</w:t>
      </w:r>
      <w:proofErr w:type="spellEnd"/>
      <w:r w:rsidRPr="00AA5DED">
        <w:rPr>
          <w:rFonts w:ascii="Arial" w:hAnsi="Arial" w:cs="Arial"/>
          <w:color w:val="222222"/>
          <w:sz w:val="22"/>
          <w:szCs w:val="22"/>
        </w:rPr>
        <w:t xml:space="preserve">, M., </w:t>
      </w:r>
      <w:proofErr w:type="spellStart"/>
      <w:r w:rsidRPr="00AA5DED">
        <w:rPr>
          <w:rFonts w:ascii="Arial" w:hAnsi="Arial" w:cs="Arial"/>
          <w:color w:val="222222"/>
          <w:sz w:val="22"/>
          <w:szCs w:val="22"/>
        </w:rPr>
        <w:t>Schartau</w:t>
      </w:r>
      <w:proofErr w:type="spellEnd"/>
      <w:r w:rsidRPr="00AA5DED">
        <w:rPr>
          <w:rFonts w:ascii="Arial" w:hAnsi="Arial" w:cs="Arial"/>
          <w:color w:val="222222"/>
          <w:sz w:val="22"/>
          <w:szCs w:val="22"/>
        </w:rPr>
        <w:t xml:space="preserve">, P., Sheringham, J., Cooper, S., Biddle, L., </w:t>
      </w:r>
      <w:proofErr w:type="spellStart"/>
      <w:r w:rsidRPr="00AA5DED">
        <w:rPr>
          <w:rFonts w:ascii="Arial" w:hAnsi="Arial" w:cs="Arial"/>
          <w:color w:val="222222"/>
          <w:sz w:val="22"/>
          <w:szCs w:val="22"/>
        </w:rPr>
        <w:t>Kidger</w:t>
      </w:r>
      <w:proofErr w:type="spellEnd"/>
      <w:r w:rsidRPr="00AA5DED">
        <w:rPr>
          <w:rFonts w:ascii="Arial" w:hAnsi="Arial" w:cs="Arial"/>
          <w:color w:val="222222"/>
          <w:sz w:val="22"/>
          <w:szCs w:val="22"/>
        </w:rPr>
        <w:t>, J. and Walters, K. (2025) ‘The effectiveness of social media campaigns in improving knowledge and attitudes toward mental health and help-seeking in high-income countries: A scoping review’, Journal of Medical Internet Research, 27(1), e68124. Available at: </w:t>
      </w:r>
      <w:hyperlink r:id="rId19" w:tgtFrame="_blank" w:history="1">
        <w:r w:rsidRPr="00AA5DED">
          <w:rPr>
            <w:rFonts w:ascii="Arial" w:hAnsi="Arial" w:cs="Arial"/>
            <w:color w:val="1155CC"/>
            <w:sz w:val="22"/>
            <w:szCs w:val="22"/>
            <w:u w:val="single"/>
          </w:rPr>
          <w:t>https://www.jmir.org/2025/1/e68124</w:t>
        </w:r>
      </w:hyperlink>
      <w:r w:rsidRPr="00AA5DED">
        <w:rPr>
          <w:rFonts w:ascii="Segoe UI Symbol" w:hAnsi="Segoe UI Symbol" w:cs="Segoe UI Symbol"/>
          <w:color w:val="222222"/>
          <w:sz w:val="22"/>
          <w:szCs w:val="22"/>
        </w:rPr>
        <w:t>⁠</w:t>
      </w:r>
      <w:r w:rsidRPr="00AA5DED">
        <w:rPr>
          <w:rFonts w:ascii="Arial" w:hAnsi="Arial" w:cs="Arial"/>
          <w:color w:val="222222"/>
          <w:sz w:val="22"/>
          <w:szCs w:val="22"/>
        </w:rPr>
        <w:t xml:space="preserve"> (Accessed: </w:t>
      </w:r>
      <w:r w:rsidRPr="004969EF">
        <w:rPr>
          <w:rFonts w:ascii="Arial" w:hAnsi="Arial" w:cs="Arial"/>
          <w:color w:val="222222"/>
          <w:sz w:val="22"/>
          <w:szCs w:val="22"/>
        </w:rPr>
        <w:t>29 March</w:t>
      </w:r>
      <w:r w:rsidRPr="00AA5DED">
        <w:rPr>
          <w:rFonts w:ascii="Arial" w:hAnsi="Arial" w:cs="Arial"/>
          <w:color w:val="222222"/>
          <w:sz w:val="22"/>
          <w:szCs w:val="22"/>
        </w:rPr>
        <w:t xml:space="preserve"> 2026).</w:t>
      </w:r>
    </w:p>
    <w:p w14:paraId="47103F38" w14:textId="77777777" w:rsidR="00AA5DED" w:rsidRPr="00AA5DED" w:rsidRDefault="00AA5DED" w:rsidP="004969EF">
      <w:pPr>
        <w:spacing w:line="360" w:lineRule="auto"/>
        <w:jc w:val="both"/>
        <w:rPr>
          <w:rFonts w:ascii="Arial" w:hAnsi="Arial" w:cs="Arial"/>
          <w:color w:val="222222"/>
          <w:sz w:val="22"/>
          <w:szCs w:val="22"/>
        </w:rPr>
      </w:pPr>
    </w:p>
    <w:p w14:paraId="5556235B" w14:textId="77777777" w:rsidR="00AA5DED" w:rsidRPr="00AA5DED"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Spencer, M., Cruickshank, V., Kemp, N. and Nash, R. (2024) ‘Community voices in health literacy: A qualitative exploration into perceptions of a health literacy mediator’, Health Promotion International. Available at: </w:t>
      </w:r>
      <w:hyperlink r:id="rId20" w:tgtFrame="_blank" w:history="1">
        <w:r w:rsidRPr="00AA5DED">
          <w:rPr>
            <w:rFonts w:ascii="Arial" w:hAnsi="Arial" w:cs="Arial"/>
            <w:color w:val="1155CC"/>
            <w:sz w:val="22"/>
            <w:szCs w:val="22"/>
            <w:u w:val="single"/>
          </w:rPr>
          <w:t>https://pmc.ncbi.nlm.nih.gov/articles/PMC11471997/</w:t>
        </w:r>
      </w:hyperlink>
      <w:r w:rsidRPr="00AA5DED">
        <w:rPr>
          <w:rFonts w:ascii="Segoe UI Symbol" w:hAnsi="Segoe UI Symbol" w:cs="Segoe UI Symbol"/>
          <w:color w:val="222222"/>
          <w:sz w:val="22"/>
          <w:szCs w:val="22"/>
        </w:rPr>
        <w:t>⁠</w:t>
      </w:r>
      <w:r w:rsidRPr="00AA5DED">
        <w:rPr>
          <w:rFonts w:ascii="Arial" w:hAnsi="Arial" w:cs="Arial"/>
          <w:color w:val="222222"/>
          <w:sz w:val="22"/>
          <w:szCs w:val="22"/>
        </w:rPr>
        <w:t xml:space="preserve"> (Accessed: </w:t>
      </w:r>
      <w:r w:rsidRPr="004969EF">
        <w:rPr>
          <w:rFonts w:ascii="Arial" w:hAnsi="Arial" w:cs="Arial"/>
          <w:color w:val="222222"/>
          <w:sz w:val="22"/>
          <w:szCs w:val="22"/>
        </w:rPr>
        <w:t>29 March</w:t>
      </w:r>
      <w:r w:rsidRPr="00AA5DED">
        <w:rPr>
          <w:rFonts w:ascii="Arial" w:hAnsi="Arial" w:cs="Arial"/>
          <w:color w:val="222222"/>
          <w:sz w:val="22"/>
          <w:szCs w:val="22"/>
        </w:rPr>
        <w:t xml:space="preserve"> 2026).</w:t>
      </w:r>
    </w:p>
    <w:p w14:paraId="649735FE" w14:textId="77777777" w:rsidR="00AA5DED" w:rsidRPr="00AA5DED" w:rsidRDefault="00AA5DED" w:rsidP="004969EF">
      <w:pPr>
        <w:spacing w:line="360" w:lineRule="auto"/>
        <w:jc w:val="both"/>
        <w:rPr>
          <w:rFonts w:ascii="Arial" w:hAnsi="Arial" w:cs="Arial"/>
          <w:color w:val="222222"/>
          <w:sz w:val="22"/>
          <w:szCs w:val="22"/>
        </w:rPr>
      </w:pPr>
    </w:p>
    <w:p w14:paraId="4F509BBB" w14:textId="5897B4C5" w:rsidR="00AA5DED" w:rsidRPr="004969EF" w:rsidRDefault="00AA5DED" w:rsidP="004969EF">
      <w:pPr>
        <w:spacing w:line="360" w:lineRule="auto"/>
        <w:jc w:val="both"/>
        <w:rPr>
          <w:rFonts w:ascii="Arial" w:hAnsi="Arial" w:cs="Arial"/>
          <w:color w:val="222222"/>
          <w:sz w:val="22"/>
          <w:szCs w:val="22"/>
        </w:rPr>
      </w:pPr>
      <w:r w:rsidRPr="00AA5DED">
        <w:rPr>
          <w:rFonts w:ascii="Arial" w:hAnsi="Arial" w:cs="Arial"/>
          <w:color w:val="222222"/>
          <w:sz w:val="22"/>
          <w:szCs w:val="22"/>
        </w:rPr>
        <w:t>World Health Organization (2022) The role of media in supporting health. Available at: </w:t>
      </w:r>
      <w:hyperlink r:id="rId21" w:tgtFrame="_blank" w:history="1">
        <w:r w:rsidRPr="00AA5DED">
          <w:rPr>
            <w:rFonts w:ascii="Arial" w:hAnsi="Arial" w:cs="Arial"/>
            <w:color w:val="1155CC"/>
            <w:sz w:val="22"/>
            <w:szCs w:val="22"/>
            <w:u w:val="single"/>
          </w:rPr>
          <w:t>https://www.who.int/tools/your-life-your-health/a-healthy-world/people-s-roles/the-role-of-media-in-supporting-health</w:t>
        </w:r>
      </w:hyperlink>
      <w:r w:rsidRPr="00AA5DED">
        <w:rPr>
          <w:rFonts w:ascii="Segoe UI Symbol" w:hAnsi="Segoe UI Symbol" w:cs="Segoe UI Symbol"/>
          <w:color w:val="222222"/>
          <w:sz w:val="22"/>
          <w:szCs w:val="22"/>
        </w:rPr>
        <w:t>⁠</w:t>
      </w:r>
      <w:r w:rsidRPr="00AA5DED">
        <w:rPr>
          <w:rFonts w:ascii="Arial" w:hAnsi="Arial" w:cs="Arial"/>
          <w:color w:val="222222"/>
          <w:sz w:val="22"/>
          <w:szCs w:val="22"/>
        </w:rPr>
        <w:t xml:space="preserve"> (Accessed: </w:t>
      </w:r>
      <w:r w:rsidRPr="004969EF">
        <w:rPr>
          <w:rFonts w:ascii="Arial" w:hAnsi="Arial" w:cs="Arial"/>
          <w:color w:val="222222"/>
          <w:sz w:val="22"/>
          <w:szCs w:val="22"/>
        </w:rPr>
        <w:t>29 March</w:t>
      </w:r>
      <w:r w:rsidRPr="00AA5DED">
        <w:rPr>
          <w:rFonts w:ascii="Arial" w:hAnsi="Arial" w:cs="Arial"/>
          <w:color w:val="222222"/>
          <w:sz w:val="22"/>
          <w:szCs w:val="22"/>
        </w:rPr>
        <w:t xml:space="preserve"> 2026).</w:t>
      </w:r>
    </w:p>
    <w:p w14:paraId="4FB05A0D" w14:textId="0B30F0E0" w:rsidR="00F65FCA" w:rsidRPr="004969EF" w:rsidRDefault="00F65FCA" w:rsidP="004969EF">
      <w:pPr>
        <w:pStyle w:val="NormalWeb"/>
        <w:spacing w:line="360" w:lineRule="auto"/>
        <w:jc w:val="both"/>
        <w:rPr>
          <w:rFonts w:ascii="Arial" w:hAnsi="Arial" w:cs="Arial"/>
          <w:color w:val="000000"/>
          <w:sz w:val="22"/>
          <w:szCs w:val="22"/>
        </w:rPr>
      </w:pPr>
      <w:proofErr w:type="spellStart"/>
      <w:r w:rsidRPr="004969EF">
        <w:rPr>
          <w:rStyle w:val="Strong"/>
          <w:rFonts w:ascii="Arial" w:eastAsia="Calibri Light" w:hAnsi="Arial" w:cs="Arial"/>
          <w:b w:val="0"/>
          <w:bCs w:val="0"/>
          <w:color w:val="000000"/>
          <w:sz w:val="22"/>
          <w:szCs w:val="22"/>
        </w:rPr>
        <w:t>Aldabbagh</w:t>
      </w:r>
      <w:proofErr w:type="spellEnd"/>
      <w:r w:rsidRPr="004969EF">
        <w:rPr>
          <w:rStyle w:val="Strong"/>
          <w:rFonts w:ascii="Arial" w:eastAsia="Calibri Light" w:hAnsi="Arial" w:cs="Arial"/>
          <w:b w:val="0"/>
          <w:bCs w:val="0"/>
          <w:color w:val="000000"/>
          <w:sz w:val="22"/>
          <w:szCs w:val="22"/>
        </w:rPr>
        <w:t xml:space="preserve">, R., Daley, D., </w:t>
      </w:r>
      <w:proofErr w:type="spellStart"/>
      <w:r w:rsidRPr="004969EF">
        <w:rPr>
          <w:rStyle w:val="Strong"/>
          <w:rFonts w:ascii="Arial" w:eastAsia="Calibri Light" w:hAnsi="Arial" w:cs="Arial"/>
          <w:b w:val="0"/>
          <w:bCs w:val="0"/>
          <w:color w:val="000000"/>
          <w:sz w:val="22"/>
          <w:szCs w:val="22"/>
        </w:rPr>
        <w:t>Sayal</w:t>
      </w:r>
      <w:proofErr w:type="spellEnd"/>
      <w:r w:rsidRPr="004969EF">
        <w:rPr>
          <w:rStyle w:val="Strong"/>
          <w:rFonts w:ascii="Arial" w:eastAsia="Calibri Light" w:hAnsi="Arial" w:cs="Arial"/>
          <w:b w:val="0"/>
          <w:bCs w:val="0"/>
          <w:color w:val="000000"/>
          <w:sz w:val="22"/>
          <w:szCs w:val="22"/>
        </w:rPr>
        <w:t xml:space="preserve">, K. and </w:t>
      </w:r>
      <w:proofErr w:type="spellStart"/>
      <w:r w:rsidRPr="004969EF">
        <w:rPr>
          <w:rStyle w:val="Strong"/>
          <w:rFonts w:ascii="Arial" w:eastAsia="Calibri Light" w:hAnsi="Arial" w:cs="Arial"/>
          <w:b w:val="0"/>
          <w:bCs w:val="0"/>
          <w:color w:val="000000"/>
          <w:sz w:val="22"/>
          <w:szCs w:val="22"/>
        </w:rPr>
        <w:t>Glazebrook</w:t>
      </w:r>
      <w:proofErr w:type="spellEnd"/>
      <w:r w:rsidRPr="004969EF">
        <w:rPr>
          <w:rStyle w:val="Strong"/>
          <w:rFonts w:ascii="Arial" w:eastAsia="Calibri Light" w:hAnsi="Arial" w:cs="Arial"/>
          <w:b w:val="0"/>
          <w:bCs w:val="0"/>
          <w:color w:val="000000"/>
          <w:sz w:val="22"/>
          <w:szCs w:val="22"/>
        </w:rPr>
        <w:t>, C. (2024)</w:t>
      </w:r>
      <w:r w:rsidRPr="004969EF">
        <w:rPr>
          <w:rFonts w:ascii="Arial" w:hAnsi="Arial" w:cs="Arial"/>
          <w:color w:val="000000"/>
          <w:sz w:val="22"/>
          <w:szCs w:val="22"/>
        </w:rPr>
        <w:t xml:space="preserve"> ‘Exploring the unmet needs of teachers of young children with ADHD symptoms: a qualitative study’, </w:t>
      </w:r>
      <w:r w:rsidRPr="004969EF">
        <w:rPr>
          <w:rStyle w:val="Emphasis"/>
          <w:rFonts w:ascii="Arial" w:hAnsi="Arial" w:cs="Arial"/>
          <w:color w:val="000000"/>
          <w:sz w:val="22"/>
          <w:szCs w:val="22"/>
        </w:rPr>
        <w:t>Children</w:t>
      </w:r>
      <w:r w:rsidRPr="004969EF">
        <w:rPr>
          <w:rFonts w:ascii="Arial" w:hAnsi="Arial" w:cs="Arial"/>
          <w:color w:val="000000"/>
          <w:sz w:val="22"/>
          <w:szCs w:val="22"/>
        </w:rPr>
        <w:t xml:space="preserve">, 11(9), p. 1053. Available at: </w:t>
      </w:r>
      <w:hyperlink r:id="rId22" w:history="1">
        <w:r w:rsidRPr="004969EF">
          <w:rPr>
            <w:rStyle w:val="Hyperlink"/>
            <w:rFonts w:ascii="Arial" w:hAnsi="Arial" w:cs="Arial"/>
            <w:sz w:val="22"/>
            <w:szCs w:val="22"/>
          </w:rPr>
          <w:t>https://doi.org/10.3390/children11091053</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3B7B76B2" w14:textId="277BF77E" w:rsidR="00F65FCA" w:rsidRPr="004969EF" w:rsidRDefault="00F65FCA" w:rsidP="004969EF">
      <w:pPr>
        <w:pStyle w:val="NormalWeb"/>
        <w:spacing w:line="360" w:lineRule="auto"/>
        <w:jc w:val="both"/>
        <w:rPr>
          <w:rFonts w:ascii="Arial" w:hAnsi="Arial" w:cs="Arial"/>
          <w:color w:val="000000"/>
          <w:sz w:val="22"/>
          <w:szCs w:val="22"/>
        </w:rPr>
      </w:pPr>
      <w:proofErr w:type="spellStart"/>
      <w:r w:rsidRPr="004969EF">
        <w:rPr>
          <w:rStyle w:val="Strong"/>
          <w:rFonts w:ascii="Arial" w:eastAsia="Calibri Light" w:hAnsi="Arial" w:cs="Arial"/>
          <w:b w:val="0"/>
          <w:bCs w:val="0"/>
          <w:color w:val="000000"/>
          <w:sz w:val="22"/>
          <w:szCs w:val="22"/>
        </w:rPr>
        <w:t>Barua</w:t>
      </w:r>
      <w:proofErr w:type="spellEnd"/>
      <w:r w:rsidRPr="004969EF">
        <w:rPr>
          <w:rStyle w:val="Strong"/>
          <w:rFonts w:ascii="Arial" w:eastAsia="Calibri Light" w:hAnsi="Arial" w:cs="Arial"/>
          <w:b w:val="0"/>
          <w:bCs w:val="0"/>
          <w:color w:val="000000"/>
          <w:sz w:val="22"/>
          <w:szCs w:val="22"/>
        </w:rPr>
        <w:t>, H. and Maheshwari, N. (2025)</w:t>
      </w:r>
      <w:r w:rsidRPr="004969EF">
        <w:rPr>
          <w:rFonts w:ascii="Arial" w:hAnsi="Arial" w:cs="Arial"/>
          <w:color w:val="000000"/>
          <w:sz w:val="22"/>
          <w:szCs w:val="22"/>
        </w:rPr>
        <w:t xml:space="preserve"> ‘The interplay between migration and self-identity: a structured review using TCCM and bibliometric analysis’, </w:t>
      </w:r>
      <w:r w:rsidRPr="004969EF">
        <w:rPr>
          <w:rStyle w:val="Emphasis"/>
          <w:rFonts w:ascii="Arial" w:hAnsi="Arial" w:cs="Arial"/>
          <w:color w:val="000000"/>
          <w:sz w:val="22"/>
          <w:szCs w:val="22"/>
        </w:rPr>
        <w:t>Frontiers in Psychology</w:t>
      </w:r>
      <w:r w:rsidRPr="004969EF">
        <w:rPr>
          <w:rFonts w:ascii="Arial" w:hAnsi="Arial" w:cs="Arial"/>
          <w:color w:val="000000"/>
          <w:sz w:val="22"/>
          <w:szCs w:val="22"/>
        </w:rPr>
        <w:t xml:space="preserve">, 16. Available at: </w:t>
      </w:r>
      <w:hyperlink r:id="rId23" w:history="1">
        <w:r w:rsidRPr="004969EF">
          <w:rPr>
            <w:rStyle w:val="Hyperlink"/>
            <w:rFonts w:ascii="Arial" w:hAnsi="Arial" w:cs="Arial"/>
            <w:sz w:val="22"/>
            <w:szCs w:val="22"/>
          </w:rPr>
          <w:t>https://doi.org/10.3389/fpsyg.2025.1563508</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0A855991" w14:textId="0E27CA7A" w:rsidR="00F65FCA"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 xml:space="preserve">Chui, Z., </w:t>
      </w:r>
      <w:proofErr w:type="spellStart"/>
      <w:r w:rsidRPr="004969EF">
        <w:rPr>
          <w:rStyle w:val="Strong"/>
          <w:rFonts w:ascii="Arial" w:eastAsia="Calibri Light" w:hAnsi="Arial" w:cs="Arial"/>
          <w:b w:val="0"/>
          <w:bCs w:val="0"/>
          <w:color w:val="000000"/>
          <w:sz w:val="22"/>
          <w:szCs w:val="22"/>
        </w:rPr>
        <w:t>Gazard</w:t>
      </w:r>
      <w:proofErr w:type="spellEnd"/>
      <w:r w:rsidRPr="004969EF">
        <w:rPr>
          <w:rStyle w:val="Strong"/>
          <w:rFonts w:ascii="Arial" w:eastAsia="Calibri Light" w:hAnsi="Arial" w:cs="Arial"/>
          <w:b w:val="0"/>
          <w:bCs w:val="0"/>
          <w:color w:val="000000"/>
          <w:sz w:val="22"/>
          <w:szCs w:val="22"/>
        </w:rPr>
        <w:t xml:space="preserve">, B., </w:t>
      </w:r>
      <w:proofErr w:type="spellStart"/>
      <w:r w:rsidRPr="004969EF">
        <w:rPr>
          <w:rStyle w:val="Strong"/>
          <w:rFonts w:ascii="Arial" w:eastAsia="Calibri Light" w:hAnsi="Arial" w:cs="Arial"/>
          <w:b w:val="0"/>
          <w:bCs w:val="0"/>
          <w:color w:val="000000"/>
          <w:sz w:val="22"/>
          <w:szCs w:val="22"/>
        </w:rPr>
        <w:t>MacCrimmon</w:t>
      </w:r>
      <w:proofErr w:type="spellEnd"/>
      <w:r w:rsidRPr="004969EF">
        <w:rPr>
          <w:rStyle w:val="Strong"/>
          <w:rFonts w:ascii="Arial" w:eastAsia="Calibri Light" w:hAnsi="Arial" w:cs="Arial"/>
          <w:b w:val="0"/>
          <w:bCs w:val="0"/>
          <w:color w:val="000000"/>
          <w:sz w:val="22"/>
          <w:szCs w:val="22"/>
        </w:rPr>
        <w:t xml:space="preserve">, S., Harwood, H., Downs, J., </w:t>
      </w:r>
      <w:proofErr w:type="spellStart"/>
      <w:r w:rsidRPr="004969EF">
        <w:rPr>
          <w:rStyle w:val="Strong"/>
          <w:rFonts w:ascii="Arial" w:eastAsia="Calibri Light" w:hAnsi="Arial" w:cs="Arial"/>
          <w:b w:val="0"/>
          <w:bCs w:val="0"/>
          <w:color w:val="000000"/>
          <w:sz w:val="22"/>
          <w:szCs w:val="22"/>
        </w:rPr>
        <w:t>Bakolis</w:t>
      </w:r>
      <w:proofErr w:type="spellEnd"/>
      <w:r w:rsidRPr="004969EF">
        <w:rPr>
          <w:rStyle w:val="Strong"/>
          <w:rFonts w:ascii="Arial" w:eastAsia="Calibri Light" w:hAnsi="Arial" w:cs="Arial"/>
          <w:b w:val="0"/>
          <w:bCs w:val="0"/>
          <w:color w:val="000000"/>
          <w:sz w:val="22"/>
          <w:szCs w:val="22"/>
        </w:rPr>
        <w:t xml:space="preserve">, I., Polling, C., </w:t>
      </w:r>
      <w:proofErr w:type="spellStart"/>
      <w:r w:rsidRPr="004969EF">
        <w:rPr>
          <w:rStyle w:val="Strong"/>
          <w:rFonts w:ascii="Arial" w:eastAsia="Calibri Light" w:hAnsi="Arial" w:cs="Arial"/>
          <w:b w:val="0"/>
          <w:bCs w:val="0"/>
          <w:color w:val="000000"/>
          <w:sz w:val="22"/>
          <w:szCs w:val="22"/>
        </w:rPr>
        <w:t>Rhead</w:t>
      </w:r>
      <w:proofErr w:type="spellEnd"/>
      <w:r w:rsidRPr="004969EF">
        <w:rPr>
          <w:rStyle w:val="Strong"/>
          <w:rFonts w:ascii="Arial" w:eastAsia="Calibri Light" w:hAnsi="Arial" w:cs="Arial"/>
          <w:b w:val="0"/>
          <w:bCs w:val="0"/>
          <w:color w:val="000000"/>
          <w:sz w:val="22"/>
          <w:szCs w:val="22"/>
        </w:rPr>
        <w:t>, R. and Hatch, S.L. (2020)</w:t>
      </w:r>
      <w:r w:rsidRPr="004969EF">
        <w:rPr>
          <w:rFonts w:ascii="Arial" w:hAnsi="Arial" w:cs="Arial"/>
          <w:color w:val="000000"/>
          <w:sz w:val="22"/>
          <w:szCs w:val="22"/>
        </w:rPr>
        <w:t xml:space="preserve"> ‘Inequalities in referral pathways for young people accessing </w:t>
      </w:r>
      <w:r w:rsidRPr="004969EF">
        <w:rPr>
          <w:rFonts w:ascii="Arial" w:hAnsi="Arial" w:cs="Arial"/>
          <w:color w:val="000000"/>
          <w:sz w:val="22"/>
          <w:szCs w:val="22"/>
        </w:rPr>
        <w:lastRenderedPageBreak/>
        <w:t xml:space="preserve">secondary mental health services in </w:t>
      </w:r>
      <w:proofErr w:type="gramStart"/>
      <w:r w:rsidRPr="004969EF">
        <w:rPr>
          <w:rFonts w:ascii="Arial" w:hAnsi="Arial" w:cs="Arial"/>
          <w:color w:val="000000"/>
          <w:sz w:val="22"/>
          <w:szCs w:val="22"/>
        </w:rPr>
        <w:t>south east</w:t>
      </w:r>
      <w:proofErr w:type="gramEnd"/>
      <w:r w:rsidRPr="004969EF">
        <w:rPr>
          <w:rFonts w:ascii="Arial" w:hAnsi="Arial" w:cs="Arial"/>
          <w:color w:val="000000"/>
          <w:sz w:val="22"/>
          <w:szCs w:val="22"/>
        </w:rPr>
        <w:t xml:space="preserve"> London’, </w:t>
      </w:r>
      <w:r w:rsidRPr="004969EF">
        <w:rPr>
          <w:rStyle w:val="Emphasis"/>
          <w:rFonts w:ascii="Arial" w:hAnsi="Arial" w:cs="Arial"/>
          <w:color w:val="000000"/>
          <w:sz w:val="22"/>
          <w:szCs w:val="22"/>
        </w:rPr>
        <w:t>European Child &amp; Adolescent Psychiatry</w:t>
      </w:r>
      <w:r w:rsidRPr="004969EF">
        <w:rPr>
          <w:rFonts w:ascii="Arial" w:hAnsi="Arial" w:cs="Arial"/>
          <w:color w:val="000000"/>
          <w:sz w:val="22"/>
          <w:szCs w:val="22"/>
        </w:rPr>
        <w:t xml:space="preserve">, 30(7). Available at: </w:t>
      </w:r>
      <w:hyperlink r:id="rId24" w:history="1">
        <w:r w:rsidRPr="004969EF">
          <w:rPr>
            <w:rStyle w:val="Hyperlink"/>
            <w:rFonts w:ascii="Arial" w:hAnsi="Arial" w:cs="Arial"/>
            <w:sz w:val="22"/>
            <w:szCs w:val="22"/>
          </w:rPr>
          <w:t>https://doi.org/10.1007/s00787-020-01603-7</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38C9CD6B" w14:textId="7C2212C5" w:rsidR="00F65FCA"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 xml:space="preserve">Diener, T.-S.L., Jackson, M., Lee, M.A., </w:t>
      </w:r>
      <w:proofErr w:type="spellStart"/>
      <w:r w:rsidRPr="004969EF">
        <w:rPr>
          <w:rStyle w:val="Strong"/>
          <w:rFonts w:ascii="Arial" w:eastAsia="Calibri Light" w:hAnsi="Arial" w:cs="Arial"/>
          <w:b w:val="0"/>
          <w:bCs w:val="0"/>
          <w:color w:val="000000"/>
          <w:sz w:val="22"/>
          <w:szCs w:val="22"/>
        </w:rPr>
        <w:t>Grové</w:t>
      </w:r>
      <w:proofErr w:type="spellEnd"/>
      <w:r w:rsidRPr="004969EF">
        <w:rPr>
          <w:rStyle w:val="Strong"/>
          <w:rFonts w:ascii="Arial" w:eastAsia="Calibri Light" w:hAnsi="Arial" w:cs="Arial"/>
          <w:b w:val="0"/>
          <w:bCs w:val="0"/>
          <w:color w:val="000000"/>
          <w:sz w:val="22"/>
          <w:szCs w:val="22"/>
        </w:rPr>
        <w:t>, C. and Nguyen, V. (2025)</w:t>
      </w:r>
      <w:r w:rsidRPr="004969EF">
        <w:rPr>
          <w:rFonts w:ascii="Arial" w:hAnsi="Arial" w:cs="Arial"/>
          <w:color w:val="000000"/>
          <w:sz w:val="22"/>
          <w:szCs w:val="22"/>
        </w:rPr>
        <w:t xml:space="preserve"> ‘Cross-cultural disparities in teachers’ reports of ADHD symptoms and </w:t>
      </w:r>
      <w:proofErr w:type="spellStart"/>
      <w:r w:rsidRPr="004969EF">
        <w:rPr>
          <w:rFonts w:ascii="Arial" w:hAnsi="Arial" w:cs="Arial"/>
          <w:color w:val="000000"/>
          <w:sz w:val="22"/>
          <w:szCs w:val="22"/>
        </w:rPr>
        <w:t>behavior</w:t>
      </w:r>
      <w:proofErr w:type="spellEnd"/>
      <w:r w:rsidRPr="004969EF">
        <w:rPr>
          <w:rFonts w:ascii="Arial" w:hAnsi="Arial" w:cs="Arial"/>
          <w:color w:val="000000"/>
          <w:sz w:val="22"/>
          <w:szCs w:val="22"/>
        </w:rPr>
        <w:t xml:space="preserve">: a scoping review’, </w:t>
      </w:r>
      <w:r w:rsidRPr="004969EF">
        <w:rPr>
          <w:rStyle w:val="Emphasis"/>
          <w:rFonts w:ascii="Arial" w:hAnsi="Arial" w:cs="Arial"/>
          <w:color w:val="000000"/>
          <w:sz w:val="22"/>
          <w:szCs w:val="22"/>
        </w:rPr>
        <w:t>Social Psychology of Education</w:t>
      </w:r>
      <w:r w:rsidRPr="004969EF">
        <w:rPr>
          <w:rFonts w:ascii="Arial" w:hAnsi="Arial" w:cs="Arial"/>
          <w:color w:val="000000"/>
          <w:sz w:val="22"/>
          <w:szCs w:val="22"/>
        </w:rPr>
        <w:t xml:space="preserve">, 28(1). Available at: </w:t>
      </w:r>
      <w:hyperlink r:id="rId25" w:history="1">
        <w:r w:rsidRPr="004969EF">
          <w:rPr>
            <w:rStyle w:val="Hyperlink"/>
            <w:rFonts w:ascii="Arial" w:hAnsi="Arial" w:cs="Arial"/>
            <w:sz w:val="22"/>
            <w:szCs w:val="22"/>
          </w:rPr>
          <w:t>https://doi.org/10.1007/s11218-025-10092-y</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30DA4F20" w14:textId="3793FC5D" w:rsidR="00F65FCA"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French, B., Daley, D., Groom, M. and Cassidy, S. (2023)</w:t>
      </w:r>
      <w:r w:rsidRPr="004969EF">
        <w:rPr>
          <w:rFonts w:ascii="Arial" w:hAnsi="Arial" w:cs="Arial"/>
          <w:color w:val="000000"/>
          <w:sz w:val="22"/>
          <w:szCs w:val="22"/>
        </w:rPr>
        <w:t xml:space="preserve"> ‘Risks associated with undiagnosed ADHD and/or autism: a mixed-method systematic review’, </w:t>
      </w:r>
      <w:r w:rsidRPr="004969EF">
        <w:rPr>
          <w:rStyle w:val="Emphasis"/>
          <w:rFonts w:ascii="Arial" w:hAnsi="Arial" w:cs="Arial"/>
          <w:color w:val="000000"/>
          <w:sz w:val="22"/>
          <w:szCs w:val="22"/>
        </w:rPr>
        <w:t>Journal of Attention Disorders</w:t>
      </w:r>
      <w:r w:rsidRPr="004969EF">
        <w:rPr>
          <w:rFonts w:ascii="Arial" w:hAnsi="Arial" w:cs="Arial"/>
          <w:color w:val="000000"/>
          <w:sz w:val="22"/>
          <w:szCs w:val="22"/>
        </w:rPr>
        <w:t xml:space="preserve">, 27(12). Available at: </w:t>
      </w:r>
      <w:hyperlink r:id="rId26" w:history="1">
        <w:r w:rsidRPr="004969EF">
          <w:rPr>
            <w:rStyle w:val="Hyperlink"/>
            <w:rFonts w:ascii="Arial" w:hAnsi="Arial" w:cs="Arial"/>
            <w:sz w:val="22"/>
            <w:szCs w:val="22"/>
          </w:rPr>
          <w:t>https://doi.org/10.1177/10870547231176862</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421A3C84" w14:textId="155CADB2" w:rsidR="00F65FCA"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GOV.UK (2012)</w:t>
      </w:r>
      <w:r w:rsidRPr="004969EF">
        <w:rPr>
          <w:rFonts w:ascii="Arial" w:hAnsi="Arial" w:cs="Arial"/>
          <w:color w:val="000000"/>
          <w:sz w:val="22"/>
          <w:szCs w:val="22"/>
        </w:rPr>
        <w:t xml:space="preserve"> Disability rights. Available at: </w:t>
      </w:r>
      <w:hyperlink r:id="rId27" w:history="1">
        <w:r w:rsidRPr="004969EF">
          <w:rPr>
            <w:rStyle w:val="Hyperlink"/>
            <w:rFonts w:ascii="Arial" w:hAnsi="Arial" w:cs="Arial"/>
            <w:sz w:val="22"/>
            <w:szCs w:val="22"/>
          </w:rPr>
          <w:t>https://www.gov.uk/rights-disabled-person/education-rights</w:t>
        </w:r>
      </w:hyperlink>
      <w:r w:rsidRPr="004969EF">
        <w:rPr>
          <w:rFonts w:ascii="Arial" w:hAnsi="Arial" w:cs="Arial"/>
          <w:color w:val="000000"/>
          <w:sz w:val="22"/>
          <w:szCs w:val="22"/>
        </w:rPr>
        <w:t xml:space="preserve">. </w:t>
      </w:r>
      <w:r w:rsidRPr="004969EF">
        <w:rPr>
          <w:rFonts w:ascii="Arial" w:hAnsi="Arial" w:cs="Arial"/>
          <w:color w:val="000000"/>
          <w:sz w:val="22"/>
          <w:szCs w:val="22"/>
        </w:rPr>
        <w:t>(Accessed: 17 March 2026).</w:t>
      </w:r>
      <w:r w:rsidRPr="004969EF">
        <w:rPr>
          <w:rFonts w:ascii="Arial" w:hAnsi="Arial" w:cs="Arial"/>
          <w:color w:val="000000"/>
          <w:sz w:val="22"/>
          <w:szCs w:val="22"/>
        </w:rPr>
        <w:t xml:space="preserve"> </w:t>
      </w:r>
    </w:p>
    <w:p w14:paraId="03906F25" w14:textId="44C02BEC" w:rsidR="00F65FCA"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 xml:space="preserve">Lewis, K.M., Nguyen, V.G., Gilbert, R., De </w:t>
      </w:r>
      <w:proofErr w:type="spellStart"/>
      <w:r w:rsidRPr="004969EF">
        <w:rPr>
          <w:rStyle w:val="Strong"/>
          <w:rFonts w:ascii="Arial" w:eastAsia="Calibri Light" w:hAnsi="Arial" w:cs="Arial"/>
          <w:b w:val="0"/>
          <w:bCs w:val="0"/>
          <w:color w:val="000000"/>
          <w:sz w:val="22"/>
          <w:szCs w:val="22"/>
        </w:rPr>
        <w:t>Stavola</w:t>
      </w:r>
      <w:proofErr w:type="spellEnd"/>
      <w:r w:rsidRPr="004969EF">
        <w:rPr>
          <w:rStyle w:val="Strong"/>
          <w:rFonts w:ascii="Arial" w:eastAsia="Calibri Light" w:hAnsi="Arial" w:cs="Arial"/>
          <w:b w:val="0"/>
          <w:bCs w:val="0"/>
          <w:color w:val="000000"/>
          <w:sz w:val="22"/>
          <w:szCs w:val="22"/>
        </w:rPr>
        <w:t xml:space="preserve">, B., Dearden, L., Cant, A., Downs, J., </w:t>
      </w:r>
      <w:proofErr w:type="spellStart"/>
      <w:r w:rsidRPr="004969EF">
        <w:rPr>
          <w:rStyle w:val="Strong"/>
          <w:rFonts w:ascii="Arial" w:eastAsia="Calibri Light" w:hAnsi="Arial" w:cs="Arial"/>
          <w:b w:val="0"/>
          <w:bCs w:val="0"/>
          <w:color w:val="000000"/>
          <w:sz w:val="22"/>
          <w:szCs w:val="22"/>
        </w:rPr>
        <w:t>Gimeno</w:t>
      </w:r>
      <w:proofErr w:type="spellEnd"/>
      <w:r w:rsidRPr="004969EF">
        <w:rPr>
          <w:rStyle w:val="Strong"/>
          <w:rFonts w:ascii="Arial" w:eastAsia="Calibri Light" w:hAnsi="Arial" w:cs="Arial"/>
          <w:b w:val="0"/>
          <w:bCs w:val="0"/>
          <w:color w:val="000000"/>
          <w:sz w:val="22"/>
          <w:szCs w:val="22"/>
        </w:rPr>
        <w:t xml:space="preserve">, L., Farr, W., Ford, T., </w:t>
      </w:r>
      <w:proofErr w:type="spellStart"/>
      <w:r w:rsidRPr="004969EF">
        <w:rPr>
          <w:rStyle w:val="Strong"/>
          <w:rFonts w:ascii="Arial" w:eastAsia="Calibri Light" w:hAnsi="Arial" w:cs="Arial"/>
          <w:b w:val="0"/>
          <w:bCs w:val="0"/>
          <w:color w:val="000000"/>
          <w:sz w:val="22"/>
          <w:szCs w:val="22"/>
        </w:rPr>
        <w:t>Harron</w:t>
      </w:r>
      <w:proofErr w:type="spellEnd"/>
      <w:r w:rsidRPr="004969EF">
        <w:rPr>
          <w:rStyle w:val="Strong"/>
          <w:rFonts w:ascii="Arial" w:eastAsia="Calibri Light" w:hAnsi="Arial" w:cs="Arial"/>
          <w:b w:val="0"/>
          <w:bCs w:val="0"/>
          <w:color w:val="000000"/>
          <w:sz w:val="22"/>
          <w:szCs w:val="22"/>
        </w:rPr>
        <w:t xml:space="preserve">, K., </w:t>
      </w:r>
      <w:proofErr w:type="spellStart"/>
      <w:r w:rsidRPr="004969EF">
        <w:rPr>
          <w:rStyle w:val="Strong"/>
          <w:rFonts w:ascii="Arial" w:eastAsia="Calibri Light" w:hAnsi="Arial" w:cs="Arial"/>
          <w:b w:val="0"/>
          <w:bCs w:val="0"/>
          <w:color w:val="000000"/>
          <w:sz w:val="22"/>
          <w:szCs w:val="22"/>
        </w:rPr>
        <w:t>Lilliman</w:t>
      </w:r>
      <w:proofErr w:type="spellEnd"/>
      <w:r w:rsidRPr="004969EF">
        <w:rPr>
          <w:rStyle w:val="Strong"/>
          <w:rFonts w:ascii="Arial" w:eastAsia="Calibri Light" w:hAnsi="Arial" w:cs="Arial"/>
          <w:b w:val="0"/>
          <w:bCs w:val="0"/>
          <w:color w:val="000000"/>
          <w:sz w:val="22"/>
          <w:szCs w:val="22"/>
        </w:rPr>
        <w:t xml:space="preserve">, M., Logan, S., Matthews, J., </w:t>
      </w:r>
      <w:proofErr w:type="spellStart"/>
      <w:r w:rsidRPr="004969EF">
        <w:rPr>
          <w:rStyle w:val="Strong"/>
          <w:rFonts w:ascii="Arial" w:eastAsia="Calibri Light" w:hAnsi="Arial" w:cs="Arial"/>
          <w:b w:val="0"/>
          <w:bCs w:val="0"/>
          <w:color w:val="000000"/>
          <w:sz w:val="22"/>
          <w:szCs w:val="22"/>
        </w:rPr>
        <w:t>Rahi</w:t>
      </w:r>
      <w:proofErr w:type="spellEnd"/>
      <w:r w:rsidRPr="004969EF">
        <w:rPr>
          <w:rStyle w:val="Strong"/>
          <w:rFonts w:ascii="Arial" w:eastAsia="Calibri Light" w:hAnsi="Arial" w:cs="Arial"/>
          <w:b w:val="0"/>
          <w:bCs w:val="0"/>
          <w:color w:val="000000"/>
          <w:sz w:val="22"/>
          <w:szCs w:val="22"/>
        </w:rPr>
        <w:t>, J., Saxton, J., Blackburn, I.W.W., Ruiz, M., Jay, M. and Stone, A. (2025)</w:t>
      </w:r>
      <w:r w:rsidRPr="004969EF">
        <w:rPr>
          <w:rFonts w:ascii="Arial" w:hAnsi="Arial" w:cs="Arial"/>
          <w:color w:val="000000"/>
          <w:sz w:val="22"/>
          <w:szCs w:val="22"/>
        </w:rPr>
        <w:t xml:space="preserve"> ‘Local authority variation in school-recorded special educational needs and disability provision in Year 1 among children born in England, 2003–13’, </w:t>
      </w:r>
      <w:r w:rsidRPr="004969EF">
        <w:rPr>
          <w:rStyle w:val="Emphasis"/>
          <w:rFonts w:ascii="Arial" w:hAnsi="Arial" w:cs="Arial"/>
          <w:color w:val="000000"/>
          <w:sz w:val="22"/>
          <w:szCs w:val="22"/>
        </w:rPr>
        <w:t>European Journal of Public Health</w:t>
      </w:r>
      <w:r w:rsidRPr="004969EF">
        <w:rPr>
          <w:rFonts w:ascii="Arial" w:hAnsi="Arial" w:cs="Arial"/>
          <w:color w:val="000000"/>
          <w:sz w:val="22"/>
          <w:szCs w:val="22"/>
        </w:rPr>
        <w:t xml:space="preserve">, 00(0). Available at: </w:t>
      </w:r>
      <w:hyperlink r:id="rId28" w:history="1">
        <w:r w:rsidRPr="004969EF">
          <w:rPr>
            <w:rStyle w:val="Hyperlink"/>
            <w:rFonts w:ascii="Arial" w:hAnsi="Arial" w:cs="Arial"/>
            <w:sz w:val="22"/>
            <w:szCs w:val="22"/>
          </w:rPr>
          <w:t>https://doi.org/10.1093/eurpub/ckaf116</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57049417" w14:textId="7742357C" w:rsidR="00F65FCA"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 xml:space="preserve">May, F., Ford, T., Janssens, A., Newlove-Delgado, T., Russell, A.E., Salim, J., </w:t>
      </w:r>
      <w:proofErr w:type="spellStart"/>
      <w:r w:rsidRPr="004969EF">
        <w:rPr>
          <w:rStyle w:val="Strong"/>
          <w:rFonts w:ascii="Arial" w:eastAsia="Calibri Light" w:hAnsi="Arial" w:cs="Arial"/>
          <w:b w:val="0"/>
          <w:bCs w:val="0"/>
          <w:color w:val="000000"/>
          <w:sz w:val="22"/>
          <w:szCs w:val="22"/>
        </w:rPr>
        <w:t>Ukoumunne</w:t>
      </w:r>
      <w:proofErr w:type="spellEnd"/>
      <w:r w:rsidRPr="004969EF">
        <w:rPr>
          <w:rStyle w:val="Strong"/>
          <w:rFonts w:ascii="Arial" w:eastAsia="Calibri Light" w:hAnsi="Arial" w:cs="Arial"/>
          <w:b w:val="0"/>
          <w:bCs w:val="0"/>
          <w:color w:val="000000"/>
          <w:sz w:val="22"/>
          <w:szCs w:val="22"/>
        </w:rPr>
        <w:t>, O.C. and Hayes, R. (2020)</w:t>
      </w:r>
      <w:r w:rsidRPr="004969EF">
        <w:rPr>
          <w:rFonts w:ascii="Arial" w:hAnsi="Arial" w:cs="Arial"/>
          <w:color w:val="000000"/>
          <w:sz w:val="22"/>
          <w:szCs w:val="22"/>
        </w:rPr>
        <w:t xml:space="preserve"> ‘Attainment, attendance, and school difficulties in UK primary schoolchildren with probable ADHD’, </w:t>
      </w:r>
      <w:r w:rsidRPr="004969EF">
        <w:rPr>
          <w:rStyle w:val="Emphasis"/>
          <w:rFonts w:ascii="Arial" w:hAnsi="Arial" w:cs="Arial"/>
          <w:color w:val="000000"/>
          <w:sz w:val="22"/>
          <w:szCs w:val="22"/>
        </w:rPr>
        <w:t>British Journal of Educational Psychology</w:t>
      </w:r>
      <w:r w:rsidRPr="004969EF">
        <w:rPr>
          <w:rFonts w:ascii="Arial" w:hAnsi="Arial" w:cs="Arial"/>
          <w:color w:val="000000"/>
          <w:sz w:val="22"/>
          <w:szCs w:val="22"/>
        </w:rPr>
        <w:t xml:space="preserve">, 91(1), pp. 442–462. Available at: </w:t>
      </w:r>
      <w:hyperlink r:id="rId29" w:history="1">
        <w:r w:rsidRPr="004969EF">
          <w:rPr>
            <w:rStyle w:val="Hyperlink"/>
            <w:rFonts w:ascii="Arial" w:hAnsi="Arial" w:cs="Arial"/>
            <w:sz w:val="22"/>
            <w:szCs w:val="22"/>
          </w:rPr>
          <w:t>https://doi.org/10.1111/bjep.12375</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65B2124A" w14:textId="5C4D6508" w:rsidR="00F65FCA"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McDougal, E., Tai, C., Stewart, T.M., Booth, J.N. and Rhodes, S.M. (2022)</w:t>
      </w:r>
      <w:r w:rsidRPr="004969EF">
        <w:rPr>
          <w:rFonts w:ascii="Arial" w:hAnsi="Arial" w:cs="Arial"/>
          <w:color w:val="000000"/>
          <w:sz w:val="22"/>
          <w:szCs w:val="22"/>
        </w:rPr>
        <w:t xml:space="preserve"> ‘Understanding and supporting attention deficit hyperactivity disorder (ADHD) in the primary school classroom: perspectives of children with ADHD and their teachers’, </w:t>
      </w:r>
      <w:r w:rsidRPr="004969EF">
        <w:rPr>
          <w:rStyle w:val="Emphasis"/>
          <w:rFonts w:ascii="Arial" w:hAnsi="Arial" w:cs="Arial"/>
          <w:color w:val="000000"/>
          <w:sz w:val="22"/>
          <w:szCs w:val="22"/>
        </w:rPr>
        <w:t>Journal of Autism and Developmental Disorders</w:t>
      </w:r>
      <w:r w:rsidRPr="004969EF">
        <w:rPr>
          <w:rFonts w:ascii="Arial" w:hAnsi="Arial" w:cs="Arial"/>
          <w:color w:val="000000"/>
          <w:sz w:val="22"/>
          <w:szCs w:val="22"/>
        </w:rPr>
        <w:t xml:space="preserve">, 53(9), pp. 3406–3421. Available at: </w:t>
      </w:r>
      <w:hyperlink r:id="rId30" w:history="1">
        <w:r w:rsidRPr="004969EF">
          <w:rPr>
            <w:rStyle w:val="Hyperlink"/>
            <w:rFonts w:ascii="Arial" w:hAnsi="Arial" w:cs="Arial"/>
            <w:sz w:val="22"/>
            <w:szCs w:val="22"/>
          </w:rPr>
          <w:t>https://doi.org/10.1007/s10803-022-05639-3</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7B749C36" w14:textId="21F837A0" w:rsidR="00F65FCA" w:rsidRPr="004969EF" w:rsidRDefault="00F65FCA" w:rsidP="004969EF">
      <w:pPr>
        <w:pStyle w:val="NormalWeb"/>
        <w:spacing w:line="360" w:lineRule="auto"/>
        <w:jc w:val="both"/>
        <w:rPr>
          <w:rFonts w:ascii="Arial" w:hAnsi="Arial" w:cs="Arial"/>
          <w:color w:val="000000"/>
          <w:sz w:val="22"/>
          <w:szCs w:val="22"/>
        </w:rPr>
      </w:pPr>
      <w:proofErr w:type="spellStart"/>
      <w:r w:rsidRPr="004969EF">
        <w:rPr>
          <w:rStyle w:val="Strong"/>
          <w:rFonts w:ascii="Arial" w:eastAsia="Calibri Light" w:hAnsi="Arial" w:cs="Arial"/>
          <w:b w:val="0"/>
          <w:bCs w:val="0"/>
          <w:color w:val="000000"/>
          <w:sz w:val="22"/>
          <w:szCs w:val="22"/>
        </w:rPr>
        <w:t>Ogundele</w:t>
      </w:r>
      <w:proofErr w:type="spellEnd"/>
      <w:r w:rsidRPr="004969EF">
        <w:rPr>
          <w:rStyle w:val="Strong"/>
          <w:rFonts w:ascii="Arial" w:eastAsia="Calibri Light" w:hAnsi="Arial" w:cs="Arial"/>
          <w:b w:val="0"/>
          <w:bCs w:val="0"/>
          <w:color w:val="000000"/>
          <w:sz w:val="22"/>
          <w:szCs w:val="22"/>
        </w:rPr>
        <w:t>, M.O. and Ayyash, H.F. (202</w:t>
      </w:r>
      <w:r w:rsidRPr="004969EF">
        <w:rPr>
          <w:rStyle w:val="Strong"/>
          <w:rFonts w:ascii="Arial" w:eastAsia="Calibri Light" w:hAnsi="Arial" w:cs="Arial"/>
          <w:color w:val="000000"/>
          <w:sz w:val="22"/>
          <w:szCs w:val="22"/>
        </w:rPr>
        <w:t>3)</w:t>
      </w:r>
      <w:r w:rsidRPr="004969EF">
        <w:rPr>
          <w:rFonts w:ascii="Arial" w:hAnsi="Arial" w:cs="Arial"/>
          <w:color w:val="000000"/>
          <w:sz w:val="22"/>
          <w:szCs w:val="22"/>
        </w:rPr>
        <w:t xml:space="preserve"> ‘ADHD in children and adolescents: review of current practice of non-pharmacological and behavioural management’, </w:t>
      </w:r>
      <w:r w:rsidRPr="004969EF">
        <w:rPr>
          <w:rStyle w:val="Emphasis"/>
          <w:rFonts w:ascii="Arial" w:hAnsi="Arial" w:cs="Arial"/>
          <w:color w:val="000000"/>
          <w:sz w:val="22"/>
          <w:szCs w:val="22"/>
        </w:rPr>
        <w:t>AIMS Public Health</w:t>
      </w:r>
      <w:r w:rsidRPr="004969EF">
        <w:rPr>
          <w:rFonts w:ascii="Arial" w:hAnsi="Arial" w:cs="Arial"/>
          <w:color w:val="000000"/>
          <w:sz w:val="22"/>
          <w:szCs w:val="22"/>
        </w:rPr>
        <w:t xml:space="preserve">, 10(1), pp. 35–51. Available at: </w:t>
      </w:r>
      <w:hyperlink r:id="rId31" w:history="1">
        <w:r w:rsidRPr="004969EF">
          <w:rPr>
            <w:rStyle w:val="Hyperlink"/>
            <w:rFonts w:ascii="Arial" w:hAnsi="Arial" w:cs="Arial"/>
            <w:sz w:val="22"/>
            <w:szCs w:val="22"/>
          </w:rPr>
          <w:t>https://doi.org/10.3934/publichealth.2023004</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4399C312" w14:textId="791C854A" w:rsidR="00F65FCA"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 xml:space="preserve">Patel, P., </w:t>
      </w:r>
      <w:proofErr w:type="spellStart"/>
      <w:r w:rsidRPr="004969EF">
        <w:rPr>
          <w:rStyle w:val="Strong"/>
          <w:rFonts w:ascii="Arial" w:eastAsia="Calibri Light" w:hAnsi="Arial" w:cs="Arial"/>
          <w:b w:val="0"/>
          <w:bCs w:val="0"/>
          <w:color w:val="000000"/>
          <w:sz w:val="22"/>
          <w:szCs w:val="22"/>
        </w:rPr>
        <w:t>Behl</w:t>
      </w:r>
      <w:proofErr w:type="spellEnd"/>
      <w:r w:rsidRPr="004969EF">
        <w:rPr>
          <w:rStyle w:val="Strong"/>
          <w:rFonts w:ascii="Arial" w:eastAsia="Calibri Light" w:hAnsi="Arial" w:cs="Arial"/>
          <w:b w:val="0"/>
          <w:bCs w:val="0"/>
          <w:color w:val="000000"/>
          <w:sz w:val="22"/>
          <w:szCs w:val="22"/>
        </w:rPr>
        <w:t xml:space="preserve">, J., Karim, T., </w:t>
      </w:r>
      <w:proofErr w:type="spellStart"/>
      <w:r w:rsidRPr="004969EF">
        <w:rPr>
          <w:rStyle w:val="Strong"/>
          <w:rFonts w:ascii="Arial" w:eastAsia="Calibri Light" w:hAnsi="Arial" w:cs="Arial"/>
          <w:b w:val="0"/>
          <w:bCs w:val="0"/>
          <w:color w:val="000000"/>
          <w:sz w:val="22"/>
          <w:szCs w:val="22"/>
        </w:rPr>
        <w:t>Palnati</w:t>
      </w:r>
      <w:proofErr w:type="spellEnd"/>
      <w:r w:rsidRPr="004969EF">
        <w:rPr>
          <w:rStyle w:val="Strong"/>
          <w:rFonts w:ascii="Arial" w:eastAsia="Calibri Light" w:hAnsi="Arial" w:cs="Arial"/>
          <w:b w:val="0"/>
          <w:bCs w:val="0"/>
          <w:color w:val="000000"/>
          <w:sz w:val="22"/>
          <w:szCs w:val="22"/>
        </w:rPr>
        <w:t>, S.R. and Bhakta, S. (2024)</w:t>
      </w:r>
      <w:r w:rsidRPr="004969EF">
        <w:rPr>
          <w:rFonts w:ascii="Arial" w:hAnsi="Arial" w:cs="Arial"/>
          <w:color w:val="000000"/>
          <w:sz w:val="22"/>
          <w:szCs w:val="22"/>
        </w:rPr>
        <w:t xml:space="preserve"> ‘Parenting styles and attention deficit hyperactivity disorder in the South Asian population: a narrative review’, </w:t>
      </w:r>
      <w:proofErr w:type="spellStart"/>
      <w:r w:rsidRPr="004969EF">
        <w:rPr>
          <w:rStyle w:val="Emphasis"/>
          <w:rFonts w:ascii="Arial" w:hAnsi="Arial" w:cs="Arial"/>
          <w:color w:val="000000"/>
          <w:sz w:val="22"/>
          <w:szCs w:val="22"/>
        </w:rPr>
        <w:t>Cureus</w:t>
      </w:r>
      <w:proofErr w:type="spellEnd"/>
      <w:r w:rsidRPr="004969EF">
        <w:rPr>
          <w:rFonts w:ascii="Arial" w:hAnsi="Arial" w:cs="Arial"/>
          <w:color w:val="000000"/>
          <w:sz w:val="22"/>
          <w:szCs w:val="22"/>
        </w:rPr>
        <w:t xml:space="preserve">, 16(12). Available at: </w:t>
      </w:r>
      <w:hyperlink r:id="rId32" w:history="1">
        <w:r w:rsidRPr="004969EF">
          <w:rPr>
            <w:rStyle w:val="Hyperlink"/>
            <w:rFonts w:ascii="Arial" w:hAnsi="Arial" w:cs="Arial"/>
            <w:sz w:val="22"/>
            <w:szCs w:val="22"/>
          </w:rPr>
          <w:t>https://doi.org/10.7759/cureus.74967</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7CDD6253" w14:textId="7404724A" w:rsidR="00F65FCA" w:rsidRPr="004969EF" w:rsidRDefault="00F65FCA" w:rsidP="004969EF">
      <w:pPr>
        <w:pStyle w:val="NormalWeb"/>
        <w:spacing w:line="360" w:lineRule="auto"/>
        <w:jc w:val="both"/>
        <w:rPr>
          <w:rFonts w:ascii="Arial" w:hAnsi="Arial" w:cs="Arial"/>
          <w:color w:val="000000"/>
          <w:sz w:val="22"/>
          <w:szCs w:val="22"/>
        </w:rPr>
      </w:pPr>
      <w:proofErr w:type="spellStart"/>
      <w:r w:rsidRPr="004969EF">
        <w:rPr>
          <w:rStyle w:val="Strong"/>
          <w:rFonts w:ascii="Arial" w:eastAsia="Calibri Light" w:hAnsi="Arial" w:cs="Arial"/>
          <w:b w:val="0"/>
          <w:bCs w:val="0"/>
          <w:color w:val="000000"/>
          <w:sz w:val="22"/>
          <w:szCs w:val="22"/>
        </w:rPr>
        <w:lastRenderedPageBreak/>
        <w:t>Pranjol</w:t>
      </w:r>
      <w:proofErr w:type="spellEnd"/>
      <w:r w:rsidRPr="004969EF">
        <w:rPr>
          <w:rStyle w:val="Strong"/>
          <w:rFonts w:ascii="Arial" w:eastAsia="Calibri Light" w:hAnsi="Arial" w:cs="Arial"/>
          <w:b w:val="0"/>
          <w:bCs w:val="0"/>
          <w:color w:val="000000"/>
          <w:sz w:val="22"/>
          <w:szCs w:val="22"/>
        </w:rPr>
        <w:t xml:space="preserve">, </w:t>
      </w:r>
      <w:proofErr w:type="spellStart"/>
      <w:r w:rsidRPr="004969EF">
        <w:rPr>
          <w:rStyle w:val="Strong"/>
          <w:rFonts w:ascii="Arial" w:eastAsia="Calibri Light" w:hAnsi="Arial" w:cs="Arial"/>
          <w:b w:val="0"/>
          <w:bCs w:val="0"/>
          <w:color w:val="000000"/>
          <w:sz w:val="22"/>
          <w:szCs w:val="22"/>
        </w:rPr>
        <w:t>Md.Z.I</w:t>
      </w:r>
      <w:proofErr w:type="spellEnd"/>
      <w:r w:rsidRPr="004969EF">
        <w:rPr>
          <w:rStyle w:val="Strong"/>
          <w:rFonts w:ascii="Arial" w:eastAsia="Calibri Light" w:hAnsi="Arial" w:cs="Arial"/>
          <w:b w:val="0"/>
          <w:bCs w:val="0"/>
          <w:color w:val="000000"/>
          <w:sz w:val="22"/>
          <w:szCs w:val="22"/>
        </w:rPr>
        <w:t>. and Amir, A. (2025)</w:t>
      </w:r>
      <w:r w:rsidRPr="004969EF">
        <w:rPr>
          <w:rFonts w:ascii="Arial" w:hAnsi="Arial" w:cs="Arial"/>
          <w:color w:val="000000"/>
          <w:sz w:val="22"/>
          <w:szCs w:val="22"/>
        </w:rPr>
        <w:t xml:space="preserve"> ‘Disrupting diagnostic hegemony: reimagining mental health language with British South Asian communities’, </w:t>
      </w:r>
      <w:r w:rsidRPr="004969EF">
        <w:rPr>
          <w:rStyle w:val="Emphasis"/>
          <w:rFonts w:ascii="Arial" w:hAnsi="Arial" w:cs="Arial"/>
          <w:color w:val="000000"/>
          <w:sz w:val="22"/>
          <w:szCs w:val="22"/>
        </w:rPr>
        <w:t>Frontiers in Education</w:t>
      </w:r>
      <w:r w:rsidRPr="004969EF">
        <w:rPr>
          <w:rFonts w:ascii="Arial" w:hAnsi="Arial" w:cs="Arial"/>
          <w:color w:val="000000"/>
          <w:sz w:val="22"/>
          <w:szCs w:val="22"/>
        </w:rPr>
        <w:t xml:space="preserve">, 10. Available at: </w:t>
      </w:r>
      <w:hyperlink r:id="rId33" w:history="1">
        <w:r w:rsidRPr="004969EF">
          <w:rPr>
            <w:rStyle w:val="Hyperlink"/>
            <w:rFonts w:ascii="Arial" w:hAnsi="Arial" w:cs="Arial"/>
            <w:sz w:val="22"/>
            <w:szCs w:val="22"/>
          </w:rPr>
          <w:t>https://doi.org/10.3389/feduc.2025.1550711</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541213B8" w14:textId="6CD2440F" w:rsidR="00F65FCA"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Russell, A.E., Benham-Clarke, S., Ford, T., Eke, H., Price, A., Mitchell, S.B., Newlove-Delgado, T., Moore, D.A. and Janssens, A. (2023)</w:t>
      </w:r>
      <w:r w:rsidRPr="004969EF">
        <w:rPr>
          <w:rFonts w:ascii="Arial" w:hAnsi="Arial" w:cs="Arial"/>
          <w:color w:val="000000"/>
          <w:sz w:val="22"/>
          <w:szCs w:val="22"/>
        </w:rPr>
        <w:t xml:space="preserve"> ‘Educational experiences of young people with ADHD in the UK: secondary analysis of qualitative data from the </w:t>
      </w:r>
      <w:proofErr w:type="spellStart"/>
      <w:r w:rsidRPr="004969EF">
        <w:rPr>
          <w:rFonts w:ascii="Arial" w:hAnsi="Arial" w:cs="Arial"/>
          <w:color w:val="000000"/>
          <w:sz w:val="22"/>
          <w:szCs w:val="22"/>
        </w:rPr>
        <w:t>CATCh-uS</w:t>
      </w:r>
      <w:proofErr w:type="spellEnd"/>
      <w:r w:rsidRPr="004969EF">
        <w:rPr>
          <w:rFonts w:ascii="Arial" w:hAnsi="Arial" w:cs="Arial"/>
          <w:color w:val="000000"/>
          <w:sz w:val="22"/>
          <w:szCs w:val="22"/>
        </w:rPr>
        <w:t xml:space="preserve"> mixed-methods study’, </w:t>
      </w:r>
      <w:r w:rsidRPr="004969EF">
        <w:rPr>
          <w:rStyle w:val="Emphasis"/>
          <w:rFonts w:ascii="Arial" w:hAnsi="Arial" w:cs="Arial"/>
          <w:color w:val="000000"/>
          <w:sz w:val="22"/>
          <w:szCs w:val="22"/>
        </w:rPr>
        <w:t>British Journal of Educational Psychology</w:t>
      </w:r>
      <w:r w:rsidRPr="004969EF">
        <w:rPr>
          <w:rFonts w:ascii="Arial" w:hAnsi="Arial" w:cs="Arial"/>
          <w:color w:val="000000"/>
          <w:sz w:val="22"/>
          <w:szCs w:val="22"/>
        </w:rPr>
        <w:t xml:space="preserve">, 93(4). Available at: </w:t>
      </w:r>
      <w:hyperlink r:id="rId34" w:history="1">
        <w:r w:rsidRPr="004969EF">
          <w:rPr>
            <w:rStyle w:val="Hyperlink"/>
            <w:rFonts w:ascii="Arial" w:hAnsi="Arial" w:cs="Arial"/>
            <w:sz w:val="22"/>
            <w:szCs w:val="22"/>
          </w:rPr>
          <w:t>https://doi.org/10.1111/bjep.12613</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548B6690" w14:textId="1C9BD573" w:rsidR="00F65FCA" w:rsidRPr="004969EF" w:rsidRDefault="00F65FCA" w:rsidP="004969EF">
      <w:pPr>
        <w:pStyle w:val="NormalWeb"/>
        <w:spacing w:line="360" w:lineRule="auto"/>
        <w:jc w:val="both"/>
        <w:rPr>
          <w:rFonts w:ascii="Arial" w:hAnsi="Arial" w:cs="Arial"/>
          <w:color w:val="000000"/>
          <w:sz w:val="22"/>
          <w:szCs w:val="22"/>
        </w:rPr>
      </w:pPr>
      <w:proofErr w:type="spellStart"/>
      <w:r w:rsidRPr="004969EF">
        <w:rPr>
          <w:rStyle w:val="Strong"/>
          <w:rFonts w:ascii="Arial" w:eastAsia="Calibri Light" w:hAnsi="Arial" w:cs="Arial"/>
          <w:b w:val="0"/>
          <w:bCs w:val="0"/>
          <w:color w:val="000000"/>
          <w:sz w:val="22"/>
          <w:szCs w:val="22"/>
        </w:rPr>
        <w:t>Tegtmejer</w:t>
      </w:r>
      <w:proofErr w:type="spellEnd"/>
      <w:r w:rsidRPr="004969EF">
        <w:rPr>
          <w:rStyle w:val="Strong"/>
          <w:rFonts w:ascii="Arial" w:eastAsia="Calibri Light" w:hAnsi="Arial" w:cs="Arial"/>
          <w:b w:val="0"/>
          <w:bCs w:val="0"/>
          <w:color w:val="000000"/>
          <w:sz w:val="22"/>
          <w:szCs w:val="22"/>
        </w:rPr>
        <w:t>, T. (2019)</w:t>
      </w:r>
      <w:r w:rsidRPr="004969EF">
        <w:rPr>
          <w:rFonts w:ascii="Arial" w:hAnsi="Arial" w:cs="Arial"/>
          <w:color w:val="000000"/>
          <w:sz w:val="22"/>
          <w:szCs w:val="22"/>
        </w:rPr>
        <w:t xml:space="preserve"> ‘ADHD as a classroom diagnosis: an exploratory study of teachers’ strategies for addressing “ADHD classroom behaviour”’, </w:t>
      </w:r>
      <w:r w:rsidRPr="004969EF">
        <w:rPr>
          <w:rStyle w:val="Emphasis"/>
          <w:rFonts w:ascii="Arial" w:hAnsi="Arial" w:cs="Arial"/>
          <w:color w:val="000000"/>
          <w:sz w:val="22"/>
          <w:szCs w:val="22"/>
        </w:rPr>
        <w:t>Emotional and Behavioural Difficulties</w:t>
      </w:r>
      <w:r w:rsidRPr="004969EF">
        <w:rPr>
          <w:rFonts w:ascii="Arial" w:hAnsi="Arial" w:cs="Arial"/>
          <w:color w:val="000000"/>
          <w:sz w:val="22"/>
          <w:szCs w:val="22"/>
        </w:rPr>
        <w:t xml:space="preserve">, 24(3), pp. 239–253. Available at: </w:t>
      </w:r>
      <w:hyperlink r:id="rId35" w:history="1">
        <w:r w:rsidRPr="004969EF">
          <w:rPr>
            <w:rStyle w:val="Hyperlink"/>
            <w:rFonts w:ascii="Arial" w:hAnsi="Arial" w:cs="Arial"/>
            <w:sz w:val="22"/>
            <w:szCs w:val="22"/>
          </w:rPr>
          <w:t>https://doi.org/10.1080/13632752.2019.1609271</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02EA91A9" w14:textId="77777777" w:rsidR="00F65FCA"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Vincent, B.P., Maryam, Z., Ali, N., Bushnell, M., Elliott, E. and Randhawa, G. (2025)</w:t>
      </w:r>
      <w:r w:rsidRPr="004969EF">
        <w:rPr>
          <w:rFonts w:ascii="Arial" w:hAnsi="Arial" w:cs="Arial"/>
          <w:color w:val="000000"/>
          <w:sz w:val="22"/>
          <w:szCs w:val="22"/>
        </w:rPr>
        <w:t xml:space="preserve"> ‘Barriers and facilitators to accessing services for neurodevelopmental disorders among the carers of individuals from Black, Asian and minority ethnic groups in the UK: a scoping review’, </w:t>
      </w:r>
      <w:r w:rsidRPr="004969EF">
        <w:rPr>
          <w:rStyle w:val="Emphasis"/>
          <w:rFonts w:ascii="Arial" w:hAnsi="Arial" w:cs="Arial"/>
          <w:color w:val="000000"/>
          <w:sz w:val="22"/>
          <w:szCs w:val="22"/>
        </w:rPr>
        <w:t>BMJ Open</w:t>
      </w:r>
      <w:r w:rsidRPr="004969EF">
        <w:rPr>
          <w:rFonts w:ascii="Arial" w:hAnsi="Arial" w:cs="Arial"/>
          <w:color w:val="000000"/>
          <w:sz w:val="22"/>
          <w:szCs w:val="22"/>
        </w:rPr>
        <w:t>, 15(11), p. e104511. Available at: https://doi.org/10.1136/bmjopen-2025-104511.</w:t>
      </w:r>
    </w:p>
    <w:p w14:paraId="7BE2B0B8" w14:textId="77777777" w:rsidR="00F65FCA"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 xml:space="preserve">Ward, R.J., </w:t>
      </w:r>
      <w:proofErr w:type="spellStart"/>
      <w:r w:rsidRPr="004969EF">
        <w:rPr>
          <w:rStyle w:val="Strong"/>
          <w:rFonts w:ascii="Arial" w:eastAsia="Calibri Light" w:hAnsi="Arial" w:cs="Arial"/>
          <w:b w:val="0"/>
          <w:bCs w:val="0"/>
          <w:color w:val="000000"/>
          <w:sz w:val="22"/>
          <w:szCs w:val="22"/>
        </w:rPr>
        <w:t>Kovshoff</w:t>
      </w:r>
      <w:proofErr w:type="spellEnd"/>
      <w:r w:rsidRPr="004969EF">
        <w:rPr>
          <w:rStyle w:val="Strong"/>
          <w:rFonts w:ascii="Arial" w:eastAsia="Calibri Light" w:hAnsi="Arial" w:cs="Arial"/>
          <w:b w:val="0"/>
          <w:bCs w:val="0"/>
          <w:color w:val="000000"/>
          <w:sz w:val="22"/>
          <w:szCs w:val="22"/>
        </w:rPr>
        <w:t xml:space="preserve">, H. and </w:t>
      </w:r>
      <w:proofErr w:type="spellStart"/>
      <w:r w:rsidRPr="004969EF">
        <w:rPr>
          <w:rStyle w:val="Strong"/>
          <w:rFonts w:ascii="Arial" w:eastAsia="Calibri Light" w:hAnsi="Arial" w:cs="Arial"/>
          <w:b w:val="0"/>
          <w:bCs w:val="0"/>
          <w:color w:val="000000"/>
          <w:sz w:val="22"/>
          <w:szCs w:val="22"/>
        </w:rPr>
        <w:t>Kreppner</w:t>
      </w:r>
      <w:proofErr w:type="spellEnd"/>
      <w:r w:rsidRPr="004969EF">
        <w:rPr>
          <w:rStyle w:val="Strong"/>
          <w:rFonts w:ascii="Arial" w:eastAsia="Calibri Light" w:hAnsi="Arial" w:cs="Arial"/>
          <w:b w:val="0"/>
          <w:bCs w:val="0"/>
          <w:color w:val="000000"/>
          <w:sz w:val="22"/>
          <w:szCs w:val="22"/>
        </w:rPr>
        <w:t>, J. (2021)</w:t>
      </w:r>
      <w:r w:rsidRPr="004969EF">
        <w:rPr>
          <w:rFonts w:ascii="Arial" w:hAnsi="Arial" w:cs="Arial"/>
          <w:color w:val="000000"/>
          <w:sz w:val="22"/>
          <w:szCs w:val="22"/>
        </w:rPr>
        <w:t xml:space="preserve"> ‘School staff perspectives on ADHD and training: understanding the needs and views of UK primary staff’, </w:t>
      </w:r>
      <w:r w:rsidRPr="004969EF">
        <w:rPr>
          <w:rStyle w:val="Emphasis"/>
          <w:rFonts w:ascii="Arial" w:hAnsi="Arial" w:cs="Arial"/>
          <w:color w:val="000000"/>
          <w:sz w:val="22"/>
          <w:szCs w:val="22"/>
        </w:rPr>
        <w:t>Emotional and Behavioural Difficulties</w:t>
      </w:r>
      <w:r w:rsidRPr="004969EF">
        <w:rPr>
          <w:rFonts w:ascii="Arial" w:hAnsi="Arial" w:cs="Arial"/>
          <w:color w:val="000000"/>
          <w:sz w:val="22"/>
          <w:szCs w:val="22"/>
        </w:rPr>
        <w:t>, 26(3), pp. 1–16. Available at: https://doi.org/10.1080/13632752.2021.1965342.</w:t>
      </w:r>
    </w:p>
    <w:p w14:paraId="42A2891E" w14:textId="77777777" w:rsidR="00F65FCA"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World Health Organization (2025)</w:t>
      </w:r>
      <w:r w:rsidRPr="004969EF">
        <w:rPr>
          <w:rFonts w:ascii="Arial" w:hAnsi="Arial" w:cs="Arial"/>
          <w:b/>
          <w:bCs/>
          <w:color w:val="000000"/>
          <w:sz w:val="22"/>
          <w:szCs w:val="22"/>
        </w:rPr>
        <w:t xml:space="preserve"> </w:t>
      </w:r>
      <w:r w:rsidRPr="004969EF">
        <w:rPr>
          <w:rStyle w:val="Emphasis"/>
          <w:rFonts w:ascii="Arial" w:hAnsi="Arial" w:cs="Arial"/>
          <w:color w:val="000000"/>
          <w:sz w:val="22"/>
          <w:szCs w:val="22"/>
        </w:rPr>
        <w:t>ICD-11 for Mortality and Morbidity Statistics</w:t>
      </w:r>
      <w:r w:rsidRPr="004969EF">
        <w:rPr>
          <w:rFonts w:ascii="Arial" w:hAnsi="Arial" w:cs="Arial"/>
          <w:color w:val="000000"/>
          <w:sz w:val="22"/>
          <w:szCs w:val="22"/>
        </w:rPr>
        <w:t>. Available at: https://icd.who.int/browse/2025-01/mms/en#821852937 (Accessed: 17 March 2026).</w:t>
      </w:r>
    </w:p>
    <w:p w14:paraId="520C1B79" w14:textId="739A3AAD" w:rsidR="00C76E47" w:rsidRPr="004969EF" w:rsidRDefault="00F65FCA"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 xml:space="preserve">Young, S., </w:t>
      </w:r>
      <w:proofErr w:type="spellStart"/>
      <w:r w:rsidRPr="004969EF">
        <w:rPr>
          <w:rStyle w:val="Strong"/>
          <w:rFonts w:ascii="Arial" w:eastAsia="Calibri Light" w:hAnsi="Arial" w:cs="Arial"/>
          <w:b w:val="0"/>
          <w:bCs w:val="0"/>
          <w:color w:val="000000"/>
          <w:sz w:val="22"/>
          <w:szCs w:val="22"/>
        </w:rPr>
        <w:t>Asherson</w:t>
      </w:r>
      <w:proofErr w:type="spellEnd"/>
      <w:r w:rsidRPr="004969EF">
        <w:rPr>
          <w:rStyle w:val="Strong"/>
          <w:rFonts w:ascii="Arial" w:eastAsia="Calibri Light" w:hAnsi="Arial" w:cs="Arial"/>
          <w:b w:val="0"/>
          <w:bCs w:val="0"/>
          <w:color w:val="000000"/>
          <w:sz w:val="22"/>
          <w:szCs w:val="22"/>
        </w:rPr>
        <w:t xml:space="preserve">, P., Lloyd, T., </w:t>
      </w:r>
      <w:proofErr w:type="spellStart"/>
      <w:r w:rsidRPr="004969EF">
        <w:rPr>
          <w:rStyle w:val="Strong"/>
          <w:rFonts w:ascii="Arial" w:eastAsia="Calibri Light" w:hAnsi="Arial" w:cs="Arial"/>
          <w:b w:val="0"/>
          <w:bCs w:val="0"/>
          <w:color w:val="000000"/>
          <w:sz w:val="22"/>
          <w:szCs w:val="22"/>
        </w:rPr>
        <w:t>Absoud</w:t>
      </w:r>
      <w:proofErr w:type="spellEnd"/>
      <w:r w:rsidRPr="004969EF">
        <w:rPr>
          <w:rStyle w:val="Strong"/>
          <w:rFonts w:ascii="Arial" w:eastAsia="Calibri Light" w:hAnsi="Arial" w:cs="Arial"/>
          <w:b w:val="0"/>
          <w:bCs w:val="0"/>
          <w:color w:val="000000"/>
          <w:sz w:val="22"/>
          <w:szCs w:val="22"/>
        </w:rPr>
        <w:t xml:space="preserve">, M., </w:t>
      </w:r>
      <w:proofErr w:type="spellStart"/>
      <w:r w:rsidRPr="004969EF">
        <w:rPr>
          <w:rStyle w:val="Strong"/>
          <w:rFonts w:ascii="Arial" w:eastAsia="Calibri Light" w:hAnsi="Arial" w:cs="Arial"/>
          <w:b w:val="0"/>
          <w:bCs w:val="0"/>
          <w:color w:val="000000"/>
          <w:sz w:val="22"/>
          <w:szCs w:val="22"/>
        </w:rPr>
        <w:t>Arif</w:t>
      </w:r>
      <w:proofErr w:type="spellEnd"/>
      <w:r w:rsidRPr="004969EF">
        <w:rPr>
          <w:rStyle w:val="Strong"/>
          <w:rFonts w:ascii="Arial" w:eastAsia="Calibri Light" w:hAnsi="Arial" w:cs="Arial"/>
          <w:b w:val="0"/>
          <w:bCs w:val="0"/>
          <w:color w:val="000000"/>
          <w:sz w:val="22"/>
          <w:szCs w:val="22"/>
        </w:rPr>
        <w:t xml:space="preserve">, M., Colley, W.A., Cortese, S., </w:t>
      </w:r>
      <w:proofErr w:type="spellStart"/>
      <w:r w:rsidRPr="004969EF">
        <w:rPr>
          <w:rStyle w:val="Strong"/>
          <w:rFonts w:ascii="Arial" w:eastAsia="Calibri Light" w:hAnsi="Arial" w:cs="Arial"/>
          <w:b w:val="0"/>
          <w:bCs w:val="0"/>
          <w:color w:val="000000"/>
          <w:sz w:val="22"/>
          <w:szCs w:val="22"/>
        </w:rPr>
        <w:t>Cubbin</w:t>
      </w:r>
      <w:proofErr w:type="spellEnd"/>
      <w:r w:rsidRPr="004969EF">
        <w:rPr>
          <w:rStyle w:val="Strong"/>
          <w:rFonts w:ascii="Arial" w:eastAsia="Calibri Light" w:hAnsi="Arial" w:cs="Arial"/>
          <w:b w:val="0"/>
          <w:bCs w:val="0"/>
          <w:color w:val="000000"/>
          <w:sz w:val="22"/>
          <w:szCs w:val="22"/>
        </w:rPr>
        <w:t xml:space="preserve">, S., Doyle, N., </w:t>
      </w:r>
      <w:proofErr w:type="spellStart"/>
      <w:r w:rsidRPr="004969EF">
        <w:rPr>
          <w:rStyle w:val="Strong"/>
          <w:rFonts w:ascii="Arial" w:eastAsia="Calibri Light" w:hAnsi="Arial" w:cs="Arial"/>
          <w:b w:val="0"/>
          <w:bCs w:val="0"/>
          <w:color w:val="000000"/>
          <w:sz w:val="22"/>
          <w:szCs w:val="22"/>
        </w:rPr>
        <w:t>Morua</w:t>
      </w:r>
      <w:proofErr w:type="spellEnd"/>
      <w:r w:rsidRPr="004969EF">
        <w:rPr>
          <w:rStyle w:val="Strong"/>
          <w:rFonts w:ascii="Arial" w:eastAsia="Calibri Light" w:hAnsi="Arial" w:cs="Arial"/>
          <w:b w:val="0"/>
          <w:bCs w:val="0"/>
          <w:color w:val="000000"/>
          <w:sz w:val="22"/>
          <w:szCs w:val="22"/>
        </w:rPr>
        <w:t xml:space="preserve">, S.D., Ferreira-Lay, P., Gudjonsson, G., </w:t>
      </w:r>
      <w:proofErr w:type="spellStart"/>
      <w:r w:rsidRPr="004969EF">
        <w:rPr>
          <w:rStyle w:val="Strong"/>
          <w:rFonts w:ascii="Arial" w:eastAsia="Calibri Light" w:hAnsi="Arial" w:cs="Arial"/>
          <w:b w:val="0"/>
          <w:bCs w:val="0"/>
          <w:color w:val="000000"/>
          <w:sz w:val="22"/>
          <w:szCs w:val="22"/>
        </w:rPr>
        <w:t>Ivens</w:t>
      </w:r>
      <w:proofErr w:type="spellEnd"/>
      <w:r w:rsidRPr="004969EF">
        <w:rPr>
          <w:rStyle w:val="Strong"/>
          <w:rFonts w:ascii="Arial" w:eastAsia="Calibri Light" w:hAnsi="Arial" w:cs="Arial"/>
          <w:b w:val="0"/>
          <w:bCs w:val="0"/>
          <w:color w:val="000000"/>
          <w:sz w:val="22"/>
          <w:szCs w:val="22"/>
        </w:rPr>
        <w:t>, V., Jarvis, C., Lewis, A., Mason, P., Newlove-Delgado, T., Pitts, M., Read, H. and van Rensburg, K.</w:t>
      </w:r>
      <w:r w:rsidRPr="004969EF">
        <w:rPr>
          <w:rStyle w:val="Strong"/>
          <w:rFonts w:ascii="Arial" w:eastAsia="Calibri Light" w:hAnsi="Arial" w:cs="Arial"/>
          <w:color w:val="000000"/>
          <w:sz w:val="22"/>
          <w:szCs w:val="22"/>
        </w:rPr>
        <w:t xml:space="preserve"> (2021)</w:t>
      </w:r>
      <w:r w:rsidRPr="004969EF">
        <w:rPr>
          <w:rFonts w:ascii="Arial" w:hAnsi="Arial" w:cs="Arial"/>
          <w:color w:val="000000"/>
          <w:sz w:val="22"/>
          <w:szCs w:val="22"/>
        </w:rPr>
        <w:t xml:space="preserve"> ‘Failure of healthcare provision for attention-deficit/hyperactivity disorder in the United Kingdom: a consensus statement’, </w:t>
      </w:r>
      <w:r w:rsidRPr="004969EF">
        <w:rPr>
          <w:rStyle w:val="Emphasis"/>
          <w:rFonts w:ascii="Arial" w:hAnsi="Arial" w:cs="Arial"/>
          <w:color w:val="000000"/>
          <w:sz w:val="22"/>
          <w:szCs w:val="22"/>
        </w:rPr>
        <w:t>Frontiers in Psychiatry</w:t>
      </w:r>
      <w:r w:rsidRPr="004969EF">
        <w:rPr>
          <w:rFonts w:ascii="Arial" w:hAnsi="Arial" w:cs="Arial"/>
          <w:color w:val="000000"/>
          <w:sz w:val="22"/>
          <w:szCs w:val="22"/>
        </w:rPr>
        <w:t xml:space="preserve">, 12(649399). Available at: </w:t>
      </w:r>
      <w:hyperlink r:id="rId36" w:history="1">
        <w:r w:rsidRPr="004969EF">
          <w:rPr>
            <w:rStyle w:val="Hyperlink"/>
            <w:rFonts w:ascii="Arial" w:hAnsi="Arial" w:cs="Arial"/>
            <w:sz w:val="22"/>
            <w:szCs w:val="22"/>
          </w:rPr>
          <w:t>https://doi.org/10.3389/fpsyt.2021.649399</w:t>
        </w:r>
      </w:hyperlink>
      <w:r w:rsidRPr="004969EF">
        <w:rPr>
          <w:rFonts w:ascii="Arial" w:hAnsi="Arial" w:cs="Arial"/>
          <w:color w:val="000000"/>
          <w:sz w:val="22"/>
          <w:szCs w:val="22"/>
        </w:rPr>
        <w:t xml:space="preserve">. </w:t>
      </w:r>
    </w:p>
    <w:p w14:paraId="2DB935F3" w14:textId="6B8E4330" w:rsidR="00DD5375" w:rsidRPr="004969EF" w:rsidRDefault="00DD5375"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Department of Health (2015)</w:t>
      </w:r>
      <w:r w:rsidRPr="004969EF">
        <w:rPr>
          <w:rFonts w:ascii="Arial" w:hAnsi="Arial" w:cs="Arial"/>
          <w:color w:val="000000"/>
          <w:sz w:val="22"/>
          <w:szCs w:val="22"/>
        </w:rPr>
        <w:t xml:space="preserve"> Improving health literacy to reduce health inequalities. Available at: </w:t>
      </w:r>
      <w:hyperlink r:id="rId37" w:history="1">
        <w:r w:rsidR="00F65FCA" w:rsidRPr="004969EF">
          <w:rPr>
            <w:rStyle w:val="Hyperlink"/>
            <w:rFonts w:ascii="Arial" w:hAnsi="Arial" w:cs="Arial"/>
            <w:sz w:val="22"/>
            <w:szCs w:val="22"/>
          </w:rPr>
          <w:t>https://assets.publishing.service.gov.uk/media/5a80b62d40f0b62302695133/4b_Health_Literacy-Briefing.pdf</w:t>
        </w:r>
      </w:hyperlink>
      <w:r w:rsidR="00F65FCA" w:rsidRPr="004969EF">
        <w:rPr>
          <w:rFonts w:ascii="Arial" w:hAnsi="Arial" w:cs="Arial"/>
          <w:color w:val="000000"/>
          <w:sz w:val="22"/>
          <w:szCs w:val="22"/>
        </w:rPr>
        <w:t xml:space="preserve">. </w:t>
      </w:r>
      <w:r w:rsidRPr="004969EF">
        <w:rPr>
          <w:rFonts w:ascii="Arial" w:hAnsi="Arial" w:cs="Arial"/>
          <w:color w:val="000000"/>
          <w:sz w:val="22"/>
          <w:szCs w:val="22"/>
        </w:rPr>
        <w:t>(</w:t>
      </w:r>
      <w:r w:rsidR="00F65FCA" w:rsidRPr="004969EF">
        <w:rPr>
          <w:rFonts w:ascii="Arial" w:hAnsi="Arial" w:cs="Arial"/>
          <w:color w:val="000000"/>
          <w:sz w:val="22"/>
          <w:szCs w:val="22"/>
        </w:rPr>
        <w:t>20</w:t>
      </w:r>
      <w:r w:rsidR="00F65FCA" w:rsidRPr="004969EF">
        <w:rPr>
          <w:rFonts w:ascii="Arial" w:hAnsi="Arial" w:cs="Arial"/>
          <w:color w:val="000000"/>
          <w:sz w:val="22"/>
          <w:szCs w:val="22"/>
        </w:rPr>
        <w:t xml:space="preserve"> March 2026</w:t>
      </w:r>
      <w:r w:rsidR="00F65FCA" w:rsidRPr="004969EF">
        <w:rPr>
          <w:rFonts w:ascii="Arial" w:hAnsi="Arial" w:cs="Arial"/>
          <w:color w:val="000000"/>
          <w:sz w:val="22"/>
          <w:szCs w:val="22"/>
        </w:rPr>
        <w:t>)</w:t>
      </w:r>
    </w:p>
    <w:p w14:paraId="75986FBD" w14:textId="48EB4FA2" w:rsidR="00DD5375" w:rsidRPr="004969EF" w:rsidRDefault="00DD5375"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lastRenderedPageBreak/>
        <w:t>Office for National Statistics (2019)</w:t>
      </w:r>
      <w:r w:rsidRPr="004969EF">
        <w:rPr>
          <w:rFonts w:ascii="Arial" w:hAnsi="Arial" w:cs="Arial"/>
          <w:color w:val="000000"/>
          <w:sz w:val="22"/>
          <w:szCs w:val="22"/>
        </w:rPr>
        <w:t xml:space="preserve"> Exploring the UK’s digital divide. Available at: https://www.ons.gov.uk/peoplepopulationandcommunity/householdcharacteristics/homeinternetandsocialmediausage/articles/exploringtheuksdigitaldivide/2019-03-04 (</w:t>
      </w:r>
      <w:r w:rsidRPr="004969EF">
        <w:rPr>
          <w:rFonts w:ascii="Arial" w:hAnsi="Arial" w:cs="Arial"/>
          <w:color w:val="000000"/>
          <w:sz w:val="22"/>
          <w:szCs w:val="22"/>
        </w:rPr>
        <w:t>19</w:t>
      </w:r>
      <w:r w:rsidRPr="004969EF">
        <w:rPr>
          <w:rFonts w:ascii="Arial" w:hAnsi="Arial" w:cs="Arial"/>
          <w:color w:val="000000"/>
          <w:sz w:val="22"/>
          <w:szCs w:val="22"/>
        </w:rPr>
        <w:t xml:space="preserve"> March 2026).</w:t>
      </w:r>
    </w:p>
    <w:p w14:paraId="27CAB789" w14:textId="1FE1B9A6" w:rsidR="00DD5375" w:rsidRPr="004969EF" w:rsidRDefault="00DD5375"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Office for National Statistics (2022)</w:t>
      </w:r>
      <w:r w:rsidRPr="004969EF">
        <w:rPr>
          <w:rFonts w:ascii="Arial" w:hAnsi="Arial" w:cs="Arial"/>
          <w:color w:val="000000"/>
          <w:sz w:val="22"/>
          <w:szCs w:val="22"/>
        </w:rPr>
        <w:t xml:space="preserve"> Ethnic group, England and Wales: Census 2021. Available at: </w:t>
      </w:r>
      <w:hyperlink r:id="rId38" w:history="1">
        <w:r w:rsidRPr="004969EF">
          <w:rPr>
            <w:rStyle w:val="Hyperlink"/>
            <w:rFonts w:ascii="Arial" w:hAnsi="Arial" w:cs="Arial"/>
            <w:sz w:val="22"/>
            <w:szCs w:val="22"/>
          </w:rPr>
          <w:t>https://www.ons.gov.uk/peoplepopulationandcommunity/culturalidentity/ethnicity/bulletins/ethnicgroupenglandandwales/census2021</w:t>
        </w:r>
      </w:hyperlink>
      <w:r w:rsidRPr="004969EF">
        <w:rPr>
          <w:rFonts w:ascii="Arial" w:hAnsi="Arial" w:cs="Arial"/>
          <w:color w:val="000000"/>
          <w:sz w:val="22"/>
          <w:szCs w:val="22"/>
        </w:rPr>
        <w:t xml:space="preserve">. </w:t>
      </w:r>
      <w:r w:rsidRPr="004969EF">
        <w:rPr>
          <w:rFonts w:ascii="Arial" w:hAnsi="Arial" w:cs="Arial"/>
          <w:color w:val="000000"/>
          <w:sz w:val="22"/>
          <w:szCs w:val="22"/>
        </w:rPr>
        <w:t>(24 March 2026).</w:t>
      </w:r>
      <w:r w:rsidRPr="004969EF">
        <w:rPr>
          <w:rFonts w:ascii="Arial" w:hAnsi="Arial" w:cs="Arial"/>
          <w:color w:val="000000"/>
          <w:sz w:val="22"/>
          <w:szCs w:val="22"/>
        </w:rPr>
        <w:t xml:space="preserve"> </w:t>
      </w:r>
    </w:p>
    <w:p w14:paraId="26EFCC0D" w14:textId="77777777" w:rsidR="00DD5375" w:rsidRPr="004969EF" w:rsidRDefault="00DD5375"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Waqar, A. (2025)</w:t>
      </w:r>
      <w:r w:rsidRPr="004969EF">
        <w:rPr>
          <w:rFonts w:ascii="Arial" w:hAnsi="Arial" w:cs="Arial"/>
          <w:color w:val="000000"/>
          <w:sz w:val="22"/>
          <w:szCs w:val="22"/>
        </w:rPr>
        <w:t xml:space="preserve"> ‘From awareness to action: tackling health inequalities through improved health literacy among ethnic minorities in England’, </w:t>
      </w:r>
      <w:r w:rsidRPr="004969EF">
        <w:rPr>
          <w:rStyle w:val="Emphasis"/>
          <w:rFonts w:ascii="Arial" w:hAnsi="Arial" w:cs="Arial"/>
          <w:color w:val="000000"/>
          <w:sz w:val="22"/>
          <w:szCs w:val="22"/>
        </w:rPr>
        <w:t>Electronic Journal of General Medicine</w:t>
      </w:r>
      <w:r w:rsidRPr="004969EF">
        <w:rPr>
          <w:rFonts w:ascii="Arial" w:hAnsi="Arial" w:cs="Arial"/>
          <w:color w:val="000000"/>
          <w:sz w:val="22"/>
          <w:szCs w:val="22"/>
        </w:rPr>
        <w:t>, 22(4), em660. Available at: https://doi.org/10.29333/ejgm/16369.</w:t>
      </w:r>
    </w:p>
    <w:p w14:paraId="6FA28585" w14:textId="3D22D0A1" w:rsidR="00DD5375" w:rsidRPr="004969EF" w:rsidRDefault="00DD5375"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Saxton, J., Burn, A.-M., Zhang, X., Toulmin, H., Parker, J., Casey, H., Matthews, J., Winterburn, I., Barnes, S., Hall, P., Black-Hawkins, K., Gains, H. and Ford, T. (2024)</w:t>
      </w:r>
      <w:r w:rsidRPr="004969EF">
        <w:rPr>
          <w:rFonts w:ascii="Arial" w:hAnsi="Arial" w:cs="Arial"/>
          <w:b/>
          <w:bCs/>
          <w:color w:val="000000"/>
          <w:sz w:val="22"/>
          <w:szCs w:val="22"/>
        </w:rPr>
        <w:t xml:space="preserve"> ‘</w:t>
      </w:r>
      <w:r w:rsidRPr="004969EF">
        <w:rPr>
          <w:rFonts w:ascii="Arial" w:hAnsi="Arial" w:cs="Arial"/>
          <w:color w:val="000000"/>
          <w:sz w:val="22"/>
          <w:szCs w:val="22"/>
        </w:rPr>
        <w:t xml:space="preserve">Barriers, enablers and outcomes reported by parents engaged with the special educational needs system in England: a qualitative study’, </w:t>
      </w:r>
      <w:r w:rsidRPr="004969EF">
        <w:rPr>
          <w:rStyle w:val="Emphasis"/>
          <w:rFonts w:ascii="Arial" w:hAnsi="Arial" w:cs="Arial"/>
          <w:color w:val="000000"/>
          <w:sz w:val="22"/>
          <w:szCs w:val="22"/>
        </w:rPr>
        <w:t>PLOS ONE</w:t>
      </w:r>
      <w:r w:rsidRPr="004969EF">
        <w:rPr>
          <w:rFonts w:ascii="Arial" w:hAnsi="Arial" w:cs="Arial"/>
          <w:color w:val="000000"/>
          <w:sz w:val="22"/>
          <w:szCs w:val="22"/>
        </w:rPr>
        <w:t xml:space="preserve">, 19(2), e0335606. Available at: </w:t>
      </w:r>
      <w:hyperlink r:id="rId39" w:history="1">
        <w:r w:rsidRPr="004969EF">
          <w:rPr>
            <w:rStyle w:val="Hyperlink"/>
            <w:rFonts w:ascii="Arial" w:hAnsi="Arial" w:cs="Arial"/>
            <w:sz w:val="22"/>
            <w:szCs w:val="22"/>
          </w:rPr>
          <w:t>https://doi.org/10.1371/journal.pone.0335606</w:t>
        </w:r>
      </w:hyperlink>
      <w:r w:rsidRPr="004969EF">
        <w:rPr>
          <w:rFonts w:ascii="Arial" w:hAnsi="Arial" w:cs="Arial"/>
          <w:color w:val="000000"/>
          <w:sz w:val="22"/>
          <w:szCs w:val="22"/>
        </w:rPr>
        <w:t>.</w:t>
      </w:r>
      <w:r w:rsidRPr="004969EF">
        <w:rPr>
          <w:rFonts w:ascii="Arial" w:hAnsi="Arial" w:cs="Arial"/>
          <w:color w:val="000000"/>
          <w:sz w:val="22"/>
          <w:szCs w:val="22"/>
        </w:rPr>
        <w:t xml:space="preserve"> </w:t>
      </w:r>
    </w:p>
    <w:p w14:paraId="6D552A60" w14:textId="77777777" w:rsidR="00DD5375" w:rsidRPr="004969EF" w:rsidRDefault="00DD5375" w:rsidP="004969EF">
      <w:pPr>
        <w:pStyle w:val="Heading1"/>
        <w:spacing w:line="360" w:lineRule="auto"/>
        <w:ind w:left="0"/>
        <w:jc w:val="both"/>
        <w:rPr>
          <w:rFonts w:cs="Arial"/>
          <w:sz w:val="22"/>
          <w:szCs w:val="22"/>
        </w:rPr>
      </w:pPr>
    </w:p>
    <w:p w14:paraId="79CD92ED" w14:textId="71F00ECE" w:rsidR="00DF75BF" w:rsidRPr="004969EF" w:rsidRDefault="00DF75BF" w:rsidP="004969EF">
      <w:pPr>
        <w:pStyle w:val="NormalWeb"/>
        <w:spacing w:line="360" w:lineRule="auto"/>
        <w:jc w:val="both"/>
        <w:rPr>
          <w:rFonts w:ascii="Arial" w:hAnsi="Arial" w:cs="Arial"/>
          <w:color w:val="000000"/>
          <w:sz w:val="22"/>
          <w:szCs w:val="22"/>
        </w:rPr>
      </w:pPr>
      <w:r w:rsidRPr="004969EF">
        <w:rPr>
          <w:rStyle w:val="Strong"/>
          <w:rFonts w:ascii="Arial" w:eastAsia="Calibri Light" w:hAnsi="Arial" w:cs="Arial"/>
          <w:b w:val="0"/>
          <w:bCs w:val="0"/>
          <w:color w:val="000000"/>
          <w:sz w:val="22"/>
          <w:szCs w:val="22"/>
        </w:rPr>
        <w:t>Warburton, M., French, B., Shore, E., Wood, M.L. and Mon-Williams, M. (2026)</w:t>
      </w:r>
      <w:r w:rsidRPr="004969EF">
        <w:rPr>
          <w:rFonts w:ascii="Arial" w:hAnsi="Arial" w:cs="Arial"/>
          <w:color w:val="000000"/>
          <w:sz w:val="22"/>
          <w:szCs w:val="22"/>
        </w:rPr>
        <w:t xml:space="preserve"> ‘School readiness as a signal of attention deficit hyperactivity disorder: a population-based cohort study highlighting structural inequalities’, </w:t>
      </w:r>
      <w:r w:rsidRPr="004969EF">
        <w:rPr>
          <w:rStyle w:val="Emphasis"/>
          <w:rFonts w:ascii="Arial" w:hAnsi="Arial" w:cs="Arial"/>
          <w:color w:val="000000"/>
          <w:sz w:val="22"/>
          <w:szCs w:val="22"/>
        </w:rPr>
        <w:t>Archives of Disease in Childhood</w:t>
      </w:r>
      <w:r w:rsidRPr="004969EF">
        <w:rPr>
          <w:rFonts w:ascii="Arial" w:hAnsi="Arial" w:cs="Arial"/>
          <w:color w:val="000000"/>
          <w:sz w:val="22"/>
          <w:szCs w:val="22"/>
        </w:rPr>
        <w:t>, 111(2), pp. 167</w:t>
      </w:r>
      <w:r w:rsidRPr="004969EF">
        <w:rPr>
          <w:rFonts w:ascii="Arial" w:hAnsi="Arial" w:cs="Arial"/>
          <w:color w:val="000000"/>
          <w:sz w:val="22"/>
          <w:szCs w:val="22"/>
        </w:rPr>
        <w:t>-</w:t>
      </w:r>
      <w:r w:rsidRPr="004969EF">
        <w:rPr>
          <w:rFonts w:ascii="Arial" w:hAnsi="Arial" w:cs="Arial"/>
          <w:color w:val="000000"/>
          <w:sz w:val="22"/>
          <w:szCs w:val="22"/>
        </w:rPr>
        <w:t xml:space="preserve">173. Available at: </w:t>
      </w:r>
      <w:hyperlink r:id="rId40" w:history="1">
        <w:r w:rsidR="00F65FCA" w:rsidRPr="004969EF">
          <w:rPr>
            <w:rStyle w:val="Hyperlink"/>
            <w:rFonts w:ascii="Arial" w:hAnsi="Arial" w:cs="Arial"/>
            <w:sz w:val="22"/>
            <w:szCs w:val="22"/>
          </w:rPr>
          <w:t>https://adc.bmj.com/content/111/2/167</w:t>
        </w:r>
      </w:hyperlink>
      <w:r w:rsidR="00F65FCA" w:rsidRPr="004969EF">
        <w:rPr>
          <w:rFonts w:ascii="Arial" w:hAnsi="Arial" w:cs="Arial"/>
          <w:color w:val="000000"/>
          <w:sz w:val="22"/>
          <w:szCs w:val="22"/>
        </w:rPr>
        <w:t xml:space="preserve">. </w:t>
      </w:r>
      <w:r w:rsidRPr="004969EF">
        <w:rPr>
          <w:rFonts w:ascii="Arial" w:hAnsi="Arial" w:cs="Arial"/>
          <w:color w:val="000000"/>
          <w:sz w:val="22"/>
          <w:szCs w:val="22"/>
        </w:rPr>
        <w:t xml:space="preserve">(Accessed: </w:t>
      </w:r>
      <w:r w:rsidRPr="004969EF">
        <w:rPr>
          <w:rFonts w:ascii="Arial" w:hAnsi="Arial" w:cs="Arial"/>
          <w:color w:val="000000"/>
          <w:sz w:val="22"/>
          <w:szCs w:val="22"/>
        </w:rPr>
        <w:t>2</w:t>
      </w:r>
      <w:r w:rsidR="00DD5375" w:rsidRPr="004969EF">
        <w:rPr>
          <w:rFonts w:ascii="Arial" w:hAnsi="Arial" w:cs="Arial"/>
          <w:color w:val="000000"/>
          <w:sz w:val="22"/>
          <w:szCs w:val="22"/>
        </w:rPr>
        <w:t>0</w:t>
      </w:r>
      <w:r w:rsidRPr="004969EF">
        <w:rPr>
          <w:rFonts w:ascii="Arial" w:hAnsi="Arial" w:cs="Arial"/>
          <w:color w:val="000000"/>
          <w:sz w:val="22"/>
          <w:szCs w:val="22"/>
        </w:rPr>
        <w:t xml:space="preserve"> March</w:t>
      </w:r>
      <w:r w:rsidRPr="004969EF">
        <w:rPr>
          <w:rFonts w:ascii="Arial" w:hAnsi="Arial" w:cs="Arial"/>
          <w:color w:val="000000"/>
          <w:sz w:val="22"/>
          <w:szCs w:val="22"/>
        </w:rPr>
        <w:t xml:space="preserve"> 2026).</w:t>
      </w:r>
      <w:r w:rsidR="00F65FCA" w:rsidRPr="004969EF">
        <w:rPr>
          <w:rFonts w:ascii="Arial" w:hAnsi="Arial" w:cs="Arial"/>
          <w:color w:val="000000"/>
          <w:sz w:val="22"/>
          <w:szCs w:val="22"/>
        </w:rPr>
        <w:t xml:space="preserve"> </w:t>
      </w:r>
    </w:p>
    <w:p w14:paraId="659E07FB" w14:textId="77777777" w:rsidR="00DF75BF" w:rsidRPr="004969EF" w:rsidRDefault="00DF75BF" w:rsidP="004969EF">
      <w:pPr>
        <w:pStyle w:val="NormalWeb"/>
        <w:spacing w:line="360" w:lineRule="auto"/>
        <w:jc w:val="both"/>
        <w:rPr>
          <w:rFonts w:ascii="Arial" w:hAnsi="Arial" w:cs="Arial"/>
          <w:color w:val="000000"/>
          <w:sz w:val="22"/>
          <w:szCs w:val="22"/>
        </w:rPr>
      </w:pPr>
    </w:p>
    <w:p w14:paraId="3EBED9E3" w14:textId="4B955F87" w:rsidR="00B278AF" w:rsidRPr="004969EF" w:rsidRDefault="00C76E47" w:rsidP="004969EF">
      <w:pPr>
        <w:spacing w:line="360" w:lineRule="auto"/>
        <w:jc w:val="both"/>
        <w:rPr>
          <w:rFonts w:ascii="Arial" w:hAnsi="Arial" w:cs="Arial"/>
          <w:sz w:val="22"/>
          <w:szCs w:val="22"/>
        </w:rPr>
      </w:pPr>
      <w:r w:rsidRPr="004969EF">
        <w:rPr>
          <w:rStyle w:val="Strong"/>
          <w:rFonts w:ascii="Arial" w:eastAsia="Calibri Light" w:hAnsi="Arial" w:cs="Arial"/>
          <w:b w:val="0"/>
          <w:bCs w:val="0"/>
          <w:color w:val="000000"/>
          <w:sz w:val="22"/>
          <w:szCs w:val="22"/>
        </w:rPr>
        <w:t>ADHD UK (2017)</w:t>
      </w:r>
      <w:r w:rsidRPr="004969EF">
        <w:rPr>
          <w:rFonts w:ascii="Arial" w:hAnsi="Arial" w:cs="Arial"/>
          <w:sz w:val="22"/>
          <w:szCs w:val="22"/>
        </w:rPr>
        <w:t xml:space="preserve"> Teachers and ADHD. Available at: https://adhduk.co.uk/teachers-and-adhd/ (Accessed:</w:t>
      </w:r>
      <w:r w:rsidR="00DF75BF" w:rsidRPr="004969EF">
        <w:rPr>
          <w:rFonts w:ascii="Arial" w:hAnsi="Arial" w:cs="Arial"/>
          <w:sz w:val="22"/>
          <w:szCs w:val="22"/>
        </w:rPr>
        <w:t xml:space="preserve"> 24 March</w:t>
      </w:r>
      <w:r w:rsidRPr="004969EF">
        <w:rPr>
          <w:rFonts w:ascii="Arial" w:hAnsi="Arial" w:cs="Arial"/>
          <w:sz w:val="22"/>
          <w:szCs w:val="22"/>
        </w:rPr>
        <w:t xml:space="preserve"> 2026).</w:t>
      </w:r>
    </w:p>
    <w:p w14:paraId="2C51B143" w14:textId="55CCC456" w:rsidR="000C064E" w:rsidRPr="004969EF" w:rsidRDefault="000C064E" w:rsidP="004969EF">
      <w:pPr>
        <w:pStyle w:val="BodyText"/>
        <w:spacing w:line="360" w:lineRule="auto"/>
        <w:jc w:val="both"/>
        <w:rPr>
          <w:rFonts w:cs="Arial"/>
          <w:sz w:val="22"/>
          <w:szCs w:val="22"/>
        </w:rPr>
      </w:pPr>
      <w:proofErr w:type="spellStart"/>
      <w:r w:rsidRPr="004969EF">
        <w:rPr>
          <w:rFonts w:cs="Arial"/>
          <w:sz w:val="22"/>
          <w:szCs w:val="22"/>
        </w:rPr>
        <w:t>Aldabbagh</w:t>
      </w:r>
      <w:proofErr w:type="spellEnd"/>
      <w:r w:rsidRPr="004969EF">
        <w:rPr>
          <w:rFonts w:cs="Arial"/>
          <w:sz w:val="22"/>
          <w:szCs w:val="22"/>
        </w:rPr>
        <w:t xml:space="preserve">, R., Daley, D., </w:t>
      </w:r>
      <w:proofErr w:type="spellStart"/>
      <w:r w:rsidRPr="004969EF">
        <w:rPr>
          <w:rFonts w:cs="Arial"/>
          <w:sz w:val="22"/>
          <w:szCs w:val="22"/>
        </w:rPr>
        <w:t>Sayal</w:t>
      </w:r>
      <w:proofErr w:type="spellEnd"/>
      <w:r w:rsidRPr="004969EF">
        <w:rPr>
          <w:rFonts w:cs="Arial"/>
          <w:sz w:val="22"/>
          <w:szCs w:val="22"/>
        </w:rPr>
        <w:t xml:space="preserve">, K. and </w:t>
      </w:r>
      <w:proofErr w:type="spellStart"/>
      <w:r w:rsidRPr="004969EF">
        <w:rPr>
          <w:rFonts w:cs="Arial"/>
          <w:sz w:val="22"/>
          <w:szCs w:val="22"/>
        </w:rPr>
        <w:t>Glazebrook</w:t>
      </w:r>
      <w:proofErr w:type="spellEnd"/>
      <w:r w:rsidRPr="004969EF">
        <w:rPr>
          <w:rFonts w:cs="Arial"/>
          <w:sz w:val="22"/>
          <w:szCs w:val="22"/>
        </w:rPr>
        <w:t xml:space="preserve">, C. (2024) ‘Exploring the unmet needs of teachers of young children with ADHD symptoms: a qualitative study’, </w:t>
      </w:r>
      <w:r w:rsidRPr="004969EF">
        <w:rPr>
          <w:rStyle w:val="Emphasis"/>
          <w:rFonts w:cs="Arial"/>
          <w:i w:val="0"/>
          <w:iCs w:val="0"/>
          <w:sz w:val="22"/>
          <w:szCs w:val="22"/>
        </w:rPr>
        <w:t>Children</w:t>
      </w:r>
      <w:r w:rsidRPr="004969EF">
        <w:rPr>
          <w:rFonts w:cs="Arial"/>
          <w:sz w:val="22"/>
          <w:szCs w:val="22"/>
        </w:rPr>
        <w:t xml:space="preserve">, 11(9), p. 1053. Available at: </w:t>
      </w:r>
      <w:hyperlink r:id="rId41" w:history="1">
        <w:r w:rsidRPr="004969EF">
          <w:rPr>
            <w:rStyle w:val="Hyperlink"/>
            <w:rFonts w:cs="Arial"/>
            <w:sz w:val="22"/>
            <w:szCs w:val="22"/>
          </w:rPr>
          <w:t>https://doi.org/10.3390/children11091053</w:t>
        </w:r>
      </w:hyperlink>
      <w:r w:rsidRPr="004969EF">
        <w:rPr>
          <w:rFonts w:cs="Arial"/>
          <w:sz w:val="22"/>
          <w:szCs w:val="22"/>
        </w:rPr>
        <w:t>.</w:t>
      </w:r>
    </w:p>
    <w:p w14:paraId="5627C952" w14:textId="77777777" w:rsidR="000C064E" w:rsidRPr="004969EF" w:rsidRDefault="000C064E" w:rsidP="004969EF">
      <w:pPr>
        <w:pStyle w:val="BodyText"/>
        <w:spacing w:line="360" w:lineRule="auto"/>
        <w:ind w:left="720"/>
        <w:jc w:val="both"/>
        <w:rPr>
          <w:rFonts w:cs="Arial"/>
          <w:sz w:val="22"/>
          <w:szCs w:val="22"/>
        </w:rPr>
      </w:pPr>
    </w:p>
    <w:p w14:paraId="550A29AF" w14:textId="183B928D" w:rsidR="000C064E" w:rsidRPr="004969EF" w:rsidRDefault="000C064E" w:rsidP="004969EF">
      <w:pPr>
        <w:pStyle w:val="BodyText"/>
        <w:spacing w:line="360" w:lineRule="auto"/>
        <w:jc w:val="both"/>
        <w:rPr>
          <w:rFonts w:cs="Arial"/>
          <w:sz w:val="22"/>
          <w:szCs w:val="22"/>
        </w:rPr>
      </w:pPr>
      <w:proofErr w:type="spellStart"/>
      <w:r w:rsidRPr="004969EF">
        <w:rPr>
          <w:rStyle w:val="Strong"/>
          <w:rFonts w:cs="Arial"/>
          <w:b w:val="0"/>
          <w:bCs w:val="0"/>
          <w:sz w:val="22"/>
          <w:szCs w:val="22"/>
        </w:rPr>
        <w:t>Barua</w:t>
      </w:r>
      <w:proofErr w:type="spellEnd"/>
      <w:r w:rsidRPr="004969EF">
        <w:rPr>
          <w:rStyle w:val="Strong"/>
          <w:rFonts w:cs="Arial"/>
          <w:b w:val="0"/>
          <w:bCs w:val="0"/>
          <w:sz w:val="22"/>
          <w:szCs w:val="22"/>
        </w:rPr>
        <w:t>, H. and Maheshwari, N. (2025)</w:t>
      </w:r>
      <w:r w:rsidRPr="004969EF">
        <w:rPr>
          <w:rFonts w:cs="Arial"/>
          <w:sz w:val="22"/>
          <w:szCs w:val="22"/>
        </w:rPr>
        <w:t xml:space="preserve"> ‘The interplay between migration and self-identity: a structured review using TCCM and bibliometric analysis’, </w:t>
      </w:r>
      <w:r w:rsidRPr="004969EF">
        <w:rPr>
          <w:rStyle w:val="Emphasis"/>
          <w:rFonts w:cs="Arial"/>
          <w:i w:val="0"/>
          <w:iCs w:val="0"/>
          <w:sz w:val="22"/>
          <w:szCs w:val="22"/>
        </w:rPr>
        <w:t>Frontiers in Psychology</w:t>
      </w:r>
      <w:r w:rsidRPr="004969EF">
        <w:rPr>
          <w:rFonts w:cs="Arial"/>
          <w:sz w:val="22"/>
          <w:szCs w:val="22"/>
        </w:rPr>
        <w:t xml:space="preserve">, 16. Available at: </w:t>
      </w:r>
      <w:hyperlink r:id="rId42" w:history="1">
        <w:r w:rsidRPr="004969EF">
          <w:rPr>
            <w:rStyle w:val="Hyperlink"/>
            <w:rFonts w:cs="Arial"/>
            <w:sz w:val="22"/>
            <w:szCs w:val="22"/>
          </w:rPr>
          <w:t>https://doi.org/10.3389/fpsyg.2025.1563508</w:t>
        </w:r>
      </w:hyperlink>
      <w:r w:rsidRPr="004969EF">
        <w:rPr>
          <w:rFonts w:cs="Arial"/>
          <w:sz w:val="22"/>
          <w:szCs w:val="22"/>
        </w:rPr>
        <w:t>.</w:t>
      </w:r>
    </w:p>
    <w:p w14:paraId="4071F88D" w14:textId="77777777" w:rsidR="000C064E" w:rsidRPr="004969EF" w:rsidRDefault="000C064E" w:rsidP="004969EF">
      <w:pPr>
        <w:pStyle w:val="ListParagraph"/>
        <w:spacing w:line="360" w:lineRule="auto"/>
        <w:ind w:left="580" w:firstLine="0"/>
        <w:jc w:val="both"/>
        <w:rPr>
          <w:rFonts w:ascii="Arial" w:hAnsi="Arial" w:cs="Arial"/>
          <w:sz w:val="22"/>
          <w:szCs w:val="22"/>
        </w:rPr>
      </w:pPr>
    </w:p>
    <w:p w14:paraId="0AC0D203" w14:textId="77777777" w:rsidR="000C064E" w:rsidRPr="004969EF" w:rsidRDefault="000C064E" w:rsidP="004969EF">
      <w:pPr>
        <w:pStyle w:val="BodyText"/>
        <w:spacing w:line="360" w:lineRule="auto"/>
        <w:ind w:left="720"/>
        <w:jc w:val="both"/>
        <w:rPr>
          <w:rFonts w:cs="Arial"/>
          <w:sz w:val="22"/>
          <w:szCs w:val="22"/>
        </w:rPr>
      </w:pPr>
    </w:p>
    <w:p w14:paraId="01EE1052" w14:textId="55474E68" w:rsidR="000C064E" w:rsidRPr="004969EF" w:rsidRDefault="000C064E" w:rsidP="004969EF">
      <w:pPr>
        <w:pStyle w:val="BodyText"/>
        <w:spacing w:line="360" w:lineRule="auto"/>
        <w:jc w:val="both"/>
        <w:rPr>
          <w:rFonts w:cs="Arial"/>
          <w:sz w:val="22"/>
          <w:szCs w:val="22"/>
        </w:rPr>
      </w:pPr>
      <w:r w:rsidRPr="004969EF">
        <w:rPr>
          <w:rStyle w:val="Strong"/>
          <w:rFonts w:cs="Arial"/>
          <w:b w:val="0"/>
          <w:bCs w:val="0"/>
          <w:sz w:val="22"/>
          <w:szCs w:val="22"/>
        </w:rPr>
        <w:t xml:space="preserve">Chui, Z., </w:t>
      </w:r>
      <w:proofErr w:type="spellStart"/>
      <w:r w:rsidRPr="004969EF">
        <w:rPr>
          <w:rStyle w:val="Strong"/>
          <w:rFonts w:cs="Arial"/>
          <w:b w:val="0"/>
          <w:bCs w:val="0"/>
          <w:sz w:val="22"/>
          <w:szCs w:val="22"/>
        </w:rPr>
        <w:t>Gazard</w:t>
      </w:r>
      <w:proofErr w:type="spellEnd"/>
      <w:r w:rsidRPr="004969EF">
        <w:rPr>
          <w:rStyle w:val="Strong"/>
          <w:rFonts w:cs="Arial"/>
          <w:b w:val="0"/>
          <w:bCs w:val="0"/>
          <w:sz w:val="22"/>
          <w:szCs w:val="22"/>
        </w:rPr>
        <w:t xml:space="preserve">, B., </w:t>
      </w:r>
      <w:proofErr w:type="spellStart"/>
      <w:r w:rsidRPr="004969EF">
        <w:rPr>
          <w:rStyle w:val="Strong"/>
          <w:rFonts w:cs="Arial"/>
          <w:b w:val="0"/>
          <w:bCs w:val="0"/>
          <w:sz w:val="22"/>
          <w:szCs w:val="22"/>
        </w:rPr>
        <w:t>MacCrimmon</w:t>
      </w:r>
      <w:proofErr w:type="spellEnd"/>
      <w:r w:rsidRPr="004969EF">
        <w:rPr>
          <w:rStyle w:val="Strong"/>
          <w:rFonts w:cs="Arial"/>
          <w:b w:val="0"/>
          <w:bCs w:val="0"/>
          <w:sz w:val="22"/>
          <w:szCs w:val="22"/>
        </w:rPr>
        <w:t xml:space="preserve">, S., Harwood, H., Downs, J., </w:t>
      </w:r>
      <w:proofErr w:type="spellStart"/>
      <w:r w:rsidRPr="004969EF">
        <w:rPr>
          <w:rStyle w:val="Strong"/>
          <w:rFonts w:cs="Arial"/>
          <w:b w:val="0"/>
          <w:bCs w:val="0"/>
          <w:sz w:val="22"/>
          <w:szCs w:val="22"/>
        </w:rPr>
        <w:t>Bakolis</w:t>
      </w:r>
      <w:proofErr w:type="spellEnd"/>
      <w:r w:rsidRPr="004969EF">
        <w:rPr>
          <w:rStyle w:val="Strong"/>
          <w:rFonts w:cs="Arial"/>
          <w:b w:val="0"/>
          <w:bCs w:val="0"/>
          <w:sz w:val="22"/>
          <w:szCs w:val="22"/>
        </w:rPr>
        <w:t xml:space="preserve">, I., Polling, C., </w:t>
      </w:r>
      <w:proofErr w:type="spellStart"/>
      <w:r w:rsidRPr="004969EF">
        <w:rPr>
          <w:rStyle w:val="Strong"/>
          <w:rFonts w:cs="Arial"/>
          <w:b w:val="0"/>
          <w:bCs w:val="0"/>
          <w:sz w:val="22"/>
          <w:szCs w:val="22"/>
        </w:rPr>
        <w:t>Rhead</w:t>
      </w:r>
      <w:proofErr w:type="spellEnd"/>
      <w:r w:rsidRPr="004969EF">
        <w:rPr>
          <w:rStyle w:val="Strong"/>
          <w:rFonts w:cs="Arial"/>
          <w:b w:val="0"/>
          <w:bCs w:val="0"/>
          <w:sz w:val="22"/>
          <w:szCs w:val="22"/>
        </w:rPr>
        <w:t>, R. and Hatch, S.L. (2020)</w:t>
      </w:r>
      <w:r w:rsidRPr="004969EF">
        <w:rPr>
          <w:rFonts w:cs="Arial"/>
          <w:sz w:val="22"/>
          <w:szCs w:val="22"/>
        </w:rPr>
        <w:t xml:space="preserve"> ‘Inequalities in referral pathways for young people accessing secondary mental health services in </w:t>
      </w:r>
      <w:proofErr w:type="gramStart"/>
      <w:r w:rsidRPr="004969EF">
        <w:rPr>
          <w:rFonts w:cs="Arial"/>
          <w:sz w:val="22"/>
          <w:szCs w:val="22"/>
        </w:rPr>
        <w:t>south east</w:t>
      </w:r>
      <w:proofErr w:type="gramEnd"/>
      <w:r w:rsidRPr="004969EF">
        <w:rPr>
          <w:rFonts w:cs="Arial"/>
          <w:sz w:val="22"/>
          <w:szCs w:val="22"/>
        </w:rPr>
        <w:t xml:space="preserve"> London’, </w:t>
      </w:r>
      <w:r w:rsidRPr="004969EF">
        <w:rPr>
          <w:rStyle w:val="Emphasis"/>
          <w:rFonts w:cs="Arial"/>
          <w:i w:val="0"/>
          <w:iCs w:val="0"/>
          <w:sz w:val="22"/>
          <w:szCs w:val="22"/>
        </w:rPr>
        <w:t>European Child &amp; Adolescent Psychiatry</w:t>
      </w:r>
      <w:r w:rsidRPr="004969EF">
        <w:rPr>
          <w:rFonts w:cs="Arial"/>
          <w:sz w:val="22"/>
          <w:szCs w:val="22"/>
        </w:rPr>
        <w:t xml:space="preserve">, 30(7). Available at: </w:t>
      </w:r>
      <w:hyperlink r:id="rId43" w:history="1">
        <w:r w:rsidRPr="004969EF">
          <w:rPr>
            <w:rStyle w:val="Hyperlink"/>
            <w:rFonts w:cs="Arial"/>
            <w:sz w:val="22"/>
            <w:szCs w:val="22"/>
          </w:rPr>
          <w:t>https://doi.org/10.1007/s00787-020-01603-7</w:t>
        </w:r>
      </w:hyperlink>
      <w:r w:rsidRPr="004969EF">
        <w:rPr>
          <w:rFonts w:cs="Arial"/>
          <w:sz w:val="22"/>
          <w:szCs w:val="22"/>
        </w:rPr>
        <w:t>.</w:t>
      </w:r>
    </w:p>
    <w:p w14:paraId="441842B2" w14:textId="77777777" w:rsidR="000C064E" w:rsidRPr="004969EF" w:rsidRDefault="000C064E" w:rsidP="004969EF">
      <w:pPr>
        <w:pStyle w:val="BodyText"/>
        <w:spacing w:line="360" w:lineRule="auto"/>
        <w:ind w:left="720"/>
        <w:jc w:val="both"/>
        <w:rPr>
          <w:rFonts w:cs="Arial"/>
          <w:sz w:val="22"/>
          <w:szCs w:val="22"/>
        </w:rPr>
      </w:pPr>
    </w:p>
    <w:p w14:paraId="24F4C2ED" w14:textId="36BD312D" w:rsidR="000C064E" w:rsidRPr="004969EF" w:rsidRDefault="000C064E" w:rsidP="004969EF">
      <w:pPr>
        <w:pStyle w:val="BodyText"/>
        <w:spacing w:line="360" w:lineRule="auto"/>
        <w:jc w:val="both"/>
        <w:rPr>
          <w:rFonts w:cs="Arial"/>
          <w:sz w:val="22"/>
          <w:szCs w:val="22"/>
        </w:rPr>
      </w:pPr>
      <w:r w:rsidRPr="004969EF">
        <w:rPr>
          <w:rStyle w:val="Strong"/>
          <w:rFonts w:cs="Arial"/>
          <w:b w:val="0"/>
          <w:bCs w:val="0"/>
          <w:sz w:val="22"/>
          <w:szCs w:val="22"/>
        </w:rPr>
        <w:t xml:space="preserve">Diener, T.-S.L., Jackson, M., Lee, M.A., </w:t>
      </w:r>
      <w:proofErr w:type="spellStart"/>
      <w:r w:rsidRPr="004969EF">
        <w:rPr>
          <w:rStyle w:val="Strong"/>
          <w:rFonts w:cs="Arial"/>
          <w:b w:val="0"/>
          <w:bCs w:val="0"/>
          <w:sz w:val="22"/>
          <w:szCs w:val="22"/>
        </w:rPr>
        <w:t>Grové</w:t>
      </w:r>
      <w:proofErr w:type="spellEnd"/>
      <w:r w:rsidRPr="004969EF">
        <w:rPr>
          <w:rStyle w:val="Strong"/>
          <w:rFonts w:cs="Arial"/>
          <w:b w:val="0"/>
          <w:bCs w:val="0"/>
          <w:sz w:val="22"/>
          <w:szCs w:val="22"/>
        </w:rPr>
        <w:t>, C. and Nguyen, V. (2025)</w:t>
      </w:r>
      <w:r w:rsidRPr="004969EF">
        <w:rPr>
          <w:rFonts w:cs="Arial"/>
          <w:sz w:val="22"/>
          <w:szCs w:val="22"/>
        </w:rPr>
        <w:t xml:space="preserve"> ‘Cross-cultural disparities in teachers’ reports of ADHD symptoms and </w:t>
      </w:r>
      <w:proofErr w:type="spellStart"/>
      <w:r w:rsidRPr="004969EF">
        <w:rPr>
          <w:rFonts w:cs="Arial"/>
          <w:sz w:val="22"/>
          <w:szCs w:val="22"/>
        </w:rPr>
        <w:t>behavior</w:t>
      </w:r>
      <w:proofErr w:type="spellEnd"/>
      <w:r w:rsidRPr="004969EF">
        <w:rPr>
          <w:rFonts w:cs="Arial"/>
          <w:sz w:val="22"/>
          <w:szCs w:val="22"/>
        </w:rPr>
        <w:t xml:space="preserve">: a scoping review’, </w:t>
      </w:r>
      <w:r w:rsidRPr="004969EF">
        <w:rPr>
          <w:rStyle w:val="Emphasis"/>
          <w:rFonts w:cs="Arial"/>
          <w:i w:val="0"/>
          <w:iCs w:val="0"/>
          <w:sz w:val="22"/>
          <w:szCs w:val="22"/>
        </w:rPr>
        <w:t>Social Psychology of Education</w:t>
      </w:r>
      <w:r w:rsidRPr="004969EF">
        <w:rPr>
          <w:rFonts w:cs="Arial"/>
          <w:sz w:val="22"/>
          <w:szCs w:val="22"/>
        </w:rPr>
        <w:t xml:space="preserve">, 28(1). Available at: </w:t>
      </w:r>
      <w:hyperlink r:id="rId44" w:history="1">
        <w:r w:rsidRPr="004969EF">
          <w:rPr>
            <w:rStyle w:val="Hyperlink"/>
            <w:rFonts w:cs="Arial"/>
            <w:sz w:val="22"/>
            <w:szCs w:val="22"/>
          </w:rPr>
          <w:t>https://doi.org/10.1007/s11218-025-10092-y</w:t>
        </w:r>
      </w:hyperlink>
      <w:r w:rsidRPr="004969EF">
        <w:rPr>
          <w:rFonts w:cs="Arial"/>
          <w:sz w:val="22"/>
          <w:szCs w:val="22"/>
        </w:rPr>
        <w:t>.</w:t>
      </w:r>
    </w:p>
    <w:p w14:paraId="7B48569E" w14:textId="77777777" w:rsidR="000C064E" w:rsidRPr="004969EF" w:rsidRDefault="000C064E" w:rsidP="004969EF">
      <w:pPr>
        <w:pStyle w:val="BodyText"/>
        <w:spacing w:line="360" w:lineRule="auto"/>
        <w:jc w:val="both"/>
        <w:rPr>
          <w:rFonts w:cs="Arial"/>
          <w:sz w:val="22"/>
          <w:szCs w:val="22"/>
        </w:rPr>
      </w:pPr>
    </w:p>
    <w:p w14:paraId="5CE6CD39" w14:textId="1F0B5D99" w:rsidR="000C064E" w:rsidRPr="004969EF" w:rsidRDefault="000C064E" w:rsidP="004969EF">
      <w:pPr>
        <w:pStyle w:val="BodyText"/>
        <w:spacing w:line="360" w:lineRule="auto"/>
        <w:jc w:val="both"/>
        <w:rPr>
          <w:rFonts w:cs="Arial"/>
          <w:sz w:val="22"/>
          <w:szCs w:val="22"/>
        </w:rPr>
      </w:pPr>
      <w:r w:rsidRPr="004969EF">
        <w:rPr>
          <w:rStyle w:val="Strong"/>
          <w:rFonts w:cs="Arial"/>
          <w:b w:val="0"/>
          <w:bCs w:val="0"/>
          <w:sz w:val="22"/>
          <w:szCs w:val="22"/>
        </w:rPr>
        <w:t>French, B., Daley, D., Groom, M. and Cassidy, S. (2023)</w:t>
      </w:r>
      <w:r w:rsidRPr="004969EF">
        <w:rPr>
          <w:rFonts w:cs="Arial"/>
          <w:sz w:val="22"/>
          <w:szCs w:val="22"/>
        </w:rPr>
        <w:t xml:space="preserve"> ‘Risks associated with undiagnosed ADHD and/or autism: a mixed-method systematic review’, </w:t>
      </w:r>
      <w:r w:rsidRPr="004969EF">
        <w:rPr>
          <w:rStyle w:val="Emphasis"/>
          <w:rFonts w:cs="Arial"/>
          <w:i w:val="0"/>
          <w:iCs w:val="0"/>
          <w:sz w:val="22"/>
          <w:szCs w:val="22"/>
        </w:rPr>
        <w:t>Journal of Attention Disorders</w:t>
      </w:r>
      <w:r w:rsidRPr="004969EF">
        <w:rPr>
          <w:rFonts w:cs="Arial"/>
          <w:sz w:val="22"/>
          <w:szCs w:val="22"/>
        </w:rPr>
        <w:t xml:space="preserve">, 27(12). Available at: </w:t>
      </w:r>
      <w:hyperlink r:id="rId45" w:history="1">
        <w:r w:rsidRPr="004969EF">
          <w:rPr>
            <w:rStyle w:val="Hyperlink"/>
            <w:rFonts w:cs="Arial"/>
            <w:sz w:val="22"/>
            <w:szCs w:val="22"/>
          </w:rPr>
          <w:t>https://doi.org/10.1177/10870547231176862</w:t>
        </w:r>
      </w:hyperlink>
      <w:r w:rsidRPr="004969EF">
        <w:rPr>
          <w:rFonts w:cs="Arial"/>
          <w:sz w:val="22"/>
          <w:szCs w:val="22"/>
        </w:rPr>
        <w:t>.</w:t>
      </w:r>
    </w:p>
    <w:p w14:paraId="5085528B" w14:textId="77777777" w:rsidR="000C064E" w:rsidRPr="004969EF" w:rsidRDefault="000C064E" w:rsidP="004969EF">
      <w:pPr>
        <w:pStyle w:val="BodyText"/>
        <w:spacing w:line="360" w:lineRule="auto"/>
        <w:ind w:left="720"/>
        <w:jc w:val="both"/>
        <w:rPr>
          <w:rFonts w:cs="Arial"/>
          <w:sz w:val="22"/>
          <w:szCs w:val="22"/>
        </w:rPr>
      </w:pPr>
    </w:p>
    <w:p w14:paraId="1D5BED5C" w14:textId="28367F06" w:rsidR="000C064E" w:rsidRPr="004969EF" w:rsidRDefault="000C064E" w:rsidP="004969EF">
      <w:pPr>
        <w:pStyle w:val="BodyText"/>
        <w:spacing w:line="360" w:lineRule="auto"/>
        <w:jc w:val="both"/>
        <w:rPr>
          <w:rFonts w:cs="Arial"/>
          <w:sz w:val="22"/>
          <w:szCs w:val="22"/>
        </w:rPr>
      </w:pPr>
      <w:r w:rsidRPr="004969EF">
        <w:rPr>
          <w:rStyle w:val="Strong"/>
          <w:rFonts w:cs="Arial"/>
          <w:b w:val="0"/>
          <w:bCs w:val="0"/>
          <w:sz w:val="22"/>
          <w:szCs w:val="22"/>
        </w:rPr>
        <w:t>GOV.UK (2012)</w:t>
      </w:r>
      <w:r w:rsidRPr="004969EF">
        <w:rPr>
          <w:rFonts w:cs="Arial"/>
          <w:sz w:val="22"/>
          <w:szCs w:val="22"/>
        </w:rPr>
        <w:t xml:space="preserve"> Disability rights. Available at: https://www.gov.uk/rights-disabled-person/education-rights (Accessed: 17 March 2026).</w:t>
      </w:r>
    </w:p>
    <w:p w14:paraId="4DB3D1B6" w14:textId="77777777" w:rsidR="000C064E" w:rsidRPr="004969EF" w:rsidRDefault="000C064E" w:rsidP="004969EF">
      <w:pPr>
        <w:pStyle w:val="BodyText"/>
        <w:spacing w:line="360" w:lineRule="auto"/>
        <w:ind w:left="720"/>
        <w:jc w:val="both"/>
        <w:rPr>
          <w:rFonts w:cs="Arial"/>
          <w:sz w:val="22"/>
          <w:szCs w:val="22"/>
        </w:rPr>
      </w:pPr>
    </w:p>
    <w:p w14:paraId="6AAD9A3E" w14:textId="35C6D718" w:rsidR="000C064E" w:rsidRPr="004969EF" w:rsidRDefault="000C064E" w:rsidP="004969EF">
      <w:pPr>
        <w:pStyle w:val="BodyText"/>
        <w:spacing w:line="360" w:lineRule="auto"/>
        <w:jc w:val="both"/>
        <w:rPr>
          <w:rFonts w:cs="Arial"/>
          <w:sz w:val="22"/>
          <w:szCs w:val="22"/>
        </w:rPr>
      </w:pPr>
      <w:r w:rsidRPr="004969EF">
        <w:rPr>
          <w:rStyle w:val="Strong"/>
          <w:rFonts w:cs="Arial"/>
          <w:b w:val="0"/>
          <w:bCs w:val="0"/>
          <w:sz w:val="22"/>
          <w:szCs w:val="22"/>
        </w:rPr>
        <w:t xml:space="preserve">Lewis, K.M., Nguyen, V.G., Gilbert, R., De </w:t>
      </w:r>
      <w:proofErr w:type="spellStart"/>
      <w:r w:rsidRPr="004969EF">
        <w:rPr>
          <w:rStyle w:val="Strong"/>
          <w:rFonts w:cs="Arial"/>
          <w:b w:val="0"/>
          <w:bCs w:val="0"/>
          <w:sz w:val="22"/>
          <w:szCs w:val="22"/>
        </w:rPr>
        <w:t>Stavola</w:t>
      </w:r>
      <w:proofErr w:type="spellEnd"/>
      <w:r w:rsidRPr="004969EF">
        <w:rPr>
          <w:rStyle w:val="Strong"/>
          <w:rFonts w:cs="Arial"/>
          <w:b w:val="0"/>
          <w:bCs w:val="0"/>
          <w:sz w:val="22"/>
          <w:szCs w:val="22"/>
        </w:rPr>
        <w:t xml:space="preserve">, B., Dearden, L., Cant, A., Downs, J., </w:t>
      </w:r>
      <w:proofErr w:type="spellStart"/>
      <w:r w:rsidRPr="004969EF">
        <w:rPr>
          <w:rStyle w:val="Strong"/>
          <w:rFonts w:cs="Arial"/>
          <w:b w:val="0"/>
          <w:bCs w:val="0"/>
          <w:sz w:val="22"/>
          <w:szCs w:val="22"/>
        </w:rPr>
        <w:t>Gimeno</w:t>
      </w:r>
      <w:proofErr w:type="spellEnd"/>
      <w:r w:rsidRPr="004969EF">
        <w:rPr>
          <w:rStyle w:val="Strong"/>
          <w:rFonts w:cs="Arial"/>
          <w:b w:val="0"/>
          <w:bCs w:val="0"/>
          <w:sz w:val="22"/>
          <w:szCs w:val="22"/>
        </w:rPr>
        <w:t xml:space="preserve">, L., Farr, W., Ford, T., </w:t>
      </w:r>
      <w:proofErr w:type="spellStart"/>
      <w:r w:rsidRPr="004969EF">
        <w:rPr>
          <w:rStyle w:val="Strong"/>
          <w:rFonts w:cs="Arial"/>
          <w:b w:val="0"/>
          <w:bCs w:val="0"/>
          <w:sz w:val="22"/>
          <w:szCs w:val="22"/>
        </w:rPr>
        <w:t>Harron</w:t>
      </w:r>
      <w:proofErr w:type="spellEnd"/>
      <w:r w:rsidRPr="004969EF">
        <w:rPr>
          <w:rStyle w:val="Strong"/>
          <w:rFonts w:cs="Arial"/>
          <w:b w:val="0"/>
          <w:bCs w:val="0"/>
          <w:sz w:val="22"/>
          <w:szCs w:val="22"/>
        </w:rPr>
        <w:t xml:space="preserve">, K., </w:t>
      </w:r>
      <w:proofErr w:type="spellStart"/>
      <w:r w:rsidRPr="004969EF">
        <w:rPr>
          <w:rStyle w:val="Strong"/>
          <w:rFonts w:cs="Arial"/>
          <w:b w:val="0"/>
          <w:bCs w:val="0"/>
          <w:sz w:val="22"/>
          <w:szCs w:val="22"/>
        </w:rPr>
        <w:t>Lilliman</w:t>
      </w:r>
      <w:proofErr w:type="spellEnd"/>
      <w:r w:rsidRPr="004969EF">
        <w:rPr>
          <w:rStyle w:val="Strong"/>
          <w:rFonts w:cs="Arial"/>
          <w:b w:val="0"/>
          <w:bCs w:val="0"/>
          <w:sz w:val="22"/>
          <w:szCs w:val="22"/>
        </w:rPr>
        <w:t xml:space="preserve">, M., Logan, S., Matthews, J., </w:t>
      </w:r>
      <w:proofErr w:type="spellStart"/>
      <w:r w:rsidRPr="004969EF">
        <w:rPr>
          <w:rStyle w:val="Strong"/>
          <w:rFonts w:cs="Arial"/>
          <w:b w:val="0"/>
          <w:bCs w:val="0"/>
          <w:sz w:val="22"/>
          <w:szCs w:val="22"/>
        </w:rPr>
        <w:t>Rahi</w:t>
      </w:r>
      <w:proofErr w:type="spellEnd"/>
      <w:r w:rsidRPr="004969EF">
        <w:rPr>
          <w:rStyle w:val="Strong"/>
          <w:rFonts w:cs="Arial"/>
          <w:b w:val="0"/>
          <w:bCs w:val="0"/>
          <w:sz w:val="22"/>
          <w:szCs w:val="22"/>
        </w:rPr>
        <w:t>, J., Saxton, J., Blackburn, I.W.W., Ruiz, M., Jay, M. and Stone, A. (2025)</w:t>
      </w:r>
      <w:r w:rsidRPr="004969EF">
        <w:rPr>
          <w:rFonts w:cs="Arial"/>
          <w:sz w:val="22"/>
          <w:szCs w:val="22"/>
        </w:rPr>
        <w:t xml:space="preserve"> ‘Local authority variation in school-recorded special educational needs and disability provision in Year 1 among children born in England, 2003</w:t>
      </w:r>
      <w:r w:rsidRPr="004969EF">
        <w:rPr>
          <w:rFonts w:cs="Arial"/>
          <w:sz w:val="22"/>
          <w:szCs w:val="22"/>
        </w:rPr>
        <w:t>-</w:t>
      </w:r>
      <w:r w:rsidRPr="004969EF">
        <w:rPr>
          <w:rFonts w:cs="Arial"/>
          <w:sz w:val="22"/>
          <w:szCs w:val="22"/>
        </w:rPr>
        <w:t xml:space="preserve">13’, </w:t>
      </w:r>
      <w:r w:rsidRPr="004969EF">
        <w:rPr>
          <w:rStyle w:val="Emphasis"/>
          <w:rFonts w:cs="Arial"/>
          <w:i w:val="0"/>
          <w:iCs w:val="0"/>
          <w:sz w:val="22"/>
          <w:szCs w:val="22"/>
        </w:rPr>
        <w:t>European Journal of Public Health</w:t>
      </w:r>
      <w:r w:rsidRPr="004969EF">
        <w:rPr>
          <w:rFonts w:cs="Arial"/>
          <w:sz w:val="22"/>
          <w:szCs w:val="22"/>
        </w:rPr>
        <w:t xml:space="preserve">, 00(0). Available at: </w:t>
      </w:r>
      <w:hyperlink r:id="rId46" w:history="1">
        <w:r w:rsidRPr="004969EF">
          <w:rPr>
            <w:rStyle w:val="Hyperlink"/>
            <w:rFonts w:cs="Arial"/>
            <w:sz w:val="22"/>
            <w:szCs w:val="22"/>
          </w:rPr>
          <w:t>https://doi.org/10.1093/eurpub/ckaf116</w:t>
        </w:r>
      </w:hyperlink>
      <w:r w:rsidRPr="004969EF">
        <w:rPr>
          <w:rFonts w:cs="Arial"/>
          <w:sz w:val="22"/>
          <w:szCs w:val="22"/>
        </w:rPr>
        <w:t>.</w:t>
      </w:r>
    </w:p>
    <w:p w14:paraId="24970A9C" w14:textId="77777777" w:rsidR="000C064E" w:rsidRPr="004969EF" w:rsidRDefault="000C064E" w:rsidP="004969EF">
      <w:pPr>
        <w:pStyle w:val="BodyText"/>
        <w:spacing w:line="360" w:lineRule="auto"/>
        <w:ind w:left="720"/>
        <w:jc w:val="both"/>
        <w:rPr>
          <w:rFonts w:cs="Arial"/>
          <w:sz w:val="22"/>
          <w:szCs w:val="22"/>
        </w:rPr>
      </w:pPr>
    </w:p>
    <w:p w14:paraId="210322BA" w14:textId="3CF7B73B" w:rsidR="000C064E" w:rsidRPr="004969EF" w:rsidRDefault="000C064E" w:rsidP="004969EF">
      <w:pPr>
        <w:pStyle w:val="BodyText"/>
        <w:spacing w:line="360" w:lineRule="auto"/>
        <w:jc w:val="both"/>
        <w:rPr>
          <w:rFonts w:cs="Arial"/>
          <w:sz w:val="22"/>
          <w:szCs w:val="22"/>
        </w:rPr>
      </w:pPr>
      <w:r w:rsidRPr="004969EF">
        <w:rPr>
          <w:rStyle w:val="Strong"/>
          <w:rFonts w:cs="Arial"/>
          <w:b w:val="0"/>
          <w:bCs w:val="0"/>
          <w:sz w:val="22"/>
          <w:szCs w:val="22"/>
        </w:rPr>
        <w:t xml:space="preserve">May, F., Ford, T., Janssens, A., Newlove-Delgado, T., Russell, A.E., Salim, J., </w:t>
      </w:r>
      <w:proofErr w:type="spellStart"/>
      <w:r w:rsidRPr="004969EF">
        <w:rPr>
          <w:rStyle w:val="Strong"/>
          <w:rFonts w:cs="Arial"/>
          <w:b w:val="0"/>
          <w:bCs w:val="0"/>
          <w:sz w:val="22"/>
          <w:szCs w:val="22"/>
        </w:rPr>
        <w:t>Ukoumunne</w:t>
      </w:r>
      <w:proofErr w:type="spellEnd"/>
      <w:r w:rsidRPr="004969EF">
        <w:rPr>
          <w:rStyle w:val="Strong"/>
          <w:rFonts w:cs="Arial"/>
          <w:b w:val="0"/>
          <w:bCs w:val="0"/>
          <w:sz w:val="22"/>
          <w:szCs w:val="22"/>
        </w:rPr>
        <w:t>, O.C. and Hayes, R. (2020)</w:t>
      </w:r>
      <w:r w:rsidRPr="004969EF">
        <w:rPr>
          <w:rFonts w:cs="Arial"/>
          <w:sz w:val="22"/>
          <w:szCs w:val="22"/>
        </w:rPr>
        <w:t xml:space="preserve"> ‘Attainment, attendance, and school difficulties in UK primary schoolchildren with probable ADHD’, </w:t>
      </w:r>
      <w:r w:rsidRPr="004969EF">
        <w:rPr>
          <w:rStyle w:val="Emphasis"/>
          <w:rFonts w:cs="Arial"/>
          <w:i w:val="0"/>
          <w:iCs w:val="0"/>
          <w:sz w:val="22"/>
          <w:szCs w:val="22"/>
        </w:rPr>
        <w:t>British Journal of Educational Psychology</w:t>
      </w:r>
      <w:r w:rsidRPr="004969EF">
        <w:rPr>
          <w:rFonts w:cs="Arial"/>
          <w:sz w:val="22"/>
          <w:szCs w:val="22"/>
        </w:rPr>
        <w:t>, 91(1), pp. 442</w:t>
      </w:r>
      <w:r w:rsidRPr="004969EF">
        <w:rPr>
          <w:rFonts w:cs="Arial"/>
          <w:sz w:val="22"/>
          <w:szCs w:val="22"/>
        </w:rPr>
        <w:t>-</w:t>
      </w:r>
      <w:r w:rsidRPr="004969EF">
        <w:rPr>
          <w:rFonts w:cs="Arial"/>
          <w:sz w:val="22"/>
          <w:szCs w:val="22"/>
        </w:rPr>
        <w:t xml:space="preserve">462. Available at: </w:t>
      </w:r>
      <w:hyperlink r:id="rId47" w:history="1">
        <w:r w:rsidRPr="004969EF">
          <w:rPr>
            <w:rStyle w:val="Hyperlink"/>
            <w:rFonts w:cs="Arial"/>
            <w:sz w:val="22"/>
            <w:szCs w:val="22"/>
          </w:rPr>
          <w:t>https://doi.org/10.1111/bjep.12375</w:t>
        </w:r>
      </w:hyperlink>
      <w:r w:rsidRPr="004969EF">
        <w:rPr>
          <w:rFonts w:cs="Arial"/>
          <w:sz w:val="22"/>
          <w:szCs w:val="22"/>
        </w:rPr>
        <w:t>.</w:t>
      </w:r>
    </w:p>
    <w:p w14:paraId="74066488" w14:textId="77777777" w:rsidR="000C064E" w:rsidRPr="004969EF" w:rsidRDefault="000C064E" w:rsidP="004969EF">
      <w:pPr>
        <w:pStyle w:val="BodyText"/>
        <w:spacing w:line="360" w:lineRule="auto"/>
        <w:ind w:left="720"/>
        <w:jc w:val="both"/>
        <w:rPr>
          <w:rFonts w:cs="Arial"/>
          <w:sz w:val="22"/>
          <w:szCs w:val="22"/>
        </w:rPr>
      </w:pPr>
    </w:p>
    <w:p w14:paraId="10580A1F" w14:textId="07CDE8DB" w:rsidR="000C064E" w:rsidRPr="004969EF" w:rsidRDefault="000C064E" w:rsidP="004969EF">
      <w:pPr>
        <w:pStyle w:val="BodyText"/>
        <w:spacing w:line="360" w:lineRule="auto"/>
        <w:jc w:val="both"/>
        <w:rPr>
          <w:rFonts w:cs="Arial"/>
          <w:sz w:val="22"/>
          <w:szCs w:val="22"/>
        </w:rPr>
      </w:pPr>
      <w:r w:rsidRPr="004969EF">
        <w:rPr>
          <w:rStyle w:val="Strong"/>
          <w:rFonts w:cs="Arial"/>
          <w:b w:val="0"/>
          <w:bCs w:val="0"/>
          <w:sz w:val="22"/>
          <w:szCs w:val="22"/>
        </w:rPr>
        <w:t>McDougal, E., Tai, C., Stewart, T.M., Booth, J.N. and Rhodes, S.M. (2022)</w:t>
      </w:r>
      <w:r w:rsidRPr="004969EF">
        <w:rPr>
          <w:rFonts w:cs="Arial"/>
          <w:sz w:val="22"/>
          <w:szCs w:val="22"/>
        </w:rPr>
        <w:t xml:space="preserve"> ‘Understanding and supporting attention deficit hyperactivity disorder (ADHD) in the primary school classroom: perspectives of children with ADHD and their teachers’, </w:t>
      </w:r>
      <w:r w:rsidRPr="004969EF">
        <w:rPr>
          <w:rStyle w:val="Emphasis"/>
          <w:rFonts w:cs="Arial"/>
          <w:i w:val="0"/>
          <w:iCs w:val="0"/>
          <w:sz w:val="22"/>
          <w:szCs w:val="22"/>
        </w:rPr>
        <w:t>Journal of Autism and Developmental Disorders</w:t>
      </w:r>
      <w:r w:rsidRPr="004969EF">
        <w:rPr>
          <w:rFonts w:cs="Arial"/>
          <w:sz w:val="22"/>
          <w:szCs w:val="22"/>
        </w:rPr>
        <w:t xml:space="preserve">, 53(9), pp. 3406–3421. Available at: </w:t>
      </w:r>
      <w:hyperlink r:id="rId48" w:history="1">
        <w:r w:rsidRPr="004969EF">
          <w:rPr>
            <w:rStyle w:val="Hyperlink"/>
            <w:rFonts w:cs="Arial"/>
            <w:sz w:val="22"/>
            <w:szCs w:val="22"/>
          </w:rPr>
          <w:t>https://doi.org/10.1007/s10803-022-05639-3</w:t>
        </w:r>
      </w:hyperlink>
      <w:r w:rsidRPr="004969EF">
        <w:rPr>
          <w:rFonts w:cs="Arial"/>
          <w:sz w:val="22"/>
          <w:szCs w:val="22"/>
        </w:rPr>
        <w:t>.</w:t>
      </w:r>
    </w:p>
    <w:p w14:paraId="204A97BA" w14:textId="77777777" w:rsidR="000C064E" w:rsidRPr="004969EF" w:rsidRDefault="000C064E" w:rsidP="004969EF">
      <w:pPr>
        <w:pStyle w:val="BodyText"/>
        <w:spacing w:line="360" w:lineRule="auto"/>
        <w:ind w:left="720"/>
        <w:jc w:val="both"/>
        <w:rPr>
          <w:rFonts w:cs="Arial"/>
          <w:sz w:val="22"/>
          <w:szCs w:val="22"/>
        </w:rPr>
      </w:pPr>
    </w:p>
    <w:p w14:paraId="1C8904DB" w14:textId="25B138C2" w:rsidR="000C064E" w:rsidRPr="004969EF" w:rsidRDefault="000C064E" w:rsidP="004969EF">
      <w:pPr>
        <w:pStyle w:val="BodyText"/>
        <w:spacing w:line="360" w:lineRule="auto"/>
        <w:jc w:val="both"/>
        <w:rPr>
          <w:rFonts w:cs="Arial"/>
          <w:sz w:val="22"/>
          <w:szCs w:val="22"/>
        </w:rPr>
      </w:pPr>
      <w:proofErr w:type="spellStart"/>
      <w:r w:rsidRPr="004969EF">
        <w:rPr>
          <w:rStyle w:val="Strong"/>
          <w:rFonts w:cs="Arial"/>
          <w:b w:val="0"/>
          <w:bCs w:val="0"/>
          <w:sz w:val="22"/>
          <w:szCs w:val="22"/>
        </w:rPr>
        <w:t>Ogundele</w:t>
      </w:r>
      <w:proofErr w:type="spellEnd"/>
      <w:r w:rsidRPr="004969EF">
        <w:rPr>
          <w:rStyle w:val="Strong"/>
          <w:rFonts w:cs="Arial"/>
          <w:b w:val="0"/>
          <w:bCs w:val="0"/>
          <w:sz w:val="22"/>
          <w:szCs w:val="22"/>
        </w:rPr>
        <w:t>, M.O. and Ayyash, H.F. (2023)</w:t>
      </w:r>
      <w:r w:rsidRPr="004969EF">
        <w:rPr>
          <w:rFonts w:cs="Arial"/>
          <w:sz w:val="22"/>
          <w:szCs w:val="22"/>
        </w:rPr>
        <w:t xml:space="preserve"> ‘ADHD in children and adolescents: review of current practice of non-pharmacological and behavioural management’, </w:t>
      </w:r>
      <w:r w:rsidRPr="004969EF">
        <w:rPr>
          <w:rStyle w:val="Emphasis"/>
          <w:rFonts w:cs="Arial"/>
          <w:i w:val="0"/>
          <w:iCs w:val="0"/>
          <w:sz w:val="22"/>
          <w:szCs w:val="22"/>
        </w:rPr>
        <w:t>AIMS Public Health</w:t>
      </w:r>
      <w:r w:rsidRPr="004969EF">
        <w:rPr>
          <w:rFonts w:cs="Arial"/>
          <w:sz w:val="22"/>
          <w:szCs w:val="22"/>
        </w:rPr>
        <w:t xml:space="preserve">, 10(1), pp. 35–51. Available at: </w:t>
      </w:r>
      <w:hyperlink r:id="rId49" w:history="1">
        <w:r w:rsidRPr="004969EF">
          <w:rPr>
            <w:rStyle w:val="Hyperlink"/>
            <w:rFonts w:cs="Arial"/>
            <w:sz w:val="22"/>
            <w:szCs w:val="22"/>
          </w:rPr>
          <w:t>https://doi.org/10.3934/publichealth.2023004</w:t>
        </w:r>
      </w:hyperlink>
      <w:r w:rsidRPr="004969EF">
        <w:rPr>
          <w:rFonts w:cs="Arial"/>
          <w:sz w:val="22"/>
          <w:szCs w:val="22"/>
        </w:rPr>
        <w:t>.</w:t>
      </w:r>
    </w:p>
    <w:p w14:paraId="5DBACEAC" w14:textId="77777777" w:rsidR="000C064E" w:rsidRPr="004969EF" w:rsidRDefault="000C064E" w:rsidP="004969EF">
      <w:pPr>
        <w:pStyle w:val="BodyText"/>
        <w:spacing w:line="360" w:lineRule="auto"/>
        <w:ind w:left="720"/>
        <w:jc w:val="both"/>
        <w:rPr>
          <w:rFonts w:cs="Arial"/>
          <w:sz w:val="22"/>
          <w:szCs w:val="22"/>
        </w:rPr>
      </w:pPr>
    </w:p>
    <w:p w14:paraId="4F8C04DF" w14:textId="76A9CA18" w:rsidR="000C064E" w:rsidRPr="004969EF" w:rsidRDefault="000C064E" w:rsidP="004969EF">
      <w:pPr>
        <w:pStyle w:val="BodyText"/>
        <w:spacing w:line="360" w:lineRule="auto"/>
        <w:jc w:val="both"/>
        <w:rPr>
          <w:rFonts w:cs="Arial"/>
          <w:sz w:val="22"/>
          <w:szCs w:val="22"/>
        </w:rPr>
      </w:pPr>
      <w:r w:rsidRPr="004969EF">
        <w:rPr>
          <w:rStyle w:val="Strong"/>
          <w:rFonts w:cs="Arial"/>
          <w:b w:val="0"/>
          <w:bCs w:val="0"/>
          <w:sz w:val="22"/>
          <w:szCs w:val="22"/>
        </w:rPr>
        <w:t xml:space="preserve">Patel, P., </w:t>
      </w:r>
      <w:proofErr w:type="spellStart"/>
      <w:r w:rsidRPr="004969EF">
        <w:rPr>
          <w:rStyle w:val="Strong"/>
          <w:rFonts w:cs="Arial"/>
          <w:b w:val="0"/>
          <w:bCs w:val="0"/>
          <w:sz w:val="22"/>
          <w:szCs w:val="22"/>
        </w:rPr>
        <w:t>Behl</w:t>
      </w:r>
      <w:proofErr w:type="spellEnd"/>
      <w:r w:rsidRPr="004969EF">
        <w:rPr>
          <w:rStyle w:val="Strong"/>
          <w:rFonts w:cs="Arial"/>
          <w:b w:val="0"/>
          <w:bCs w:val="0"/>
          <w:sz w:val="22"/>
          <w:szCs w:val="22"/>
        </w:rPr>
        <w:t xml:space="preserve">, J., Karim, T., </w:t>
      </w:r>
      <w:proofErr w:type="spellStart"/>
      <w:r w:rsidRPr="004969EF">
        <w:rPr>
          <w:rStyle w:val="Strong"/>
          <w:rFonts w:cs="Arial"/>
          <w:b w:val="0"/>
          <w:bCs w:val="0"/>
          <w:sz w:val="22"/>
          <w:szCs w:val="22"/>
        </w:rPr>
        <w:t>Palnati</w:t>
      </w:r>
      <w:proofErr w:type="spellEnd"/>
      <w:r w:rsidRPr="004969EF">
        <w:rPr>
          <w:rStyle w:val="Strong"/>
          <w:rFonts w:cs="Arial"/>
          <w:b w:val="0"/>
          <w:bCs w:val="0"/>
          <w:sz w:val="22"/>
          <w:szCs w:val="22"/>
        </w:rPr>
        <w:t>, S.R. and Bhakta, S. (2024)</w:t>
      </w:r>
      <w:r w:rsidRPr="004969EF">
        <w:rPr>
          <w:rFonts w:cs="Arial"/>
          <w:sz w:val="22"/>
          <w:szCs w:val="22"/>
        </w:rPr>
        <w:t xml:space="preserve"> ‘Parenting styles and attention deficit hyperactivity disorder in the South Asian population: a narrative review’, </w:t>
      </w:r>
      <w:proofErr w:type="spellStart"/>
      <w:r w:rsidRPr="004969EF">
        <w:rPr>
          <w:rStyle w:val="Emphasis"/>
          <w:rFonts w:cs="Arial"/>
          <w:i w:val="0"/>
          <w:iCs w:val="0"/>
          <w:sz w:val="22"/>
          <w:szCs w:val="22"/>
        </w:rPr>
        <w:t>Cureus</w:t>
      </w:r>
      <w:proofErr w:type="spellEnd"/>
      <w:r w:rsidRPr="004969EF">
        <w:rPr>
          <w:rFonts w:cs="Arial"/>
          <w:sz w:val="22"/>
          <w:szCs w:val="22"/>
        </w:rPr>
        <w:t xml:space="preserve">, 16(12). Available at: </w:t>
      </w:r>
      <w:hyperlink r:id="rId50" w:history="1">
        <w:r w:rsidRPr="004969EF">
          <w:rPr>
            <w:rStyle w:val="Hyperlink"/>
            <w:rFonts w:cs="Arial"/>
            <w:sz w:val="22"/>
            <w:szCs w:val="22"/>
          </w:rPr>
          <w:t>https://doi.org/10.7759/cureus.74967</w:t>
        </w:r>
      </w:hyperlink>
      <w:r w:rsidRPr="004969EF">
        <w:rPr>
          <w:rFonts w:cs="Arial"/>
          <w:sz w:val="22"/>
          <w:szCs w:val="22"/>
        </w:rPr>
        <w:t>.</w:t>
      </w:r>
      <w:r w:rsidRPr="004969EF">
        <w:rPr>
          <w:rFonts w:cs="Arial"/>
          <w:sz w:val="22"/>
          <w:szCs w:val="22"/>
        </w:rPr>
        <w:t xml:space="preserve"> </w:t>
      </w:r>
    </w:p>
    <w:p w14:paraId="64A2B998" w14:textId="77777777" w:rsidR="000C064E" w:rsidRPr="004969EF" w:rsidRDefault="000C064E" w:rsidP="004969EF">
      <w:pPr>
        <w:pStyle w:val="BodyText"/>
        <w:spacing w:line="360" w:lineRule="auto"/>
        <w:ind w:left="360"/>
        <w:jc w:val="both"/>
        <w:rPr>
          <w:rFonts w:cs="Arial"/>
          <w:sz w:val="22"/>
          <w:szCs w:val="22"/>
        </w:rPr>
      </w:pPr>
    </w:p>
    <w:p w14:paraId="49A3CB82" w14:textId="2233D343" w:rsidR="000C064E" w:rsidRPr="004969EF" w:rsidRDefault="000C064E" w:rsidP="004969EF">
      <w:pPr>
        <w:pStyle w:val="BodyText"/>
        <w:spacing w:line="360" w:lineRule="auto"/>
        <w:jc w:val="both"/>
        <w:rPr>
          <w:rFonts w:cs="Arial"/>
          <w:sz w:val="22"/>
          <w:szCs w:val="22"/>
        </w:rPr>
      </w:pPr>
      <w:proofErr w:type="spellStart"/>
      <w:r w:rsidRPr="004969EF">
        <w:rPr>
          <w:rStyle w:val="Strong"/>
          <w:rFonts w:cs="Arial"/>
          <w:b w:val="0"/>
          <w:bCs w:val="0"/>
          <w:sz w:val="22"/>
          <w:szCs w:val="22"/>
        </w:rPr>
        <w:t>Pranjol</w:t>
      </w:r>
      <w:proofErr w:type="spellEnd"/>
      <w:r w:rsidRPr="004969EF">
        <w:rPr>
          <w:rStyle w:val="Strong"/>
          <w:rFonts w:cs="Arial"/>
          <w:b w:val="0"/>
          <w:bCs w:val="0"/>
          <w:sz w:val="22"/>
          <w:szCs w:val="22"/>
        </w:rPr>
        <w:t xml:space="preserve">, </w:t>
      </w:r>
      <w:proofErr w:type="spellStart"/>
      <w:r w:rsidRPr="004969EF">
        <w:rPr>
          <w:rStyle w:val="Strong"/>
          <w:rFonts w:cs="Arial"/>
          <w:b w:val="0"/>
          <w:bCs w:val="0"/>
          <w:sz w:val="22"/>
          <w:szCs w:val="22"/>
        </w:rPr>
        <w:t>Md.Z.I</w:t>
      </w:r>
      <w:proofErr w:type="spellEnd"/>
      <w:r w:rsidRPr="004969EF">
        <w:rPr>
          <w:rStyle w:val="Strong"/>
          <w:rFonts w:cs="Arial"/>
          <w:b w:val="0"/>
          <w:bCs w:val="0"/>
          <w:sz w:val="22"/>
          <w:szCs w:val="22"/>
        </w:rPr>
        <w:t>. and Amir, A. (2025)</w:t>
      </w:r>
      <w:r w:rsidRPr="004969EF">
        <w:rPr>
          <w:rFonts w:cs="Arial"/>
          <w:sz w:val="22"/>
          <w:szCs w:val="22"/>
        </w:rPr>
        <w:t xml:space="preserve"> ‘Disrupting diagnostic hegemony: reimagining mental health language with British South Asian communities’, </w:t>
      </w:r>
      <w:r w:rsidRPr="004969EF">
        <w:rPr>
          <w:rStyle w:val="Emphasis"/>
          <w:rFonts w:cs="Arial"/>
          <w:i w:val="0"/>
          <w:iCs w:val="0"/>
          <w:sz w:val="22"/>
          <w:szCs w:val="22"/>
        </w:rPr>
        <w:t>Frontiers in Education</w:t>
      </w:r>
      <w:r w:rsidRPr="004969EF">
        <w:rPr>
          <w:rFonts w:cs="Arial"/>
          <w:sz w:val="22"/>
          <w:szCs w:val="22"/>
        </w:rPr>
        <w:t xml:space="preserve">, 10. Available at: </w:t>
      </w:r>
      <w:hyperlink r:id="rId51" w:history="1">
        <w:r w:rsidRPr="004969EF">
          <w:rPr>
            <w:rStyle w:val="Hyperlink"/>
            <w:rFonts w:cs="Arial"/>
            <w:sz w:val="22"/>
            <w:szCs w:val="22"/>
          </w:rPr>
          <w:t>https://doi.org/10.3389/feduc.2025.1550711</w:t>
        </w:r>
      </w:hyperlink>
      <w:r w:rsidRPr="004969EF">
        <w:rPr>
          <w:rFonts w:cs="Arial"/>
          <w:sz w:val="22"/>
          <w:szCs w:val="22"/>
        </w:rPr>
        <w:t>.</w:t>
      </w:r>
    </w:p>
    <w:p w14:paraId="5DC4DC50" w14:textId="77777777" w:rsidR="000C064E" w:rsidRPr="004969EF" w:rsidRDefault="000C064E" w:rsidP="004969EF">
      <w:pPr>
        <w:pStyle w:val="BodyText"/>
        <w:spacing w:line="360" w:lineRule="auto"/>
        <w:ind w:left="720"/>
        <w:jc w:val="both"/>
        <w:rPr>
          <w:rFonts w:cs="Arial"/>
          <w:sz w:val="22"/>
          <w:szCs w:val="22"/>
        </w:rPr>
      </w:pPr>
    </w:p>
    <w:p w14:paraId="2BC314AB" w14:textId="3E92CC7D" w:rsidR="000C064E" w:rsidRPr="004969EF" w:rsidRDefault="000C064E" w:rsidP="004969EF">
      <w:pPr>
        <w:pStyle w:val="BodyText"/>
        <w:spacing w:line="360" w:lineRule="auto"/>
        <w:jc w:val="both"/>
        <w:rPr>
          <w:rFonts w:cs="Arial"/>
          <w:sz w:val="22"/>
          <w:szCs w:val="22"/>
        </w:rPr>
      </w:pPr>
      <w:r w:rsidRPr="004969EF">
        <w:rPr>
          <w:rStyle w:val="Strong"/>
          <w:rFonts w:cs="Arial"/>
          <w:b w:val="0"/>
          <w:bCs w:val="0"/>
          <w:sz w:val="22"/>
          <w:szCs w:val="22"/>
        </w:rPr>
        <w:t>Russell, A.E., Benham-Clarke, S., Ford, T., Eke, H., Price, A., Mitchell, S.B., Newlove-Delgado, T., Moore, D.A. and Janssens, A. (2023)</w:t>
      </w:r>
      <w:r w:rsidRPr="004969EF">
        <w:rPr>
          <w:rFonts w:cs="Arial"/>
          <w:sz w:val="22"/>
          <w:szCs w:val="22"/>
        </w:rPr>
        <w:t xml:space="preserve"> ‘Educational experiences of young people with ADHD in the UK: secondary analysis of qualitative data from the </w:t>
      </w:r>
      <w:proofErr w:type="spellStart"/>
      <w:r w:rsidRPr="004969EF">
        <w:rPr>
          <w:rFonts w:cs="Arial"/>
          <w:sz w:val="22"/>
          <w:szCs w:val="22"/>
        </w:rPr>
        <w:t>CATCh-uS</w:t>
      </w:r>
      <w:proofErr w:type="spellEnd"/>
      <w:r w:rsidRPr="004969EF">
        <w:rPr>
          <w:rFonts w:cs="Arial"/>
          <w:sz w:val="22"/>
          <w:szCs w:val="22"/>
        </w:rPr>
        <w:t xml:space="preserve"> mixed-methods study’, </w:t>
      </w:r>
      <w:r w:rsidRPr="004969EF">
        <w:rPr>
          <w:rStyle w:val="Emphasis"/>
          <w:rFonts w:cs="Arial"/>
          <w:i w:val="0"/>
          <w:iCs w:val="0"/>
          <w:sz w:val="22"/>
          <w:szCs w:val="22"/>
        </w:rPr>
        <w:t>British Journal of Educational Psychology</w:t>
      </w:r>
      <w:r w:rsidRPr="004969EF">
        <w:rPr>
          <w:rFonts w:cs="Arial"/>
          <w:sz w:val="22"/>
          <w:szCs w:val="22"/>
        </w:rPr>
        <w:t xml:space="preserve">, 93(4). Available at: </w:t>
      </w:r>
      <w:hyperlink r:id="rId52" w:history="1">
        <w:r w:rsidRPr="004969EF">
          <w:rPr>
            <w:rStyle w:val="Hyperlink"/>
            <w:rFonts w:cs="Arial"/>
            <w:sz w:val="22"/>
            <w:szCs w:val="22"/>
          </w:rPr>
          <w:t>https://doi.org/10.1111/bjep.12613</w:t>
        </w:r>
      </w:hyperlink>
      <w:r w:rsidRPr="004969EF">
        <w:rPr>
          <w:rFonts w:cs="Arial"/>
          <w:sz w:val="22"/>
          <w:szCs w:val="22"/>
        </w:rPr>
        <w:t>.</w:t>
      </w:r>
    </w:p>
    <w:p w14:paraId="1BE2D46B" w14:textId="77777777" w:rsidR="000C064E" w:rsidRPr="004969EF" w:rsidRDefault="000C064E" w:rsidP="004969EF">
      <w:pPr>
        <w:pStyle w:val="BodyText"/>
        <w:spacing w:line="360" w:lineRule="auto"/>
        <w:ind w:left="720"/>
        <w:jc w:val="both"/>
        <w:rPr>
          <w:rFonts w:cs="Arial"/>
          <w:sz w:val="22"/>
          <w:szCs w:val="22"/>
        </w:rPr>
      </w:pPr>
    </w:p>
    <w:p w14:paraId="75FCA0CF" w14:textId="0E6FA208" w:rsidR="000C064E" w:rsidRPr="004969EF" w:rsidRDefault="000C064E" w:rsidP="004969EF">
      <w:pPr>
        <w:pStyle w:val="BodyText"/>
        <w:spacing w:line="360" w:lineRule="auto"/>
        <w:jc w:val="both"/>
        <w:rPr>
          <w:rFonts w:cs="Arial"/>
          <w:sz w:val="22"/>
          <w:szCs w:val="22"/>
        </w:rPr>
      </w:pPr>
      <w:proofErr w:type="spellStart"/>
      <w:r w:rsidRPr="004969EF">
        <w:rPr>
          <w:rStyle w:val="Strong"/>
          <w:rFonts w:cs="Arial"/>
          <w:b w:val="0"/>
          <w:bCs w:val="0"/>
          <w:sz w:val="22"/>
          <w:szCs w:val="22"/>
        </w:rPr>
        <w:t>Tegtmejer</w:t>
      </w:r>
      <w:proofErr w:type="spellEnd"/>
      <w:r w:rsidRPr="004969EF">
        <w:rPr>
          <w:rStyle w:val="Strong"/>
          <w:rFonts w:cs="Arial"/>
          <w:b w:val="0"/>
          <w:bCs w:val="0"/>
          <w:sz w:val="22"/>
          <w:szCs w:val="22"/>
        </w:rPr>
        <w:t>, T. (2019)</w:t>
      </w:r>
      <w:r w:rsidRPr="004969EF">
        <w:rPr>
          <w:rFonts w:cs="Arial"/>
          <w:sz w:val="22"/>
          <w:szCs w:val="22"/>
        </w:rPr>
        <w:t xml:space="preserve"> ‘ADHD as a classroom diagnosis: an exploratory study of teachers’ strategies for addressing “ADHD classroom behaviour”’, </w:t>
      </w:r>
      <w:r w:rsidRPr="004969EF">
        <w:rPr>
          <w:rStyle w:val="Emphasis"/>
          <w:rFonts w:cs="Arial"/>
          <w:i w:val="0"/>
          <w:iCs w:val="0"/>
          <w:sz w:val="22"/>
          <w:szCs w:val="22"/>
        </w:rPr>
        <w:t>Emotional and Behavioural Difficulties</w:t>
      </w:r>
      <w:r w:rsidRPr="004969EF">
        <w:rPr>
          <w:rFonts w:cs="Arial"/>
          <w:sz w:val="22"/>
          <w:szCs w:val="22"/>
        </w:rPr>
        <w:t xml:space="preserve">, 24(3), pp. 239–253. Available at: </w:t>
      </w:r>
      <w:hyperlink r:id="rId53" w:history="1">
        <w:r w:rsidRPr="004969EF">
          <w:rPr>
            <w:rStyle w:val="Hyperlink"/>
            <w:rFonts w:cs="Arial"/>
            <w:sz w:val="22"/>
            <w:szCs w:val="22"/>
          </w:rPr>
          <w:t>https://doi.org/10.1080/13632752.2019.1609271</w:t>
        </w:r>
      </w:hyperlink>
      <w:r w:rsidRPr="004969EF">
        <w:rPr>
          <w:rFonts w:cs="Arial"/>
          <w:sz w:val="22"/>
          <w:szCs w:val="22"/>
        </w:rPr>
        <w:t>.</w:t>
      </w:r>
    </w:p>
    <w:p w14:paraId="11B3293D" w14:textId="77777777" w:rsidR="000C064E" w:rsidRPr="004969EF" w:rsidRDefault="000C064E" w:rsidP="004969EF">
      <w:pPr>
        <w:pStyle w:val="BodyText"/>
        <w:spacing w:line="360" w:lineRule="auto"/>
        <w:ind w:left="720"/>
        <w:jc w:val="both"/>
        <w:rPr>
          <w:rFonts w:cs="Arial"/>
          <w:sz w:val="22"/>
          <w:szCs w:val="22"/>
        </w:rPr>
      </w:pPr>
    </w:p>
    <w:p w14:paraId="77B22A58" w14:textId="3942D1F5" w:rsidR="000C064E" w:rsidRPr="004969EF" w:rsidRDefault="000C064E" w:rsidP="004969EF">
      <w:pPr>
        <w:pStyle w:val="BodyText"/>
        <w:spacing w:line="360" w:lineRule="auto"/>
        <w:jc w:val="both"/>
        <w:rPr>
          <w:rFonts w:cs="Arial"/>
          <w:sz w:val="22"/>
          <w:szCs w:val="22"/>
        </w:rPr>
      </w:pPr>
      <w:r w:rsidRPr="004969EF">
        <w:rPr>
          <w:rStyle w:val="Strong"/>
          <w:rFonts w:cs="Arial"/>
          <w:b w:val="0"/>
          <w:bCs w:val="0"/>
          <w:sz w:val="22"/>
          <w:szCs w:val="22"/>
        </w:rPr>
        <w:t>Vincent, B.P., Maryam, Z., Ali, N., Bushnell, M., Elliott, E. and Randhawa, G. (2025)</w:t>
      </w:r>
      <w:r w:rsidRPr="004969EF">
        <w:rPr>
          <w:rFonts w:cs="Arial"/>
          <w:sz w:val="22"/>
          <w:szCs w:val="22"/>
        </w:rPr>
        <w:t xml:space="preserve"> ‘Barriers and facilitators to accessing services for neurodevelopmental disorders among the carers of individuals from Black, Asian and minority ethnic groups in the UK: a scoping review’, </w:t>
      </w:r>
      <w:r w:rsidRPr="004969EF">
        <w:rPr>
          <w:rStyle w:val="Emphasis"/>
          <w:rFonts w:cs="Arial"/>
          <w:i w:val="0"/>
          <w:iCs w:val="0"/>
          <w:sz w:val="22"/>
          <w:szCs w:val="22"/>
        </w:rPr>
        <w:t>BMJ Open</w:t>
      </w:r>
      <w:r w:rsidRPr="004969EF">
        <w:rPr>
          <w:rFonts w:cs="Arial"/>
          <w:sz w:val="22"/>
          <w:szCs w:val="22"/>
        </w:rPr>
        <w:t xml:space="preserve">, 15(11), p. e104511. Available at: </w:t>
      </w:r>
      <w:hyperlink r:id="rId54" w:history="1">
        <w:r w:rsidRPr="004969EF">
          <w:rPr>
            <w:rStyle w:val="Hyperlink"/>
            <w:rFonts w:cs="Arial"/>
            <w:sz w:val="22"/>
            <w:szCs w:val="22"/>
          </w:rPr>
          <w:t>https://doi.org/10.1136/bmjopen-2025-104511</w:t>
        </w:r>
      </w:hyperlink>
      <w:r w:rsidRPr="004969EF">
        <w:rPr>
          <w:rFonts w:cs="Arial"/>
          <w:sz w:val="22"/>
          <w:szCs w:val="22"/>
        </w:rPr>
        <w:t>.</w:t>
      </w:r>
    </w:p>
    <w:p w14:paraId="3B32D864" w14:textId="77777777" w:rsidR="000C064E" w:rsidRPr="004969EF" w:rsidRDefault="000C064E" w:rsidP="004969EF">
      <w:pPr>
        <w:pStyle w:val="BodyText"/>
        <w:spacing w:line="360" w:lineRule="auto"/>
        <w:ind w:left="720"/>
        <w:jc w:val="both"/>
        <w:rPr>
          <w:rFonts w:cs="Arial"/>
          <w:sz w:val="22"/>
          <w:szCs w:val="22"/>
        </w:rPr>
      </w:pPr>
    </w:p>
    <w:p w14:paraId="090F69A2" w14:textId="760B7E67" w:rsidR="000C064E" w:rsidRPr="004969EF" w:rsidRDefault="000C064E" w:rsidP="004969EF">
      <w:pPr>
        <w:pStyle w:val="BodyText"/>
        <w:spacing w:line="360" w:lineRule="auto"/>
        <w:jc w:val="both"/>
        <w:rPr>
          <w:rFonts w:cs="Arial"/>
          <w:sz w:val="22"/>
          <w:szCs w:val="22"/>
        </w:rPr>
      </w:pPr>
      <w:r w:rsidRPr="004969EF">
        <w:rPr>
          <w:rStyle w:val="Strong"/>
          <w:rFonts w:cs="Arial"/>
          <w:b w:val="0"/>
          <w:bCs w:val="0"/>
          <w:sz w:val="22"/>
          <w:szCs w:val="22"/>
        </w:rPr>
        <w:t xml:space="preserve">Ward, R.J., </w:t>
      </w:r>
      <w:proofErr w:type="spellStart"/>
      <w:r w:rsidRPr="004969EF">
        <w:rPr>
          <w:rStyle w:val="Strong"/>
          <w:rFonts w:cs="Arial"/>
          <w:b w:val="0"/>
          <w:bCs w:val="0"/>
          <w:sz w:val="22"/>
          <w:szCs w:val="22"/>
        </w:rPr>
        <w:t>Kovshoff</w:t>
      </w:r>
      <w:proofErr w:type="spellEnd"/>
      <w:r w:rsidRPr="004969EF">
        <w:rPr>
          <w:rStyle w:val="Strong"/>
          <w:rFonts w:cs="Arial"/>
          <w:b w:val="0"/>
          <w:bCs w:val="0"/>
          <w:sz w:val="22"/>
          <w:szCs w:val="22"/>
        </w:rPr>
        <w:t xml:space="preserve">, H. and </w:t>
      </w:r>
      <w:proofErr w:type="spellStart"/>
      <w:r w:rsidRPr="004969EF">
        <w:rPr>
          <w:rStyle w:val="Strong"/>
          <w:rFonts w:cs="Arial"/>
          <w:b w:val="0"/>
          <w:bCs w:val="0"/>
          <w:sz w:val="22"/>
          <w:szCs w:val="22"/>
        </w:rPr>
        <w:t>Kreppner</w:t>
      </w:r>
      <w:proofErr w:type="spellEnd"/>
      <w:r w:rsidRPr="004969EF">
        <w:rPr>
          <w:rStyle w:val="Strong"/>
          <w:rFonts w:cs="Arial"/>
          <w:b w:val="0"/>
          <w:bCs w:val="0"/>
          <w:sz w:val="22"/>
          <w:szCs w:val="22"/>
        </w:rPr>
        <w:t>, J. (2021)</w:t>
      </w:r>
      <w:r w:rsidRPr="004969EF">
        <w:rPr>
          <w:rFonts w:cs="Arial"/>
          <w:sz w:val="22"/>
          <w:szCs w:val="22"/>
        </w:rPr>
        <w:t xml:space="preserve"> ‘School staff perspectives on ADHD and training: understanding the needs and views of UK primary staff’, </w:t>
      </w:r>
      <w:r w:rsidRPr="004969EF">
        <w:rPr>
          <w:rStyle w:val="Emphasis"/>
          <w:rFonts w:cs="Arial"/>
          <w:i w:val="0"/>
          <w:iCs w:val="0"/>
          <w:sz w:val="22"/>
          <w:szCs w:val="22"/>
        </w:rPr>
        <w:t>Emotional and Behavioural Difficulties</w:t>
      </w:r>
      <w:r w:rsidRPr="004969EF">
        <w:rPr>
          <w:rFonts w:cs="Arial"/>
          <w:sz w:val="22"/>
          <w:szCs w:val="22"/>
        </w:rPr>
        <w:t>, 26(3), pp. 1</w:t>
      </w:r>
      <w:r w:rsidRPr="004969EF">
        <w:rPr>
          <w:rFonts w:cs="Arial"/>
          <w:sz w:val="22"/>
          <w:szCs w:val="22"/>
        </w:rPr>
        <w:t>-</w:t>
      </w:r>
      <w:r w:rsidRPr="004969EF">
        <w:rPr>
          <w:rFonts w:cs="Arial"/>
          <w:sz w:val="22"/>
          <w:szCs w:val="22"/>
        </w:rPr>
        <w:t xml:space="preserve">16. Available at: </w:t>
      </w:r>
      <w:hyperlink r:id="rId55" w:history="1">
        <w:r w:rsidRPr="004969EF">
          <w:rPr>
            <w:rStyle w:val="Hyperlink"/>
            <w:rFonts w:cs="Arial"/>
            <w:sz w:val="22"/>
            <w:szCs w:val="22"/>
          </w:rPr>
          <w:t>https://doi.org/10.1080/13632752.2021.1965342</w:t>
        </w:r>
      </w:hyperlink>
      <w:r w:rsidRPr="004969EF">
        <w:rPr>
          <w:rFonts w:cs="Arial"/>
          <w:sz w:val="22"/>
          <w:szCs w:val="22"/>
        </w:rPr>
        <w:t>.</w:t>
      </w:r>
    </w:p>
    <w:p w14:paraId="775ADDA5" w14:textId="77777777" w:rsidR="000C064E" w:rsidRPr="004969EF" w:rsidRDefault="000C064E" w:rsidP="004969EF">
      <w:pPr>
        <w:pStyle w:val="BodyText"/>
        <w:spacing w:line="360" w:lineRule="auto"/>
        <w:ind w:left="720"/>
        <w:jc w:val="both"/>
        <w:rPr>
          <w:rFonts w:cs="Arial"/>
          <w:sz w:val="22"/>
          <w:szCs w:val="22"/>
        </w:rPr>
      </w:pPr>
    </w:p>
    <w:p w14:paraId="2F54227A" w14:textId="6003937D" w:rsidR="000C064E" w:rsidRPr="004969EF" w:rsidRDefault="000C064E" w:rsidP="004969EF">
      <w:pPr>
        <w:pStyle w:val="BodyText"/>
        <w:spacing w:line="360" w:lineRule="auto"/>
        <w:jc w:val="both"/>
        <w:rPr>
          <w:rFonts w:cs="Arial"/>
          <w:sz w:val="22"/>
          <w:szCs w:val="22"/>
        </w:rPr>
      </w:pPr>
      <w:r w:rsidRPr="004969EF">
        <w:rPr>
          <w:rStyle w:val="Strong"/>
          <w:rFonts w:cs="Arial"/>
          <w:b w:val="0"/>
          <w:bCs w:val="0"/>
          <w:sz w:val="22"/>
          <w:szCs w:val="22"/>
        </w:rPr>
        <w:t>World Health Organization (2025)</w:t>
      </w:r>
      <w:r w:rsidRPr="004969EF">
        <w:rPr>
          <w:rFonts w:cs="Arial"/>
          <w:sz w:val="22"/>
          <w:szCs w:val="22"/>
        </w:rPr>
        <w:t xml:space="preserve"> </w:t>
      </w:r>
      <w:r w:rsidRPr="004969EF">
        <w:rPr>
          <w:rStyle w:val="Emphasis"/>
          <w:rFonts w:cs="Arial"/>
          <w:i w:val="0"/>
          <w:iCs w:val="0"/>
          <w:sz w:val="22"/>
          <w:szCs w:val="22"/>
        </w:rPr>
        <w:t>ICD-11 for Mortality and Morbidity Statistics</w:t>
      </w:r>
      <w:r w:rsidRPr="004969EF">
        <w:rPr>
          <w:rFonts w:cs="Arial"/>
          <w:sz w:val="22"/>
          <w:szCs w:val="22"/>
        </w:rPr>
        <w:t>. Available at: https://icd.who.int/browse/2025-01/mms/en#821852937</w:t>
      </w:r>
      <w:r w:rsidRPr="004969EF">
        <w:rPr>
          <w:rFonts w:cs="Arial"/>
          <w:sz w:val="22"/>
          <w:szCs w:val="22"/>
        </w:rPr>
        <w:t xml:space="preserve"> </w:t>
      </w:r>
      <w:r w:rsidRPr="004969EF">
        <w:rPr>
          <w:rFonts w:cs="Arial"/>
          <w:sz w:val="22"/>
          <w:szCs w:val="22"/>
        </w:rPr>
        <w:t>(Accessed: 17 March 2026).</w:t>
      </w:r>
      <w:r w:rsidRPr="004969EF">
        <w:rPr>
          <w:rFonts w:cs="Arial"/>
          <w:sz w:val="22"/>
          <w:szCs w:val="22"/>
        </w:rPr>
        <w:t xml:space="preserve"> </w:t>
      </w:r>
    </w:p>
    <w:p w14:paraId="6787129A" w14:textId="77777777" w:rsidR="000C064E" w:rsidRPr="004969EF" w:rsidRDefault="000C064E" w:rsidP="004969EF">
      <w:pPr>
        <w:pStyle w:val="BodyText"/>
        <w:spacing w:line="360" w:lineRule="auto"/>
        <w:jc w:val="both"/>
        <w:rPr>
          <w:rFonts w:cs="Arial"/>
          <w:sz w:val="22"/>
          <w:szCs w:val="22"/>
        </w:rPr>
      </w:pPr>
    </w:p>
    <w:p w14:paraId="24AA2884" w14:textId="3AF66766" w:rsidR="00603AC7" w:rsidRPr="004969EF" w:rsidRDefault="000C064E" w:rsidP="004969EF">
      <w:pPr>
        <w:pStyle w:val="BodyText"/>
        <w:spacing w:line="360" w:lineRule="auto"/>
        <w:jc w:val="both"/>
        <w:rPr>
          <w:rFonts w:cs="Arial"/>
          <w:sz w:val="22"/>
          <w:szCs w:val="22"/>
        </w:rPr>
        <w:sectPr w:rsidR="00603AC7" w:rsidRPr="004969EF">
          <w:pgSz w:w="11906" w:h="16838"/>
          <w:pgMar w:top="1440" w:right="1440" w:bottom="1440" w:left="1440" w:header="708" w:footer="708" w:gutter="0"/>
          <w:cols w:space="708"/>
          <w:docGrid w:linePitch="360"/>
        </w:sectPr>
      </w:pPr>
      <w:r w:rsidRPr="004969EF">
        <w:rPr>
          <w:rStyle w:val="Strong"/>
          <w:rFonts w:cs="Arial"/>
          <w:b w:val="0"/>
          <w:bCs w:val="0"/>
          <w:sz w:val="22"/>
          <w:szCs w:val="22"/>
        </w:rPr>
        <w:t xml:space="preserve">Young, S., </w:t>
      </w:r>
      <w:proofErr w:type="spellStart"/>
      <w:r w:rsidRPr="004969EF">
        <w:rPr>
          <w:rStyle w:val="Strong"/>
          <w:rFonts w:cs="Arial"/>
          <w:b w:val="0"/>
          <w:bCs w:val="0"/>
          <w:sz w:val="22"/>
          <w:szCs w:val="22"/>
        </w:rPr>
        <w:t>Asherson</w:t>
      </w:r>
      <w:proofErr w:type="spellEnd"/>
      <w:r w:rsidRPr="004969EF">
        <w:rPr>
          <w:rStyle w:val="Strong"/>
          <w:rFonts w:cs="Arial"/>
          <w:b w:val="0"/>
          <w:bCs w:val="0"/>
          <w:sz w:val="22"/>
          <w:szCs w:val="22"/>
        </w:rPr>
        <w:t xml:space="preserve">, P., Lloyd, T., </w:t>
      </w:r>
      <w:proofErr w:type="spellStart"/>
      <w:r w:rsidRPr="004969EF">
        <w:rPr>
          <w:rStyle w:val="Strong"/>
          <w:rFonts w:cs="Arial"/>
          <w:b w:val="0"/>
          <w:bCs w:val="0"/>
          <w:sz w:val="22"/>
          <w:szCs w:val="22"/>
        </w:rPr>
        <w:t>Absoud</w:t>
      </w:r>
      <w:proofErr w:type="spellEnd"/>
      <w:r w:rsidRPr="004969EF">
        <w:rPr>
          <w:rStyle w:val="Strong"/>
          <w:rFonts w:cs="Arial"/>
          <w:b w:val="0"/>
          <w:bCs w:val="0"/>
          <w:sz w:val="22"/>
          <w:szCs w:val="22"/>
        </w:rPr>
        <w:t xml:space="preserve">, M., </w:t>
      </w:r>
      <w:proofErr w:type="spellStart"/>
      <w:r w:rsidRPr="004969EF">
        <w:rPr>
          <w:rStyle w:val="Strong"/>
          <w:rFonts w:cs="Arial"/>
          <w:b w:val="0"/>
          <w:bCs w:val="0"/>
          <w:sz w:val="22"/>
          <w:szCs w:val="22"/>
        </w:rPr>
        <w:t>Arif</w:t>
      </w:r>
      <w:proofErr w:type="spellEnd"/>
      <w:r w:rsidRPr="004969EF">
        <w:rPr>
          <w:rStyle w:val="Strong"/>
          <w:rFonts w:cs="Arial"/>
          <w:b w:val="0"/>
          <w:bCs w:val="0"/>
          <w:sz w:val="22"/>
          <w:szCs w:val="22"/>
        </w:rPr>
        <w:t xml:space="preserve">, M., Colley, W.A., Cortese, S., </w:t>
      </w:r>
      <w:proofErr w:type="spellStart"/>
      <w:r w:rsidRPr="004969EF">
        <w:rPr>
          <w:rStyle w:val="Strong"/>
          <w:rFonts w:cs="Arial"/>
          <w:b w:val="0"/>
          <w:bCs w:val="0"/>
          <w:sz w:val="22"/>
          <w:szCs w:val="22"/>
        </w:rPr>
        <w:t>Cubbin</w:t>
      </w:r>
      <w:proofErr w:type="spellEnd"/>
      <w:r w:rsidRPr="004969EF">
        <w:rPr>
          <w:rStyle w:val="Strong"/>
          <w:rFonts w:cs="Arial"/>
          <w:b w:val="0"/>
          <w:bCs w:val="0"/>
          <w:sz w:val="22"/>
          <w:szCs w:val="22"/>
        </w:rPr>
        <w:t xml:space="preserve">, S., Doyle, N., </w:t>
      </w:r>
      <w:proofErr w:type="spellStart"/>
      <w:r w:rsidRPr="004969EF">
        <w:rPr>
          <w:rStyle w:val="Strong"/>
          <w:rFonts w:cs="Arial"/>
          <w:b w:val="0"/>
          <w:bCs w:val="0"/>
          <w:sz w:val="22"/>
          <w:szCs w:val="22"/>
        </w:rPr>
        <w:t>Morua</w:t>
      </w:r>
      <w:proofErr w:type="spellEnd"/>
      <w:r w:rsidRPr="004969EF">
        <w:rPr>
          <w:rStyle w:val="Strong"/>
          <w:rFonts w:cs="Arial"/>
          <w:b w:val="0"/>
          <w:bCs w:val="0"/>
          <w:sz w:val="22"/>
          <w:szCs w:val="22"/>
        </w:rPr>
        <w:t xml:space="preserve">, S.D., Ferreira-Lay, P., Gudjonsson, G., </w:t>
      </w:r>
      <w:proofErr w:type="spellStart"/>
      <w:r w:rsidRPr="004969EF">
        <w:rPr>
          <w:rStyle w:val="Strong"/>
          <w:rFonts w:cs="Arial"/>
          <w:b w:val="0"/>
          <w:bCs w:val="0"/>
          <w:sz w:val="22"/>
          <w:szCs w:val="22"/>
        </w:rPr>
        <w:t>Ivens</w:t>
      </w:r>
      <w:proofErr w:type="spellEnd"/>
      <w:r w:rsidRPr="004969EF">
        <w:rPr>
          <w:rStyle w:val="Strong"/>
          <w:rFonts w:cs="Arial"/>
          <w:b w:val="0"/>
          <w:bCs w:val="0"/>
          <w:sz w:val="22"/>
          <w:szCs w:val="22"/>
        </w:rPr>
        <w:t>, V., Jarvis, C., Lewis, A., Mason, P., Newlove-Delgado, T., Pitts, M., Read, H. and van Rensburg, K. (2021)</w:t>
      </w:r>
      <w:r w:rsidRPr="004969EF">
        <w:rPr>
          <w:rFonts w:cs="Arial"/>
          <w:sz w:val="22"/>
          <w:szCs w:val="22"/>
        </w:rPr>
        <w:t xml:space="preserve"> ‘Failure of healthcare provision for attention-deficit/hyperactivity disorder in the United Kingdom: a consensus statement’, </w:t>
      </w:r>
      <w:r w:rsidRPr="004969EF">
        <w:rPr>
          <w:rStyle w:val="Emphasis"/>
          <w:rFonts w:cs="Arial"/>
          <w:i w:val="0"/>
          <w:iCs w:val="0"/>
          <w:sz w:val="22"/>
          <w:szCs w:val="22"/>
        </w:rPr>
        <w:t>Frontiers in Psychiatry</w:t>
      </w:r>
      <w:r w:rsidRPr="004969EF">
        <w:rPr>
          <w:rFonts w:cs="Arial"/>
          <w:sz w:val="22"/>
          <w:szCs w:val="22"/>
        </w:rPr>
        <w:t xml:space="preserve">, 12(649399). Available at: </w:t>
      </w:r>
      <w:r w:rsidRPr="004969EF">
        <w:rPr>
          <w:rFonts w:cs="Arial"/>
          <w:sz w:val="22"/>
          <w:szCs w:val="22"/>
        </w:rPr>
        <w:lastRenderedPageBreak/>
        <w:t>https://doi.org/10.3389/fpsyt.2021.649399.</w:t>
      </w:r>
    </w:p>
    <w:p w14:paraId="296A5410" w14:textId="06DC2F43" w:rsidR="00FA256F" w:rsidRPr="004969EF" w:rsidRDefault="00FA256F" w:rsidP="004969EF">
      <w:pPr>
        <w:spacing w:line="360" w:lineRule="auto"/>
        <w:jc w:val="both"/>
        <w:rPr>
          <w:rFonts w:ascii="Arial" w:hAnsi="Arial" w:cs="Arial"/>
          <w:sz w:val="22"/>
          <w:szCs w:val="22"/>
        </w:rPr>
      </w:pPr>
      <w:r w:rsidRPr="004969EF">
        <w:rPr>
          <w:rFonts w:ascii="Arial" w:hAnsi="Arial" w:cs="Arial"/>
          <w:sz w:val="22"/>
          <w:szCs w:val="22"/>
        </w:rPr>
        <w:lastRenderedPageBreak/>
        <w:br w:type="page"/>
      </w:r>
    </w:p>
    <w:p w14:paraId="5EA3547D" w14:textId="77777777" w:rsidR="00F4763B" w:rsidRPr="004969EF" w:rsidRDefault="00F4763B" w:rsidP="004969EF">
      <w:pPr>
        <w:spacing w:line="360" w:lineRule="auto"/>
        <w:jc w:val="both"/>
        <w:rPr>
          <w:rFonts w:ascii="Arial" w:hAnsi="Arial" w:cs="Arial"/>
          <w:sz w:val="22"/>
          <w:szCs w:val="22"/>
        </w:rPr>
        <w:sectPr w:rsidR="00F4763B" w:rsidRPr="004969EF" w:rsidSect="00603AC7">
          <w:pgSz w:w="16838" w:h="11906" w:orient="landscape"/>
          <w:pgMar w:top="1440" w:right="1440" w:bottom="1440" w:left="1440" w:header="708" w:footer="708" w:gutter="0"/>
          <w:cols w:space="708"/>
          <w:docGrid w:linePitch="360"/>
        </w:sectPr>
      </w:pPr>
    </w:p>
    <w:p w14:paraId="7D48B988" w14:textId="77407FE3" w:rsidR="00F4763B" w:rsidRPr="004969EF" w:rsidRDefault="00F4763B" w:rsidP="004969EF">
      <w:pPr>
        <w:pStyle w:val="Heading1"/>
        <w:spacing w:line="360" w:lineRule="auto"/>
        <w:ind w:left="0"/>
        <w:jc w:val="both"/>
        <w:rPr>
          <w:rFonts w:cs="Arial"/>
          <w:sz w:val="22"/>
          <w:szCs w:val="22"/>
        </w:rPr>
      </w:pPr>
      <w:bookmarkStart w:id="25" w:name="_6.2_–_Appendices"/>
      <w:bookmarkStart w:id="26" w:name="_Toc226379382"/>
      <w:bookmarkEnd w:id="25"/>
      <w:r w:rsidRPr="004969EF">
        <w:rPr>
          <w:rFonts w:cs="Arial"/>
          <w:sz w:val="22"/>
          <w:szCs w:val="22"/>
        </w:rPr>
        <w:lastRenderedPageBreak/>
        <w:t>6.2</w:t>
      </w:r>
      <w:r w:rsidR="00F26E91" w:rsidRPr="004969EF">
        <w:rPr>
          <w:rFonts w:cs="Arial"/>
          <w:sz w:val="22"/>
          <w:szCs w:val="22"/>
        </w:rPr>
        <w:t>.1</w:t>
      </w:r>
      <w:r w:rsidRPr="004969EF">
        <w:rPr>
          <w:rFonts w:cs="Arial"/>
          <w:sz w:val="22"/>
          <w:szCs w:val="22"/>
        </w:rPr>
        <w:t xml:space="preserve"> – Ap</w:t>
      </w:r>
      <w:r w:rsidR="00603AC7" w:rsidRPr="004969EF">
        <w:rPr>
          <w:rFonts w:cs="Arial"/>
          <w:sz w:val="22"/>
          <w:szCs w:val="22"/>
        </w:rPr>
        <w:t>pendix A</w:t>
      </w:r>
      <w:bookmarkEnd w:id="26"/>
    </w:p>
    <w:p w14:paraId="6B17594F" w14:textId="77777777" w:rsidR="002B7D37" w:rsidRPr="004969EF" w:rsidRDefault="002B7D37" w:rsidP="004969EF">
      <w:pPr>
        <w:pStyle w:val="Heading1"/>
        <w:spacing w:line="360" w:lineRule="auto"/>
        <w:ind w:left="0"/>
        <w:jc w:val="both"/>
        <w:rPr>
          <w:rFonts w:cs="Arial"/>
          <w:sz w:val="22"/>
          <w:szCs w:val="22"/>
        </w:rPr>
      </w:pPr>
    </w:p>
    <w:p w14:paraId="6C3E85D4" w14:textId="77777777" w:rsidR="00603AC7" w:rsidRPr="004969EF" w:rsidRDefault="00603AC7" w:rsidP="004969EF">
      <w:pPr>
        <w:pStyle w:val="Heading1"/>
        <w:spacing w:line="360" w:lineRule="auto"/>
        <w:ind w:left="0"/>
        <w:jc w:val="both"/>
        <w:rPr>
          <w:rFonts w:cs="Arial"/>
          <w:sz w:val="22"/>
          <w:szCs w:val="22"/>
        </w:rPr>
      </w:pPr>
    </w:p>
    <w:p w14:paraId="58029FCE" w14:textId="51BF4D89" w:rsidR="00F4763B" w:rsidRPr="004969EF" w:rsidRDefault="00F4763B" w:rsidP="004969EF">
      <w:pPr>
        <w:spacing w:line="360" w:lineRule="auto"/>
        <w:jc w:val="both"/>
        <w:rPr>
          <w:rFonts w:ascii="Arial" w:hAnsi="Arial" w:cs="Arial"/>
          <w:b/>
          <w:bCs/>
          <w:sz w:val="22"/>
          <w:szCs w:val="22"/>
        </w:rPr>
      </w:pPr>
      <w:r w:rsidRPr="004969EF">
        <w:rPr>
          <w:rFonts w:ascii="Arial" w:hAnsi="Arial" w:cs="Arial"/>
          <w:b/>
          <w:bCs/>
          <w:sz w:val="22"/>
          <w:szCs w:val="22"/>
        </w:rPr>
        <w:t>BMHP6020 Independent Project Source Tracking Table</w:t>
      </w:r>
      <w:r w:rsidRPr="004969EF">
        <w:rPr>
          <w:rFonts w:ascii="Arial" w:hAnsi="Arial" w:cs="Arial"/>
          <w:b/>
          <w:bCs/>
          <w:sz w:val="22"/>
          <w:szCs w:val="22"/>
        </w:rPr>
        <w:t xml:space="preserve"> </w:t>
      </w:r>
      <w:r w:rsidR="00207B7E" w:rsidRPr="004969EF">
        <w:rPr>
          <w:rFonts w:ascii="Arial" w:hAnsi="Arial" w:cs="Arial"/>
          <w:b/>
          <w:bCs/>
          <w:sz w:val="22"/>
          <w:szCs w:val="22"/>
        </w:rPr>
        <w:t>(</w:t>
      </w:r>
      <w:r w:rsidR="00207B7E" w:rsidRPr="004969EF">
        <w:rPr>
          <w:rFonts w:ascii="Arial" w:hAnsi="Arial" w:cs="Arial"/>
          <w:b/>
          <w:bCs/>
          <w:sz w:val="22"/>
          <w:szCs w:val="22"/>
        </w:rPr>
        <w:t>Appendix A</w:t>
      </w:r>
      <w:r w:rsidR="00207B7E" w:rsidRPr="004969EF">
        <w:rPr>
          <w:rFonts w:ascii="Arial" w:hAnsi="Arial" w:cs="Arial"/>
          <w:b/>
          <w:bCs/>
          <w:sz w:val="22"/>
          <w:szCs w:val="22"/>
        </w:rPr>
        <w:t>)</w:t>
      </w:r>
    </w:p>
    <w:tbl>
      <w:tblPr>
        <w:tblStyle w:val="TableGrid"/>
        <w:tblW w:w="15246" w:type="dxa"/>
        <w:tblInd w:w="-714" w:type="dxa"/>
        <w:tblLayout w:type="fixed"/>
        <w:tblLook w:val="04A0" w:firstRow="1" w:lastRow="0" w:firstColumn="1" w:lastColumn="0" w:noHBand="0" w:noVBand="1"/>
      </w:tblPr>
      <w:tblGrid>
        <w:gridCol w:w="938"/>
        <w:gridCol w:w="1472"/>
        <w:gridCol w:w="1830"/>
        <w:gridCol w:w="1736"/>
        <w:gridCol w:w="2064"/>
        <w:gridCol w:w="4009"/>
        <w:gridCol w:w="3197"/>
      </w:tblGrid>
      <w:tr w:rsidR="00F4763B" w:rsidRPr="004969EF" w14:paraId="5A4F8053" w14:textId="77777777" w:rsidTr="00DF75BF">
        <w:tc>
          <w:tcPr>
            <w:tcW w:w="938" w:type="dxa"/>
          </w:tcPr>
          <w:p w14:paraId="39E4CC0B"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b/>
                <w:bCs/>
                <w:sz w:val="22"/>
                <w:szCs w:val="22"/>
              </w:rPr>
              <w:t>Saved</w:t>
            </w:r>
          </w:p>
        </w:tc>
        <w:tc>
          <w:tcPr>
            <w:tcW w:w="1472" w:type="dxa"/>
          </w:tcPr>
          <w:p w14:paraId="19748C67"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b/>
                <w:bCs/>
                <w:sz w:val="22"/>
                <w:szCs w:val="22"/>
              </w:rPr>
              <w:t>Author &amp; Year</w:t>
            </w:r>
          </w:p>
        </w:tc>
        <w:tc>
          <w:tcPr>
            <w:tcW w:w="1830" w:type="dxa"/>
          </w:tcPr>
          <w:p w14:paraId="273B0D0F"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b/>
                <w:bCs/>
                <w:sz w:val="22"/>
                <w:szCs w:val="22"/>
              </w:rPr>
              <w:t>Title</w:t>
            </w:r>
          </w:p>
        </w:tc>
        <w:tc>
          <w:tcPr>
            <w:tcW w:w="1736" w:type="dxa"/>
          </w:tcPr>
          <w:p w14:paraId="1F70B06C"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b/>
                <w:bCs/>
                <w:sz w:val="22"/>
                <w:szCs w:val="22"/>
              </w:rPr>
              <w:t>Summary</w:t>
            </w:r>
          </w:p>
        </w:tc>
        <w:tc>
          <w:tcPr>
            <w:tcW w:w="2064" w:type="dxa"/>
          </w:tcPr>
          <w:p w14:paraId="412CED03"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b/>
                <w:bCs/>
                <w:sz w:val="22"/>
                <w:szCs w:val="22"/>
              </w:rPr>
              <w:t>CRAAP Notes</w:t>
            </w:r>
          </w:p>
        </w:tc>
        <w:tc>
          <w:tcPr>
            <w:tcW w:w="4009" w:type="dxa"/>
          </w:tcPr>
          <w:p w14:paraId="738D5465"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b/>
                <w:bCs/>
                <w:sz w:val="22"/>
                <w:szCs w:val="22"/>
              </w:rPr>
              <w:t>File Name/Link to Source</w:t>
            </w:r>
          </w:p>
        </w:tc>
        <w:tc>
          <w:tcPr>
            <w:tcW w:w="3197" w:type="dxa"/>
          </w:tcPr>
          <w:p w14:paraId="0FEB8B66"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b/>
                <w:bCs/>
                <w:sz w:val="22"/>
                <w:szCs w:val="22"/>
              </w:rPr>
              <w:t>Link to Research Question</w:t>
            </w:r>
          </w:p>
        </w:tc>
      </w:tr>
      <w:tr w:rsidR="00F4763B" w:rsidRPr="004969EF" w14:paraId="02B8D452" w14:textId="77777777" w:rsidTr="00DF75BF">
        <w:tc>
          <w:tcPr>
            <w:tcW w:w="938" w:type="dxa"/>
          </w:tcPr>
          <w:p w14:paraId="36FAD9CD"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Yes</w:t>
            </w:r>
          </w:p>
        </w:tc>
        <w:tc>
          <w:tcPr>
            <w:tcW w:w="1472" w:type="dxa"/>
          </w:tcPr>
          <w:p w14:paraId="50826BA8"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000000"/>
                <w:sz w:val="22"/>
                <w:szCs w:val="22"/>
              </w:rPr>
              <w:t>(</w:t>
            </w:r>
            <w:proofErr w:type="spellStart"/>
            <w:r w:rsidRPr="004969EF">
              <w:rPr>
                <w:rFonts w:ascii="Arial" w:hAnsi="Arial" w:cs="Arial"/>
                <w:color w:val="000000"/>
                <w:sz w:val="22"/>
                <w:szCs w:val="22"/>
              </w:rPr>
              <w:t>Barua</w:t>
            </w:r>
            <w:proofErr w:type="spellEnd"/>
            <w:r w:rsidRPr="004969EF">
              <w:rPr>
                <w:rFonts w:ascii="Arial" w:hAnsi="Arial" w:cs="Arial"/>
                <w:color w:val="000000"/>
                <w:sz w:val="22"/>
                <w:szCs w:val="22"/>
              </w:rPr>
              <w:t xml:space="preserve"> and Maheshwari, 2025)</w:t>
            </w:r>
          </w:p>
          <w:p w14:paraId="3668F23C" w14:textId="77777777" w:rsidR="00F4763B" w:rsidRPr="004969EF" w:rsidRDefault="00F4763B" w:rsidP="004969EF">
            <w:pPr>
              <w:spacing w:line="360" w:lineRule="auto"/>
              <w:jc w:val="both"/>
              <w:rPr>
                <w:rFonts w:ascii="Arial" w:hAnsi="Arial" w:cs="Arial"/>
                <w:sz w:val="22"/>
                <w:szCs w:val="22"/>
              </w:rPr>
            </w:pPr>
          </w:p>
        </w:tc>
        <w:tc>
          <w:tcPr>
            <w:tcW w:w="1830" w:type="dxa"/>
          </w:tcPr>
          <w:p w14:paraId="7321B858" w14:textId="77777777" w:rsidR="00F4763B" w:rsidRPr="004969EF" w:rsidRDefault="00F4763B" w:rsidP="004969EF">
            <w:pPr>
              <w:spacing w:line="360" w:lineRule="auto"/>
              <w:jc w:val="both"/>
              <w:rPr>
                <w:rFonts w:ascii="Arial" w:hAnsi="Arial" w:cs="Arial"/>
                <w:b/>
                <w:bCs/>
                <w:color w:val="1B1B1B"/>
                <w:sz w:val="22"/>
                <w:szCs w:val="22"/>
              </w:rPr>
            </w:pPr>
            <w:r w:rsidRPr="004969EF">
              <w:rPr>
                <w:rFonts w:ascii="Arial" w:hAnsi="Arial" w:cs="Arial"/>
                <w:color w:val="000000"/>
                <w:sz w:val="22"/>
                <w:szCs w:val="22"/>
              </w:rPr>
              <w:t>The interplay between migration and self-identity: a structured review using TCCM and bibliometric analysis.</w:t>
            </w:r>
          </w:p>
        </w:tc>
        <w:tc>
          <w:tcPr>
            <w:tcW w:w="1736" w:type="dxa"/>
          </w:tcPr>
          <w:p w14:paraId="6FA9EBEC"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Structured review examining how migration affects self-identity, including identity conflict, language barriers, and social exclusion which affect how people see themselves and engage with services</w:t>
            </w:r>
          </w:p>
        </w:tc>
        <w:tc>
          <w:tcPr>
            <w:tcW w:w="2064" w:type="dxa"/>
          </w:tcPr>
          <w:p w14:paraId="64CCA28F"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Currency:</w:t>
            </w:r>
            <w:r w:rsidRPr="004969EF">
              <w:rPr>
                <w:rFonts w:ascii="Arial" w:hAnsi="Arial" w:cs="Arial"/>
                <w:color w:val="222222"/>
                <w:sz w:val="22"/>
                <w:szCs w:val="22"/>
              </w:rPr>
              <w:t xml:space="preserve"> 2025</w:t>
            </w:r>
          </w:p>
          <w:p w14:paraId="19854276"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High relevance - provides background on how migration shapes identity and service engagement</w:t>
            </w:r>
          </w:p>
          <w:p w14:paraId="28535BAC"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Frontiers in Psychology; authors are academics at Delhi Technological University</w:t>
            </w:r>
          </w:p>
          <w:p w14:paraId="20F08ECF"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Accuracy:</w:t>
            </w:r>
            <w:r w:rsidRPr="004969EF">
              <w:rPr>
                <w:rFonts w:ascii="Arial" w:hAnsi="Arial" w:cs="Arial"/>
                <w:color w:val="222222"/>
                <w:sz w:val="22"/>
                <w:szCs w:val="22"/>
              </w:rPr>
              <w:t xml:space="preserve"> Structured review using TCCM framework and statistical analysis; sample of 555 articles analysed</w:t>
            </w:r>
          </w:p>
          <w:p w14:paraId="47A34CF4" w14:textId="77777777" w:rsidR="00F4763B" w:rsidRPr="004969EF" w:rsidRDefault="00F4763B" w:rsidP="004969EF">
            <w:pPr>
              <w:spacing w:line="360" w:lineRule="auto"/>
              <w:jc w:val="both"/>
              <w:rPr>
                <w:rStyle w:val="apple-converted-space"/>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map research on migration and self-identity</w:t>
            </w:r>
          </w:p>
        </w:tc>
        <w:tc>
          <w:tcPr>
            <w:tcW w:w="4009" w:type="dxa"/>
          </w:tcPr>
          <w:p w14:paraId="5ECBF77E" w14:textId="77777777" w:rsidR="00F4763B" w:rsidRPr="004969EF" w:rsidRDefault="00F4763B" w:rsidP="004969EF">
            <w:pPr>
              <w:spacing w:line="360" w:lineRule="auto"/>
              <w:jc w:val="both"/>
              <w:rPr>
                <w:rFonts w:ascii="Arial" w:hAnsi="Arial" w:cs="Arial"/>
                <w:color w:val="000000"/>
                <w:sz w:val="22"/>
                <w:szCs w:val="22"/>
              </w:rPr>
            </w:pPr>
            <w:hyperlink r:id="rId56" w:history="1">
              <w:r w:rsidRPr="004969EF">
                <w:rPr>
                  <w:rStyle w:val="Hyperlink"/>
                  <w:rFonts w:ascii="Arial" w:hAnsi="Arial" w:cs="Arial"/>
                  <w:sz w:val="22"/>
                  <w:szCs w:val="22"/>
                </w:rPr>
                <w:t>https://doi.org/10.3389/fpsyg.2025.1563508</w:t>
              </w:r>
            </w:hyperlink>
            <w:r w:rsidRPr="004969EF">
              <w:rPr>
                <w:rFonts w:ascii="Arial" w:hAnsi="Arial" w:cs="Arial"/>
                <w:color w:val="000000"/>
                <w:sz w:val="22"/>
                <w:szCs w:val="22"/>
              </w:rPr>
              <w:t>.</w:t>
            </w:r>
          </w:p>
          <w:p w14:paraId="51E28838" w14:textId="77777777" w:rsidR="00F4763B" w:rsidRPr="004969EF" w:rsidRDefault="00F4763B" w:rsidP="004969EF">
            <w:pPr>
              <w:spacing w:line="360" w:lineRule="auto"/>
              <w:jc w:val="both"/>
              <w:rPr>
                <w:rFonts w:ascii="Arial" w:hAnsi="Arial" w:cs="Arial"/>
                <w:color w:val="222222"/>
                <w:sz w:val="22"/>
                <w:szCs w:val="22"/>
              </w:rPr>
            </w:pPr>
          </w:p>
        </w:tc>
        <w:tc>
          <w:tcPr>
            <w:tcW w:w="3197" w:type="dxa"/>
          </w:tcPr>
          <w:p w14:paraId="7A90B850" w14:textId="7E20EDCD" w:rsidR="00F4763B" w:rsidRPr="004969EF" w:rsidRDefault="00160468"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E</w:t>
            </w:r>
            <w:r w:rsidR="00F4763B" w:rsidRPr="004969EF">
              <w:rPr>
                <w:rFonts w:ascii="Arial" w:hAnsi="Arial" w:cs="Arial"/>
                <w:color w:val="222222"/>
                <w:sz w:val="22"/>
                <w:szCs w:val="22"/>
                <w:shd w:val="clear" w:color="auto" w:fill="FFFFFF"/>
              </w:rPr>
              <w:t>xplain</w:t>
            </w:r>
            <w:r w:rsidRPr="004969EF">
              <w:rPr>
                <w:rFonts w:ascii="Arial" w:hAnsi="Arial" w:cs="Arial"/>
                <w:color w:val="222222"/>
                <w:sz w:val="22"/>
                <w:szCs w:val="22"/>
                <w:shd w:val="clear" w:color="auto" w:fill="FFFFFF"/>
              </w:rPr>
              <w:t>s</w:t>
            </w:r>
            <w:r w:rsidR="00F4763B" w:rsidRPr="004969EF">
              <w:rPr>
                <w:rFonts w:ascii="Arial" w:hAnsi="Arial" w:cs="Arial"/>
                <w:color w:val="222222"/>
                <w:sz w:val="22"/>
                <w:szCs w:val="22"/>
                <w:shd w:val="clear" w:color="auto" w:fill="FFFFFF"/>
              </w:rPr>
              <w:t xml:space="preserve"> why ethnic minority families may experience identity conflict and barriers to engaging with services, supporting understanding of parental perceptions and help-seeking behaviour.</w:t>
            </w:r>
          </w:p>
          <w:p w14:paraId="1CFBCB74" w14:textId="77777777" w:rsidR="00F4763B" w:rsidRPr="004969EF" w:rsidRDefault="00F4763B" w:rsidP="004969EF">
            <w:pPr>
              <w:spacing w:line="360" w:lineRule="auto"/>
              <w:jc w:val="both"/>
              <w:rPr>
                <w:rFonts w:ascii="Arial" w:hAnsi="Arial" w:cs="Arial"/>
                <w:color w:val="222222"/>
                <w:sz w:val="22"/>
                <w:szCs w:val="22"/>
                <w:shd w:val="clear" w:color="auto" w:fill="FFFFFF"/>
              </w:rPr>
            </w:pPr>
          </w:p>
        </w:tc>
      </w:tr>
      <w:tr w:rsidR="00F4763B" w:rsidRPr="004969EF" w14:paraId="25E54BC1" w14:textId="77777777" w:rsidTr="00DF75BF">
        <w:tc>
          <w:tcPr>
            <w:tcW w:w="938" w:type="dxa"/>
          </w:tcPr>
          <w:p w14:paraId="07B60397"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Yes </w:t>
            </w:r>
          </w:p>
        </w:tc>
        <w:tc>
          <w:tcPr>
            <w:tcW w:w="1472" w:type="dxa"/>
          </w:tcPr>
          <w:p w14:paraId="6CB47B5E"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(Chui et al. 2020)</w:t>
            </w:r>
          </w:p>
        </w:tc>
        <w:tc>
          <w:tcPr>
            <w:tcW w:w="1830" w:type="dxa"/>
          </w:tcPr>
          <w:p w14:paraId="62EDA8DE"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Inequalities in referral pathways for young people accessing secondary mental health services in southeast London</w:t>
            </w:r>
          </w:p>
          <w:p w14:paraId="52743493" w14:textId="77777777" w:rsidR="00F4763B" w:rsidRPr="004969EF" w:rsidRDefault="00F4763B" w:rsidP="004969EF">
            <w:pPr>
              <w:spacing w:line="360" w:lineRule="auto"/>
              <w:jc w:val="both"/>
              <w:rPr>
                <w:rFonts w:ascii="Arial" w:hAnsi="Arial" w:cs="Arial"/>
                <w:sz w:val="22"/>
                <w:szCs w:val="22"/>
              </w:rPr>
            </w:pPr>
          </w:p>
        </w:tc>
        <w:tc>
          <w:tcPr>
            <w:tcW w:w="1736" w:type="dxa"/>
          </w:tcPr>
          <w:p w14:paraId="4F11C2C5"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Quantitative cohort study. </w:t>
            </w:r>
            <w:r w:rsidRPr="004969EF">
              <w:rPr>
                <w:rFonts w:ascii="Arial" w:hAnsi="Arial" w:cs="Arial"/>
                <w:sz w:val="22"/>
                <w:szCs w:val="22"/>
                <w:shd w:val="clear" w:color="auto" w:fill="FFFFFF"/>
              </w:rPr>
              <w:t>Explores ethnic inequalities in mental health referral pathways using quantitative data.</w:t>
            </w:r>
          </w:p>
          <w:p w14:paraId="7769D176"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Areas looked at; schools/GPs, </w:t>
            </w:r>
            <w:r w:rsidRPr="004969EF">
              <w:rPr>
                <w:rFonts w:ascii="Arial" w:hAnsi="Arial" w:cs="Arial"/>
                <w:sz w:val="22"/>
                <w:szCs w:val="22"/>
              </w:rPr>
              <w:lastRenderedPageBreak/>
              <w:t>which highlight systemic disparities in referral pathways.</w:t>
            </w:r>
          </w:p>
          <w:p w14:paraId="31958A2A" w14:textId="77777777" w:rsidR="00F4763B" w:rsidRPr="004969EF" w:rsidRDefault="00F4763B" w:rsidP="004969EF">
            <w:pPr>
              <w:spacing w:line="360" w:lineRule="auto"/>
              <w:jc w:val="both"/>
              <w:rPr>
                <w:rFonts w:ascii="Arial" w:hAnsi="Arial" w:cs="Arial"/>
                <w:sz w:val="22"/>
                <w:szCs w:val="22"/>
              </w:rPr>
            </w:pPr>
          </w:p>
        </w:tc>
        <w:tc>
          <w:tcPr>
            <w:tcW w:w="2064" w:type="dxa"/>
          </w:tcPr>
          <w:p w14:paraId="50E22F1E"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CURRENCY:</w:t>
            </w:r>
            <w:r w:rsidRPr="004969EF">
              <w:rPr>
                <w:rFonts w:ascii="Arial" w:hAnsi="Arial" w:cs="Arial"/>
                <w:color w:val="222222"/>
                <w:sz w:val="22"/>
                <w:szCs w:val="22"/>
              </w:rPr>
              <w:t xml:space="preserve"> 2020</w:t>
            </w:r>
          </w:p>
          <w:p w14:paraId="10368524"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Directly looks at ethnic differences in referral</w:t>
            </w:r>
          </w:p>
          <w:p w14:paraId="169E777E"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journal; authors are academics at King's College London</w:t>
            </w:r>
          </w:p>
          <w:p w14:paraId="585AE634"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ACCURACY:</w:t>
            </w:r>
            <w:r w:rsidRPr="004969EF">
              <w:rPr>
                <w:rFonts w:ascii="Arial" w:hAnsi="Arial" w:cs="Arial"/>
                <w:color w:val="222222"/>
                <w:sz w:val="22"/>
                <w:szCs w:val="22"/>
              </w:rPr>
              <w:t xml:space="preserve"> Large sample of health records; statistical analysis</w:t>
            </w:r>
          </w:p>
          <w:p w14:paraId="323E3308"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examine inequalities in mental health referral pathways</w:t>
            </w:r>
          </w:p>
        </w:tc>
        <w:tc>
          <w:tcPr>
            <w:tcW w:w="4009" w:type="dxa"/>
          </w:tcPr>
          <w:p w14:paraId="17388117" w14:textId="77777777" w:rsidR="00F4763B" w:rsidRPr="004969EF" w:rsidRDefault="00F4763B" w:rsidP="004969EF">
            <w:pPr>
              <w:spacing w:line="360" w:lineRule="auto"/>
              <w:jc w:val="both"/>
              <w:rPr>
                <w:rFonts w:ascii="Arial" w:hAnsi="Arial" w:cs="Arial"/>
                <w:sz w:val="22"/>
                <w:szCs w:val="22"/>
              </w:rPr>
            </w:pPr>
            <w:hyperlink r:id="rId57" w:history="1">
              <w:r w:rsidRPr="004969EF">
                <w:rPr>
                  <w:rStyle w:val="Hyperlink"/>
                  <w:rFonts w:ascii="Arial" w:hAnsi="Arial" w:cs="Arial"/>
                  <w:sz w:val="22"/>
                  <w:szCs w:val="22"/>
                </w:rPr>
                <w:t>https://doi.org/10.1007/s00787-020-01603-7</w:t>
              </w:r>
            </w:hyperlink>
            <w:r w:rsidRPr="004969EF">
              <w:rPr>
                <w:rFonts w:ascii="Arial" w:hAnsi="Arial" w:cs="Arial"/>
                <w:sz w:val="22"/>
                <w:szCs w:val="22"/>
              </w:rPr>
              <w:t xml:space="preserve">. </w:t>
            </w:r>
          </w:p>
          <w:p w14:paraId="6DBD1842" w14:textId="77777777" w:rsidR="00F4763B" w:rsidRPr="004969EF" w:rsidRDefault="00F4763B" w:rsidP="004969EF">
            <w:pPr>
              <w:spacing w:line="360" w:lineRule="auto"/>
              <w:jc w:val="both"/>
              <w:rPr>
                <w:rFonts w:ascii="Arial" w:hAnsi="Arial" w:cs="Arial"/>
                <w:sz w:val="22"/>
                <w:szCs w:val="22"/>
              </w:rPr>
            </w:pPr>
          </w:p>
        </w:tc>
        <w:tc>
          <w:tcPr>
            <w:tcW w:w="3197" w:type="dxa"/>
          </w:tcPr>
          <w:p w14:paraId="0A589211"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Provides evidence of structural referral inequalities, showing that minority children face systemic barriers that reduce access to ADHD assessment.</w:t>
            </w:r>
          </w:p>
          <w:p w14:paraId="02E853D9" w14:textId="77777777" w:rsidR="00F4763B" w:rsidRPr="004969EF" w:rsidRDefault="00F4763B" w:rsidP="004969EF">
            <w:pPr>
              <w:spacing w:line="360" w:lineRule="auto"/>
              <w:jc w:val="both"/>
              <w:rPr>
                <w:rFonts w:ascii="Arial" w:hAnsi="Arial" w:cs="Arial"/>
                <w:sz w:val="22"/>
                <w:szCs w:val="22"/>
              </w:rPr>
            </w:pPr>
          </w:p>
        </w:tc>
      </w:tr>
      <w:tr w:rsidR="00F4763B" w:rsidRPr="004969EF" w14:paraId="01BF8ABE" w14:textId="77777777" w:rsidTr="00DF75BF">
        <w:tc>
          <w:tcPr>
            <w:tcW w:w="938" w:type="dxa"/>
          </w:tcPr>
          <w:p w14:paraId="6897ED20"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Yes</w:t>
            </w:r>
          </w:p>
        </w:tc>
        <w:tc>
          <w:tcPr>
            <w:tcW w:w="1472" w:type="dxa"/>
          </w:tcPr>
          <w:p w14:paraId="2770D671"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(Diener et al. 2025)</w:t>
            </w:r>
          </w:p>
          <w:p w14:paraId="2EDF8385" w14:textId="77777777" w:rsidR="00F4763B" w:rsidRPr="004969EF" w:rsidRDefault="00F4763B" w:rsidP="004969EF">
            <w:pPr>
              <w:spacing w:line="360" w:lineRule="auto"/>
              <w:jc w:val="both"/>
              <w:rPr>
                <w:rFonts w:ascii="Arial" w:hAnsi="Arial" w:cs="Arial"/>
                <w:sz w:val="22"/>
                <w:szCs w:val="22"/>
              </w:rPr>
            </w:pPr>
          </w:p>
        </w:tc>
        <w:tc>
          <w:tcPr>
            <w:tcW w:w="1830" w:type="dxa"/>
          </w:tcPr>
          <w:p w14:paraId="4FC55052"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sz w:val="22"/>
                <w:szCs w:val="22"/>
              </w:rPr>
              <w:t xml:space="preserve">Cross-cultural disparities in teachers’ reports of ADHD symptoms and </w:t>
            </w:r>
            <w:proofErr w:type="spellStart"/>
            <w:r w:rsidRPr="004969EF">
              <w:rPr>
                <w:rFonts w:ascii="Arial" w:hAnsi="Arial" w:cs="Arial"/>
                <w:sz w:val="22"/>
                <w:szCs w:val="22"/>
              </w:rPr>
              <w:t>behavior</w:t>
            </w:r>
            <w:proofErr w:type="spellEnd"/>
            <w:r w:rsidRPr="004969EF">
              <w:rPr>
                <w:rFonts w:ascii="Arial" w:hAnsi="Arial" w:cs="Arial"/>
                <w:sz w:val="22"/>
                <w:szCs w:val="22"/>
              </w:rPr>
              <w:t>: a scoping review</w:t>
            </w:r>
          </w:p>
          <w:p w14:paraId="5FA72CCF" w14:textId="77777777" w:rsidR="00F4763B" w:rsidRPr="004969EF" w:rsidRDefault="00F4763B" w:rsidP="004969EF">
            <w:pPr>
              <w:spacing w:line="360" w:lineRule="auto"/>
              <w:jc w:val="both"/>
              <w:rPr>
                <w:rFonts w:ascii="Arial" w:hAnsi="Arial" w:cs="Arial"/>
                <w:sz w:val="22"/>
                <w:szCs w:val="22"/>
              </w:rPr>
            </w:pPr>
          </w:p>
        </w:tc>
        <w:tc>
          <w:tcPr>
            <w:tcW w:w="1736" w:type="dxa"/>
          </w:tcPr>
          <w:p w14:paraId="2B6EE4EE" w14:textId="77777777" w:rsidR="00F4763B" w:rsidRPr="004969EF" w:rsidRDefault="00F4763B" w:rsidP="004969EF">
            <w:pPr>
              <w:spacing w:line="360" w:lineRule="auto"/>
              <w:jc w:val="both"/>
              <w:rPr>
                <w:rFonts w:ascii="Arial" w:hAnsi="Arial" w:cs="Arial"/>
                <w:sz w:val="22"/>
                <w:szCs w:val="22"/>
                <w:shd w:val="clear" w:color="auto" w:fill="FFFFFF"/>
              </w:rPr>
            </w:pPr>
            <w:r w:rsidRPr="004969EF">
              <w:rPr>
                <w:rFonts w:ascii="Arial" w:hAnsi="Arial" w:cs="Arial"/>
                <w:sz w:val="22"/>
                <w:szCs w:val="22"/>
                <w:shd w:val="clear" w:color="auto" w:fill="FFFFFF"/>
              </w:rPr>
              <w:t xml:space="preserve">Scoping review. </w:t>
            </w:r>
          </w:p>
          <w:p w14:paraId="58514F3C"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Looking at, cross-cultural differences in how teachers interpret ADHD-related behaviours.</w:t>
            </w:r>
          </w:p>
          <w:p w14:paraId="4259834B" w14:textId="77777777" w:rsidR="00F4763B" w:rsidRPr="004969EF" w:rsidRDefault="00F4763B" w:rsidP="004969EF">
            <w:pPr>
              <w:spacing w:line="360" w:lineRule="auto"/>
              <w:jc w:val="both"/>
              <w:rPr>
                <w:rFonts w:ascii="Arial" w:hAnsi="Arial" w:cs="Arial"/>
                <w:sz w:val="22"/>
                <w:szCs w:val="22"/>
              </w:rPr>
            </w:pPr>
          </w:p>
        </w:tc>
        <w:tc>
          <w:tcPr>
            <w:tcW w:w="2064" w:type="dxa"/>
          </w:tcPr>
          <w:p w14:paraId="7F0EAD8F"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CURRENCY:</w:t>
            </w:r>
            <w:r w:rsidRPr="004969EF">
              <w:rPr>
                <w:rFonts w:ascii="Arial" w:hAnsi="Arial" w:cs="Arial"/>
                <w:color w:val="222222"/>
                <w:sz w:val="22"/>
                <w:szCs w:val="22"/>
              </w:rPr>
              <w:t xml:space="preserve"> 2025 </w:t>
            </w:r>
          </w:p>
          <w:p w14:paraId="71253491"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Looks at school practices and cultural bias</w:t>
            </w:r>
          </w:p>
          <w:p w14:paraId="3B5E94FD"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journal; authors are academics from Australia and the United States</w:t>
            </w:r>
          </w:p>
          <w:p w14:paraId="3686808F"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 xml:space="preserve">ACCURACY: </w:t>
            </w:r>
            <w:r w:rsidRPr="004969EF">
              <w:rPr>
                <w:rFonts w:ascii="Arial" w:hAnsi="Arial" w:cs="Arial"/>
                <w:color w:val="222222"/>
                <w:sz w:val="22"/>
                <w:szCs w:val="22"/>
              </w:rPr>
              <w:t xml:space="preserve">Systematic review </w:t>
            </w:r>
            <w:r w:rsidRPr="004969EF">
              <w:rPr>
                <w:rFonts w:ascii="Arial" w:hAnsi="Arial" w:cs="Arial"/>
                <w:color w:val="222222"/>
                <w:sz w:val="22"/>
                <w:szCs w:val="22"/>
              </w:rPr>
              <w:lastRenderedPageBreak/>
              <w:t>of published research</w:t>
            </w:r>
          </w:p>
          <w:p w14:paraId="60FEAED6"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understand how culture affects teacher judgement</w:t>
            </w:r>
          </w:p>
        </w:tc>
        <w:tc>
          <w:tcPr>
            <w:tcW w:w="4009" w:type="dxa"/>
          </w:tcPr>
          <w:p w14:paraId="25862D1F" w14:textId="77777777" w:rsidR="00F4763B" w:rsidRPr="004969EF" w:rsidRDefault="00F4763B" w:rsidP="004969EF">
            <w:pPr>
              <w:spacing w:line="360" w:lineRule="auto"/>
              <w:jc w:val="both"/>
              <w:rPr>
                <w:rFonts w:ascii="Arial" w:hAnsi="Arial" w:cs="Arial"/>
                <w:sz w:val="22"/>
                <w:szCs w:val="22"/>
              </w:rPr>
            </w:pPr>
            <w:hyperlink r:id="rId58" w:history="1">
              <w:r w:rsidRPr="004969EF">
                <w:rPr>
                  <w:rStyle w:val="Hyperlink"/>
                  <w:rFonts w:ascii="Arial" w:hAnsi="Arial" w:cs="Arial"/>
                  <w:sz w:val="22"/>
                  <w:szCs w:val="22"/>
                </w:rPr>
                <w:t>https://doi.org/10.1007/s11218-025-10092-y</w:t>
              </w:r>
            </w:hyperlink>
            <w:r w:rsidRPr="004969EF">
              <w:rPr>
                <w:rFonts w:ascii="Arial" w:hAnsi="Arial" w:cs="Arial"/>
                <w:sz w:val="22"/>
                <w:szCs w:val="22"/>
              </w:rPr>
              <w:t xml:space="preserve">. </w:t>
            </w:r>
          </w:p>
        </w:tc>
        <w:tc>
          <w:tcPr>
            <w:tcW w:w="3197" w:type="dxa"/>
          </w:tcPr>
          <w:p w14:paraId="277DCEE3"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Demonstrates how teacher interpretation and cultural bias influence recognition of ADHD symptoms, contributing to school-based under-identification.</w:t>
            </w:r>
          </w:p>
          <w:p w14:paraId="20769F07" w14:textId="77777777" w:rsidR="00F4763B" w:rsidRPr="004969EF" w:rsidRDefault="00F4763B" w:rsidP="004969EF">
            <w:pPr>
              <w:spacing w:line="360" w:lineRule="auto"/>
              <w:jc w:val="both"/>
              <w:rPr>
                <w:rFonts w:ascii="Arial" w:hAnsi="Arial" w:cs="Arial"/>
                <w:sz w:val="22"/>
                <w:szCs w:val="22"/>
              </w:rPr>
            </w:pPr>
          </w:p>
        </w:tc>
      </w:tr>
      <w:tr w:rsidR="00F4763B" w:rsidRPr="004969EF" w14:paraId="593182F6" w14:textId="77777777" w:rsidTr="00DF75BF">
        <w:tc>
          <w:tcPr>
            <w:tcW w:w="938" w:type="dxa"/>
          </w:tcPr>
          <w:p w14:paraId="2C3A3B2B"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Yes </w:t>
            </w:r>
          </w:p>
        </w:tc>
        <w:tc>
          <w:tcPr>
            <w:tcW w:w="1472" w:type="dxa"/>
          </w:tcPr>
          <w:p w14:paraId="50FCB78A" w14:textId="77777777" w:rsidR="00F4763B" w:rsidRPr="004969EF" w:rsidRDefault="00F4763B" w:rsidP="004969EF">
            <w:pPr>
              <w:spacing w:line="360" w:lineRule="auto"/>
              <w:jc w:val="both"/>
              <w:rPr>
                <w:rFonts w:ascii="Arial" w:hAnsi="Arial" w:cs="Arial"/>
                <w:b/>
                <w:bCs/>
                <w:color w:val="0B0C0C"/>
                <w:sz w:val="22"/>
                <w:szCs w:val="22"/>
              </w:rPr>
            </w:pPr>
            <w:r w:rsidRPr="004969EF">
              <w:rPr>
                <w:rFonts w:ascii="Arial" w:hAnsi="Arial" w:cs="Arial"/>
                <w:color w:val="0B0C0C"/>
                <w:sz w:val="22"/>
                <w:szCs w:val="22"/>
              </w:rPr>
              <w:t>(Disability Rights, 2012)</w:t>
            </w:r>
          </w:p>
          <w:p w14:paraId="0A1A0E97" w14:textId="77777777" w:rsidR="00F4763B" w:rsidRPr="004969EF" w:rsidRDefault="00F4763B" w:rsidP="004969EF">
            <w:pPr>
              <w:spacing w:line="360" w:lineRule="auto"/>
              <w:jc w:val="both"/>
              <w:rPr>
                <w:rFonts w:ascii="Arial" w:hAnsi="Arial" w:cs="Arial"/>
                <w:sz w:val="22"/>
                <w:szCs w:val="22"/>
              </w:rPr>
            </w:pPr>
          </w:p>
        </w:tc>
        <w:tc>
          <w:tcPr>
            <w:tcW w:w="1830" w:type="dxa"/>
          </w:tcPr>
          <w:p w14:paraId="24AE6816"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Government guidance on legal rights for individuals with disabilities </w:t>
            </w:r>
          </w:p>
        </w:tc>
        <w:tc>
          <w:tcPr>
            <w:tcW w:w="1736" w:type="dxa"/>
          </w:tcPr>
          <w:p w14:paraId="51DBD46E"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 xml:space="preserve">Government guidance. Explains the legal rights of disabled people in education in England. Covers what counts as discrimination, the duty of schools to make reasonable adjustments, and how local </w:t>
            </w:r>
            <w:r w:rsidRPr="004969EF">
              <w:rPr>
                <w:rFonts w:ascii="Arial" w:hAnsi="Arial" w:cs="Arial"/>
                <w:color w:val="222222"/>
                <w:sz w:val="22"/>
                <w:szCs w:val="22"/>
                <w:shd w:val="clear" w:color="auto" w:fill="FFFFFF"/>
              </w:rPr>
              <w:lastRenderedPageBreak/>
              <w:t>authorities must help identify children with special educational needs and disabilities (SEND). Useful for understanding the legal and local authority context for ADHD recognition and support.</w:t>
            </w:r>
          </w:p>
          <w:p w14:paraId="797161E4" w14:textId="77777777" w:rsidR="00F4763B" w:rsidRPr="004969EF" w:rsidRDefault="00F4763B" w:rsidP="004969EF">
            <w:pPr>
              <w:spacing w:line="360" w:lineRule="auto"/>
              <w:jc w:val="both"/>
              <w:rPr>
                <w:rFonts w:ascii="Arial" w:hAnsi="Arial" w:cs="Arial"/>
                <w:sz w:val="22"/>
                <w:szCs w:val="22"/>
              </w:rPr>
            </w:pPr>
          </w:p>
        </w:tc>
        <w:tc>
          <w:tcPr>
            <w:tcW w:w="2064" w:type="dxa"/>
          </w:tcPr>
          <w:p w14:paraId="0DC5512E"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Currency:</w:t>
            </w:r>
            <w:r w:rsidRPr="004969EF">
              <w:rPr>
                <w:rFonts w:ascii="Arial" w:hAnsi="Arial" w:cs="Arial"/>
                <w:color w:val="222222"/>
                <w:sz w:val="22"/>
                <w:szCs w:val="22"/>
              </w:rPr>
              <w:t xml:space="preserve"> 2012 (older but still the official source for disability rights law in England).</w:t>
            </w:r>
          </w:p>
          <w:p w14:paraId="65C8142C"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Explains local authority duties and school responsibilities.</w:t>
            </w:r>
          </w:p>
          <w:p w14:paraId="47BABA3E"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Official UK government website.</w:t>
            </w:r>
          </w:p>
          <w:p w14:paraId="6187C9B1"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Accurate summary of UK equality and SEND legislation.</w:t>
            </w:r>
          </w:p>
          <w:p w14:paraId="31517E18" w14:textId="77777777" w:rsidR="00F4763B" w:rsidRPr="004969EF" w:rsidRDefault="00F4763B" w:rsidP="004969EF">
            <w:pPr>
              <w:spacing w:line="360" w:lineRule="auto"/>
              <w:jc w:val="both"/>
              <w:rPr>
                <w:rFonts w:ascii="Arial" w:hAnsi="Arial" w:cs="Arial"/>
                <w:b/>
                <w:bCs/>
                <w:sz w:val="22"/>
                <w:szCs w:val="22"/>
              </w:rPr>
            </w:pPr>
          </w:p>
        </w:tc>
        <w:tc>
          <w:tcPr>
            <w:tcW w:w="4009" w:type="dxa"/>
          </w:tcPr>
          <w:p w14:paraId="1E5F1CB0" w14:textId="77777777" w:rsidR="00F4763B" w:rsidRPr="004969EF" w:rsidRDefault="00F4763B" w:rsidP="004969EF">
            <w:pPr>
              <w:spacing w:line="360" w:lineRule="auto"/>
              <w:jc w:val="both"/>
              <w:rPr>
                <w:rFonts w:ascii="Arial" w:hAnsi="Arial" w:cs="Arial"/>
                <w:sz w:val="22"/>
                <w:szCs w:val="22"/>
              </w:rPr>
            </w:pPr>
            <w:hyperlink r:id="rId59" w:tgtFrame="_blank" w:history="1">
              <w:r w:rsidRPr="004969EF">
                <w:rPr>
                  <w:rStyle w:val="Hyperlink"/>
                  <w:rFonts w:ascii="Arial" w:hAnsi="Arial" w:cs="Arial"/>
                  <w:color w:val="1155CC"/>
                  <w:sz w:val="22"/>
                  <w:szCs w:val="22"/>
                </w:rPr>
                <w:t>https://www.gov.uk/rights-disabled-person/education-rights</w:t>
              </w:r>
            </w:hyperlink>
            <w:r w:rsidRPr="004969EF">
              <w:rPr>
                <w:rFonts w:ascii="Segoe UI Symbol" w:hAnsi="Segoe UI Symbol" w:cs="Segoe UI Symbol"/>
                <w:color w:val="222222"/>
                <w:sz w:val="22"/>
                <w:szCs w:val="22"/>
              </w:rPr>
              <w:t>⁠</w:t>
            </w:r>
          </w:p>
        </w:tc>
        <w:tc>
          <w:tcPr>
            <w:tcW w:w="3197" w:type="dxa"/>
          </w:tcPr>
          <w:p w14:paraId="41DC47BB"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The source outlines what local authorities and schools are supposed to do under the law. It provides the legal framework for identifying SEND, which helps us understand the gap between policy and practice when it comes to under-recognition of ADHD, particularly in ethnic minority children.</w:t>
            </w:r>
          </w:p>
          <w:p w14:paraId="3AB8A8D3" w14:textId="77777777" w:rsidR="00F4763B" w:rsidRPr="004969EF" w:rsidRDefault="00F4763B" w:rsidP="004969EF">
            <w:pPr>
              <w:spacing w:line="360" w:lineRule="auto"/>
              <w:jc w:val="both"/>
              <w:rPr>
                <w:rFonts w:ascii="Arial" w:hAnsi="Arial" w:cs="Arial"/>
                <w:sz w:val="22"/>
                <w:szCs w:val="22"/>
              </w:rPr>
            </w:pPr>
          </w:p>
        </w:tc>
      </w:tr>
      <w:tr w:rsidR="00F4763B" w:rsidRPr="004969EF" w14:paraId="18544D74" w14:textId="77777777" w:rsidTr="00DF75BF">
        <w:tc>
          <w:tcPr>
            <w:tcW w:w="938" w:type="dxa"/>
          </w:tcPr>
          <w:p w14:paraId="5B7A0F2D"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Yes</w:t>
            </w:r>
          </w:p>
        </w:tc>
        <w:tc>
          <w:tcPr>
            <w:tcW w:w="1472" w:type="dxa"/>
          </w:tcPr>
          <w:p w14:paraId="74A51C31"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(French et al. 2023)</w:t>
            </w:r>
          </w:p>
          <w:p w14:paraId="7D3784C0" w14:textId="77777777" w:rsidR="00F4763B" w:rsidRPr="004969EF" w:rsidRDefault="00F4763B" w:rsidP="004969EF">
            <w:pPr>
              <w:spacing w:line="360" w:lineRule="auto"/>
              <w:jc w:val="both"/>
              <w:rPr>
                <w:rFonts w:ascii="Arial" w:hAnsi="Arial" w:cs="Arial"/>
                <w:sz w:val="22"/>
                <w:szCs w:val="22"/>
              </w:rPr>
            </w:pPr>
          </w:p>
        </w:tc>
        <w:tc>
          <w:tcPr>
            <w:tcW w:w="1830" w:type="dxa"/>
          </w:tcPr>
          <w:p w14:paraId="55ECAAD1"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sz w:val="22"/>
                <w:szCs w:val="22"/>
              </w:rPr>
              <w:t xml:space="preserve">Risks Associated </w:t>
            </w:r>
            <w:proofErr w:type="gramStart"/>
            <w:r w:rsidRPr="004969EF">
              <w:rPr>
                <w:rFonts w:ascii="Arial" w:hAnsi="Arial" w:cs="Arial"/>
                <w:sz w:val="22"/>
                <w:szCs w:val="22"/>
              </w:rPr>
              <w:t>With</w:t>
            </w:r>
            <w:proofErr w:type="gramEnd"/>
            <w:r w:rsidRPr="004969EF">
              <w:rPr>
                <w:rFonts w:ascii="Arial" w:hAnsi="Arial" w:cs="Arial"/>
                <w:sz w:val="22"/>
                <w:szCs w:val="22"/>
              </w:rPr>
              <w:t xml:space="preserve"> Undiagnosed ADHD and/or Autism: A Mixed-Method </w:t>
            </w:r>
            <w:r w:rsidRPr="004969EF">
              <w:rPr>
                <w:rFonts w:ascii="Arial" w:hAnsi="Arial" w:cs="Arial"/>
                <w:sz w:val="22"/>
                <w:szCs w:val="22"/>
              </w:rPr>
              <w:lastRenderedPageBreak/>
              <w:t>Systematic Review</w:t>
            </w:r>
          </w:p>
        </w:tc>
        <w:tc>
          <w:tcPr>
            <w:tcW w:w="1736" w:type="dxa"/>
          </w:tcPr>
          <w:p w14:paraId="7361F182"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lastRenderedPageBreak/>
              <w:t>Summarizes risks associated with undiagnosed ADHD (</w:t>
            </w:r>
            <w:proofErr w:type="gramStart"/>
            <w:r w:rsidRPr="004969EF">
              <w:rPr>
                <w:rFonts w:ascii="Arial" w:hAnsi="Arial" w:cs="Arial"/>
                <w:sz w:val="22"/>
                <w:szCs w:val="22"/>
              </w:rPr>
              <w:t>e.g.</w:t>
            </w:r>
            <w:proofErr w:type="gramEnd"/>
            <w:r w:rsidRPr="004969EF">
              <w:rPr>
                <w:rFonts w:ascii="Arial" w:hAnsi="Arial" w:cs="Arial"/>
                <w:sz w:val="22"/>
                <w:szCs w:val="22"/>
              </w:rPr>
              <w:t xml:space="preserve"> mental health </w:t>
            </w:r>
            <w:r w:rsidRPr="004969EF">
              <w:rPr>
                <w:rFonts w:ascii="Arial" w:hAnsi="Arial" w:cs="Arial"/>
                <w:sz w:val="22"/>
                <w:szCs w:val="22"/>
              </w:rPr>
              <w:lastRenderedPageBreak/>
              <w:t>issues, academic failure). Provides context on why under-recognition is harmful but does not analyse ethnic disparities in depth.</w:t>
            </w:r>
          </w:p>
          <w:p w14:paraId="0F7B0369" w14:textId="77777777" w:rsidR="00F4763B" w:rsidRPr="004969EF" w:rsidRDefault="00F4763B" w:rsidP="004969EF">
            <w:pPr>
              <w:spacing w:line="360" w:lineRule="auto"/>
              <w:jc w:val="both"/>
              <w:rPr>
                <w:rFonts w:ascii="Arial" w:hAnsi="Arial" w:cs="Arial"/>
                <w:sz w:val="22"/>
                <w:szCs w:val="22"/>
              </w:rPr>
            </w:pPr>
          </w:p>
        </w:tc>
        <w:tc>
          <w:tcPr>
            <w:tcW w:w="2064" w:type="dxa"/>
          </w:tcPr>
          <w:p w14:paraId="7D3E9E4B"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CURRENCY:</w:t>
            </w:r>
            <w:r w:rsidRPr="004969EF">
              <w:rPr>
                <w:rFonts w:ascii="Arial" w:hAnsi="Arial" w:cs="Arial"/>
                <w:color w:val="222222"/>
                <w:sz w:val="22"/>
                <w:szCs w:val="22"/>
              </w:rPr>
              <w:t xml:space="preserve"> 2023</w:t>
            </w:r>
          </w:p>
          <w:p w14:paraId="664BAA91"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Moderate to some extent the </w:t>
            </w:r>
            <w:r w:rsidRPr="004969EF">
              <w:rPr>
                <w:rFonts w:ascii="Arial" w:hAnsi="Arial" w:cs="Arial"/>
                <w:color w:val="222222"/>
                <w:sz w:val="22"/>
                <w:szCs w:val="22"/>
              </w:rPr>
              <w:lastRenderedPageBreak/>
              <w:t>background context only</w:t>
            </w:r>
          </w:p>
          <w:p w14:paraId="7FDB584F"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 xml:space="preserve">AUTHORITY: </w:t>
            </w:r>
            <w:r w:rsidRPr="004969EF">
              <w:rPr>
                <w:rFonts w:ascii="Arial" w:hAnsi="Arial" w:cs="Arial"/>
                <w:color w:val="222222"/>
                <w:sz w:val="22"/>
                <w:szCs w:val="22"/>
              </w:rPr>
              <w:t>Peer-reviewed; Journal of Attention Disorders; authors are academics at University of Nottingham</w:t>
            </w:r>
          </w:p>
          <w:p w14:paraId="1CD7D486"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Systematic review of mixed-methods research</w:t>
            </w:r>
          </w:p>
          <w:p w14:paraId="1F00DC0B"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examine risks associated with undiagnosed ADHD</w:t>
            </w:r>
          </w:p>
        </w:tc>
        <w:tc>
          <w:tcPr>
            <w:tcW w:w="4009" w:type="dxa"/>
          </w:tcPr>
          <w:p w14:paraId="7F0650C8" w14:textId="77777777" w:rsidR="00F4763B" w:rsidRPr="004969EF" w:rsidRDefault="00F4763B" w:rsidP="004969EF">
            <w:pPr>
              <w:spacing w:line="360" w:lineRule="auto"/>
              <w:jc w:val="both"/>
              <w:rPr>
                <w:rFonts w:ascii="Arial" w:hAnsi="Arial" w:cs="Arial"/>
                <w:sz w:val="22"/>
                <w:szCs w:val="22"/>
              </w:rPr>
            </w:pPr>
            <w:hyperlink r:id="rId60" w:history="1">
              <w:r w:rsidRPr="004969EF">
                <w:rPr>
                  <w:rStyle w:val="Hyperlink"/>
                  <w:rFonts w:ascii="Arial" w:hAnsi="Arial" w:cs="Arial"/>
                  <w:sz w:val="22"/>
                  <w:szCs w:val="22"/>
                </w:rPr>
                <w:t>https://doi.org/10.1177/10870547231176862</w:t>
              </w:r>
            </w:hyperlink>
            <w:r w:rsidRPr="004969EF">
              <w:rPr>
                <w:rFonts w:ascii="Arial" w:hAnsi="Arial" w:cs="Arial"/>
                <w:sz w:val="22"/>
                <w:szCs w:val="22"/>
              </w:rPr>
              <w:t xml:space="preserve">. </w:t>
            </w:r>
          </w:p>
        </w:tc>
        <w:tc>
          <w:tcPr>
            <w:tcW w:w="3197" w:type="dxa"/>
          </w:tcPr>
          <w:p w14:paraId="3056111A"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Shows how system-level and local authority failures contribute to long waits and missed diagnoses, affecting minority families disproportionately.</w:t>
            </w:r>
          </w:p>
          <w:p w14:paraId="70DAE371" w14:textId="77777777" w:rsidR="00F4763B" w:rsidRPr="004969EF" w:rsidRDefault="00F4763B" w:rsidP="004969EF">
            <w:pPr>
              <w:spacing w:line="360" w:lineRule="auto"/>
              <w:jc w:val="both"/>
              <w:rPr>
                <w:rFonts w:ascii="Arial" w:hAnsi="Arial" w:cs="Arial"/>
                <w:sz w:val="22"/>
                <w:szCs w:val="22"/>
              </w:rPr>
            </w:pPr>
          </w:p>
        </w:tc>
      </w:tr>
      <w:tr w:rsidR="00F4763B" w:rsidRPr="004969EF" w14:paraId="0CF948A6" w14:textId="77777777" w:rsidTr="00DF75BF">
        <w:tc>
          <w:tcPr>
            <w:tcW w:w="938" w:type="dxa"/>
          </w:tcPr>
          <w:p w14:paraId="752C2817"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lastRenderedPageBreak/>
              <w:t>Yes</w:t>
            </w:r>
          </w:p>
        </w:tc>
        <w:tc>
          <w:tcPr>
            <w:tcW w:w="1472" w:type="dxa"/>
          </w:tcPr>
          <w:p w14:paraId="3A0AE91A"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000000"/>
                <w:sz w:val="22"/>
                <w:szCs w:val="22"/>
              </w:rPr>
              <w:t>(ICD 11, 2025)</w:t>
            </w:r>
          </w:p>
          <w:p w14:paraId="4F9D4FE7" w14:textId="77777777" w:rsidR="00F4763B" w:rsidRPr="004969EF" w:rsidRDefault="00F4763B" w:rsidP="004969EF">
            <w:pPr>
              <w:spacing w:line="360" w:lineRule="auto"/>
              <w:jc w:val="both"/>
              <w:rPr>
                <w:rFonts w:ascii="Arial" w:hAnsi="Arial" w:cs="Arial"/>
                <w:sz w:val="22"/>
                <w:szCs w:val="22"/>
              </w:rPr>
            </w:pPr>
          </w:p>
        </w:tc>
        <w:tc>
          <w:tcPr>
            <w:tcW w:w="1830" w:type="dxa"/>
          </w:tcPr>
          <w:p w14:paraId="610F395E" w14:textId="77777777" w:rsidR="00F4763B" w:rsidRPr="004969EF" w:rsidRDefault="00F4763B" w:rsidP="004969EF">
            <w:pPr>
              <w:spacing w:line="360" w:lineRule="auto"/>
              <w:jc w:val="both"/>
              <w:rPr>
                <w:rFonts w:ascii="Arial" w:hAnsi="Arial" w:cs="Arial"/>
                <w:b/>
                <w:bCs/>
                <w:sz w:val="22"/>
                <w:szCs w:val="22"/>
              </w:rPr>
            </w:pPr>
            <w:r w:rsidRPr="004969EF">
              <w:rPr>
                <w:rFonts w:ascii="Arial" w:eastAsiaTheme="minorHAnsi" w:hAnsi="Arial" w:cs="Arial"/>
                <w:sz w:val="22"/>
                <w:szCs w:val="22"/>
                <w:lang w:eastAsia="en-US"/>
              </w:rPr>
              <w:t>ICD-11 for Mortality and Morbidity Statistics</w:t>
            </w:r>
          </w:p>
        </w:tc>
        <w:tc>
          <w:tcPr>
            <w:tcW w:w="1736" w:type="dxa"/>
          </w:tcPr>
          <w:p w14:paraId="2018ACEF"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 xml:space="preserve">Official diagnostic classification. Provides the </w:t>
            </w:r>
            <w:r w:rsidRPr="004969EF">
              <w:rPr>
                <w:rFonts w:ascii="Arial" w:hAnsi="Arial" w:cs="Arial"/>
                <w:color w:val="222222"/>
                <w:sz w:val="22"/>
                <w:szCs w:val="22"/>
                <w:shd w:val="clear" w:color="auto" w:fill="FFFFFF"/>
              </w:rPr>
              <w:lastRenderedPageBreak/>
              <w:t>ICD-11 criteria for Attention-Deficit/Hyperactivity Disorder (ADHD) under the section on neurodevelopmental disorders. This is the international standard used for diagnosis</w:t>
            </w:r>
          </w:p>
          <w:p w14:paraId="6DAF01DF" w14:textId="77777777" w:rsidR="00F4763B" w:rsidRPr="004969EF" w:rsidRDefault="00F4763B" w:rsidP="004969EF">
            <w:pPr>
              <w:spacing w:line="360" w:lineRule="auto"/>
              <w:jc w:val="both"/>
              <w:rPr>
                <w:rFonts w:ascii="Arial" w:hAnsi="Arial" w:cs="Arial"/>
                <w:sz w:val="22"/>
                <w:szCs w:val="22"/>
              </w:rPr>
            </w:pPr>
          </w:p>
        </w:tc>
        <w:tc>
          <w:tcPr>
            <w:tcW w:w="2064" w:type="dxa"/>
          </w:tcPr>
          <w:p w14:paraId="6DE7B8ED"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Currency:</w:t>
            </w:r>
            <w:r w:rsidRPr="004969EF">
              <w:rPr>
                <w:rFonts w:ascii="Arial" w:hAnsi="Arial" w:cs="Arial"/>
                <w:color w:val="222222"/>
                <w:sz w:val="22"/>
                <w:szCs w:val="22"/>
              </w:rPr>
              <w:t xml:space="preserve"> 2019 </w:t>
            </w:r>
          </w:p>
          <w:p w14:paraId="6DAE521B"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Provides clinical definition of ADHD </w:t>
            </w:r>
            <w:r w:rsidRPr="004969EF">
              <w:rPr>
                <w:rFonts w:ascii="Arial" w:hAnsi="Arial" w:cs="Arial"/>
                <w:color w:val="222222"/>
                <w:sz w:val="22"/>
                <w:szCs w:val="22"/>
              </w:rPr>
              <w:lastRenderedPageBreak/>
              <w:t>and ADHD Subtypes</w:t>
            </w:r>
          </w:p>
          <w:p w14:paraId="5390D94F"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World Health Organization, international standard.</w:t>
            </w:r>
          </w:p>
          <w:p w14:paraId="76ED7D25"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Official diagnostic criteria; authoritative source.</w:t>
            </w:r>
          </w:p>
          <w:p w14:paraId="0FE6DF4B"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provides a globally standardised classification system for diseases and health conditions, including ADHD, for clinical diagnosis and research.</w:t>
            </w:r>
          </w:p>
        </w:tc>
        <w:tc>
          <w:tcPr>
            <w:tcW w:w="4009" w:type="dxa"/>
          </w:tcPr>
          <w:p w14:paraId="2710F49F" w14:textId="77777777" w:rsidR="00F4763B" w:rsidRPr="004969EF" w:rsidRDefault="00F4763B" w:rsidP="004969EF">
            <w:pPr>
              <w:spacing w:line="360" w:lineRule="auto"/>
              <w:jc w:val="both"/>
              <w:rPr>
                <w:rFonts w:ascii="Arial" w:hAnsi="Arial" w:cs="Arial"/>
                <w:color w:val="222222"/>
                <w:sz w:val="22"/>
                <w:szCs w:val="22"/>
              </w:rPr>
            </w:pPr>
            <w:hyperlink r:id="rId61" w:anchor="821852937" w:tgtFrame="_blank" w:history="1">
              <w:r w:rsidRPr="004969EF">
                <w:rPr>
                  <w:rStyle w:val="Hyperlink"/>
                  <w:rFonts w:ascii="Arial" w:hAnsi="Arial" w:cs="Arial"/>
                  <w:color w:val="1155CC"/>
                  <w:sz w:val="22"/>
                  <w:szCs w:val="22"/>
                </w:rPr>
                <w:t>https://icd.who.int/browse/2026-01/mms/en#821852937</w:t>
              </w:r>
            </w:hyperlink>
          </w:p>
          <w:p w14:paraId="50855054" w14:textId="77777777" w:rsidR="00F4763B" w:rsidRPr="004969EF" w:rsidRDefault="00F4763B" w:rsidP="004969EF">
            <w:pPr>
              <w:spacing w:line="360" w:lineRule="auto"/>
              <w:jc w:val="both"/>
              <w:rPr>
                <w:rFonts w:ascii="Arial" w:hAnsi="Arial" w:cs="Arial"/>
                <w:sz w:val="22"/>
                <w:szCs w:val="22"/>
              </w:rPr>
            </w:pPr>
          </w:p>
        </w:tc>
        <w:tc>
          <w:tcPr>
            <w:tcW w:w="3197" w:type="dxa"/>
          </w:tcPr>
          <w:p w14:paraId="256774D1" w14:textId="77777777" w:rsidR="00F4763B" w:rsidRPr="004969EF" w:rsidRDefault="00F4763B" w:rsidP="004969EF">
            <w:pPr>
              <w:spacing w:line="360" w:lineRule="auto"/>
              <w:jc w:val="both"/>
              <w:rPr>
                <w:rFonts w:ascii="Arial" w:hAnsi="Arial" w:cs="Arial"/>
                <w:sz w:val="22"/>
                <w:szCs w:val="22"/>
              </w:rPr>
            </w:pPr>
            <w:r w:rsidRPr="004969EF">
              <w:rPr>
                <w:rStyle w:val="apple-converted-space"/>
                <w:rFonts w:ascii="Arial" w:hAnsi="Arial" w:cs="Arial"/>
                <w:color w:val="222222"/>
                <w:sz w:val="22"/>
                <w:szCs w:val="22"/>
                <w:shd w:val="clear" w:color="auto" w:fill="FFFFFF"/>
              </w:rPr>
              <w:t xml:space="preserve">The </w:t>
            </w:r>
            <w:r w:rsidRPr="004969EF">
              <w:rPr>
                <w:rFonts w:ascii="Arial" w:hAnsi="Arial" w:cs="Arial"/>
                <w:color w:val="222222"/>
                <w:sz w:val="22"/>
                <w:szCs w:val="22"/>
                <w:shd w:val="clear" w:color="auto" w:fill="FFFFFF"/>
              </w:rPr>
              <w:t xml:space="preserve">source provides the clinical definition of ADHD. </w:t>
            </w:r>
          </w:p>
        </w:tc>
      </w:tr>
      <w:tr w:rsidR="00F4763B" w:rsidRPr="004969EF" w14:paraId="3AE06B02" w14:textId="77777777" w:rsidTr="00DF75BF">
        <w:tc>
          <w:tcPr>
            <w:tcW w:w="938" w:type="dxa"/>
          </w:tcPr>
          <w:p w14:paraId="5264D029"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lastRenderedPageBreak/>
              <w:t>Yes</w:t>
            </w:r>
          </w:p>
        </w:tc>
        <w:tc>
          <w:tcPr>
            <w:tcW w:w="1472" w:type="dxa"/>
          </w:tcPr>
          <w:p w14:paraId="00929628"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(Lewis et al. 2025)</w:t>
            </w:r>
          </w:p>
        </w:tc>
        <w:tc>
          <w:tcPr>
            <w:tcW w:w="1830" w:type="dxa"/>
          </w:tcPr>
          <w:p w14:paraId="1297272B"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sz w:val="22"/>
                <w:szCs w:val="22"/>
              </w:rPr>
              <w:t>Local authority variation in school-recorded special educational needs and disability provision in Year 1 among children born in England, 2003-13</w:t>
            </w:r>
          </w:p>
        </w:tc>
        <w:tc>
          <w:tcPr>
            <w:tcW w:w="1736" w:type="dxa"/>
          </w:tcPr>
          <w:p w14:paraId="4BC65DA9"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Population cohort study. Reveals significant geographical variation in local authority SEND recording practices. Suggests that where a child lives (local authority support structures) affects recognition rates, independent of clinical need, which is central </w:t>
            </w:r>
            <w:r w:rsidRPr="004969EF">
              <w:rPr>
                <w:rFonts w:ascii="Arial" w:hAnsi="Arial" w:cs="Arial"/>
                <w:sz w:val="22"/>
                <w:szCs w:val="22"/>
              </w:rPr>
              <w:lastRenderedPageBreak/>
              <w:t>to the research question.</w:t>
            </w:r>
          </w:p>
        </w:tc>
        <w:tc>
          <w:tcPr>
            <w:tcW w:w="2064" w:type="dxa"/>
          </w:tcPr>
          <w:p w14:paraId="1403F4DA"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b/>
                <w:bCs/>
                <w:sz w:val="22"/>
                <w:szCs w:val="22"/>
              </w:rPr>
              <w:lastRenderedPageBreak/>
              <w:t>Currency:</w:t>
            </w:r>
            <w:r w:rsidRPr="004969EF">
              <w:rPr>
                <w:rFonts w:ascii="Arial" w:hAnsi="Arial" w:cs="Arial"/>
                <w:sz w:val="22"/>
                <w:szCs w:val="22"/>
              </w:rPr>
              <w:t xml:space="preserve"> 2025 (</w:t>
            </w:r>
          </w:p>
          <w:p w14:paraId="76D4FFE5"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b/>
                <w:bCs/>
                <w:sz w:val="22"/>
                <w:szCs w:val="22"/>
              </w:rPr>
              <w:t>Relevance:</w:t>
            </w:r>
            <w:r w:rsidRPr="004969EF">
              <w:rPr>
                <w:rFonts w:ascii="Arial" w:hAnsi="Arial" w:cs="Arial"/>
                <w:sz w:val="22"/>
                <w:szCs w:val="22"/>
              </w:rPr>
              <w:t xml:space="preserve"> Specifically examines local authority variation in SEND provision.</w:t>
            </w:r>
          </w:p>
          <w:p w14:paraId="6469F6F0"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b/>
                <w:bCs/>
                <w:sz w:val="22"/>
                <w:szCs w:val="22"/>
              </w:rPr>
              <w:t>Authority:</w:t>
            </w:r>
            <w:r w:rsidRPr="004969EF">
              <w:rPr>
                <w:rFonts w:ascii="Arial" w:hAnsi="Arial" w:cs="Arial"/>
                <w:sz w:val="22"/>
                <w:szCs w:val="22"/>
              </w:rPr>
              <w:t xml:space="preserve"> Published in European Journal of Public Health; large-scale UCL/IOE team.</w:t>
            </w:r>
          </w:p>
          <w:p w14:paraId="5033540A" w14:textId="77777777" w:rsidR="00F4763B" w:rsidRPr="004969EF" w:rsidRDefault="00F4763B" w:rsidP="004969EF">
            <w:pPr>
              <w:spacing w:line="360" w:lineRule="auto"/>
              <w:jc w:val="both"/>
              <w:rPr>
                <w:rFonts w:ascii="Arial" w:hAnsi="Arial" w:cs="Arial"/>
                <w:sz w:val="22"/>
                <w:szCs w:val="22"/>
              </w:rPr>
            </w:pPr>
          </w:p>
          <w:p w14:paraId="5C2BF154"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b/>
                <w:bCs/>
                <w:sz w:val="22"/>
                <w:szCs w:val="22"/>
              </w:rPr>
              <w:t>Accuracy:</w:t>
            </w:r>
            <w:r w:rsidRPr="004969EF">
              <w:rPr>
                <w:rFonts w:ascii="Arial" w:hAnsi="Arial" w:cs="Arial"/>
                <w:sz w:val="22"/>
                <w:szCs w:val="22"/>
              </w:rPr>
              <w:t xml:space="preserve"> Population cohort study using administrative data (2003-13 births); peer reviewed.</w:t>
            </w:r>
          </w:p>
          <w:p w14:paraId="1CD5FA5C"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b/>
                <w:bCs/>
                <w:sz w:val="22"/>
                <w:szCs w:val="22"/>
              </w:rPr>
              <w:t xml:space="preserve">Purpose: </w:t>
            </w:r>
            <w:r w:rsidRPr="004969EF">
              <w:rPr>
                <w:rFonts w:ascii="Arial" w:hAnsi="Arial" w:cs="Arial"/>
                <w:sz w:val="22"/>
                <w:szCs w:val="22"/>
              </w:rPr>
              <w:t>look at provisions and its efficiency</w:t>
            </w:r>
            <w:r w:rsidRPr="004969EF">
              <w:rPr>
                <w:rFonts w:ascii="Arial" w:hAnsi="Arial" w:cs="Arial"/>
                <w:b/>
                <w:bCs/>
                <w:sz w:val="22"/>
                <w:szCs w:val="22"/>
              </w:rPr>
              <w:t xml:space="preserve">   </w:t>
            </w:r>
          </w:p>
        </w:tc>
        <w:tc>
          <w:tcPr>
            <w:tcW w:w="4009" w:type="dxa"/>
          </w:tcPr>
          <w:p w14:paraId="57F262E7" w14:textId="77777777" w:rsidR="00F4763B" w:rsidRPr="004969EF" w:rsidRDefault="00F4763B" w:rsidP="004969EF">
            <w:pPr>
              <w:spacing w:line="360" w:lineRule="auto"/>
              <w:jc w:val="both"/>
              <w:rPr>
                <w:rFonts w:ascii="Arial" w:hAnsi="Arial" w:cs="Arial"/>
                <w:sz w:val="22"/>
                <w:szCs w:val="22"/>
              </w:rPr>
            </w:pPr>
            <w:r w:rsidRPr="004969EF">
              <w:rPr>
                <w:rStyle w:val="apple-converted-space"/>
                <w:rFonts w:ascii="Arial" w:eastAsiaTheme="majorEastAsia" w:hAnsi="Arial" w:cs="Arial"/>
                <w:sz w:val="22"/>
                <w:szCs w:val="22"/>
                <w:shd w:val="clear" w:color="auto" w:fill="FFFFFF"/>
              </w:rPr>
              <w:t> </w:t>
            </w:r>
            <w:hyperlink r:id="rId62" w:history="1">
              <w:r w:rsidRPr="004969EF">
                <w:rPr>
                  <w:rStyle w:val="Hyperlink"/>
                  <w:rFonts w:ascii="Arial" w:hAnsi="Arial" w:cs="Arial"/>
                  <w:sz w:val="22"/>
                  <w:szCs w:val="22"/>
                </w:rPr>
                <w:t>https://doi.org/10.1093/eurpub/ckaf116</w:t>
              </w:r>
            </w:hyperlink>
            <w:r w:rsidRPr="004969EF">
              <w:rPr>
                <w:rFonts w:ascii="Arial" w:hAnsi="Arial" w:cs="Arial"/>
                <w:sz w:val="22"/>
                <w:szCs w:val="22"/>
              </w:rPr>
              <w:t xml:space="preserve">.  </w:t>
            </w:r>
          </w:p>
          <w:p w14:paraId="08C91CB3" w14:textId="77777777" w:rsidR="00F4763B" w:rsidRPr="004969EF" w:rsidRDefault="00F4763B" w:rsidP="004969EF">
            <w:pPr>
              <w:spacing w:line="360" w:lineRule="auto"/>
              <w:jc w:val="both"/>
              <w:rPr>
                <w:rFonts w:ascii="Arial" w:hAnsi="Arial" w:cs="Arial"/>
                <w:sz w:val="22"/>
                <w:szCs w:val="22"/>
              </w:rPr>
            </w:pPr>
          </w:p>
        </w:tc>
        <w:tc>
          <w:tcPr>
            <w:tcW w:w="3197" w:type="dxa"/>
          </w:tcPr>
          <w:p w14:paraId="265EBE45"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Shows</w:t>
            </w:r>
          </w:p>
          <w:p w14:paraId="1BB61C3C"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how</w:t>
            </w:r>
          </w:p>
          <w:p w14:paraId="3465E1FE"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postcode</w:t>
            </w:r>
          </w:p>
          <w:p w14:paraId="439BAFF4"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variation</w:t>
            </w:r>
          </w:p>
          <w:p w14:paraId="46BA05F2"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reflects</w:t>
            </w:r>
          </w:p>
          <w:p w14:paraId="6982FABD"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local</w:t>
            </w:r>
          </w:p>
          <w:p w14:paraId="60DA1F17"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authority</w:t>
            </w:r>
          </w:p>
          <w:p w14:paraId="2AE7ADEB"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inequalities,</w:t>
            </w:r>
          </w:p>
          <w:p w14:paraId="1507CDD1"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demonstrating how</w:t>
            </w:r>
          </w:p>
          <w:p w14:paraId="676F7C4D"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LA</w:t>
            </w:r>
          </w:p>
          <w:p w14:paraId="3B008AB6"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structures</w:t>
            </w:r>
          </w:p>
          <w:p w14:paraId="1ED641CF"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contribute</w:t>
            </w:r>
          </w:p>
          <w:p w14:paraId="1CA765F0"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to under-</w:t>
            </w:r>
          </w:p>
          <w:p w14:paraId="5CFE6374"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recognition of ADHD</w:t>
            </w:r>
          </w:p>
          <w:p w14:paraId="263A4CFB"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in minority</w:t>
            </w:r>
          </w:p>
          <w:p w14:paraId="25A80BFB"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children.</w:t>
            </w:r>
          </w:p>
        </w:tc>
      </w:tr>
      <w:tr w:rsidR="00F4763B" w:rsidRPr="004969EF" w14:paraId="1A0E741D" w14:textId="77777777" w:rsidTr="00DF75BF">
        <w:tc>
          <w:tcPr>
            <w:tcW w:w="938" w:type="dxa"/>
          </w:tcPr>
          <w:p w14:paraId="4E7608DD"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Yes</w:t>
            </w:r>
          </w:p>
        </w:tc>
        <w:tc>
          <w:tcPr>
            <w:tcW w:w="1472" w:type="dxa"/>
          </w:tcPr>
          <w:p w14:paraId="213ED7A9"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(May et al. 2020)</w:t>
            </w:r>
          </w:p>
          <w:p w14:paraId="02E42BEA" w14:textId="77777777" w:rsidR="00F4763B" w:rsidRPr="004969EF" w:rsidRDefault="00F4763B" w:rsidP="004969EF">
            <w:pPr>
              <w:spacing w:line="360" w:lineRule="auto"/>
              <w:jc w:val="both"/>
              <w:rPr>
                <w:rFonts w:ascii="Arial" w:hAnsi="Arial" w:cs="Arial"/>
                <w:sz w:val="22"/>
                <w:szCs w:val="22"/>
              </w:rPr>
            </w:pPr>
          </w:p>
        </w:tc>
        <w:tc>
          <w:tcPr>
            <w:tcW w:w="1830" w:type="dxa"/>
          </w:tcPr>
          <w:p w14:paraId="0675685C"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sz w:val="22"/>
                <w:szCs w:val="22"/>
              </w:rPr>
              <w:t>Attainment, attendance, and school difficulties in UK primary schoolchildren with probable ADHD</w:t>
            </w:r>
          </w:p>
        </w:tc>
        <w:tc>
          <w:tcPr>
            <w:tcW w:w="1736" w:type="dxa"/>
          </w:tcPr>
          <w:p w14:paraId="61313550"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A study which </w:t>
            </w:r>
            <w:r w:rsidRPr="004969EF">
              <w:rPr>
                <w:rFonts w:ascii="Arial" w:hAnsi="Arial" w:cs="Arial"/>
                <w:sz w:val="22"/>
                <w:szCs w:val="22"/>
                <w:shd w:val="clear" w:color="auto" w:fill="FFFFFF"/>
              </w:rPr>
              <w:t>Shows links between ADHD symptoms and lower attainment and attendance.</w:t>
            </w:r>
          </w:p>
          <w:p w14:paraId="37D72F1F" w14:textId="77777777" w:rsidR="00F4763B" w:rsidRPr="004969EF" w:rsidRDefault="00F4763B" w:rsidP="004969EF">
            <w:pPr>
              <w:spacing w:line="360" w:lineRule="auto"/>
              <w:jc w:val="both"/>
              <w:rPr>
                <w:rFonts w:ascii="Arial" w:hAnsi="Arial" w:cs="Arial"/>
                <w:sz w:val="22"/>
                <w:szCs w:val="22"/>
              </w:rPr>
            </w:pPr>
          </w:p>
        </w:tc>
        <w:tc>
          <w:tcPr>
            <w:tcW w:w="2064" w:type="dxa"/>
          </w:tcPr>
          <w:p w14:paraId="5537867C"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CURRENCY:</w:t>
            </w:r>
            <w:r w:rsidRPr="004969EF">
              <w:rPr>
                <w:rFonts w:ascii="Arial" w:hAnsi="Arial" w:cs="Arial"/>
                <w:color w:val="222222"/>
                <w:sz w:val="22"/>
                <w:szCs w:val="22"/>
              </w:rPr>
              <w:t xml:space="preserve"> 2020</w:t>
            </w:r>
          </w:p>
          <w:p w14:paraId="4E2F352A"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Reasonable information on background of how ADHD affects school</w:t>
            </w:r>
          </w:p>
          <w:p w14:paraId="0417583D"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British Journal of Educational Psychology; authors are academics at University of Exeter and UCL</w:t>
            </w:r>
          </w:p>
          <w:p w14:paraId="0EA0D6AF"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Large UK cohort study</w:t>
            </w:r>
          </w:p>
          <w:p w14:paraId="4B58A5BB"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PURPOSE:</w:t>
            </w:r>
            <w:r w:rsidRPr="004969EF">
              <w:rPr>
                <w:rFonts w:ascii="Arial" w:hAnsi="Arial" w:cs="Arial"/>
                <w:color w:val="222222"/>
                <w:sz w:val="22"/>
                <w:szCs w:val="22"/>
              </w:rPr>
              <w:t xml:space="preserve"> To examine educational outcomes for children with probable ADHD</w:t>
            </w:r>
          </w:p>
        </w:tc>
        <w:tc>
          <w:tcPr>
            <w:tcW w:w="4009" w:type="dxa"/>
          </w:tcPr>
          <w:p w14:paraId="22DACC94" w14:textId="77777777" w:rsidR="00F4763B" w:rsidRPr="004969EF" w:rsidRDefault="00F4763B" w:rsidP="004969EF">
            <w:pPr>
              <w:spacing w:line="360" w:lineRule="auto"/>
              <w:jc w:val="both"/>
              <w:rPr>
                <w:rFonts w:ascii="Arial" w:hAnsi="Arial" w:cs="Arial"/>
                <w:sz w:val="22"/>
                <w:szCs w:val="22"/>
              </w:rPr>
            </w:pPr>
            <w:hyperlink r:id="rId63" w:history="1">
              <w:r w:rsidRPr="004969EF">
                <w:rPr>
                  <w:rStyle w:val="Hyperlink"/>
                  <w:rFonts w:ascii="Arial" w:hAnsi="Arial" w:cs="Arial"/>
                  <w:sz w:val="22"/>
                  <w:szCs w:val="22"/>
                </w:rPr>
                <w:t>https://doi.org/10.1111/bjep.12375</w:t>
              </w:r>
            </w:hyperlink>
            <w:r w:rsidRPr="004969EF">
              <w:rPr>
                <w:rFonts w:ascii="Arial" w:hAnsi="Arial" w:cs="Arial"/>
                <w:sz w:val="22"/>
                <w:szCs w:val="22"/>
              </w:rPr>
              <w:t xml:space="preserve">. </w:t>
            </w:r>
          </w:p>
        </w:tc>
        <w:tc>
          <w:tcPr>
            <w:tcW w:w="3197" w:type="dxa"/>
          </w:tcPr>
          <w:p w14:paraId="3EE714D8"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Demonstrates the consequences of delayed recognition, reinforcing the importance of early identification and referral.</w:t>
            </w:r>
          </w:p>
          <w:p w14:paraId="42177C75" w14:textId="77777777" w:rsidR="00F4763B" w:rsidRPr="004969EF" w:rsidRDefault="00F4763B" w:rsidP="004969EF">
            <w:pPr>
              <w:spacing w:line="360" w:lineRule="auto"/>
              <w:jc w:val="both"/>
              <w:rPr>
                <w:rFonts w:ascii="Arial" w:hAnsi="Arial" w:cs="Arial"/>
                <w:sz w:val="22"/>
                <w:szCs w:val="22"/>
              </w:rPr>
            </w:pPr>
          </w:p>
        </w:tc>
      </w:tr>
      <w:tr w:rsidR="00F4763B" w:rsidRPr="004969EF" w14:paraId="23CF93FA" w14:textId="77777777" w:rsidTr="00DF75BF">
        <w:tc>
          <w:tcPr>
            <w:tcW w:w="938" w:type="dxa"/>
          </w:tcPr>
          <w:p w14:paraId="37894DAF"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Yes </w:t>
            </w:r>
          </w:p>
        </w:tc>
        <w:tc>
          <w:tcPr>
            <w:tcW w:w="1472" w:type="dxa"/>
          </w:tcPr>
          <w:p w14:paraId="2976018D"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000000"/>
                <w:sz w:val="22"/>
                <w:szCs w:val="22"/>
              </w:rPr>
              <w:t>(</w:t>
            </w:r>
            <w:proofErr w:type="spellStart"/>
            <w:r w:rsidRPr="004969EF">
              <w:rPr>
                <w:rFonts w:ascii="Arial" w:hAnsi="Arial" w:cs="Arial"/>
                <w:color w:val="000000"/>
                <w:sz w:val="22"/>
                <w:szCs w:val="22"/>
              </w:rPr>
              <w:t>Ogundele</w:t>
            </w:r>
            <w:proofErr w:type="spellEnd"/>
            <w:r w:rsidRPr="004969EF">
              <w:rPr>
                <w:rFonts w:ascii="Arial" w:hAnsi="Arial" w:cs="Arial"/>
                <w:color w:val="000000"/>
                <w:sz w:val="22"/>
                <w:szCs w:val="22"/>
              </w:rPr>
              <w:t xml:space="preserve"> and Ayyash, 2023)</w:t>
            </w:r>
          </w:p>
          <w:p w14:paraId="2F2642EF" w14:textId="77777777" w:rsidR="00F4763B" w:rsidRPr="004969EF" w:rsidRDefault="00F4763B" w:rsidP="004969EF">
            <w:pPr>
              <w:spacing w:line="360" w:lineRule="auto"/>
              <w:jc w:val="both"/>
              <w:rPr>
                <w:rFonts w:ascii="Arial" w:hAnsi="Arial" w:cs="Arial"/>
                <w:color w:val="222222"/>
                <w:sz w:val="22"/>
                <w:szCs w:val="22"/>
                <w:shd w:val="clear" w:color="auto" w:fill="FFFFFF"/>
              </w:rPr>
            </w:pPr>
          </w:p>
        </w:tc>
        <w:tc>
          <w:tcPr>
            <w:tcW w:w="1830" w:type="dxa"/>
          </w:tcPr>
          <w:p w14:paraId="69E293F4"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ADHD in children and adolescents: Review of current practice of non-pharmacological and behavioural management</w:t>
            </w:r>
          </w:p>
          <w:p w14:paraId="3452DC45" w14:textId="77777777" w:rsidR="00F4763B" w:rsidRPr="004969EF" w:rsidRDefault="00F4763B" w:rsidP="004969EF">
            <w:pPr>
              <w:spacing w:line="360" w:lineRule="auto"/>
              <w:jc w:val="both"/>
              <w:rPr>
                <w:rFonts w:ascii="Arial" w:hAnsi="Arial" w:cs="Arial"/>
                <w:sz w:val="22"/>
                <w:szCs w:val="22"/>
              </w:rPr>
            </w:pPr>
          </w:p>
        </w:tc>
        <w:tc>
          <w:tcPr>
            <w:tcW w:w="1736" w:type="dxa"/>
          </w:tcPr>
          <w:p w14:paraId="69D91ABB"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Brief overview for paediatricians on classification, prevalence, and integrated care for neurodevelopmental and child mental health disorders.</w:t>
            </w:r>
          </w:p>
        </w:tc>
        <w:tc>
          <w:tcPr>
            <w:tcW w:w="2064" w:type="dxa"/>
          </w:tcPr>
          <w:p w14:paraId="48E365B4"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Currency:</w:t>
            </w:r>
            <w:r w:rsidRPr="004969EF">
              <w:rPr>
                <w:rFonts w:ascii="Arial" w:hAnsi="Arial" w:cs="Arial"/>
                <w:color w:val="222222"/>
                <w:sz w:val="22"/>
                <w:szCs w:val="22"/>
              </w:rPr>
              <w:t xml:space="preserve"> 2022</w:t>
            </w:r>
          </w:p>
          <w:p w14:paraId="56C18833"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Adequate as it provides background on service integration but not specific to ethnicity</w:t>
            </w:r>
          </w:p>
          <w:p w14:paraId="5992F640"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World Journal of Clinical Paediatrics; authors are academics and clinicians</w:t>
            </w:r>
          </w:p>
          <w:p w14:paraId="75FDDA66"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Overview article </w:t>
            </w:r>
            <w:r w:rsidRPr="004969EF">
              <w:rPr>
                <w:rFonts w:ascii="Arial" w:hAnsi="Arial" w:cs="Arial"/>
                <w:color w:val="222222"/>
                <w:sz w:val="22"/>
                <w:szCs w:val="22"/>
              </w:rPr>
              <w:lastRenderedPageBreak/>
              <w:t>summarising existing knowledge; no primary data collection</w:t>
            </w:r>
          </w:p>
          <w:p w14:paraId="26B08380"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provide paediatricians with an overview of neurodevelopmental disorders and integrated care models</w:t>
            </w:r>
          </w:p>
        </w:tc>
        <w:tc>
          <w:tcPr>
            <w:tcW w:w="4009" w:type="dxa"/>
          </w:tcPr>
          <w:p w14:paraId="5CB1967F" w14:textId="536AB319" w:rsidR="00F4763B" w:rsidRPr="004969EF" w:rsidRDefault="00F4763B" w:rsidP="004969EF">
            <w:pPr>
              <w:spacing w:line="360" w:lineRule="auto"/>
              <w:jc w:val="both"/>
              <w:rPr>
                <w:rFonts w:ascii="Arial" w:hAnsi="Arial" w:cs="Arial"/>
                <w:sz w:val="22"/>
                <w:szCs w:val="22"/>
              </w:rPr>
            </w:pPr>
            <w:r w:rsidRPr="004969EF">
              <w:rPr>
                <w:rFonts w:ascii="Arial" w:hAnsi="Arial" w:cs="Arial"/>
                <w:color w:val="333333"/>
                <w:sz w:val="22"/>
                <w:szCs w:val="22"/>
                <w:shd w:val="clear" w:color="auto" w:fill="FFFFFF"/>
              </w:rPr>
              <w:lastRenderedPageBreak/>
              <w:t>doi.org/</w:t>
            </w:r>
            <w:hyperlink r:id="rId64" w:tgtFrame="_blank" w:history="1">
              <w:r w:rsidRPr="004969EF">
                <w:rPr>
                  <w:rStyle w:val="Hyperlink"/>
                  <w:rFonts w:ascii="Arial" w:hAnsi="Arial" w:cs="Arial"/>
                  <w:color w:val="0178D6"/>
                  <w:sz w:val="22"/>
                  <w:szCs w:val="22"/>
                </w:rPr>
                <w:t>10.3934/publichealth.202300</w:t>
              </w:r>
            </w:hyperlink>
            <w:r w:rsidRPr="004969EF">
              <w:rPr>
                <w:rFonts w:ascii="Arial" w:hAnsi="Arial" w:cs="Arial"/>
                <w:sz w:val="22"/>
                <w:szCs w:val="22"/>
              </w:rPr>
              <w:t xml:space="preserve">.  </w:t>
            </w:r>
          </w:p>
          <w:p w14:paraId="23E76D8A" w14:textId="77777777" w:rsidR="00F4763B" w:rsidRPr="004969EF" w:rsidRDefault="00F4763B" w:rsidP="004969EF">
            <w:pPr>
              <w:spacing w:line="360" w:lineRule="auto"/>
              <w:jc w:val="both"/>
              <w:rPr>
                <w:rFonts w:ascii="Arial" w:hAnsi="Arial" w:cs="Arial"/>
                <w:sz w:val="22"/>
                <w:szCs w:val="22"/>
              </w:rPr>
            </w:pPr>
          </w:p>
          <w:p w14:paraId="00621417" w14:textId="77777777" w:rsidR="00F4763B" w:rsidRPr="004969EF" w:rsidRDefault="00F4763B" w:rsidP="004969EF">
            <w:pPr>
              <w:spacing w:line="360" w:lineRule="auto"/>
              <w:jc w:val="both"/>
              <w:rPr>
                <w:rFonts w:ascii="Arial" w:hAnsi="Arial" w:cs="Arial"/>
                <w:color w:val="222222"/>
                <w:sz w:val="22"/>
                <w:szCs w:val="22"/>
              </w:rPr>
            </w:pPr>
          </w:p>
        </w:tc>
        <w:tc>
          <w:tcPr>
            <w:tcW w:w="3197" w:type="dxa"/>
          </w:tcPr>
          <w:p w14:paraId="4DA9585F"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Provides context on how integrated or fragmented care between health, education, and social services affects recognition and referral pathways for ADHD</w:t>
            </w:r>
          </w:p>
          <w:p w14:paraId="74B0202F" w14:textId="77777777" w:rsidR="00F4763B" w:rsidRPr="004969EF" w:rsidRDefault="00F4763B" w:rsidP="004969EF">
            <w:pPr>
              <w:spacing w:line="360" w:lineRule="auto"/>
              <w:jc w:val="both"/>
              <w:rPr>
                <w:rFonts w:ascii="Arial" w:hAnsi="Arial" w:cs="Arial"/>
                <w:color w:val="222222"/>
                <w:sz w:val="22"/>
                <w:szCs w:val="22"/>
                <w:shd w:val="clear" w:color="auto" w:fill="FFFFFF"/>
              </w:rPr>
            </w:pPr>
          </w:p>
        </w:tc>
      </w:tr>
      <w:tr w:rsidR="00F4763B" w:rsidRPr="004969EF" w14:paraId="5D26FF7C" w14:textId="77777777" w:rsidTr="00DF75BF">
        <w:tc>
          <w:tcPr>
            <w:tcW w:w="938" w:type="dxa"/>
          </w:tcPr>
          <w:p w14:paraId="6D6C9CAF"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No </w:t>
            </w:r>
          </w:p>
        </w:tc>
        <w:tc>
          <w:tcPr>
            <w:tcW w:w="1472" w:type="dxa"/>
          </w:tcPr>
          <w:p w14:paraId="7AC3CE9F" w14:textId="77777777" w:rsidR="00F4763B" w:rsidRPr="004969EF" w:rsidRDefault="00F4763B" w:rsidP="004969EF">
            <w:pPr>
              <w:spacing w:line="360" w:lineRule="auto"/>
              <w:jc w:val="both"/>
              <w:rPr>
                <w:rFonts w:ascii="Arial" w:hAnsi="Arial" w:cs="Arial"/>
                <w:color w:val="222222"/>
                <w:sz w:val="22"/>
                <w:szCs w:val="22"/>
                <w:shd w:val="clear" w:color="auto" w:fill="FFFFFF"/>
              </w:rPr>
            </w:pPr>
            <w:r w:rsidRPr="004969EF">
              <w:rPr>
                <w:rFonts w:ascii="Arial" w:hAnsi="Arial" w:cs="Arial"/>
                <w:color w:val="222222"/>
                <w:sz w:val="22"/>
                <w:szCs w:val="22"/>
                <w:shd w:val="clear" w:color="auto" w:fill="FFFFFF"/>
              </w:rPr>
              <w:t>(Patel et al. 2024)</w:t>
            </w:r>
          </w:p>
        </w:tc>
        <w:tc>
          <w:tcPr>
            <w:tcW w:w="1830" w:type="dxa"/>
          </w:tcPr>
          <w:p w14:paraId="44DA9D14"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color w:val="222222"/>
                <w:sz w:val="22"/>
                <w:szCs w:val="22"/>
              </w:rPr>
              <w:t>Parenting Styles and Attention Deficit Hyperactivity Disorder in the South Asian Population: A Narrative Review</w:t>
            </w:r>
          </w:p>
          <w:p w14:paraId="11C8D0B9" w14:textId="77777777" w:rsidR="00F4763B" w:rsidRPr="004969EF" w:rsidRDefault="00F4763B" w:rsidP="004969EF">
            <w:pPr>
              <w:spacing w:line="360" w:lineRule="auto"/>
              <w:jc w:val="both"/>
              <w:rPr>
                <w:rFonts w:ascii="Arial" w:hAnsi="Arial" w:cs="Arial"/>
                <w:b/>
                <w:bCs/>
                <w:color w:val="1B1B1B"/>
                <w:sz w:val="22"/>
                <w:szCs w:val="22"/>
              </w:rPr>
            </w:pPr>
          </w:p>
        </w:tc>
        <w:tc>
          <w:tcPr>
            <w:tcW w:w="1736" w:type="dxa"/>
          </w:tcPr>
          <w:p w14:paraId="5FFC157B"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 xml:space="preserve">Narrative review examining how parenting styles and cultural stigma affect ADHD in South Asian families, including </w:t>
            </w:r>
            <w:r w:rsidRPr="004969EF">
              <w:rPr>
                <w:rFonts w:ascii="Arial" w:hAnsi="Arial" w:cs="Arial"/>
                <w:color w:val="222222"/>
                <w:sz w:val="22"/>
                <w:szCs w:val="22"/>
                <w:shd w:val="clear" w:color="auto" w:fill="FFFFFF"/>
              </w:rPr>
              <w:lastRenderedPageBreak/>
              <w:t>cultural attitudes, stigma, and authoritarian parenting which delay diagnosis and stop families from seeking help.</w:t>
            </w:r>
          </w:p>
        </w:tc>
        <w:tc>
          <w:tcPr>
            <w:tcW w:w="2064" w:type="dxa"/>
          </w:tcPr>
          <w:p w14:paraId="64D10C70"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Currency:</w:t>
            </w:r>
            <w:r w:rsidRPr="004969EF">
              <w:rPr>
                <w:rFonts w:ascii="Arial" w:hAnsi="Arial" w:cs="Arial"/>
                <w:color w:val="222222"/>
                <w:sz w:val="22"/>
                <w:szCs w:val="22"/>
              </w:rPr>
              <w:t xml:space="preserve"> 2024 recent </w:t>
            </w:r>
          </w:p>
          <w:p w14:paraId="42D70F16"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color w:val="222222"/>
                <w:sz w:val="22"/>
                <w:szCs w:val="22"/>
              </w:rPr>
              <w:t>Relevance: Very high as it directly examines South Asian parenting, stigma, and ADHD under-recognition</w:t>
            </w:r>
          </w:p>
          <w:p w14:paraId="4F6A9622"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authors </w:t>
            </w:r>
            <w:r w:rsidRPr="004969EF">
              <w:rPr>
                <w:rFonts w:ascii="Arial" w:hAnsi="Arial" w:cs="Arial"/>
                <w:color w:val="222222"/>
                <w:sz w:val="22"/>
                <w:szCs w:val="22"/>
              </w:rPr>
              <w:lastRenderedPageBreak/>
              <w:t>are academics and clinicians</w:t>
            </w:r>
          </w:p>
          <w:p w14:paraId="470E79B5"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Narrative review of 13 studies examining parenting styles and ADHD in South Asian populations</w:t>
            </w:r>
          </w:p>
          <w:p w14:paraId="115FE90D" w14:textId="77777777" w:rsidR="00F4763B" w:rsidRPr="004969EF" w:rsidRDefault="00F4763B" w:rsidP="004969EF">
            <w:pPr>
              <w:spacing w:line="360" w:lineRule="auto"/>
              <w:jc w:val="both"/>
              <w:rPr>
                <w:rStyle w:val="apple-converted-space"/>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explore cultural and family factors affecting ADHD in South Asian families</w:t>
            </w:r>
          </w:p>
        </w:tc>
        <w:tc>
          <w:tcPr>
            <w:tcW w:w="4009" w:type="dxa"/>
          </w:tcPr>
          <w:p w14:paraId="277C5876" w14:textId="77777777" w:rsidR="00F4763B" w:rsidRPr="004969EF" w:rsidRDefault="00F4763B" w:rsidP="004969EF">
            <w:pPr>
              <w:spacing w:line="360" w:lineRule="auto"/>
              <w:jc w:val="both"/>
              <w:rPr>
                <w:rFonts w:ascii="Arial" w:hAnsi="Arial" w:cs="Arial"/>
                <w:color w:val="222222"/>
                <w:sz w:val="22"/>
                <w:szCs w:val="22"/>
              </w:rPr>
            </w:pPr>
            <w:hyperlink r:id="rId65" w:tgtFrame="_blank" w:history="1">
              <w:r w:rsidRPr="004969EF">
                <w:rPr>
                  <w:rStyle w:val="Hyperlink"/>
                  <w:rFonts w:ascii="Arial" w:eastAsiaTheme="majorEastAsia" w:hAnsi="Arial" w:cs="Arial"/>
                  <w:color w:val="1155CC"/>
                  <w:sz w:val="22"/>
                  <w:szCs w:val="22"/>
                </w:rPr>
                <w:t>https://doi.org/10.7759/cureus.74967</w:t>
              </w:r>
            </w:hyperlink>
            <w:r w:rsidRPr="004969EF">
              <w:rPr>
                <w:rFonts w:ascii="Arial" w:hAnsi="Arial" w:cs="Arial"/>
                <w:color w:val="222222"/>
                <w:sz w:val="22"/>
                <w:szCs w:val="22"/>
              </w:rPr>
              <w:t> </w:t>
            </w:r>
          </w:p>
        </w:tc>
        <w:tc>
          <w:tcPr>
            <w:tcW w:w="3197" w:type="dxa"/>
          </w:tcPr>
          <w:p w14:paraId="685A7E4E"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Shows how cultural stigma and parenting styles in South Asian families affect whether ADHD is recognised and whether parents seek help, directly addressing parental perceptions.</w:t>
            </w:r>
          </w:p>
          <w:p w14:paraId="72AC7590" w14:textId="77777777" w:rsidR="00F4763B" w:rsidRPr="004969EF" w:rsidRDefault="00F4763B" w:rsidP="004969EF">
            <w:pPr>
              <w:spacing w:line="360" w:lineRule="auto"/>
              <w:jc w:val="both"/>
              <w:rPr>
                <w:rFonts w:ascii="Arial" w:hAnsi="Arial" w:cs="Arial"/>
                <w:color w:val="222222"/>
                <w:sz w:val="22"/>
                <w:szCs w:val="22"/>
                <w:shd w:val="clear" w:color="auto" w:fill="FFFFFF"/>
              </w:rPr>
            </w:pPr>
          </w:p>
        </w:tc>
      </w:tr>
      <w:tr w:rsidR="00F4763B" w:rsidRPr="004969EF" w14:paraId="51D5C833" w14:textId="77777777" w:rsidTr="00DF75BF">
        <w:tc>
          <w:tcPr>
            <w:tcW w:w="938" w:type="dxa"/>
          </w:tcPr>
          <w:p w14:paraId="3C2420B9"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Yes </w:t>
            </w:r>
          </w:p>
        </w:tc>
        <w:tc>
          <w:tcPr>
            <w:tcW w:w="1472" w:type="dxa"/>
          </w:tcPr>
          <w:p w14:paraId="51082988"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w:t>
            </w:r>
            <w:proofErr w:type="spellStart"/>
            <w:r w:rsidRPr="004969EF">
              <w:rPr>
                <w:rFonts w:ascii="Arial" w:hAnsi="Arial" w:cs="Arial"/>
                <w:color w:val="222222"/>
                <w:sz w:val="22"/>
                <w:szCs w:val="22"/>
                <w:shd w:val="clear" w:color="auto" w:fill="FFFFFF"/>
              </w:rPr>
              <w:t>Pranjol</w:t>
            </w:r>
            <w:proofErr w:type="spellEnd"/>
            <w:r w:rsidRPr="004969EF">
              <w:rPr>
                <w:rFonts w:ascii="Arial" w:hAnsi="Arial" w:cs="Arial"/>
                <w:color w:val="222222"/>
                <w:sz w:val="22"/>
                <w:szCs w:val="22"/>
                <w:shd w:val="clear" w:color="auto" w:fill="FFFFFF"/>
              </w:rPr>
              <w:t xml:space="preserve"> &amp; Amir, 2025)</w:t>
            </w:r>
          </w:p>
          <w:p w14:paraId="412E1575" w14:textId="77777777" w:rsidR="00F4763B" w:rsidRPr="004969EF" w:rsidRDefault="00F4763B" w:rsidP="004969EF">
            <w:pPr>
              <w:spacing w:line="360" w:lineRule="auto"/>
              <w:jc w:val="both"/>
              <w:rPr>
                <w:rFonts w:ascii="Arial" w:hAnsi="Arial" w:cs="Arial"/>
                <w:sz w:val="22"/>
                <w:szCs w:val="22"/>
              </w:rPr>
            </w:pPr>
          </w:p>
        </w:tc>
        <w:tc>
          <w:tcPr>
            <w:tcW w:w="1830" w:type="dxa"/>
          </w:tcPr>
          <w:p w14:paraId="1FF9F52F"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Disrupting diagnostic hegemony: reimagining mental health language with British South </w:t>
            </w:r>
            <w:r w:rsidRPr="004969EF">
              <w:rPr>
                <w:rFonts w:ascii="Arial" w:hAnsi="Arial" w:cs="Arial"/>
                <w:sz w:val="22"/>
                <w:szCs w:val="22"/>
              </w:rPr>
              <w:lastRenderedPageBreak/>
              <w:t>Asian communities</w:t>
            </w:r>
          </w:p>
        </w:tc>
        <w:tc>
          <w:tcPr>
            <w:tcW w:w="1736" w:type="dxa"/>
          </w:tcPr>
          <w:p w14:paraId="533FD115"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lastRenderedPageBreak/>
              <w:t xml:space="preserve">Conceptual analysis. Critiques diagnostic authority and explores how cultural </w:t>
            </w:r>
            <w:r w:rsidRPr="004969EF">
              <w:rPr>
                <w:rFonts w:ascii="Arial" w:hAnsi="Arial" w:cs="Arial"/>
                <w:sz w:val="22"/>
                <w:szCs w:val="22"/>
              </w:rPr>
              <w:lastRenderedPageBreak/>
              <w:t>perceptions and language barriers among British South Asian communities affect engagement with mental health services. Directly relevant to parental perceptions and help-seeking behaviours.</w:t>
            </w:r>
          </w:p>
        </w:tc>
        <w:tc>
          <w:tcPr>
            <w:tcW w:w="2064" w:type="dxa"/>
          </w:tcPr>
          <w:p w14:paraId="5244F7A2"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CURRENCY:</w:t>
            </w:r>
            <w:r w:rsidRPr="004969EF">
              <w:rPr>
                <w:rFonts w:ascii="Arial" w:hAnsi="Arial" w:cs="Arial"/>
                <w:color w:val="222222"/>
                <w:sz w:val="22"/>
                <w:szCs w:val="22"/>
              </w:rPr>
              <w:t xml:space="preserve"> 2025 </w:t>
            </w:r>
          </w:p>
          <w:p w14:paraId="3ADCD5FF"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w:t>
            </w:r>
            <w:r w:rsidRPr="004969EF">
              <w:rPr>
                <w:rFonts w:ascii="Arial" w:hAnsi="Arial" w:cs="Arial"/>
                <w:color w:val="222222"/>
                <w:sz w:val="22"/>
                <w:szCs w:val="22"/>
                <w:shd w:val="clear" w:color="auto" w:fill="FFFFFF"/>
              </w:rPr>
              <w:t xml:space="preserve">Directly addresses language barriers, stigma, and mental health terminology </w:t>
            </w:r>
            <w:r w:rsidRPr="004969EF">
              <w:rPr>
                <w:rFonts w:ascii="Arial" w:hAnsi="Arial" w:cs="Arial"/>
                <w:color w:val="222222"/>
                <w:sz w:val="22"/>
                <w:szCs w:val="22"/>
                <w:shd w:val="clear" w:color="auto" w:fill="FFFFFF"/>
              </w:rPr>
              <w:lastRenderedPageBreak/>
              <w:t>for British South Asian communities; specifically mentions ADHD</w:t>
            </w:r>
          </w:p>
          <w:p w14:paraId="450A70CD"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Frontiers in Education; authors are academics at The Open University</w:t>
            </w:r>
          </w:p>
          <w:p w14:paraId="3C964828"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Theoretical analysis with cultural focus</w:t>
            </w:r>
          </w:p>
          <w:p w14:paraId="6C5AFEA5"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challenge diagnostic language and reimagine mental health frameworks</w:t>
            </w:r>
          </w:p>
        </w:tc>
        <w:tc>
          <w:tcPr>
            <w:tcW w:w="4009" w:type="dxa"/>
          </w:tcPr>
          <w:p w14:paraId="79E7F128" w14:textId="77777777" w:rsidR="00F4763B" w:rsidRPr="004969EF" w:rsidRDefault="00F4763B" w:rsidP="004969EF">
            <w:pPr>
              <w:spacing w:line="360" w:lineRule="auto"/>
              <w:jc w:val="both"/>
              <w:rPr>
                <w:rFonts w:ascii="Arial" w:hAnsi="Arial" w:cs="Arial"/>
                <w:sz w:val="22"/>
                <w:szCs w:val="22"/>
              </w:rPr>
            </w:pPr>
            <w:hyperlink r:id="rId66" w:tgtFrame="_blank" w:history="1">
              <w:r w:rsidRPr="004969EF">
                <w:rPr>
                  <w:rStyle w:val="Hyperlink"/>
                  <w:rFonts w:ascii="Arial" w:eastAsiaTheme="majorEastAsia" w:hAnsi="Arial" w:cs="Arial"/>
                  <w:color w:val="1155CC"/>
                  <w:sz w:val="22"/>
                  <w:szCs w:val="22"/>
                </w:rPr>
                <w:t>https://doi.org/10.3389/feduc.2025.1550711</w:t>
              </w:r>
            </w:hyperlink>
          </w:p>
          <w:p w14:paraId="521B770D" w14:textId="77777777" w:rsidR="00F4763B" w:rsidRPr="004969EF" w:rsidRDefault="00F4763B" w:rsidP="004969EF">
            <w:pPr>
              <w:spacing w:line="360" w:lineRule="auto"/>
              <w:jc w:val="both"/>
              <w:rPr>
                <w:rFonts w:ascii="Arial" w:hAnsi="Arial" w:cs="Arial"/>
                <w:sz w:val="22"/>
                <w:szCs w:val="22"/>
              </w:rPr>
            </w:pPr>
          </w:p>
        </w:tc>
        <w:tc>
          <w:tcPr>
            <w:tcW w:w="3197" w:type="dxa"/>
          </w:tcPr>
          <w:p w14:paraId="02B320BE"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Demonstrates how cultural differences in parental thresholds influence help-seeking, recognition and referral.</w:t>
            </w:r>
          </w:p>
          <w:p w14:paraId="2CFBC588" w14:textId="77777777" w:rsidR="00F4763B" w:rsidRPr="004969EF" w:rsidRDefault="00F4763B" w:rsidP="004969EF">
            <w:pPr>
              <w:spacing w:line="360" w:lineRule="auto"/>
              <w:jc w:val="both"/>
              <w:rPr>
                <w:rFonts w:ascii="Arial" w:hAnsi="Arial" w:cs="Arial"/>
                <w:sz w:val="22"/>
                <w:szCs w:val="22"/>
              </w:rPr>
            </w:pPr>
          </w:p>
        </w:tc>
      </w:tr>
      <w:tr w:rsidR="00F4763B" w:rsidRPr="004969EF" w14:paraId="46E1256E" w14:textId="77777777" w:rsidTr="00DF75BF">
        <w:tc>
          <w:tcPr>
            <w:tcW w:w="938" w:type="dxa"/>
          </w:tcPr>
          <w:p w14:paraId="116E3C8C"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Yes</w:t>
            </w:r>
          </w:p>
        </w:tc>
        <w:tc>
          <w:tcPr>
            <w:tcW w:w="1472" w:type="dxa"/>
          </w:tcPr>
          <w:p w14:paraId="4D158F8A"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(Russell A E et al. 2023)</w:t>
            </w:r>
          </w:p>
          <w:p w14:paraId="4F308250" w14:textId="77777777" w:rsidR="00F4763B" w:rsidRPr="004969EF" w:rsidRDefault="00F4763B" w:rsidP="004969EF">
            <w:pPr>
              <w:spacing w:line="360" w:lineRule="auto"/>
              <w:jc w:val="both"/>
              <w:rPr>
                <w:rFonts w:ascii="Arial" w:hAnsi="Arial" w:cs="Arial"/>
                <w:sz w:val="22"/>
                <w:szCs w:val="22"/>
              </w:rPr>
            </w:pPr>
          </w:p>
        </w:tc>
        <w:tc>
          <w:tcPr>
            <w:tcW w:w="1830" w:type="dxa"/>
          </w:tcPr>
          <w:p w14:paraId="13042775" w14:textId="77777777" w:rsidR="00F4763B" w:rsidRPr="004969EF" w:rsidRDefault="00F4763B" w:rsidP="004969EF">
            <w:pPr>
              <w:spacing w:line="360" w:lineRule="auto"/>
              <w:jc w:val="both"/>
              <w:rPr>
                <w:rFonts w:ascii="Arial" w:hAnsi="Arial" w:cs="Arial"/>
                <w:b/>
                <w:bCs/>
                <w:sz w:val="22"/>
                <w:szCs w:val="22"/>
              </w:rPr>
            </w:pPr>
            <w:r w:rsidRPr="004969EF">
              <w:rPr>
                <w:rFonts w:ascii="Arial" w:hAnsi="Arial" w:cs="Arial"/>
                <w:sz w:val="22"/>
                <w:szCs w:val="22"/>
              </w:rPr>
              <w:lastRenderedPageBreak/>
              <w:t xml:space="preserve">Educational experiences of </w:t>
            </w:r>
            <w:r w:rsidRPr="004969EF">
              <w:rPr>
                <w:rFonts w:ascii="Arial" w:hAnsi="Arial" w:cs="Arial"/>
                <w:sz w:val="22"/>
                <w:szCs w:val="22"/>
              </w:rPr>
              <w:lastRenderedPageBreak/>
              <w:t xml:space="preserve">young people with ADHD in the UK: Secondary analysis of qualitative data from the </w:t>
            </w:r>
            <w:proofErr w:type="spellStart"/>
            <w:r w:rsidRPr="004969EF">
              <w:rPr>
                <w:rFonts w:ascii="Arial" w:hAnsi="Arial" w:cs="Arial"/>
                <w:sz w:val="22"/>
                <w:szCs w:val="22"/>
              </w:rPr>
              <w:t>CATCh-uS</w:t>
            </w:r>
            <w:proofErr w:type="spellEnd"/>
            <w:r w:rsidRPr="004969EF">
              <w:rPr>
                <w:rFonts w:ascii="Arial" w:hAnsi="Arial" w:cs="Arial"/>
                <w:sz w:val="22"/>
                <w:szCs w:val="22"/>
              </w:rPr>
              <w:t xml:space="preserve"> mixed-methods study</w:t>
            </w:r>
          </w:p>
        </w:tc>
        <w:tc>
          <w:tcPr>
            <w:tcW w:w="1736" w:type="dxa"/>
          </w:tcPr>
          <w:p w14:paraId="216A78AA"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lastRenderedPageBreak/>
              <w:t xml:space="preserve">Qualitative secondary </w:t>
            </w:r>
            <w:r w:rsidRPr="004969EF">
              <w:rPr>
                <w:rFonts w:ascii="Arial" w:hAnsi="Arial" w:cs="Arial"/>
                <w:sz w:val="22"/>
                <w:szCs w:val="22"/>
              </w:rPr>
              <w:lastRenderedPageBreak/>
              <w:t>analysis. Explores school experiences of young people with ADHD in the UK. Highlights the importance of teacher awareness and the need for better school-based support structures, which is relevant to the under-recognition mechanism.</w:t>
            </w:r>
          </w:p>
        </w:tc>
        <w:tc>
          <w:tcPr>
            <w:tcW w:w="2064" w:type="dxa"/>
          </w:tcPr>
          <w:p w14:paraId="0CA3DE57"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CURRENCY:</w:t>
            </w:r>
            <w:r w:rsidRPr="004969EF">
              <w:rPr>
                <w:rFonts w:ascii="Arial" w:hAnsi="Arial" w:cs="Arial"/>
                <w:color w:val="222222"/>
                <w:sz w:val="22"/>
                <w:szCs w:val="22"/>
              </w:rPr>
              <w:t xml:space="preserve"> 2023 </w:t>
            </w:r>
          </w:p>
          <w:p w14:paraId="05955526"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RELEVANCE:</w:t>
            </w:r>
            <w:r w:rsidRPr="004969EF">
              <w:rPr>
                <w:rFonts w:ascii="Arial" w:hAnsi="Arial" w:cs="Arial"/>
                <w:color w:val="222222"/>
                <w:sz w:val="22"/>
                <w:szCs w:val="22"/>
              </w:rPr>
              <w:t xml:space="preserve"> Looks at school experiences</w:t>
            </w:r>
          </w:p>
          <w:p w14:paraId="4CF0465B"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British Journal of Educational Psychology; authors are academics at University of Exeter and UCL</w:t>
            </w:r>
          </w:p>
          <w:p w14:paraId="38C7E9B3"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Secondary analysis of qualitative data from a large UK study</w:t>
            </w:r>
          </w:p>
          <w:p w14:paraId="685D4D4B"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explore lived experiences of young people with ADHD</w:t>
            </w:r>
          </w:p>
        </w:tc>
        <w:tc>
          <w:tcPr>
            <w:tcW w:w="4009" w:type="dxa"/>
          </w:tcPr>
          <w:p w14:paraId="5E6B2B35" w14:textId="77777777" w:rsidR="00F4763B" w:rsidRPr="004969EF" w:rsidRDefault="00F4763B" w:rsidP="004969EF">
            <w:pPr>
              <w:spacing w:line="360" w:lineRule="auto"/>
              <w:jc w:val="both"/>
              <w:rPr>
                <w:rFonts w:ascii="Arial" w:hAnsi="Arial" w:cs="Arial"/>
                <w:sz w:val="22"/>
                <w:szCs w:val="22"/>
              </w:rPr>
            </w:pPr>
            <w:hyperlink r:id="rId67" w:history="1">
              <w:r w:rsidRPr="004969EF">
                <w:rPr>
                  <w:rStyle w:val="Hyperlink"/>
                  <w:rFonts w:ascii="Arial" w:hAnsi="Arial" w:cs="Arial"/>
                  <w:sz w:val="22"/>
                  <w:szCs w:val="22"/>
                </w:rPr>
                <w:t>https://doi.org/10.1111/bjep.12613</w:t>
              </w:r>
            </w:hyperlink>
            <w:r w:rsidRPr="004969EF">
              <w:rPr>
                <w:rFonts w:ascii="Arial" w:hAnsi="Arial" w:cs="Arial"/>
                <w:sz w:val="22"/>
                <w:szCs w:val="22"/>
              </w:rPr>
              <w:t xml:space="preserve">. </w:t>
            </w:r>
          </w:p>
        </w:tc>
        <w:tc>
          <w:tcPr>
            <w:tcW w:w="3197" w:type="dxa"/>
          </w:tcPr>
          <w:p w14:paraId="50657ED9"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 xml:space="preserve">Demonstrates how school-based misunderstanding and </w:t>
            </w:r>
            <w:r w:rsidRPr="004969EF">
              <w:rPr>
                <w:rFonts w:ascii="Arial" w:hAnsi="Arial" w:cs="Arial"/>
                <w:sz w:val="22"/>
                <w:szCs w:val="22"/>
                <w:shd w:val="clear" w:color="auto" w:fill="FFFFFF"/>
              </w:rPr>
              <w:lastRenderedPageBreak/>
              <w:t>inconsistent support contribute to under-recognition and unmet needs.</w:t>
            </w:r>
          </w:p>
          <w:p w14:paraId="60C02891" w14:textId="77777777" w:rsidR="00F4763B" w:rsidRPr="004969EF" w:rsidRDefault="00F4763B" w:rsidP="004969EF">
            <w:pPr>
              <w:spacing w:line="360" w:lineRule="auto"/>
              <w:jc w:val="both"/>
              <w:rPr>
                <w:rFonts w:ascii="Arial" w:hAnsi="Arial" w:cs="Arial"/>
                <w:sz w:val="22"/>
                <w:szCs w:val="22"/>
              </w:rPr>
            </w:pPr>
          </w:p>
        </w:tc>
      </w:tr>
      <w:tr w:rsidR="00F4763B" w:rsidRPr="004969EF" w14:paraId="17508F75" w14:textId="77777777" w:rsidTr="00DF75BF">
        <w:tc>
          <w:tcPr>
            <w:tcW w:w="938" w:type="dxa"/>
          </w:tcPr>
          <w:p w14:paraId="4665D63C"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lastRenderedPageBreak/>
              <w:t>No</w:t>
            </w:r>
          </w:p>
        </w:tc>
        <w:tc>
          <w:tcPr>
            <w:tcW w:w="1472" w:type="dxa"/>
          </w:tcPr>
          <w:p w14:paraId="4BD89D81"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w:t>
            </w:r>
            <w:proofErr w:type="spellStart"/>
            <w:r w:rsidRPr="004969EF">
              <w:rPr>
                <w:rFonts w:ascii="Arial" w:hAnsi="Arial" w:cs="Arial"/>
                <w:sz w:val="22"/>
                <w:szCs w:val="22"/>
              </w:rPr>
              <w:t>Tegtmejer</w:t>
            </w:r>
            <w:proofErr w:type="spellEnd"/>
            <w:r w:rsidRPr="004969EF">
              <w:rPr>
                <w:rFonts w:ascii="Arial" w:hAnsi="Arial" w:cs="Arial"/>
                <w:sz w:val="22"/>
                <w:szCs w:val="22"/>
              </w:rPr>
              <w:t>, 2019)</w:t>
            </w:r>
          </w:p>
          <w:p w14:paraId="501F324F" w14:textId="77777777" w:rsidR="00F4763B" w:rsidRPr="004969EF" w:rsidRDefault="00F4763B" w:rsidP="004969EF">
            <w:pPr>
              <w:spacing w:line="360" w:lineRule="auto"/>
              <w:jc w:val="both"/>
              <w:rPr>
                <w:rFonts w:ascii="Arial" w:hAnsi="Arial" w:cs="Arial"/>
                <w:sz w:val="22"/>
                <w:szCs w:val="22"/>
              </w:rPr>
            </w:pPr>
          </w:p>
        </w:tc>
        <w:tc>
          <w:tcPr>
            <w:tcW w:w="1830" w:type="dxa"/>
          </w:tcPr>
          <w:p w14:paraId="57D9CF5F"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ADHD as a classroom diagnosis. An exploratory study of teachers’ strategies for addressing ‘ADHD classroom behaviour’</w:t>
            </w:r>
          </w:p>
          <w:p w14:paraId="59F56513" w14:textId="77777777" w:rsidR="00F4763B" w:rsidRPr="004969EF" w:rsidRDefault="00F4763B" w:rsidP="004969EF">
            <w:pPr>
              <w:spacing w:line="360" w:lineRule="auto"/>
              <w:jc w:val="both"/>
              <w:rPr>
                <w:rFonts w:ascii="Arial" w:hAnsi="Arial" w:cs="Arial"/>
                <w:sz w:val="22"/>
                <w:szCs w:val="22"/>
              </w:rPr>
            </w:pPr>
          </w:p>
        </w:tc>
        <w:tc>
          <w:tcPr>
            <w:tcW w:w="1736" w:type="dxa"/>
          </w:tcPr>
          <w:p w14:paraId="36336384"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Qualitative study. </w:t>
            </w:r>
            <w:r w:rsidRPr="004969EF">
              <w:rPr>
                <w:rFonts w:ascii="Arial" w:hAnsi="Arial" w:cs="Arial"/>
                <w:sz w:val="22"/>
                <w:szCs w:val="22"/>
                <w:shd w:val="clear" w:color="auto" w:fill="FFFFFF"/>
              </w:rPr>
              <w:t>Explores how ADHD behaviour is interpreted and managed in classrooms.</w:t>
            </w:r>
          </w:p>
          <w:p w14:paraId="6C7DA215"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(Though the geographical setting is Denmark, limiting direct applicability to England).</w:t>
            </w:r>
          </w:p>
        </w:tc>
        <w:tc>
          <w:tcPr>
            <w:tcW w:w="2064" w:type="dxa"/>
          </w:tcPr>
          <w:p w14:paraId="2ABFE562"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CURRENCY:</w:t>
            </w:r>
            <w:r w:rsidRPr="004969EF">
              <w:rPr>
                <w:rFonts w:ascii="Arial" w:hAnsi="Arial" w:cs="Arial"/>
                <w:color w:val="222222"/>
                <w:sz w:val="22"/>
                <w:szCs w:val="22"/>
              </w:rPr>
              <w:t xml:space="preserve"> 2019 </w:t>
            </w:r>
          </w:p>
          <w:p w14:paraId="1ECFADDB"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p>
          <w:p w14:paraId="204D6874"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color w:val="222222"/>
                <w:sz w:val="22"/>
                <w:szCs w:val="22"/>
              </w:rPr>
              <w:t>School practices but not UK context</w:t>
            </w:r>
          </w:p>
          <w:p w14:paraId="54ACDEF7"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journal; author is academic at Aalborg University, Denmark</w:t>
            </w:r>
          </w:p>
          <w:p w14:paraId="06F285BF"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Classroom observations and interviews with teachers</w:t>
            </w:r>
          </w:p>
          <w:p w14:paraId="2101A5F6"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understand how teachers interpret ADHD behaviour</w:t>
            </w:r>
          </w:p>
        </w:tc>
        <w:tc>
          <w:tcPr>
            <w:tcW w:w="4009" w:type="dxa"/>
          </w:tcPr>
          <w:p w14:paraId="5748A356" w14:textId="77777777" w:rsidR="00F4763B" w:rsidRPr="004969EF" w:rsidRDefault="00F4763B" w:rsidP="004969EF">
            <w:pPr>
              <w:spacing w:line="360" w:lineRule="auto"/>
              <w:jc w:val="both"/>
              <w:rPr>
                <w:rFonts w:ascii="Arial" w:hAnsi="Arial" w:cs="Arial"/>
                <w:sz w:val="22"/>
                <w:szCs w:val="22"/>
              </w:rPr>
            </w:pPr>
            <w:hyperlink r:id="rId68" w:history="1">
              <w:r w:rsidRPr="004969EF">
                <w:rPr>
                  <w:rStyle w:val="Hyperlink"/>
                  <w:rFonts w:ascii="Arial" w:hAnsi="Arial" w:cs="Arial"/>
                  <w:sz w:val="22"/>
                  <w:szCs w:val="22"/>
                </w:rPr>
                <w:t>https://doi.org/10.1080/13632752.2019.1609271</w:t>
              </w:r>
            </w:hyperlink>
            <w:r w:rsidRPr="004969EF">
              <w:rPr>
                <w:rFonts w:ascii="Arial" w:hAnsi="Arial" w:cs="Arial"/>
                <w:sz w:val="22"/>
                <w:szCs w:val="22"/>
              </w:rPr>
              <w:t xml:space="preserve">. </w:t>
            </w:r>
          </w:p>
        </w:tc>
        <w:tc>
          <w:tcPr>
            <w:tcW w:w="3197" w:type="dxa"/>
          </w:tcPr>
          <w:p w14:paraId="18AEF356"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Teacher strategies in managing ADHD behaviour within the class</w:t>
            </w:r>
          </w:p>
          <w:p w14:paraId="0AB9DC99" w14:textId="77777777" w:rsidR="00F4763B" w:rsidRPr="004969EF" w:rsidRDefault="00F4763B" w:rsidP="004969EF">
            <w:pPr>
              <w:spacing w:line="360" w:lineRule="auto"/>
              <w:jc w:val="both"/>
              <w:rPr>
                <w:rFonts w:ascii="Arial" w:hAnsi="Arial" w:cs="Arial"/>
                <w:sz w:val="22"/>
                <w:szCs w:val="22"/>
              </w:rPr>
            </w:pPr>
          </w:p>
        </w:tc>
      </w:tr>
      <w:tr w:rsidR="00F4763B" w:rsidRPr="004969EF" w14:paraId="6484028D" w14:textId="77777777" w:rsidTr="00DF75BF">
        <w:trPr>
          <w:trHeight w:val="7220"/>
        </w:trPr>
        <w:tc>
          <w:tcPr>
            <w:tcW w:w="938" w:type="dxa"/>
          </w:tcPr>
          <w:p w14:paraId="089C45FD"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lastRenderedPageBreak/>
              <w:t>Yes</w:t>
            </w:r>
          </w:p>
        </w:tc>
        <w:tc>
          <w:tcPr>
            <w:tcW w:w="1472" w:type="dxa"/>
          </w:tcPr>
          <w:p w14:paraId="6E359D26"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(Vincent et al. 2025)</w:t>
            </w:r>
          </w:p>
          <w:p w14:paraId="19DABB62" w14:textId="77777777" w:rsidR="00F4763B" w:rsidRPr="004969EF" w:rsidRDefault="00F4763B" w:rsidP="004969EF">
            <w:pPr>
              <w:spacing w:line="360" w:lineRule="auto"/>
              <w:jc w:val="both"/>
              <w:rPr>
                <w:rFonts w:ascii="Arial" w:hAnsi="Arial" w:cs="Arial"/>
                <w:sz w:val="22"/>
                <w:szCs w:val="22"/>
              </w:rPr>
            </w:pPr>
          </w:p>
        </w:tc>
        <w:tc>
          <w:tcPr>
            <w:tcW w:w="1830" w:type="dxa"/>
          </w:tcPr>
          <w:p w14:paraId="77536CC0"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Barriers and facilitators to accessing services for neurodevelopmental disorders among the carers of individuals from Black, Asian and minority ethnic groups in the UK: a scoping review</w:t>
            </w:r>
          </w:p>
          <w:p w14:paraId="567FECE5" w14:textId="77777777" w:rsidR="00F4763B" w:rsidRPr="004969EF" w:rsidRDefault="00F4763B" w:rsidP="004969EF">
            <w:pPr>
              <w:spacing w:line="360" w:lineRule="auto"/>
              <w:jc w:val="both"/>
              <w:rPr>
                <w:rFonts w:ascii="Arial" w:hAnsi="Arial" w:cs="Arial"/>
                <w:sz w:val="22"/>
                <w:szCs w:val="22"/>
              </w:rPr>
            </w:pPr>
          </w:p>
        </w:tc>
        <w:tc>
          <w:tcPr>
            <w:tcW w:w="1736" w:type="dxa"/>
          </w:tcPr>
          <w:p w14:paraId="04B003CF"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Scoping review. </w:t>
            </w:r>
            <w:r w:rsidRPr="004969EF">
              <w:rPr>
                <w:rFonts w:ascii="Arial" w:hAnsi="Arial" w:cs="Arial"/>
                <w:sz w:val="22"/>
                <w:szCs w:val="22"/>
                <w:shd w:val="clear" w:color="auto" w:fill="FFFFFF"/>
              </w:rPr>
              <w:t>Identifies language, stigma and service access barriers for ethnic minority carers in UK neurodevelopmental services.</w:t>
            </w:r>
          </w:p>
          <w:p w14:paraId="6F8EBDEA" w14:textId="77777777" w:rsidR="00F4763B" w:rsidRPr="004969EF" w:rsidRDefault="00F4763B" w:rsidP="004969EF">
            <w:pPr>
              <w:spacing w:line="360" w:lineRule="auto"/>
              <w:jc w:val="both"/>
              <w:rPr>
                <w:rFonts w:ascii="Arial" w:hAnsi="Arial" w:cs="Arial"/>
                <w:sz w:val="22"/>
                <w:szCs w:val="22"/>
              </w:rPr>
            </w:pPr>
          </w:p>
        </w:tc>
        <w:tc>
          <w:tcPr>
            <w:tcW w:w="2064" w:type="dxa"/>
          </w:tcPr>
          <w:p w14:paraId="5218B02B"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CURRENCY:</w:t>
            </w:r>
            <w:r w:rsidRPr="004969EF">
              <w:rPr>
                <w:rFonts w:ascii="Arial" w:hAnsi="Arial" w:cs="Arial"/>
                <w:color w:val="222222"/>
                <w:sz w:val="22"/>
                <w:szCs w:val="22"/>
              </w:rPr>
              <w:t xml:space="preserve"> 2025 - </w:t>
            </w:r>
            <w:proofErr w:type="gramStart"/>
            <w:r w:rsidRPr="004969EF">
              <w:rPr>
                <w:rFonts w:ascii="Arial" w:hAnsi="Arial" w:cs="Arial"/>
                <w:color w:val="222222"/>
                <w:sz w:val="22"/>
                <w:szCs w:val="22"/>
              </w:rPr>
              <w:t>up-to-date</w:t>
            </w:r>
            <w:proofErr w:type="gramEnd"/>
          </w:p>
          <w:p w14:paraId="182B4CB2"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Very high as it covers all three areas: school practices, local authority structures, and parental perceptions</w:t>
            </w:r>
          </w:p>
          <w:p w14:paraId="502A11CB"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BMJ Open; authors are academics at University of Bedfordshire and collaborators</w:t>
            </w:r>
          </w:p>
          <w:p w14:paraId="78F97D5F"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Systematic scoping review of UK literature</w:t>
            </w:r>
          </w:p>
          <w:p w14:paraId="164BA38B"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PURPOSE:</w:t>
            </w:r>
            <w:r w:rsidRPr="004969EF">
              <w:rPr>
                <w:rFonts w:ascii="Arial" w:hAnsi="Arial" w:cs="Arial"/>
                <w:color w:val="222222"/>
                <w:sz w:val="22"/>
                <w:szCs w:val="22"/>
              </w:rPr>
              <w:t xml:space="preserve"> To explore barriers and facilitators to accessing services and inform future research and practice</w:t>
            </w:r>
          </w:p>
        </w:tc>
        <w:tc>
          <w:tcPr>
            <w:tcW w:w="4009" w:type="dxa"/>
          </w:tcPr>
          <w:p w14:paraId="6ECDD30D" w14:textId="77777777" w:rsidR="00F4763B" w:rsidRPr="004969EF" w:rsidRDefault="00F4763B" w:rsidP="004969EF">
            <w:pPr>
              <w:spacing w:line="360" w:lineRule="auto"/>
              <w:jc w:val="both"/>
              <w:rPr>
                <w:rFonts w:ascii="Arial" w:hAnsi="Arial" w:cs="Arial"/>
                <w:sz w:val="22"/>
                <w:szCs w:val="22"/>
              </w:rPr>
            </w:pPr>
            <w:hyperlink r:id="rId69" w:history="1">
              <w:r w:rsidRPr="004969EF">
                <w:rPr>
                  <w:rStyle w:val="Hyperlink"/>
                  <w:rFonts w:ascii="Arial" w:hAnsi="Arial" w:cs="Arial"/>
                  <w:sz w:val="22"/>
                  <w:szCs w:val="22"/>
                </w:rPr>
                <w:t>https://doi.org/10.1136/bmjopen-2025-104511</w:t>
              </w:r>
            </w:hyperlink>
            <w:r w:rsidRPr="004969EF">
              <w:rPr>
                <w:rFonts w:ascii="Arial" w:hAnsi="Arial" w:cs="Arial"/>
                <w:sz w:val="22"/>
                <w:szCs w:val="22"/>
              </w:rPr>
              <w:t xml:space="preserve">. </w:t>
            </w:r>
          </w:p>
        </w:tc>
        <w:tc>
          <w:tcPr>
            <w:tcW w:w="3197" w:type="dxa"/>
          </w:tcPr>
          <w:p w14:paraId="69268578"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Highlights how</w:t>
            </w:r>
          </w:p>
          <w:p w14:paraId="05DB2E3B"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parental</w:t>
            </w:r>
          </w:p>
          <w:p w14:paraId="4489348C"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perceptions,</w:t>
            </w:r>
          </w:p>
          <w:p w14:paraId="5EB1B1A7"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including</w:t>
            </w:r>
          </w:p>
          <w:p w14:paraId="61F948DB"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stigma and</w:t>
            </w:r>
          </w:p>
          <w:p w14:paraId="336CD6B2"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language</w:t>
            </w:r>
          </w:p>
          <w:p w14:paraId="71753C09"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barriers,</w:t>
            </w:r>
          </w:p>
          <w:p w14:paraId="398D0926"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delay help-</w:t>
            </w:r>
          </w:p>
          <w:p w14:paraId="72A4D596"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seeking</w:t>
            </w:r>
          </w:p>
          <w:p w14:paraId="38A2D314"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and</w:t>
            </w:r>
          </w:p>
          <w:p w14:paraId="59887C35"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contribute</w:t>
            </w:r>
          </w:p>
          <w:p w14:paraId="6411E434"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to under-</w:t>
            </w:r>
          </w:p>
          <w:p w14:paraId="1D6C8EC3"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recognition and late</w:t>
            </w:r>
          </w:p>
          <w:p w14:paraId="68AD8995"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referral.</w:t>
            </w:r>
          </w:p>
        </w:tc>
      </w:tr>
      <w:tr w:rsidR="00F4763B" w:rsidRPr="004969EF" w14:paraId="654DBEBD" w14:textId="77777777" w:rsidTr="00DF75BF">
        <w:tc>
          <w:tcPr>
            <w:tcW w:w="938" w:type="dxa"/>
          </w:tcPr>
          <w:p w14:paraId="3762CADE"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Yes</w:t>
            </w:r>
          </w:p>
        </w:tc>
        <w:tc>
          <w:tcPr>
            <w:tcW w:w="1472" w:type="dxa"/>
          </w:tcPr>
          <w:p w14:paraId="640D72D9"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Ward et al. (2021)</w:t>
            </w:r>
          </w:p>
          <w:p w14:paraId="72FBE49E" w14:textId="77777777" w:rsidR="00F4763B" w:rsidRPr="004969EF" w:rsidRDefault="00F4763B" w:rsidP="004969EF">
            <w:pPr>
              <w:spacing w:line="360" w:lineRule="auto"/>
              <w:jc w:val="both"/>
              <w:rPr>
                <w:rFonts w:ascii="Arial" w:hAnsi="Arial" w:cs="Arial"/>
                <w:sz w:val="22"/>
                <w:szCs w:val="22"/>
              </w:rPr>
            </w:pPr>
          </w:p>
        </w:tc>
        <w:tc>
          <w:tcPr>
            <w:tcW w:w="1830" w:type="dxa"/>
          </w:tcPr>
          <w:p w14:paraId="447E6FEB"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 xml:space="preserve">UK teachers’ knowledge, confidence and </w:t>
            </w:r>
            <w:r w:rsidRPr="004969EF">
              <w:rPr>
                <w:rFonts w:ascii="Arial" w:hAnsi="Arial" w:cs="Arial"/>
                <w:sz w:val="22"/>
                <w:szCs w:val="22"/>
                <w:shd w:val="clear" w:color="auto" w:fill="FFFFFF"/>
              </w:rPr>
              <w:lastRenderedPageBreak/>
              <w:t>training needs for ADHD.</w:t>
            </w:r>
          </w:p>
          <w:p w14:paraId="41986137" w14:textId="77777777" w:rsidR="00F4763B" w:rsidRPr="004969EF" w:rsidRDefault="00F4763B" w:rsidP="004969EF">
            <w:pPr>
              <w:spacing w:line="360" w:lineRule="auto"/>
              <w:jc w:val="both"/>
              <w:rPr>
                <w:rFonts w:ascii="Arial" w:hAnsi="Arial" w:cs="Arial"/>
                <w:b/>
                <w:bCs/>
                <w:sz w:val="22"/>
                <w:szCs w:val="22"/>
              </w:rPr>
            </w:pPr>
          </w:p>
        </w:tc>
        <w:tc>
          <w:tcPr>
            <w:tcW w:w="1736" w:type="dxa"/>
          </w:tcPr>
          <w:p w14:paraId="0DD64277"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lastRenderedPageBreak/>
              <w:t xml:space="preserve">Qualitative study. Finds that primary school staff feel </w:t>
            </w:r>
            <w:r w:rsidRPr="004969EF">
              <w:rPr>
                <w:rFonts w:ascii="Arial" w:hAnsi="Arial" w:cs="Arial"/>
                <w:sz w:val="22"/>
                <w:szCs w:val="22"/>
              </w:rPr>
              <w:lastRenderedPageBreak/>
              <w:t>under-trained in identifying ADHD, leading to delays in recognition. Highlights how inconsistent teacher knowledge acts as a barrier to referral, fitting under school-based practices.</w:t>
            </w:r>
          </w:p>
        </w:tc>
        <w:tc>
          <w:tcPr>
            <w:tcW w:w="2064" w:type="dxa"/>
          </w:tcPr>
          <w:p w14:paraId="6FC08DA5"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CURRENCY:</w:t>
            </w:r>
            <w:r w:rsidRPr="004969EF">
              <w:rPr>
                <w:rFonts w:ascii="Arial" w:hAnsi="Arial" w:cs="Arial"/>
                <w:color w:val="222222"/>
                <w:sz w:val="22"/>
                <w:szCs w:val="22"/>
              </w:rPr>
              <w:t xml:space="preserve"> 2021 </w:t>
            </w:r>
          </w:p>
          <w:p w14:paraId="4906D88B"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Looks at school </w:t>
            </w:r>
            <w:r w:rsidRPr="004969EF">
              <w:rPr>
                <w:rFonts w:ascii="Arial" w:hAnsi="Arial" w:cs="Arial"/>
                <w:color w:val="222222"/>
                <w:sz w:val="22"/>
                <w:szCs w:val="22"/>
              </w:rPr>
              <w:lastRenderedPageBreak/>
              <w:t>practices and training gaps</w:t>
            </w:r>
          </w:p>
          <w:p w14:paraId="26AE3207"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journal; authors are academics at University of Southampton</w:t>
            </w:r>
          </w:p>
          <w:p w14:paraId="03C1EEBE"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Interviews with primary school staff</w:t>
            </w:r>
          </w:p>
          <w:p w14:paraId="41F0AB57"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improve teacher training and understanding</w:t>
            </w:r>
          </w:p>
        </w:tc>
        <w:tc>
          <w:tcPr>
            <w:tcW w:w="4009" w:type="dxa"/>
          </w:tcPr>
          <w:p w14:paraId="48EA0AE9" w14:textId="77777777" w:rsidR="00F4763B" w:rsidRPr="004969EF" w:rsidRDefault="00F4763B" w:rsidP="004969EF">
            <w:pPr>
              <w:spacing w:line="360" w:lineRule="auto"/>
              <w:jc w:val="both"/>
              <w:rPr>
                <w:rFonts w:ascii="Arial" w:hAnsi="Arial" w:cs="Arial"/>
                <w:sz w:val="22"/>
                <w:szCs w:val="22"/>
              </w:rPr>
            </w:pPr>
            <w:hyperlink r:id="rId70" w:history="1">
              <w:r w:rsidRPr="004969EF">
                <w:rPr>
                  <w:rStyle w:val="Hyperlink"/>
                  <w:rFonts w:ascii="Arial" w:hAnsi="Arial" w:cs="Arial"/>
                  <w:sz w:val="22"/>
                  <w:szCs w:val="22"/>
                </w:rPr>
                <w:t>https://doi.org/10.1080/13632752.2021.1965342</w:t>
              </w:r>
            </w:hyperlink>
            <w:r w:rsidRPr="004969EF">
              <w:rPr>
                <w:rFonts w:ascii="Arial" w:hAnsi="Arial" w:cs="Arial"/>
                <w:sz w:val="22"/>
                <w:szCs w:val="22"/>
              </w:rPr>
              <w:t xml:space="preserve">. </w:t>
            </w:r>
          </w:p>
        </w:tc>
        <w:tc>
          <w:tcPr>
            <w:tcW w:w="3197" w:type="dxa"/>
          </w:tcPr>
          <w:p w14:paraId="55B17279"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 xml:space="preserve">Shows that insufficient teacher training affects early recognition and referral decisions, contributing to </w:t>
            </w:r>
            <w:r w:rsidRPr="004969EF">
              <w:rPr>
                <w:rFonts w:ascii="Arial" w:hAnsi="Arial" w:cs="Arial"/>
                <w:sz w:val="22"/>
                <w:szCs w:val="22"/>
                <w:shd w:val="clear" w:color="auto" w:fill="FFFFFF"/>
              </w:rPr>
              <w:lastRenderedPageBreak/>
              <w:t>under-recognition in school settings.</w:t>
            </w:r>
          </w:p>
          <w:p w14:paraId="13816008" w14:textId="77777777" w:rsidR="00F4763B" w:rsidRPr="004969EF" w:rsidRDefault="00F4763B" w:rsidP="004969EF">
            <w:pPr>
              <w:spacing w:line="360" w:lineRule="auto"/>
              <w:jc w:val="both"/>
              <w:rPr>
                <w:rFonts w:ascii="Arial" w:hAnsi="Arial" w:cs="Arial"/>
                <w:sz w:val="22"/>
                <w:szCs w:val="22"/>
              </w:rPr>
            </w:pPr>
          </w:p>
        </w:tc>
      </w:tr>
      <w:tr w:rsidR="00F4763B" w:rsidRPr="004969EF" w14:paraId="6A6AB5D5" w14:textId="77777777" w:rsidTr="00DF75BF">
        <w:tc>
          <w:tcPr>
            <w:tcW w:w="938" w:type="dxa"/>
          </w:tcPr>
          <w:p w14:paraId="729B3C76"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lastRenderedPageBreak/>
              <w:t>Yes</w:t>
            </w:r>
          </w:p>
        </w:tc>
        <w:tc>
          <w:tcPr>
            <w:tcW w:w="1472" w:type="dxa"/>
          </w:tcPr>
          <w:p w14:paraId="486B78F9"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000000"/>
                <w:sz w:val="22"/>
                <w:szCs w:val="22"/>
              </w:rPr>
              <w:t>(Young et al., 2021)</w:t>
            </w:r>
          </w:p>
          <w:p w14:paraId="5E0CB6E8" w14:textId="77777777" w:rsidR="00F4763B" w:rsidRPr="004969EF" w:rsidRDefault="00F4763B" w:rsidP="004969EF">
            <w:pPr>
              <w:spacing w:line="360" w:lineRule="auto"/>
              <w:jc w:val="both"/>
              <w:rPr>
                <w:rFonts w:ascii="Arial" w:hAnsi="Arial" w:cs="Arial"/>
                <w:color w:val="222222"/>
                <w:sz w:val="22"/>
                <w:szCs w:val="22"/>
                <w:shd w:val="clear" w:color="auto" w:fill="FFFFFF"/>
              </w:rPr>
            </w:pPr>
          </w:p>
        </w:tc>
        <w:tc>
          <w:tcPr>
            <w:tcW w:w="1830" w:type="dxa"/>
          </w:tcPr>
          <w:p w14:paraId="28D1C2F1"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 xml:space="preserve">Failure of Healthcare Provision for Attention-Deficit/Hyperactivity Disorder in the United </w:t>
            </w:r>
            <w:r w:rsidRPr="004969EF">
              <w:rPr>
                <w:rFonts w:ascii="Arial" w:hAnsi="Arial" w:cs="Arial"/>
                <w:sz w:val="22"/>
                <w:szCs w:val="22"/>
              </w:rPr>
              <w:lastRenderedPageBreak/>
              <w:t>Kingdom: A Consensus Statement</w:t>
            </w:r>
          </w:p>
          <w:p w14:paraId="1230572B" w14:textId="77777777" w:rsidR="00F4763B" w:rsidRPr="004969EF" w:rsidRDefault="00F4763B" w:rsidP="004969EF">
            <w:pPr>
              <w:spacing w:line="360" w:lineRule="auto"/>
              <w:jc w:val="both"/>
              <w:rPr>
                <w:rFonts w:ascii="Arial" w:hAnsi="Arial" w:cs="Arial"/>
                <w:color w:val="1B1B1B"/>
                <w:sz w:val="22"/>
                <w:szCs w:val="22"/>
              </w:rPr>
            </w:pPr>
          </w:p>
        </w:tc>
        <w:tc>
          <w:tcPr>
            <w:tcW w:w="1736" w:type="dxa"/>
          </w:tcPr>
          <w:p w14:paraId="638CC843"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color w:val="222222"/>
                <w:sz w:val="22"/>
                <w:szCs w:val="22"/>
              </w:rPr>
              <w:lastRenderedPageBreak/>
              <w:t xml:space="preserve">Consensus statement from 24 UK ADHD experts summarising failures in ADHD </w:t>
            </w:r>
            <w:r w:rsidRPr="004969EF">
              <w:rPr>
                <w:rFonts w:ascii="Arial" w:hAnsi="Arial" w:cs="Arial"/>
                <w:color w:val="222222"/>
                <w:sz w:val="22"/>
                <w:szCs w:val="22"/>
              </w:rPr>
              <w:lastRenderedPageBreak/>
              <w:t>healthcare, including long waiting times and inconsistent services across local areas.</w:t>
            </w:r>
          </w:p>
        </w:tc>
        <w:tc>
          <w:tcPr>
            <w:tcW w:w="2064" w:type="dxa"/>
          </w:tcPr>
          <w:p w14:paraId="2AEBA2A9"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Currency:</w:t>
            </w:r>
            <w:r w:rsidRPr="004969EF">
              <w:rPr>
                <w:rFonts w:ascii="Arial" w:hAnsi="Arial" w:cs="Arial"/>
                <w:color w:val="222222"/>
                <w:sz w:val="22"/>
                <w:szCs w:val="22"/>
              </w:rPr>
              <w:t xml:space="preserve"> 2021</w:t>
            </w:r>
          </w:p>
          <w:p w14:paraId="2CCBEB96"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Specifies expert consensus on systemic failures</w:t>
            </w:r>
          </w:p>
          <w:p w14:paraId="2619AA31"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w:t>
            </w:r>
            <w:r w:rsidRPr="004969EF">
              <w:rPr>
                <w:rFonts w:ascii="Arial" w:hAnsi="Arial" w:cs="Arial"/>
                <w:color w:val="222222"/>
                <w:sz w:val="22"/>
                <w:szCs w:val="22"/>
              </w:rPr>
              <w:lastRenderedPageBreak/>
              <w:t>Frontiers in Psychiatry; authors are 24 UK ADHD experts including clinicians, academics, and representatives from ADHD Foundation, UKAP, and UKAAN</w:t>
            </w:r>
          </w:p>
          <w:p w14:paraId="41A2E554"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Expert consensus statement based on consensus meeting; 24 expert participants; supported by research literature</w:t>
            </w:r>
          </w:p>
          <w:p w14:paraId="2144A4F4"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highlight systemic gaps in ADHD </w:t>
            </w:r>
            <w:r w:rsidRPr="004969EF">
              <w:rPr>
                <w:rFonts w:ascii="Arial" w:hAnsi="Arial" w:cs="Arial"/>
                <w:color w:val="222222"/>
                <w:sz w:val="22"/>
                <w:szCs w:val="22"/>
              </w:rPr>
              <w:lastRenderedPageBreak/>
              <w:t>service provision across the UK and recommend solutions</w:t>
            </w:r>
          </w:p>
        </w:tc>
        <w:tc>
          <w:tcPr>
            <w:tcW w:w="4009" w:type="dxa"/>
          </w:tcPr>
          <w:p w14:paraId="6178EB85" w14:textId="77777777" w:rsidR="00F4763B" w:rsidRPr="004969EF" w:rsidRDefault="00F4763B" w:rsidP="004969EF">
            <w:pPr>
              <w:spacing w:line="360" w:lineRule="auto"/>
              <w:jc w:val="both"/>
              <w:rPr>
                <w:rFonts w:ascii="Arial" w:hAnsi="Arial" w:cs="Arial"/>
                <w:color w:val="000000"/>
                <w:sz w:val="22"/>
                <w:szCs w:val="22"/>
              </w:rPr>
            </w:pPr>
            <w:hyperlink r:id="rId71" w:history="1">
              <w:r w:rsidRPr="004969EF">
                <w:rPr>
                  <w:rStyle w:val="Hyperlink"/>
                  <w:rFonts w:ascii="Arial" w:hAnsi="Arial" w:cs="Arial"/>
                  <w:sz w:val="22"/>
                  <w:szCs w:val="22"/>
                </w:rPr>
                <w:t>https://doi.org/10.3389/fpsyt.2021.649399</w:t>
              </w:r>
            </w:hyperlink>
            <w:r w:rsidRPr="004969EF">
              <w:rPr>
                <w:rFonts w:ascii="Arial" w:hAnsi="Arial" w:cs="Arial"/>
                <w:color w:val="000000"/>
                <w:sz w:val="22"/>
                <w:szCs w:val="22"/>
              </w:rPr>
              <w:t xml:space="preserve">. </w:t>
            </w:r>
          </w:p>
          <w:p w14:paraId="76F04712" w14:textId="77777777" w:rsidR="00F4763B" w:rsidRPr="004969EF" w:rsidRDefault="00F4763B" w:rsidP="004969EF">
            <w:pPr>
              <w:spacing w:line="360" w:lineRule="auto"/>
              <w:jc w:val="both"/>
              <w:rPr>
                <w:rFonts w:ascii="Arial" w:hAnsi="Arial" w:cs="Arial"/>
                <w:color w:val="222222"/>
                <w:sz w:val="22"/>
                <w:szCs w:val="22"/>
              </w:rPr>
            </w:pPr>
          </w:p>
        </w:tc>
        <w:tc>
          <w:tcPr>
            <w:tcW w:w="3197" w:type="dxa"/>
          </w:tcPr>
          <w:p w14:paraId="7AE3841B"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 xml:space="preserve">Shows how system-level and local authority failures, including long waiting times, inconsistent services, and postcode lottery, contribute to delays and missed diagnoses, </w:t>
            </w:r>
            <w:r w:rsidRPr="004969EF">
              <w:rPr>
                <w:rFonts w:ascii="Arial" w:hAnsi="Arial" w:cs="Arial"/>
                <w:color w:val="222222"/>
                <w:sz w:val="22"/>
                <w:szCs w:val="22"/>
                <w:shd w:val="clear" w:color="auto" w:fill="FFFFFF"/>
              </w:rPr>
              <w:lastRenderedPageBreak/>
              <w:t>disproportionately affecting minority families.</w:t>
            </w:r>
          </w:p>
          <w:p w14:paraId="055008B5" w14:textId="77777777" w:rsidR="00F4763B" w:rsidRPr="004969EF" w:rsidRDefault="00F4763B" w:rsidP="004969EF">
            <w:pPr>
              <w:spacing w:line="360" w:lineRule="auto"/>
              <w:jc w:val="both"/>
              <w:rPr>
                <w:rFonts w:ascii="Arial" w:hAnsi="Arial" w:cs="Arial"/>
                <w:color w:val="222222"/>
                <w:sz w:val="22"/>
                <w:szCs w:val="22"/>
                <w:shd w:val="clear" w:color="auto" w:fill="FFFFFF"/>
              </w:rPr>
            </w:pPr>
          </w:p>
        </w:tc>
      </w:tr>
      <w:tr w:rsidR="00F4763B" w:rsidRPr="004969EF" w14:paraId="286B19E9" w14:textId="77777777" w:rsidTr="00DF75BF">
        <w:tc>
          <w:tcPr>
            <w:tcW w:w="938" w:type="dxa"/>
          </w:tcPr>
          <w:p w14:paraId="1ACEA16B"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lastRenderedPageBreak/>
              <w:t>Yes</w:t>
            </w:r>
          </w:p>
        </w:tc>
        <w:tc>
          <w:tcPr>
            <w:tcW w:w="1472" w:type="dxa"/>
          </w:tcPr>
          <w:p w14:paraId="04135513" w14:textId="77777777" w:rsidR="00F4763B" w:rsidRPr="004969EF" w:rsidRDefault="00F4763B" w:rsidP="004969EF">
            <w:pPr>
              <w:spacing w:line="360" w:lineRule="auto"/>
              <w:jc w:val="both"/>
              <w:rPr>
                <w:rFonts w:ascii="Arial" w:hAnsi="Arial" w:cs="Arial"/>
                <w:sz w:val="22"/>
                <w:szCs w:val="22"/>
              </w:rPr>
            </w:pPr>
            <w:proofErr w:type="spellStart"/>
            <w:r w:rsidRPr="004969EF">
              <w:rPr>
                <w:rFonts w:ascii="Arial" w:hAnsi="Arial" w:cs="Arial"/>
                <w:color w:val="222222"/>
                <w:sz w:val="22"/>
                <w:szCs w:val="22"/>
                <w:shd w:val="clear" w:color="auto" w:fill="FFFFFF"/>
              </w:rPr>
              <w:t>Aldabbagh</w:t>
            </w:r>
            <w:proofErr w:type="spellEnd"/>
            <w:r w:rsidRPr="004969EF">
              <w:rPr>
                <w:rFonts w:ascii="Arial" w:hAnsi="Arial" w:cs="Arial"/>
                <w:color w:val="222222"/>
                <w:sz w:val="22"/>
                <w:szCs w:val="22"/>
                <w:shd w:val="clear" w:color="auto" w:fill="FFFFFF"/>
              </w:rPr>
              <w:t xml:space="preserve"> et al. (2024)</w:t>
            </w:r>
          </w:p>
        </w:tc>
        <w:tc>
          <w:tcPr>
            <w:tcW w:w="1830" w:type="dxa"/>
          </w:tcPr>
          <w:p w14:paraId="74B36D27" w14:textId="77777777" w:rsidR="00F4763B" w:rsidRPr="004969EF" w:rsidRDefault="00F4763B" w:rsidP="004969EF">
            <w:pPr>
              <w:spacing w:line="360" w:lineRule="auto"/>
              <w:jc w:val="both"/>
              <w:rPr>
                <w:rFonts w:ascii="Arial" w:hAnsi="Arial" w:cs="Arial"/>
                <w:b/>
                <w:bCs/>
                <w:color w:val="1B1B1B"/>
                <w:sz w:val="22"/>
                <w:szCs w:val="22"/>
              </w:rPr>
            </w:pPr>
            <w:r w:rsidRPr="004969EF">
              <w:rPr>
                <w:rFonts w:ascii="Arial" w:hAnsi="Arial" w:cs="Arial"/>
                <w:color w:val="1B1B1B"/>
                <w:sz w:val="22"/>
                <w:szCs w:val="22"/>
              </w:rPr>
              <w:t>Exploring the Unmet Needs of Teachers of Young Children with ADHD Symptoms: A Qualitative Study</w:t>
            </w:r>
          </w:p>
          <w:p w14:paraId="226F544D" w14:textId="77777777" w:rsidR="00F4763B" w:rsidRPr="004969EF" w:rsidRDefault="00F4763B" w:rsidP="004969EF">
            <w:pPr>
              <w:spacing w:line="360" w:lineRule="auto"/>
              <w:jc w:val="both"/>
              <w:rPr>
                <w:rFonts w:ascii="Arial" w:hAnsi="Arial" w:cs="Arial"/>
                <w:b/>
                <w:bCs/>
                <w:sz w:val="22"/>
                <w:szCs w:val="22"/>
              </w:rPr>
            </w:pPr>
          </w:p>
        </w:tc>
        <w:tc>
          <w:tcPr>
            <w:tcW w:w="1736" w:type="dxa"/>
          </w:tcPr>
          <w:p w14:paraId="2401CD70"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Qualitative study identifying gaps in teacher support and training when managing ADHD in classrooms.</w:t>
            </w:r>
          </w:p>
          <w:p w14:paraId="743315C1" w14:textId="77777777" w:rsidR="00F4763B" w:rsidRPr="004969EF" w:rsidRDefault="00F4763B" w:rsidP="004969EF">
            <w:pPr>
              <w:spacing w:line="360" w:lineRule="auto"/>
              <w:jc w:val="both"/>
              <w:rPr>
                <w:rFonts w:ascii="Arial" w:hAnsi="Arial" w:cs="Arial"/>
                <w:color w:val="222222"/>
                <w:sz w:val="22"/>
                <w:szCs w:val="22"/>
                <w:shd w:val="clear" w:color="auto" w:fill="FFFFFF"/>
              </w:rPr>
            </w:pPr>
          </w:p>
        </w:tc>
        <w:tc>
          <w:tcPr>
            <w:tcW w:w="2064" w:type="dxa"/>
          </w:tcPr>
          <w:p w14:paraId="66D685AC"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CURRENCY:</w:t>
            </w:r>
            <w:r w:rsidRPr="004969EF">
              <w:rPr>
                <w:rFonts w:ascii="Arial" w:hAnsi="Arial" w:cs="Arial"/>
                <w:color w:val="222222"/>
                <w:sz w:val="22"/>
                <w:szCs w:val="22"/>
              </w:rPr>
              <w:t xml:space="preserve"> 2024</w:t>
            </w:r>
          </w:p>
          <w:p w14:paraId="4ED2FB5D"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RELEVANCE:</w:t>
            </w:r>
            <w:r w:rsidRPr="004969EF">
              <w:rPr>
                <w:rFonts w:ascii="Arial" w:hAnsi="Arial" w:cs="Arial"/>
                <w:color w:val="222222"/>
                <w:sz w:val="22"/>
                <w:szCs w:val="22"/>
              </w:rPr>
              <w:t xml:space="preserve"> Relevant to school support systems</w:t>
            </w:r>
          </w:p>
          <w:p w14:paraId="0F01FD7F"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journal; authors are academics</w:t>
            </w:r>
          </w:p>
          <w:p w14:paraId="5A66BB64"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Qualitative study with teacher perspectives</w:t>
            </w:r>
          </w:p>
          <w:p w14:paraId="322FC565"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identify unmet needs in classrooms</w:t>
            </w:r>
          </w:p>
        </w:tc>
        <w:tc>
          <w:tcPr>
            <w:tcW w:w="4009" w:type="dxa"/>
          </w:tcPr>
          <w:p w14:paraId="6DB473E7" w14:textId="77777777" w:rsidR="00F4763B" w:rsidRPr="004969EF" w:rsidRDefault="00F4763B" w:rsidP="004969EF">
            <w:pPr>
              <w:spacing w:line="360" w:lineRule="auto"/>
              <w:jc w:val="both"/>
              <w:rPr>
                <w:rFonts w:ascii="Arial" w:hAnsi="Arial" w:cs="Arial"/>
                <w:color w:val="222222"/>
                <w:sz w:val="22"/>
                <w:szCs w:val="22"/>
              </w:rPr>
            </w:pPr>
            <w:hyperlink r:id="rId72" w:tgtFrame="_blank" w:history="1">
              <w:r w:rsidRPr="004969EF">
                <w:rPr>
                  <w:rStyle w:val="Hyperlink"/>
                  <w:rFonts w:ascii="Arial" w:hAnsi="Arial" w:cs="Arial"/>
                  <w:color w:val="1155CC"/>
                  <w:sz w:val="22"/>
                  <w:szCs w:val="22"/>
                </w:rPr>
                <w:t>https://doi.org/10.3390/children11091053</w:t>
              </w:r>
            </w:hyperlink>
            <w:r w:rsidRPr="004969EF">
              <w:rPr>
                <w:rFonts w:ascii="Segoe UI Symbol" w:hAnsi="Segoe UI Symbol" w:cs="Segoe UI Symbol"/>
                <w:color w:val="222222"/>
                <w:sz w:val="22"/>
                <w:szCs w:val="22"/>
              </w:rPr>
              <w:t>⁠</w:t>
            </w:r>
            <w:r w:rsidRPr="004969EF">
              <w:rPr>
                <w:rFonts w:ascii="Arial" w:hAnsi="Arial" w:cs="Arial"/>
                <w:color w:val="222222"/>
                <w:sz w:val="22"/>
                <w:szCs w:val="22"/>
              </w:rPr>
              <w:t>.</w:t>
            </w:r>
          </w:p>
        </w:tc>
        <w:tc>
          <w:tcPr>
            <w:tcW w:w="3197" w:type="dxa"/>
          </w:tcPr>
          <w:p w14:paraId="3ECF584F"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Highlights how lack of support and training for teachers contributes to delays in recognising ADHD symptoms in diverse classrooms.</w:t>
            </w:r>
          </w:p>
          <w:p w14:paraId="337B9E0D" w14:textId="77777777" w:rsidR="00F4763B" w:rsidRPr="004969EF" w:rsidRDefault="00F4763B" w:rsidP="004969EF">
            <w:pPr>
              <w:spacing w:line="360" w:lineRule="auto"/>
              <w:jc w:val="both"/>
              <w:rPr>
                <w:rStyle w:val="apple-converted-space"/>
                <w:rFonts w:ascii="Arial" w:hAnsi="Arial" w:cs="Arial"/>
                <w:color w:val="222222"/>
                <w:sz w:val="22"/>
                <w:szCs w:val="22"/>
                <w:shd w:val="clear" w:color="auto" w:fill="FFFFFF"/>
              </w:rPr>
            </w:pPr>
          </w:p>
        </w:tc>
      </w:tr>
      <w:tr w:rsidR="00F4763B" w:rsidRPr="004969EF" w14:paraId="4B36EC27" w14:textId="77777777" w:rsidTr="00DF75BF">
        <w:tc>
          <w:tcPr>
            <w:tcW w:w="938" w:type="dxa"/>
          </w:tcPr>
          <w:p w14:paraId="2FCDDA89"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sz w:val="22"/>
                <w:szCs w:val="22"/>
              </w:rPr>
              <w:t>Yes</w:t>
            </w:r>
          </w:p>
        </w:tc>
        <w:tc>
          <w:tcPr>
            <w:tcW w:w="1472" w:type="dxa"/>
          </w:tcPr>
          <w:p w14:paraId="074579E9"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McDougal et al. (2023)</w:t>
            </w:r>
          </w:p>
          <w:p w14:paraId="0F62A5B5" w14:textId="77777777" w:rsidR="00F4763B" w:rsidRPr="004969EF" w:rsidRDefault="00F4763B" w:rsidP="004969EF">
            <w:pPr>
              <w:spacing w:line="360" w:lineRule="auto"/>
              <w:jc w:val="both"/>
              <w:rPr>
                <w:rFonts w:ascii="Arial" w:hAnsi="Arial" w:cs="Arial"/>
                <w:color w:val="222222"/>
                <w:sz w:val="22"/>
                <w:szCs w:val="22"/>
                <w:shd w:val="clear" w:color="auto" w:fill="FFFFFF"/>
              </w:rPr>
            </w:pPr>
          </w:p>
        </w:tc>
        <w:tc>
          <w:tcPr>
            <w:tcW w:w="1830" w:type="dxa"/>
          </w:tcPr>
          <w:p w14:paraId="567BBDDC" w14:textId="77777777" w:rsidR="00F4763B" w:rsidRPr="004969EF" w:rsidRDefault="00F4763B" w:rsidP="004969EF">
            <w:pPr>
              <w:spacing w:line="360" w:lineRule="auto"/>
              <w:jc w:val="both"/>
              <w:rPr>
                <w:rFonts w:ascii="Arial" w:hAnsi="Arial" w:cs="Arial"/>
                <w:b/>
                <w:bCs/>
                <w:color w:val="1B1B1B"/>
                <w:sz w:val="22"/>
                <w:szCs w:val="22"/>
              </w:rPr>
            </w:pPr>
            <w:r w:rsidRPr="004969EF">
              <w:rPr>
                <w:rFonts w:ascii="Arial" w:hAnsi="Arial" w:cs="Arial"/>
                <w:color w:val="1B1B1B"/>
                <w:sz w:val="22"/>
                <w:szCs w:val="22"/>
              </w:rPr>
              <w:lastRenderedPageBreak/>
              <w:t xml:space="preserve">Understanding and Supporting </w:t>
            </w:r>
            <w:r w:rsidRPr="004969EF">
              <w:rPr>
                <w:rFonts w:ascii="Arial" w:hAnsi="Arial" w:cs="Arial"/>
                <w:color w:val="1B1B1B"/>
                <w:sz w:val="22"/>
                <w:szCs w:val="22"/>
              </w:rPr>
              <w:lastRenderedPageBreak/>
              <w:t>Attention Deficit Hyperactivity Disorder (ADHD) in the Primary School Classroom: Perspectives of Children with ADHD and their Teachers</w:t>
            </w:r>
          </w:p>
          <w:p w14:paraId="642F8819" w14:textId="77777777" w:rsidR="00F4763B" w:rsidRPr="004969EF" w:rsidRDefault="00F4763B" w:rsidP="004969EF">
            <w:pPr>
              <w:spacing w:line="360" w:lineRule="auto"/>
              <w:jc w:val="both"/>
              <w:rPr>
                <w:rFonts w:ascii="Arial" w:hAnsi="Arial" w:cs="Arial"/>
                <w:b/>
                <w:bCs/>
                <w:color w:val="1B1B1B"/>
                <w:sz w:val="22"/>
                <w:szCs w:val="22"/>
              </w:rPr>
            </w:pPr>
          </w:p>
        </w:tc>
        <w:tc>
          <w:tcPr>
            <w:tcW w:w="1736" w:type="dxa"/>
          </w:tcPr>
          <w:p w14:paraId="0E85057F"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lastRenderedPageBreak/>
              <w:t xml:space="preserve">Quantitative Data.  Explores </w:t>
            </w:r>
            <w:r w:rsidRPr="004969EF">
              <w:rPr>
                <w:rFonts w:ascii="Arial" w:hAnsi="Arial" w:cs="Arial"/>
                <w:color w:val="222222"/>
                <w:sz w:val="22"/>
                <w:szCs w:val="22"/>
                <w:shd w:val="clear" w:color="auto" w:fill="FFFFFF"/>
              </w:rPr>
              <w:lastRenderedPageBreak/>
              <w:t>classroom experiences of children and teachers managing ADHD</w:t>
            </w:r>
          </w:p>
        </w:tc>
        <w:tc>
          <w:tcPr>
            <w:tcW w:w="2064" w:type="dxa"/>
          </w:tcPr>
          <w:p w14:paraId="20308785"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CURRENCY:</w:t>
            </w:r>
            <w:r w:rsidRPr="004969EF">
              <w:rPr>
                <w:rFonts w:ascii="Arial" w:hAnsi="Arial" w:cs="Arial"/>
                <w:color w:val="222222"/>
                <w:sz w:val="22"/>
                <w:szCs w:val="22"/>
              </w:rPr>
              <w:t xml:space="preserve"> 2023 </w:t>
            </w:r>
          </w:p>
          <w:p w14:paraId="00CBBD81"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lastRenderedPageBreak/>
              <w:t>RELEVANCE:</w:t>
            </w:r>
            <w:r w:rsidRPr="004969EF">
              <w:rPr>
                <w:rFonts w:ascii="Arial" w:hAnsi="Arial" w:cs="Arial"/>
                <w:color w:val="222222"/>
                <w:sz w:val="22"/>
                <w:szCs w:val="22"/>
              </w:rPr>
              <w:t xml:space="preserve"> Relevant to classroom-level recognition</w:t>
            </w:r>
          </w:p>
          <w:p w14:paraId="2331BC95"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AUTHORITY:</w:t>
            </w:r>
            <w:r w:rsidRPr="004969EF">
              <w:rPr>
                <w:rFonts w:ascii="Arial" w:hAnsi="Arial" w:cs="Arial"/>
                <w:color w:val="222222"/>
                <w:sz w:val="22"/>
                <w:szCs w:val="22"/>
              </w:rPr>
              <w:t xml:space="preserve"> Peer-reviewed journal; authors are academics</w:t>
            </w:r>
          </w:p>
          <w:p w14:paraId="461C54E1"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ACCURACY:</w:t>
            </w:r>
            <w:r w:rsidRPr="004969EF">
              <w:rPr>
                <w:rFonts w:ascii="Arial" w:hAnsi="Arial" w:cs="Arial"/>
                <w:color w:val="222222"/>
                <w:sz w:val="22"/>
                <w:szCs w:val="22"/>
              </w:rPr>
              <w:t xml:space="preserve"> Mixed perspectives (children and teachers)</w:t>
            </w:r>
          </w:p>
          <w:p w14:paraId="47F11C49" w14:textId="77777777" w:rsidR="00F4763B" w:rsidRPr="004969EF" w:rsidRDefault="00F4763B" w:rsidP="004969EF">
            <w:pPr>
              <w:spacing w:line="360" w:lineRule="auto"/>
              <w:jc w:val="both"/>
              <w:rPr>
                <w:rFonts w:ascii="Arial" w:hAnsi="Arial" w:cs="Arial"/>
                <w:color w:val="222222"/>
                <w:sz w:val="22"/>
                <w:szCs w:val="22"/>
              </w:rPr>
            </w:pPr>
            <w:r w:rsidRPr="004969EF">
              <w:rPr>
                <w:rFonts w:ascii="Arial" w:hAnsi="Arial" w:cs="Arial"/>
                <w:b/>
                <w:bCs/>
                <w:color w:val="222222"/>
                <w:sz w:val="22"/>
                <w:szCs w:val="22"/>
              </w:rPr>
              <w:t>PURPOSE:</w:t>
            </w:r>
            <w:r w:rsidRPr="004969EF">
              <w:rPr>
                <w:rFonts w:ascii="Arial" w:hAnsi="Arial" w:cs="Arial"/>
                <w:color w:val="222222"/>
                <w:sz w:val="22"/>
                <w:szCs w:val="22"/>
              </w:rPr>
              <w:t xml:space="preserve"> To understand classroom experiences</w:t>
            </w:r>
          </w:p>
        </w:tc>
        <w:tc>
          <w:tcPr>
            <w:tcW w:w="4009" w:type="dxa"/>
          </w:tcPr>
          <w:p w14:paraId="07D6E4E7" w14:textId="77777777" w:rsidR="00F4763B" w:rsidRPr="004969EF" w:rsidRDefault="00F4763B" w:rsidP="004969EF">
            <w:pPr>
              <w:spacing w:line="360" w:lineRule="auto"/>
              <w:jc w:val="both"/>
              <w:rPr>
                <w:rFonts w:ascii="Arial" w:hAnsi="Arial" w:cs="Arial"/>
                <w:color w:val="222222"/>
                <w:sz w:val="22"/>
                <w:szCs w:val="22"/>
              </w:rPr>
            </w:pPr>
            <w:hyperlink r:id="rId73" w:tgtFrame="_blank" w:history="1">
              <w:r w:rsidRPr="004969EF">
                <w:rPr>
                  <w:rStyle w:val="Hyperlink"/>
                  <w:rFonts w:ascii="Arial" w:hAnsi="Arial" w:cs="Arial"/>
                  <w:color w:val="1155CC"/>
                  <w:sz w:val="22"/>
                  <w:szCs w:val="22"/>
                </w:rPr>
                <w:t>https://doi.org/10.1007/s10803-022-05639-3</w:t>
              </w:r>
            </w:hyperlink>
            <w:r w:rsidRPr="004969EF">
              <w:rPr>
                <w:rFonts w:ascii="Segoe UI Symbol" w:hAnsi="Segoe UI Symbol" w:cs="Segoe UI Symbol"/>
                <w:color w:val="222222"/>
                <w:sz w:val="22"/>
                <w:szCs w:val="22"/>
              </w:rPr>
              <w:t>⁠</w:t>
            </w:r>
            <w:r w:rsidRPr="004969EF">
              <w:rPr>
                <w:rFonts w:ascii="Arial" w:hAnsi="Arial" w:cs="Arial"/>
                <w:color w:val="222222"/>
                <w:sz w:val="22"/>
                <w:szCs w:val="22"/>
              </w:rPr>
              <w:t>.</w:t>
            </w:r>
          </w:p>
        </w:tc>
        <w:tc>
          <w:tcPr>
            <w:tcW w:w="3197" w:type="dxa"/>
          </w:tcPr>
          <w:p w14:paraId="5A18373A" w14:textId="77777777" w:rsidR="00F4763B" w:rsidRPr="004969EF" w:rsidRDefault="00F4763B" w:rsidP="004969EF">
            <w:pPr>
              <w:spacing w:line="360" w:lineRule="auto"/>
              <w:jc w:val="both"/>
              <w:rPr>
                <w:rFonts w:ascii="Arial" w:hAnsi="Arial" w:cs="Arial"/>
                <w:sz w:val="22"/>
                <w:szCs w:val="22"/>
              </w:rPr>
            </w:pPr>
            <w:r w:rsidRPr="004969EF">
              <w:rPr>
                <w:rFonts w:ascii="Arial" w:hAnsi="Arial" w:cs="Arial"/>
                <w:color w:val="222222"/>
                <w:sz w:val="22"/>
                <w:szCs w:val="22"/>
                <w:shd w:val="clear" w:color="auto" w:fill="FFFFFF"/>
              </w:rPr>
              <w:t xml:space="preserve">Shows how classroom experiences and teacher </w:t>
            </w:r>
            <w:r w:rsidRPr="004969EF">
              <w:rPr>
                <w:rFonts w:ascii="Arial" w:hAnsi="Arial" w:cs="Arial"/>
                <w:color w:val="222222"/>
                <w:sz w:val="22"/>
                <w:szCs w:val="22"/>
                <w:shd w:val="clear" w:color="auto" w:fill="FFFFFF"/>
              </w:rPr>
              <w:lastRenderedPageBreak/>
              <w:t>understanding shape recognition and support, influencing early identification.</w:t>
            </w:r>
          </w:p>
          <w:p w14:paraId="6E0B8695" w14:textId="77777777" w:rsidR="00F4763B" w:rsidRPr="004969EF" w:rsidRDefault="00F4763B" w:rsidP="004969EF">
            <w:pPr>
              <w:spacing w:line="360" w:lineRule="auto"/>
              <w:jc w:val="both"/>
              <w:rPr>
                <w:rFonts w:ascii="Arial" w:hAnsi="Arial" w:cs="Arial"/>
                <w:color w:val="222222"/>
                <w:sz w:val="22"/>
                <w:szCs w:val="22"/>
                <w:shd w:val="clear" w:color="auto" w:fill="FFFFFF"/>
              </w:rPr>
            </w:pPr>
          </w:p>
        </w:tc>
      </w:tr>
    </w:tbl>
    <w:p w14:paraId="150E6EE9" w14:textId="77777777" w:rsidR="00F4763B" w:rsidRPr="004969EF" w:rsidRDefault="00F4763B" w:rsidP="004969EF">
      <w:pPr>
        <w:spacing w:line="360" w:lineRule="auto"/>
        <w:jc w:val="both"/>
        <w:rPr>
          <w:rFonts w:ascii="Arial" w:hAnsi="Arial" w:cs="Arial"/>
          <w:sz w:val="22"/>
          <w:szCs w:val="22"/>
        </w:rPr>
      </w:pPr>
    </w:p>
    <w:p w14:paraId="0D5F3838" w14:textId="77777777" w:rsidR="008C38C3" w:rsidRPr="004969EF" w:rsidRDefault="008C38C3" w:rsidP="004969EF">
      <w:pPr>
        <w:spacing w:line="360" w:lineRule="auto"/>
        <w:jc w:val="both"/>
        <w:rPr>
          <w:rFonts w:ascii="Arial" w:hAnsi="Arial" w:cs="Arial"/>
          <w:sz w:val="22"/>
          <w:szCs w:val="22"/>
        </w:rPr>
      </w:pPr>
    </w:p>
    <w:p w14:paraId="438D3C08" w14:textId="77777777" w:rsidR="008C38C3" w:rsidRPr="004969EF" w:rsidRDefault="008C38C3" w:rsidP="004969EF">
      <w:pPr>
        <w:spacing w:line="360" w:lineRule="auto"/>
        <w:jc w:val="both"/>
        <w:rPr>
          <w:rFonts w:ascii="Arial" w:hAnsi="Arial" w:cs="Arial"/>
          <w:sz w:val="22"/>
          <w:szCs w:val="22"/>
        </w:rPr>
      </w:pPr>
    </w:p>
    <w:p w14:paraId="70C7CA0C" w14:textId="741ED95B" w:rsidR="008C38C3" w:rsidRPr="004969EF" w:rsidRDefault="008C38C3" w:rsidP="004969EF">
      <w:pPr>
        <w:spacing w:line="360" w:lineRule="auto"/>
        <w:jc w:val="both"/>
        <w:rPr>
          <w:rFonts w:ascii="Arial" w:hAnsi="Arial" w:cs="Arial"/>
          <w:sz w:val="22"/>
          <w:szCs w:val="22"/>
        </w:rPr>
      </w:pPr>
    </w:p>
    <w:p w14:paraId="5E8576FC" w14:textId="4132965C" w:rsidR="002B7D37" w:rsidRPr="004969EF" w:rsidRDefault="002B7D37" w:rsidP="004969EF">
      <w:pPr>
        <w:spacing w:line="360" w:lineRule="auto"/>
        <w:jc w:val="both"/>
        <w:rPr>
          <w:rFonts w:ascii="Arial" w:hAnsi="Arial" w:cs="Arial"/>
          <w:sz w:val="22"/>
          <w:szCs w:val="22"/>
        </w:rPr>
      </w:pPr>
    </w:p>
    <w:p w14:paraId="623EBC5C" w14:textId="72C164E7" w:rsidR="002B7D37" w:rsidRPr="004969EF" w:rsidRDefault="002B7D37" w:rsidP="004969EF">
      <w:pPr>
        <w:pStyle w:val="Heading1"/>
        <w:spacing w:line="360" w:lineRule="auto"/>
        <w:ind w:left="0"/>
        <w:jc w:val="both"/>
        <w:rPr>
          <w:rFonts w:cs="Arial"/>
          <w:sz w:val="22"/>
          <w:szCs w:val="22"/>
        </w:rPr>
      </w:pPr>
      <w:bookmarkStart w:id="27" w:name="_6.2.2_–_Appendix"/>
      <w:bookmarkStart w:id="28" w:name="_Toc226379383"/>
      <w:bookmarkEnd w:id="27"/>
      <w:r w:rsidRPr="004969EF">
        <w:rPr>
          <w:rFonts w:cs="Arial"/>
          <w:sz w:val="22"/>
          <w:szCs w:val="22"/>
        </w:rPr>
        <w:t>6.2</w:t>
      </w:r>
      <w:r w:rsidR="00F26E91" w:rsidRPr="004969EF">
        <w:rPr>
          <w:rFonts w:cs="Arial"/>
          <w:sz w:val="22"/>
          <w:szCs w:val="22"/>
        </w:rPr>
        <w:t>.2</w:t>
      </w:r>
      <w:r w:rsidRPr="004969EF">
        <w:rPr>
          <w:rFonts w:cs="Arial"/>
          <w:sz w:val="22"/>
          <w:szCs w:val="22"/>
        </w:rPr>
        <w:t xml:space="preserve"> – Appendix B</w:t>
      </w:r>
      <w:bookmarkEnd w:id="28"/>
    </w:p>
    <w:p w14:paraId="0678C589" w14:textId="1BCCF9FA" w:rsidR="002B7D37" w:rsidRPr="004969EF" w:rsidRDefault="002B7D37" w:rsidP="004969EF">
      <w:pPr>
        <w:spacing w:line="360" w:lineRule="auto"/>
        <w:jc w:val="both"/>
        <w:rPr>
          <w:rFonts w:ascii="Arial" w:hAnsi="Arial" w:cs="Arial"/>
          <w:sz w:val="22"/>
          <w:szCs w:val="22"/>
        </w:rPr>
      </w:pPr>
    </w:p>
    <w:p w14:paraId="622E9C53" w14:textId="77777777" w:rsidR="002B7D37" w:rsidRPr="004969EF" w:rsidRDefault="002B7D37" w:rsidP="004969EF">
      <w:pPr>
        <w:spacing w:line="360" w:lineRule="auto"/>
        <w:jc w:val="both"/>
        <w:rPr>
          <w:rFonts w:ascii="Arial" w:hAnsi="Arial" w:cs="Arial"/>
          <w:b/>
          <w:bCs/>
          <w:sz w:val="22"/>
          <w:szCs w:val="22"/>
          <w:u w:val="single"/>
        </w:rPr>
      </w:pPr>
      <w:r w:rsidRPr="004969EF">
        <w:rPr>
          <w:rFonts w:ascii="Arial" w:hAnsi="Arial" w:cs="Arial"/>
          <w:b/>
          <w:bCs/>
          <w:sz w:val="22"/>
          <w:szCs w:val="22"/>
          <w:u w:val="single"/>
        </w:rPr>
        <w:lastRenderedPageBreak/>
        <w:t>BMHP6020 Independent Project Results Summary Table</w:t>
      </w:r>
    </w:p>
    <w:tbl>
      <w:tblPr>
        <w:tblStyle w:val="TableGrid"/>
        <w:tblpPr w:leftFromText="180" w:rightFromText="180" w:vertAnchor="text" w:horzAnchor="margin" w:tblpY="252"/>
        <w:tblW w:w="15209" w:type="dxa"/>
        <w:tblLayout w:type="fixed"/>
        <w:tblLook w:val="04A0" w:firstRow="1" w:lastRow="0" w:firstColumn="1" w:lastColumn="0" w:noHBand="0" w:noVBand="1"/>
      </w:tblPr>
      <w:tblGrid>
        <w:gridCol w:w="1864"/>
        <w:gridCol w:w="2426"/>
        <w:gridCol w:w="1615"/>
        <w:gridCol w:w="1808"/>
        <w:gridCol w:w="2190"/>
        <w:gridCol w:w="1657"/>
        <w:gridCol w:w="2226"/>
        <w:gridCol w:w="1423"/>
      </w:tblGrid>
      <w:tr w:rsidR="002B7D37" w:rsidRPr="004969EF" w14:paraId="34CED536" w14:textId="77777777" w:rsidTr="002B7D37">
        <w:trPr>
          <w:trHeight w:val="557"/>
        </w:trPr>
        <w:tc>
          <w:tcPr>
            <w:tcW w:w="1864" w:type="dxa"/>
          </w:tcPr>
          <w:p w14:paraId="312FF47E"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rPr>
              <w:t>Author &amp; Year</w:t>
            </w:r>
          </w:p>
        </w:tc>
        <w:tc>
          <w:tcPr>
            <w:tcW w:w="2426" w:type="dxa"/>
          </w:tcPr>
          <w:p w14:paraId="17C36589"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rPr>
              <w:t>Article Title</w:t>
            </w:r>
          </w:p>
        </w:tc>
        <w:tc>
          <w:tcPr>
            <w:tcW w:w="1615" w:type="dxa"/>
          </w:tcPr>
          <w:p w14:paraId="3E1AF17E"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rPr>
              <w:t>Type of Study</w:t>
            </w:r>
          </w:p>
        </w:tc>
        <w:tc>
          <w:tcPr>
            <w:tcW w:w="1808" w:type="dxa"/>
          </w:tcPr>
          <w:p w14:paraId="2AAF3582"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rPr>
              <w:t>Research Method &amp; Sample Size</w:t>
            </w:r>
          </w:p>
        </w:tc>
        <w:tc>
          <w:tcPr>
            <w:tcW w:w="2190" w:type="dxa"/>
          </w:tcPr>
          <w:p w14:paraId="1EA481B0"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rPr>
              <w:t>Strengths &amp; Limitations</w:t>
            </w:r>
          </w:p>
        </w:tc>
        <w:tc>
          <w:tcPr>
            <w:tcW w:w="1657" w:type="dxa"/>
          </w:tcPr>
          <w:p w14:paraId="280FFF07"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rPr>
              <w:t>Main Findings</w:t>
            </w:r>
          </w:p>
        </w:tc>
        <w:tc>
          <w:tcPr>
            <w:tcW w:w="2226" w:type="dxa"/>
          </w:tcPr>
          <w:p w14:paraId="08B76AF7"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rPr>
              <w:t>Keywords &amp; Codes</w:t>
            </w:r>
          </w:p>
        </w:tc>
        <w:tc>
          <w:tcPr>
            <w:tcW w:w="1423" w:type="dxa"/>
          </w:tcPr>
          <w:p w14:paraId="7F8F3AC7"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rPr>
              <w:t>Notes and Comments</w:t>
            </w:r>
          </w:p>
        </w:tc>
      </w:tr>
      <w:tr w:rsidR="002B7D37" w:rsidRPr="004969EF" w14:paraId="2EC1C8DD" w14:textId="77777777" w:rsidTr="002B7D37">
        <w:trPr>
          <w:trHeight w:val="642"/>
        </w:trPr>
        <w:tc>
          <w:tcPr>
            <w:tcW w:w="1864" w:type="dxa"/>
          </w:tcPr>
          <w:p w14:paraId="7DD64843" w14:textId="77777777" w:rsidR="002B7D37" w:rsidRPr="004969EF" w:rsidRDefault="002B7D37" w:rsidP="004969EF">
            <w:pPr>
              <w:spacing w:line="360" w:lineRule="auto"/>
              <w:jc w:val="both"/>
              <w:rPr>
                <w:rFonts w:ascii="Arial" w:hAnsi="Arial" w:cs="Arial"/>
                <w:b/>
                <w:bCs/>
                <w:sz w:val="22"/>
                <w:szCs w:val="22"/>
              </w:rPr>
            </w:pPr>
            <w:proofErr w:type="spellStart"/>
            <w:r w:rsidRPr="004969EF">
              <w:rPr>
                <w:rFonts w:ascii="Arial" w:hAnsi="Arial" w:cs="Arial"/>
                <w:b/>
                <w:bCs/>
                <w:sz w:val="22"/>
                <w:szCs w:val="22"/>
                <w:shd w:val="clear" w:color="auto" w:fill="FFFFFF"/>
              </w:rPr>
              <w:t>Aldabbagh</w:t>
            </w:r>
            <w:proofErr w:type="spellEnd"/>
            <w:r w:rsidRPr="004969EF">
              <w:rPr>
                <w:rFonts w:ascii="Arial" w:hAnsi="Arial" w:cs="Arial"/>
                <w:b/>
                <w:bCs/>
                <w:sz w:val="22"/>
                <w:szCs w:val="22"/>
                <w:shd w:val="clear" w:color="auto" w:fill="FFFFFF"/>
              </w:rPr>
              <w:t xml:space="preserve"> et al. (2024) </w:t>
            </w:r>
          </w:p>
        </w:tc>
        <w:tc>
          <w:tcPr>
            <w:tcW w:w="2426" w:type="dxa"/>
          </w:tcPr>
          <w:p w14:paraId="209F35C4"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Exploring the Unmet Needs of Teachers of Young Children with ADHD Symptoms: A Qualitative Study</w:t>
            </w:r>
          </w:p>
          <w:p w14:paraId="16DE6AC2" w14:textId="77777777" w:rsidR="002B7D37" w:rsidRPr="004969EF" w:rsidRDefault="002B7D37" w:rsidP="004969EF">
            <w:pPr>
              <w:spacing w:line="360" w:lineRule="auto"/>
              <w:jc w:val="both"/>
              <w:rPr>
                <w:rFonts w:ascii="Arial" w:hAnsi="Arial" w:cs="Arial"/>
                <w:sz w:val="22"/>
                <w:szCs w:val="22"/>
              </w:rPr>
            </w:pPr>
          </w:p>
        </w:tc>
        <w:tc>
          <w:tcPr>
            <w:tcW w:w="1615" w:type="dxa"/>
          </w:tcPr>
          <w:p w14:paraId="6DB2640C"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Qualitative study</w:t>
            </w:r>
          </w:p>
        </w:tc>
        <w:tc>
          <w:tcPr>
            <w:tcW w:w="1808" w:type="dxa"/>
          </w:tcPr>
          <w:p w14:paraId="6FB51CD0" w14:textId="77777777" w:rsidR="002B7D37" w:rsidRPr="004969EF" w:rsidRDefault="002B7D37" w:rsidP="004969EF">
            <w:pPr>
              <w:spacing w:line="360" w:lineRule="auto"/>
              <w:jc w:val="both"/>
              <w:rPr>
                <w:rFonts w:ascii="Arial" w:hAnsi="Arial" w:cs="Arial"/>
                <w:sz w:val="22"/>
                <w:szCs w:val="22"/>
                <w:shd w:val="clear" w:color="auto" w:fill="FFFFFF"/>
              </w:rPr>
            </w:pPr>
            <w:r w:rsidRPr="004969EF">
              <w:rPr>
                <w:rFonts w:ascii="Arial" w:hAnsi="Arial" w:cs="Arial"/>
                <w:sz w:val="22"/>
                <w:szCs w:val="22"/>
                <w:shd w:val="clear" w:color="auto" w:fill="FFFFFF"/>
              </w:rPr>
              <w:t>Semi-structured interviews with 17 teachers from nine schools were recruited for the study</w:t>
            </w:r>
          </w:p>
        </w:tc>
        <w:tc>
          <w:tcPr>
            <w:tcW w:w="2190" w:type="dxa"/>
          </w:tcPr>
          <w:p w14:paraId="121F4C87"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Strengths: Interviews give a detailed view of teacher experiences. </w:t>
            </w:r>
          </w:p>
          <w:p w14:paraId="55C79F59"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Limitations: Small sample from one faith school. Only one male teacher. Lacks demographic data.</w:t>
            </w:r>
          </w:p>
        </w:tc>
        <w:tc>
          <w:tcPr>
            <w:tcW w:w="1657" w:type="dxa"/>
          </w:tcPr>
          <w:p w14:paraId="6638FE09"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Teachers label children as naughty instead of investigating cause. Teachers stigmatise children. Teachers lack training. Teachers are overwhelmed. Teachers have limited support.</w:t>
            </w:r>
          </w:p>
        </w:tc>
        <w:tc>
          <w:tcPr>
            <w:tcW w:w="2226" w:type="dxa"/>
          </w:tcPr>
          <w:p w14:paraId="33767DE8"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labelling, stigmatising, lack training, overwhelmed, limited support, conclusion, negative, achievement administrative support struggle, security loneliness  </w:t>
            </w:r>
          </w:p>
        </w:tc>
        <w:tc>
          <w:tcPr>
            <w:tcW w:w="1423" w:type="dxa"/>
          </w:tcPr>
          <w:p w14:paraId="63C8F091" w14:textId="77777777" w:rsidR="002B7D37" w:rsidRPr="004969EF" w:rsidRDefault="002B7D37" w:rsidP="004969EF">
            <w:pPr>
              <w:spacing w:line="360" w:lineRule="auto"/>
              <w:jc w:val="both"/>
              <w:rPr>
                <w:rFonts w:ascii="Arial" w:hAnsi="Arial" w:cs="Arial"/>
                <w:sz w:val="22"/>
                <w:szCs w:val="22"/>
              </w:rPr>
            </w:pPr>
          </w:p>
        </w:tc>
      </w:tr>
      <w:tr w:rsidR="002B7D37" w:rsidRPr="004969EF" w14:paraId="53658A33" w14:textId="77777777" w:rsidTr="002B7D37">
        <w:trPr>
          <w:trHeight w:val="610"/>
        </w:trPr>
        <w:tc>
          <w:tcPr>
            <w:tcW w:w="1864" w:type="dxa"/>
          </w:tcPr>
          <w:p w14:paraId="5B43861F" w14:textId="77777777" w:rsidR="002B7D37" w:rsidRPr="004969EF" w:rsidRDefault="002B7D37" w:rsidP="004969EF">
            <w:pPr>
              <w:spacing w:line="360" w:lineRule="auto"/>
              <w:jc w:val="both"/>
              <w:rPr>
                <w:rFonts w:ascii="Arial" w:hAnsi="Arial" w:cs="Arial"/>
                <w:b/>
                <w:bCs/>
                <w:sz w:val="22"/>
                <w:szCs w:val="22"/>
              </w:rPr>
            </w:pPr>
            <w:r w:rsidRPr="004969EF">
              <w:rPr>
                <w:rStyle w:val="apple-converted-space"/>
                <w:rFonts w:ascii="Arial" w:eastAsia="Calibri Light" w:hAnsi="Arial" w:cs="Arial"/>
                <w:bCs/>
                <w:sz w:val="22"/>
                <w:szCs w:val="22"/>
                <w:shd w:val="clear" w:color="auto" w:fill="FFFFFF"/>
              </w:rPr>
              <w:t> </w:t>
            </w:r>
            <w:proofErr w:type="spellStart"/>
            <w:r w:rsidRPr="004969EF">
              <w:rPr>
                <w:rFonts w:ascii="Arial" w:hAnsi="Arial" w:cs="Arial"/>
                <w:b/>
                <w:bCs/>
                <w:sz w:val="22"/>
                <w:szCs w:val="22"/>
                <w:shd w:val="clear" w:color="auto" w:fill="FFFFFF"/>
              </w:rPr>
              <w:t>Barua</w:t>
            </w:r>
            <w:proofErr w:type="spellEnd"/>
            <w:r w:rsidRPr="004969EF">
              <w:rPr>
                <w:rFonts w:ascii="Arial" w:hAnsi="Arial" w:cs="Arial"/>
                <w:b/>
                <w:bCs/>
                <w:sz w:val="22"/>
                <w:szCs w:val="22"/>
                <w:shd w:val="clear" w:color="auto" w:fill="FFFFFF"/>
              </w:rPr>
              <w:t xml:space="preserve"> &amp; Maheshwari (2025)</w:t>
            </w:r>
          </w:p>
          <w:p w14:paraId="487D4A2C" w14:textId="77777777" w:rsidR="002B7D37" w:rsidRPr="004969EF" w:rsidRDefault="002B7D37" w:rsidP="004969EF">
            <w:pPr>
              <w:spacing w:line="360" w:lineRule="auto"/>
              <w:jc w:val="both"/>
              <w:rPr>
                <w:rFonts w:ascii="Arial" w:hAnsi="Arial" w:cs="Arial"/>
                <w:b/>
                <w:bCs/>
                <w:sz w:val="22"/>
                <w:szCs w:val="22"/>
              </w:rPr>
            </w:pPr>
          </w:p>
        </w:tc>
        <w:tc>
          <w:tcPr>
            <w:tcW w:w="2426" w:type="dxa"/>
          </w:tcPr>
          <w:p w14:paraId="09935DF1"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lastRenderedPageBreak/>
              <w:t xml:space="preserve">The interplay between migration and self-identity: a structured </w:t>
            </w:r>
            <w:r w:rsidRPr="004969EF">
              <w:rPr>
                <w:rFonts w:ascii="Arial" w:hAnsi="Arial" w:cs="Arial"/>
                <w:sz w:val="22"/>
                <w:szCs w:val="22"/>
              </w:rPr>
              <w:lastRenderedPageBreak/>
              <w:t>review using TCCM and bibliometric analysis.</w:t>
            </w:r>
          </w:p>
        </w:tc>
        <w:tc>
          <w:tcPr>
            <w:tcW w:w="1615" w:type="dxa"/>
          </w:tcPr>
          <w:p w14:paraId="7587A5DD"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lastRenderedPageBreak/>
              <w:t xml:space="preserve">Structured review using </w:t>
            </w:r>
            <w:r w:rsidRPr="004969EF">
              <w:rPr>
                <w:rFonts w:ascii="Arial" w:hAnsi="Arial" w:cs="Arial"/>
                <w:sz w:val="22"/>
                <w:szCs w:val="22"/>
              </w:rPr>
              <w:lastRenderedPageBreak/>
              <w:t>TCCM framework</w:t>
            </w:r>
          </w:p>
        </w:tc>
        <w:tc>
          <w:tcPr>
            <w:tcW w:w="1808" w:type="dxa"/>
          </w:tcPr>
          <w:p w14:paraId="6FF2FBC7"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lastRenderedPageBreak/>
              <w:t xml:space="preserve">Bibliometric and theoretical analysis of </w:t>
            </w:r>
            <w:r w:rsidRPr="004969EF">
              <w:rPr>
                <w:rFonts w:ascii="Arial" w:eastAsiaTheme="minorHAnsi" w:hAnsi="Arial" w:cs="Arial"/>
                <w:sz w:val="22"/>
                <w:szCs w:val="22"/>
                <w:lang w:eastAsia="en-US"/>
              </w:rPr>
              <w:lastRenderedPageBreak/>
              <w:t>published literature; number of included studies varies across databases</w:t>
            </w:r>
          </w:p>
        </w:tc>
        <w:tc>
          <w:tcPr>
            <w:tcW w:w="2190" w:type="dxa"/>
          </w:tcPr>
          <w:p w14:paraId="57B20218"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lastRenderedPageBreak/>
              <w:t xml:space="preserve">Strengths: Analyses 555 articles on </w:t>
            </w:r>
            <w:r w:rsidRPr="004969EF">
              <w:rPr>
                <w:rFonts w:ascii="Arial" w:hAnsi="Arial" w:cs="Arial"/>
                <w:sz w:val="22"/>
                <w:szCs w:val="22"/>
              </w:rPr>
              <w:lastRenderedPageBreak/>
              <w:t>migration and identity. </w:t>
            </w:r>
          </w:p>
          <w:p w14:paraId="630735D9"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Limitations: Used only one database. Focuses on patterns, not personal stories.</w:t>
            </w:r>
          </w:p>
        </w:tc>
        <w:tc>
          <w:tcPr>
            <w:tcW w:w="1657" w:type="dxa"/>
          </w:tcPr>
          <w:p w14:paraId="26A9AB96"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lastRenderedPageBreak/>
              <w:t xml:space="preserve">Identity conflict stops engagement. </w:t>
            </w:r>
            <w:r w:rsidRPr="004969EF">
              <w:rPr>
                <w:rFonts w:ascii="Arial" w:eastAsiaTheme="minorHAnsi" w:hAnsi="Arial" w:cs="Arial"/>
                <w:sz w:val="22"/>
                <w:szCs w:val="22"/>
                <w:lang w:eastAsia="en-US"/>
              </w:rPr>
              <w:lastRenderedPageBreak/>
              <w:t>Language barriers block access. Social exclusion leads to withdrawal. Mistrust of services.</w:t>
            </w:r>
          </w:p>
        </w:tc>
        <w:tc>
          <w:tcPr>
            <w:tcW w:w="2226" w:type="dxa"/>
          </w:tcPr>
          <w:p w14:paraId="56286698"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lastRenderedPageBreak/>
              <w:t xml:space="preserve">Social cultural adaption, challenges, social </w:t>
            </w:r>
            <w:r w:rsidRPr="004969EF">
              <w:rPr>
                <w:rFonts w:ascii="Arial" w:eastAsiaTheme="minorHAnsi" w:hAnsi="Arial" w:cs="Arial"/>
                <w:sz w:val="22"/>
                <w:szCs w:val="22"/>
                <w:lang w:eastAsia="en-US"/>
              </w:rPr>
              <w:lastRenderedPageBreak/>
              <w:t>norms, language barriers, adapt, social integration</w:t>
            </w:r>
          </w:p>
        </w:tc>
        <w:tc>
          <w:tcPr>
            <w:tcW w:w="1423" w:type="dxa"/>
          </w:tcPr>
          <w:p w14:paraId="66F4AB89" w14:textId="77777777" w:rsidR="002B7D37" w:rsidRPr="004969EF" w:rsidRDefault="002B7D37" w:rsidP="004969EF">
            <w:pPr>
              <w:spacing w:line="360" w:lineRule="auto"/>
              <w:jc w:val="both"/>
              <w:rPr>
                <w:rFonts w:ascii="Arial" w:hAnsi="Arial" w:cs="Arial"/>
                <w:sz w:val="22"/>
                <w:szCs w:val="22"/>
              </w:rPr>
            </w:pPr>
          </w:p>
        </w:tc>
      </w:tr>
      <w:tr w:rsidR="002B7D37" w:rsidRPr="004969EF" w14:paraId="1B2FAA62" w14:textId="77777777" w:rsidTr="002B7D37">
        <w:trPr>
          <w:trHeight w:val="610"/>
        </w:trPr>
        <w:tc>
          <w:tcPr>
            <w:tcW w:w="1864" w:type="dxa"/>
          </w:tcPr>
          <w:p w14:paraId="7973A1C9"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shd w:val="clear" w:color="auto" w:fill="FFFFFF"/>
              </w:rPr>
              <w:t>Chui et al. (2020) </w:t>
            </w:r>
          </w:p>
          <w:p w14:paraId="6412A55C" w14:textId="77777777" w:rsidR="002B7D37" w:rsidRPr="004969EF" w:rsidRDefault="002B7D37" w:rsidP="004969EF">
            <w:pPr>
              <w:spacing w:line="360" w:lineRule="auto"/>
              <w:jc w:val="both"/>
              <w:rPr>
                <w:rFonts w:ascii="Arial" w:hAnsi="Arial" w:cs="Arial"/>
                <w:b/>
                <w:bCs/>
                <w:sz w:val="22"/>
                <w:szCs w:val="22"/>
              </w:rPr>
            </w:pPr>
          </w:p>
        </w:tc>
        <w:tc>
          <w:tcPr>
            <w:tcW w:w="2426" w:type="dxa"/>
          </w:tcPr>
          <w:p w14:paraId="3A5EB8AD"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Inequalities in referral pathways for young people accessing secondary mental health services in southeast London</w:t>
            </w:r>
          </w:p>
          <w:p w14:paraId="5EDFA128" w14:textId="77777777" w:rsidR="002B7D37" w:rsidRPr="004969EF" w:rsidRDefault="002B7D37" w:rsidP="004969EF">
            <w:pPr>
              <w:spacing w:line="360" w:lineRule="auto"/>
              <w:jc w:val="both"/>
              <w:rPr>
                <w:rFonts w:ascii="Arial" w:hAnsi="Arial" w:cs="Arial"/>
                <w:sz w:val="22"/>
                <w:szCs w:val="22"/>
              </w:rPr>
            </w:pPr>
          </w:p>
        </w:tc>
        <w:tc>
          <w:tcPr>
            <w:tcW w:w="1615" w:type="dxa"/>
          </w:tcPr>
          <w:p w14:paraId="44367357"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Secondary analysis</w:t>
            </w:r>
          </w:p>
        </w:tc>
        <w:tc>
          <w:tcPr>
            <w:tcW w:w="1808" w:type="dxa"/>
          </w:tcPr>
          <w:p w14:paraId="77F3BB73" w14:textId="77777777" w:rsidR="002B7D37" w:rsidRPr="004969EF" w:rsidRDefault="002B7D37" w:rsidP="004969EF">
            <w:pPr>
              <w:spacing w:line="360" w:lineRule="auto"/>
              <w:jc w:val="both"/>
              <w:rPr>
                <w:rFonts w:ascii="Arial" w:hAnsi="Arial" w:cs="Arial"/>
                <w:sz w:val="22"/>
                <w:szCs w:val="22"/>
                <w:shd w:val="clear" w:color="auto" w:fill="FFFFFF"/>
              </w:rPr>
            </w:pPr>
            <w:r w:rsidRPr="004969EF">
              <w:rPr>
                <w:rFonts w:ascii="Arial" w:eastAsiaTheme="minorHAnsi" w:hAnsi="Arial" w:cs="Arial"/>
                <w:sz w:val="22"/>
                <w:szCs w:val="22"/>
                <w:lang w:eastAsia="en-US"/>
              </w:rPr>
              <w:t xml:space="preserve">Secondary analysis of qualitative interview data from the </w:t>
            </w:r>
            <w:proofErr w:type="spellStart"/>
            <w:r w:rsidRPr="004969EF">
              <w:rPr>
                <w:rFonts w:ascii="Arial" w:eastAsiaTheme="minorHAnsi" w:hAnsi="Arial" w:cs="Arial"/>
                <w:sz w:val="22"/>
                <w:szCs w:val="22"/>
                <w:lang w:eastAsia="en-US"/>
              </w:rPr>
              <w:t>CATCh-uS</w:t>
            </w:r>
            <w:proofErr w:type="spellEnd"/>
            <w:r w:rsidRPr="004969EF">
              <w:rPr>
                <w:rFonts w:ascii="Arial" w:eastAsiaTheme="minorHAnsi" w:hAnsi="Arial" w:cs="Arial"/>
                <w:sz w:val="22"/>
                <w:szCs w:val="22"/>
                <w:lang w:eastAsia="en-US"/>
              </w:rPr>
              <w:t xml:space="preserve"> mixed-methods study; sample drawn from original study participants </w:t>
            </w:r>
            <w:proofErr w:type="gramStart"/>
            <w:r w:rsidRPr="004969EF">
              <w:rPr>
                <w:rFonts w:ascii="Arial" w:eastAsiaTheme="minorHAnsi" w:hAnsi="Arial" w:cs="Arial"/>
                <w:sz w:val="22"/>
                <w:szCs w:val="22"/>
                <w:lang w:eastAsia="en-US"/>
              </w:rPr>
              <w:t xml:space="preserve">of </w:t>
            </w:r>
            <w:r w:rsidRPr="004969EF">
              <w:rPr>
                <w:rFonts w:ascii="Arial" w:hAnsi="Arial" w:cs="Arial"/>
                <w:sz w:val="22"/>
                <w:szCs w:val="22"/>
              </w:rPr>
              <w:t xml:space="preserve"> </w:t>
            </w:r>
            <w:r w:rsidRPr="004969EF">
              <w:rPr>
                <w:rFonts w:ascii="Arial" w:hAnsi="Arial" w:cs="Arial"/>
                <w:sz w:val="22"/>
                <w:szCs w:val="22"/>
                <w:shd w:val="clear" w:color="auto" w:fill="FFFFFF"/>
              </w:rPr>
              <w:t>18,931</w:t>
            </w:r>
            <w:proofErr w:type="gramEnd"/>
          </w:p>
          <w:p w14:paraId="5C6B2BBA" w14:textId="77777777" w:rsidR="002B7D37" w:rsidRPr="004969EF" w:rsidRDefault="002B7D37" w:rsidP="004969EF">
            <w:pPr>
              <w:spacing w:line="360" w:lineRule="auto"/>
              <w:jc w:val="both"/>
              <w:rPr>
                <w:rFonts w:ascii="Arial" w:hAnsi="Arial" w:cs="Arial"/>
                <w:sz w:val="22"/>
                <w:szCs w:val="22"/>
              </w:rPr>
            </w:pPr>
          </w:p>
        </w:tc>
        <w:tc>
          <w:tcPr>
            <w:tcW w:w="2190" w:type="dxa"/>
          </w:tcPr>
          <w:p w14:paraId="16796FA4"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Strengths: Large dataset from ethnically diverse London. Can separate Black African, Caribbean, and British groups. </w:t>
            </w:r>
          </w:p>
          <w:p w14:paraId="4BBC9DBA"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Limitations: Much data missing, including migration status for half the sample. May not apply outside London.</w:t>
            </w:r>
          </w:p>
        </w:tc>
        <w:tc>
          <w:tcPr>
            <w:tcW w:w="1657" w:type="dxa"/>
          </w:tcPr>
          <w:p w14:paraId="1DFBB66C" w14:textId="77777777" w:rsidR="002B7D37" w:rsidRPr="004969EF" w:rsidRDefault="002B7D37" w:rsidP="004969EF">
            <w:pPr>
              <w:spacing w:line="360" w:lineRule="auto"/>
              <w:jc w:val="both"/>
              <w:rPr>
                <w:rFonts w:ascii="Arial" w:eastAsiaTheme="minorHAnsi" w:hAnsi="Arial" w:cs="Arial"/>
                <w:sz w:val="22"/>
                <w:szCs w:val="22"/>
                <w:lang w:eastAsia="en-US"/>
              </w:rPr>
            </w:pPr>
            <w:r w:rsidRPr="004969EF">
              <w:rPr>
                <w:rFonts w:ascii="Arial" w:eastAsiaTheme="minorHAnsi" w:hAnsi="Arial" w:cs="Arial"/>
                <w:sz w:val="22"/>
                <w:szCs w:val="22"/>
                <w:lang w:eastAsia="en-US"/>
              </w:rPr>
              <w:t xml:space="preserve">Analysis of health records; large sample in </w:t>
            </w:r>
            <w:proofErr w:type="gramStart"/>
            <w:r w:rsidRPr="004969EF">
              <w:rPr>
                <w:rFonts w:ascii="Arial" w:eastAsiaTheme="minorHAnsi" w:hAnsi="Arial" w:cs="Arial"/>
                <w:sz w:val="22"/>
                <w:szCs w:val="22"/>
                <w:lang w:eastAsia="en-US"/>
              </w:rPr>
              <w:t>South East</w:t>
            </w:r>
            <w:proofErr w:type="gramEnd"/>
            <w:r w:rsidRPr="004969EF">
              <w:rPr>
                <w:rFonts w:ascii="Arial" w:eastAsiaTheme="minorHAnsi" w:hAnsi="Arial" w:cs="Arial"/>
                <w:sz w:val="22"/>
                <w:szCs w:val="22"/>
                <w:lang w:eastAsia="en-US"/>
              </w:rPr>
              <w:t xml:space="preserve"> London Black and South Asian children are referred less often than White children.</w:t>
            </w:r>
          </w:p>
          <w:p w14:paraId="5C921C82"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The system is biased.</w:t>
            </w:r>
          </w:p>
        </w:tc>
        <w:tc>
          <w:tcPr>
            <w:tcW w:w="2226" w:type="dxa"/>
          </w:tcPr>
          <w:p w14:paraId="6C5C87CF"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referral inequalities, justice, diagnosis, systemic bias</w:t>
            </w:r>
          </w:p>
        </w:tc>
        <w:tc>
          <w:tcPr>
            <w:tcW w:w="1423" w:type="dxa"/>
          </w:tcPr>
          <w:p w14:paraId="34D2EF36" w14:textId="77777777" w:rsidR="002B7D37" w:rsidRPr="004969EF" w:rsidRDefault="002B7D37" w:rsidP="004969EF">
            <w:pPr>
              <w:spacing w:line="360" w:lineRule="auto"/>
              <w:jc w:val="both"/>
              <w:rPr>
                <w:rFonts w:ascii="Arial" w:hAnsi="Arial" w:cs="Arial"/>
                <w:sz w:val="22"/>
                <w:szCs w:val="22"/>
              </w:rPr>
            </w:pPr>
          </w:p>
        </w:tc>
      </w:tr>
      <w:tr w:rsidR="002B7D37" w:rsidRPr="004969EF" w14:paraId="7BB9AA29" w14:textId="77777777" w:rsidTr="002B7D37">
        <w:trPr>
          <w:trHeight w:val="610"/>
        </w:trPr>
        <w:tc>
          <w:tcPr>
            <w:tcW w:w="1864" w:type="dxa"/>
          </w:tcPr>
          <w:p w14:paraId="0EA83B2F"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shd w:val="clear" w:color="auto" w:fill="FFFFFF"/>
              </w:rPr>
              <w:lastRenderedPageBreak/>
              <w:t>Diener et al. (2025) </w:t>
            </w:r>
          </w:p>
          <w:p w14:paraId="66F33BC9" w14:textId="77777777" w:rsidR="002B7D37" w:rsidRPr="004969EF" w:rsidRDefault="002B7D37" w:rsidP="004969EF">
            <w:pPr>
              <w:spacing w:line="360" w:lineRule="auto"/>
              <w:jc w:val="both"/>
              <w:rPr>
                <w:rFonts w:ascii="Arial" w:hAnsi="Arial" w:cs="Arial"/>
                <w:b/>
                <w:bCs/>
                <w:sz w:val="22"/>
                <w:szCs w:val="22"/>
              </w:rPr>
            </w:pPr>
          </w:p>
        </w:tc>
        <w:tc>
          <w:tcPr>
            <w:tcW w:w="2426" w:type="dxa"/>
          </w:tcPr>
          <w:p w14:paraId="1C497353" w14:textId="77777777" w:rsidR="002B7D37" w:rsidRPr="004969EF" w:rsidRDefault="002B7D37" w:rsidP="004969EF">
            <w:pPr>
              <w:spacing w:line="360" w:lineRule="auto"/>
              <w:jc w:val="both"/>
              <w:rPr>
                <w:rFonts w:ascii="Arial" w:hAnsi="Arial" w:cs="Arial"/>
                <w:kern w:val="36"/>
                <w:sz w:val="22"/>
                <w:szCs w:val="22"/>
              </w:rPr>
            </w:pPr>
            <w:r w:rsidRPr="004969EF">
              <w:rPr>
                <w:rFonts w:ascii="Arial" w:hAnsi="Arial" w:cs="Arial"/>
                <w:sz w:val="22"/>
                <w:szCs w:val="22"/>
              </w:rPr>
              <w:t xml:space="preserve">Cross-cultural disparities in teachers’ reports of ADHD symptoms and </w:t>
            </w:r>
            <w:proofErr w:type="spellStart"/>
            <w:r w:rsidRPr="004969EF">
              <w:rPr>
                <w:rFonts w:ascii="Arial" w:hAnsi="Arial" w:cs="Arial"/>
                <w:sz w:val="22"/>
                <w:szCs w:val="22"/>
              </w:rPr>
              <w:t>behavior</w:t>
            </w:r>
            <w:proofErr w:type="spellEnd"/>
            <w:r w:rsidRPr="004969EF">
              <w:rPr>
                <w:rFonts w:ascii="Arial" w:hAnsi="Arial" w:cs="Arial"/>
                <w:sz w:val="22"/>
                <w:szCs w:val="22"/>
              </w:rPr>
              <w:t>: a scoping review</w:t>
            </w:r>
          </w:p>
          <w:p w14:paraId="48DA00CF" w14:textId="77777777" w:rsidR="002B7D37" w:rsidRPr="004969EF" w:rsidRDefault="002B7D37" w:rsidP="004969EF">
            <w:pPr>
              <w:spacing w:line="360" w:lineRule="auto"/>
              <w:jc w:val="both"/>
              <w:rPr>
                <w:rFonts w:ascii="Arial" w:hAnsi="Arial" w:cs="Arial"/>
                <w:sz w:val="22"/>
                <w:szCs w:val="22"/>
              </w:rPr>
            </w:pPr>
          </w:p>
        </w:tc>
        <w:tc>
          <w:tcPr>
            <w:tcW w:w="1615" w:type="dxa"/>
          </w:tcPr>
          <w:p w14:paraId="6E5DCDE1" w14:textId="77777777" w:rsidR="002B7D37" w:rsidRPr="004969EF" w:rsidRDefault="002B7D37" w:rsidP="004969EF">
            <w:pPr>
              <w:spacing w:line="360" w:lineRule="auto"/>
              <w:jc w:val="both"/>
              <w:rPr>
                <w:rFonts w:ascii="Arial" w:hAnsi="Arial" w:cs="Arial"/>
                <w:sz w:val="22"/>
                <w:szCs w:val="22"/>
                <w:shd w:val="clear" w:color="auto" w:fill="FFFFFF"/>
              </w:rPr>
            </w:pPr>
            <w:r w:rsidRPr="004969EF">
              <w:rPr>
                <w:rFonts w:ascii="Arial" w:hAnsi="Arial" w:cs="Arial"/>
                <w:sz w:val="22"/>
                <w:szCs w:val="22"/>
                <w:shd w:val="clear" w:color="auto" w:fill="FFFFFF"/>
              </w:rPr>
              <w:t xml:space="preserve">Scoping review. </w:t>
            </w:r>
          </w:p>
          <w:p w14:paraId="1FB011EC" w14:textId="77777777" w:rsidR="002B7D37" w:rsidRPr="004969EF" w:rsidRDefault="002B7D37" w:rsidP="004969EF">
            <w:pPr>
              <w:spacing w:line="360" w:lineRule="auto"/>
              <w:jc w:val="both"/>
              <w:rPr>
                <w:rFonts w:ascii="Arial" w:hAnsi="Arial" w:cs="Arial"/>
                <w:sz w:val="22"/>
                <w:szCs w:val="22"/>
              </w:rPr>
            </w:pPr>
          </w:p>
        </w:tc>
        <w:tc>
          <w:tcPr>
            <w:tcW w:w="1808" w:type="dxa"/>
          </w:tcPr>
          <w:p w14:paraId="40AC54D7" w14:textId="77777777" w:rsidR="002B7D37" w:rsidRPr="004969EF" w:rsidRDefault="002B7D37" w:rsidP="004969EF">
            <w:pPr>
              <w:spacing w:line="360" w:lineRule="auto"/>
              <w:jc w:val="both"/>
              <w:rPr>
                <w:rFonts w:ascii="Arial" w:hAnsi="Arial" w:cs="Arial"/>
                <w:sz w:val="22"/>
                <w:szCs w:val="22"/>
                <w:shd w:val="clear" w:color="auto" w:fill="FFFFFF"/>
              </w:rPr>
            </w:pPr>
            <w:r w:rsidRPr="004969EF">
              <w:rPr>
                <w:rFonts w:ascii="Arial" w:eastAsiaTheme="minorHAnsi" w:hAnsi="Arial" w:cs="Arial"/>
                <w:sz w:val="22"/>
                <w:szCs w:val="22"/>
                <w:lang w:eastAsia="en-US"/>
              </w:rPr>
              <w:t>Review and synthesis of 25 included studies examining cross-cultural differences; no primary data collected.</w:t>
            </w:r>
          </w:p>
        </w:tc>
        <w:tc>
          <w:tcPr>
            <w:tcW w:w="2190" w:type="dxa"/>
          </w:tcPr>
          <w:p w14:paraId="2E3F883C"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Strengths: Brings together research on how teachers from different cultures report ADHD.</w:t>
            </w:r>
          </w:p>
          <w:p w14:paraId="565A2E40"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Limitations: Uses older studies. Only looks at English-language research. Oversights differences within countries.</w:t>
            </w:r>
          </w:p>
        </w:tc>
        <w:tc>
          <w:tcPr>
            <w:tcW w:w="1657" w:type="dxa"/>
          </w:tcPr>
          <w:p w14:paraId="5CAD3FE4"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Teachers under-report ADHD in ethnic minority children. Teachers misinterpret behaviour. Teachers apply cultural expectations.</w:t>
            </w:r>
          </w:p>
        </w:tc>
        <w:tc>
          <w:tcPr>
            <w:tcW w:w="2226" w:type="dxa"/>
          </w:tcPr>
          <w:p w14:paraId="7D78E438"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 xml:space="preserve">under-report, misinterpretation, cultural bias, racial </w:t>
            </w:r>
            <w:proofErr w:type="gramStart"/>
            <w:r w:rsidRPr="004969EF">
              <w:rPr>
                <w:rFonts w:ascii="Arial" w:eastAsiaTheme="minorHAnsi" w:hAnsi="Arial" w:cs="Arial"/>
                <w:sz w:val="22"/>
                <w:szCs w:val="22"/>
                <w:lang w:eastAsia="en-US"/>
              </w:rPr>
              <w:t>bias,,</w:t>
            </w:r>
            <w:proofErr w:type="gramEnd"/>
            <w:r w:rsidRPr="004969EF">
              <w:rPr>
                <w:rFonts w:ascii="Arial" w:eastAsiaTheme="minorHAnsi" w:hAnsi="Arial" w:cs="Arial"/>
                <w:sz w:val="22"/>
                <w:szCs w:val="22"/>
                <w:lang w:eastAsia="en-US"/>
              </w:rPr>
              <w:t xml:space="preserve"> inequalities, structural racism bad manners</w:t>
            </w:r>
          </w:p>
        </w:tc>
        <w:tc>
          <w:tcPr>
            <w:tcW w:w="1423" w:type="dxa"/>
          </w:tcPr>
          <w:p w14:paraId="21D822BE" w14:textId="77777777" w:rsidR="002B7D37" w:rsidRPr="004969EF" w:rsidRDefault="002B7D37" w:rsidP="004969EF">
            <w:pPr>
              <w:spacing w:line="360" w:lineRule="auto"/>
              <w:jc w:val="both"/>
              <w:rPr>
                <w:rFonts w:ascii="Arial" w:hAnsi="Arial" w:cs="Arial"/>
                <w:sz w:val="22"/>
                <w:szCs w:val="22"/>
              </w:rPr>
            </w:pPr>
          </w:p>
        </w:tc>
      </w:tr>
      <w:tr w:rsidR="002B7D37" w:rsidRPr="004969EF" w14:paraId="72EA4E44" w14:textId="77777777" w:rsidTr="002B7D37">
        <w:trPr>
          <w:trHeight w:val="610"/>
        </w:trPr>
        <w:tc>
          <w:tcPr>
            <w:tcW w:w="1864" w:type="dxa"/>
          </w:tcPr>
          <w:p w14:paraId="1CC1F09D"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shd w:val="clear" w:color="auto" w:fill="FFFFFF"/>
              </w:rPr>
              <w:t>French et al. (2023) </w:t>
            </w:r>
          </w:p>
          <w:p w14:paraId="57388B7A" w14:textId="77777777" w:rsidR="002B7D37" w:rsidRPr="004969EF" w:rsidRDefault="002B7D37" w:rsidP="004969EF">
            <w:pPr>
              <w:spacing w:line="360" w:lineRule="auto"/>
              <w:jc w:val="both"/>
              <w:rPr>
                <w:rFonts w:ascii="Arial" w:hAnsi="Arial" w:cs="Arial"/>
                <w:b/>
                <w:bCs/>
                <w:sz w:val="22"/>
                <w:szCs w:val="22"/>
              </w:rPr>
            </w:pPr>
          </w:p>
        </w:tc>
        <w:tc>
          <w:tcPr>
            <w:tcW w:w="2426" w:type="dxa"/>
          </w:tcPr>
          <w:p w14:paraId="2F4BBC5C"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 xml:space="preserve">Risks Associated </w:t>
            </w:r>
            <w:proofErr w:type="gramStart"/>
            <w:r w:rsidRPr="004969EF">
              <w:rPr>
                <w:rFonts w:ascii="Arial" w:hAnsi="Arial" w:cs="Arial"/>
                <w:sz w:val="22"/>
                <w:szCs w:val="22"/>
              </w:rPr>
              <w:t>With</w:t>
            </w:r>
            <w:proofErr w:type="gramEnd"/>
            <w:r w:rsidRPr="004969EF">
              <w:rPr>
                <w:rFonts w:ascii="Arial" w:hAnsi="Arial" w:cs="Arial"/>
                <w:sz w:val="22"/>
                <w:szCs w:val="22"/>
              </w:rPr>
              <w:t xml:space="preserve"> Undiagnosed ADHD and/or Autism: A Mixed-Method Systematic Review</w:t>
            </w:r>
          </w:p>
        </w:tc>
        <w:tc>
          <w:tcPr>
            <w:tcW w:w="1615" w:type="dxa"/>
          </w:tcPr>
          <w:p w14:paraId="0785E4A0"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Systematic review of mixed-methods research</w:t>
            </w:r>
          </w:p>
          <w:p w14:paraId="36A08160" w14:textId="77777777" w:rsidR="002B7D37" w:rsidRPr="004969EF" w:rsidRDefault="002B7D37" w:rsidP="004969EF">
            <w:pPr>
              <w:spacing w:line="360" w:lineRule="auto"/>
              <w:jc w:val="both"/>
              <w:rPr>
                <w:rFonts w:ascii="Arial" w:hAnsi="Arial" w:cs="Arial"/>
                <w:sz w:val="22"/>
                <w:szCs w:val="22"/>
              </w:rPr>
            </w:pPr>
          </w:p>
        </w:tc>
        <w:tc>
          <w:tcPr>
            <w:tcW w:w="1808" w:type="dxa"/>
          </w:tcPr>
          <w:p w14:paraId="46902301"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 xml:space="preserve">Systematic review of 59 included studies exploring risks associated with undiagnosed ADHD and/or autism; no single </w:t>
            </w:r>
            <w:r w:rsidRPr="004969EF">
              <w:rPr>
                <w:rFonts w:ascii="Arial" w:eastAsiaTheme="minorHAnsi" w:hAnsi="Arial" w:cs="Arial"/>
                <w:sz w:val="22"/>
                <w:szCs w:val="22"/>
                <w:lang w:eastAsia="en-US"/>
              </w:rPr>
              <w:lastRenderedPageBreak/>
              <w:t>participant sample.</w:t>
            </w:r>
          </w:p>
        </w:tc>
        <w:tc>
          <w:tcPr>
            <w:tcW w:w="2190" w:type="dxa"/>
          </w:tcPr>
          <w:p w14:paraId="229BC31E"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lastRenderedPageBreak/>
              <w:t>Strengths: First review to focus on what happens when ADHD and autism go undiagnosed. </w:t>
            </w:r>
          </w:p>
          <w:p w14:paraId="4C992300"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 xml:space="preserve">Limitations: Only three studies on autism. Some studies used screening tools </w:t>
            </w:r>
            <w:r w:rsidRPr="004969EF">
              <w:rPr>
                <w:rFonts w:ascii="Arial" w:hAnsi="Arial" w:cs="Arial"/>
                <w:sz w:val="22"/>
                <w:szCs w:val="22"/>
              </w:rPr>
              <w:lastRenderedPageBreak/>
              <w:t>instead of formal diagnosis.</w:t>
            </w:r>
          </w:p>
        </w:tc>
        <w:tc>
          <w:tcPr>
            <w:tcW w:w="1657" w:type="dxa"/>
          </w:tcPr>
          <w:p w14:paraId="29E08D52"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lastRenderedPageBreak/>
              <w:t>Mental health problems. Depression. Low confidence. School struggles.</w:t>
            </w:r>
          </w:p>
        </w:tc>
        <w:tc>
          <w:tcPr>
            <w:tcW w:w="2226" w:type="dxa"/>
          </w:tcPr>
          <w:p w14:paraId="269A3FDC"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mental health problems, depression, low confidence, school struggles, imprisonment, depression, drug misuse, mental wellbeing</w:t>
            </w:r>
          </w:p>
        </w:tc>
        <w:tc>
          <w:tcPr>
            <w:tcW w:w="1423" w:type="dxa"/>
          </w:tcPr>
          <w:p w14:paraId="06908FD3" w14:textId="77777777" w:rsidR="002B7D37" w:rsidRPr="004969EF" w:rsidRDefault="002B7D37" w:rsidP="004969EF">
            <w:pPr>
              <w:spacing w:line="360" w:lineRule="auto"/>
              <w:jc w:val="both"/>
              <w:rPr>
                <w:rFonts w:ascii="Arial" w:hAnsi="Arial" w:cs="Arial"/>
                <w:sz w:val="22"/>
                <w:szCs w:val="22"/>
              </w:rPr>
            </w:pPr>
          </w:p>
        </w:tc>
      </w:tr>
      <w:tr w:rsidR="002B7D37" w:rsidRPr="004969EF" w14:paraId="37BAEF67" w14:textId="77777777" w:rsidTr="002B7D37">
        <w:trPr>
          <w:trHeight w:val="642"/>
        </w:trPr>
        <w:tc>
          <w:tcPr>
            <w:tcW w:w="1864" w:type="dxa"/>
          </w:tcPr>
          <w:p w14:paraId="21C984E2"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shd w:val="clear" w:color="auto" w:fill="FFFFFF"/>
              </w:rPr>
              <w:t>Lewis et al. (2025)</w:t>
            </w:r>
          </w:p>
          <w:p w14:paraId="4AFBA772" w14:textId="77777777" w:rsidR="002B7D37" w:rsidRPr="004969EF" w:rsidRDefault="002B7D37" w:rsidP="004969EF">
            <w:pPr>
              <w:spacing w:line="360" w:lineRule="auto"/>
              <w:jc w:val="both"/>
              <w:rPr>
                <w:rFonts w:ascii="Arial" w:hAnsi="Arial" w:cs="Arial"/>
                <w:b/>
                <w:bCs/>
                <w:sz w:val="22"/>
                <w:szCs w:val="22"/>
              </w:rPr>
            </w:pPr>
          </w:p>
        </w:tc>
        <w:tc>
          <w:tcPr>
            <w:tcW w:w="2426" w:type="dxa"/>
          </w:tcPr>
          <w:p w14:paraId="335395FC"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Local authority variation in school-recorded special educational needs and disability provision in Year 1 among children born in England, 2003-13</w:t>
            </w:r>
          </w:p>
        </w:tc>
        <w:tc>
          <w:tcPr>
            <w:tcW w:w="1615" w:type="dxa"/>
          </w:tcPr>
          <w:p w14:paraId="28ADA8A9"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Quantitative cohort study</w:t>
            </w:r>
          </w:p>
        </w:tc>
        <w:tc>
          <w:tcPr>
            <w:tcW w:w="1808" w:type="dxa"/>
          </w:tcPr>
          <w:p w14:paraId="292C1325" w14:textId="77777777" w:rsidR="002B7D37" w:rsidRPr="004969EF" w:rsidRDefault="002B7D37" w:rsidP="004969EF">
            <w:pPr>
              <w:spacing w:line="360" w:lineRule="auto"/>
              <w:jc w:val="both"/>
              <w:rPr>
                <w:rFonts w:ascii="Arial" w:eastAsiaTheme="minorHAnsi" w:hAnsi="Arial" w:cs="Arial"/>
                <w:sz w:val="22"/>
                <w:szCs w:val="22"/>
                <w:lang w:eastAsia="en-US"/>
              </w:rPr>
            </w:pPr>
            <w:r w:rsidRPr="004969EF">
              <w:rPr>
                <w:rFonts w:ascii="Arial" w:eastAsiaTheme="minorHAnsi" w:hAnsi="Arial" w:cs="Arial"/>
                <w:sz w:val="22"/>
                <w:szCs w:val="22"/>
                <w:lang w:eastAsia="en-US"/>
              </w:rPr>
              <w:t>Analysis of national education records covering over 6 million children born in England (</w:t>
            </w:r>
            <w:r w:rsidRPr="004969EF">
              <w:rPr>
                <w:rFonts w:ascii="Arial" w:hAnsi="Arial" w:cs="Arial"/>
                <w:sz w:val="22"/>
                <w:szCs w:val="22"/>
                <w:shd w:val="clear" w:color="auto" w:fill="EFF2F7"/>
              </w:rPr>
              <w:t>729 265</w:t>
            </w:r>
          </w:p>
          <w:p w14:paraId="1AE72B51"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 xml:space="preserve"> Exact figure) (2003-2013 cohort)</w:t>
            </w:r>
          </w:p>
        </w:tc>
        <w:tc>
          <w:tcPr>
            <w:tcW w:w="2190" w:type="dxa"/>
          </w:tcPr>
          <w:p w14:paraId="317570BC"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Strengths: First study to show how SEND identification varies by local authority.</w:t>
            </w:r>
          </w:p>
          <w:p w14:paraId="01729984"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Limitations: Only looks at Year 1. Records whether SEND is assigned, not whether support is given.</w:t>
            </w:r>
          </w:p>
        </w:tc>
        <w:tc>
          <w:tcPr>
            <w:tcW w:w="1657" w:type="dxa"/>
          </w:tcPr>
          <w:p w14:paraId="24781FCB" w14:textId="77777777" w:rsidR="002B7D37" w:rsidRPr="004969EF" w:rsidRDefault="002B7D37" w:rsidP="004969EF">
            <w:pPr>
              <w:spacing w:line="360" w:lineRule="auto"/>
              <w:jc w:val="both"/>
              <w:rPr>
                <w:rFonts w:ascii="Arial" w:eastAsiaTheme="minorHAnsi" w:hAnsi="Arial" w:cs="Arial"/>
                <w:sz w:val="22"/>
                <w:szCs w:val="22"/>
                <w:lang w:eastAsia="en-US"/>
              </w:rPr>
            </w:pPr>
            <w:r w:rsidRPr="004969EF">
              <w:rPr>
                <w:rFonts w:ascii="Arial" w:eastAsiaTheme="minorHAnsi" w:hAnsi="Arial" w:cs="Arial"/>
                <w:sz w:val="22"/>
                <w:szCs w:val="22"/>
                <w:lang w:eastAsia="en-US"/>
              </w:rPr>
              <w:t>School records for children born in England 2003–2013; large national dataset</w:t>
            </w:r>
          </w:p>
          <w:p w14:paraId="2F686320"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 Local authorities vary across boroughs. Where you live determines if you get recognised</w:t>
            </w:r>
          </w:p>
        </w:tc>
        <w:tc>
          <w:tcPr>
            <w:tcW w:w="2226" w:type="dxa"/>
          </w:tcPr>
          <w:p w14:paraId="52AF8054"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geographic variation, postcode lottery, under and over recognition inequalities local context, inequities, constrained resources, income deprivation</w:t>
            </w:r>
          </w:p>
        </w:tc>
        <w:tc>
          <w:tcPr>
            <w:tcW w:w="1423" w:type="dxa"/>
          </w:tcPr>
          <w:p w14:paraId="31DAF377" w14:textId="77777777" w:rsidR="002B7D37" w:rsidRPr="004969EF" w:rsidRDefault="002B7D37" w:rsidP="004969EF">
            <w:pPr>
              <w:spacing w:line="360" w:lineRule="auto"/>
              <w:jc w:val="both"/>
              <w:rPr>
                <w:rFonts w:ascii="Arial" w:hAnsi="Arial" w:cs="Arial"/>
                <w:sz w:val="22"/>
                <w:szCs w:val="22"/>
              </w:rPr>
            </w:pPr>
          </w:p>
        </w:tc>
      </w:tr>
      <w:tr w:rsidR="002B7D37" w:rsidRPr="004969EF" w14:paraId="699FED71" w14:textId="77777777" w:rsidTr="002B7D37">
        <w:trPr>
          <w:trHeight w:val="610"/>
        </w:trPr>
        <w:tc>
          <w:tcPr>
            <w:tcW w:w="1864" w:type="dxa"/>
          </w:tcPr>
          <w:p w14:paraId="197F0DB9"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shd w:val="clear" w:color="auto" w:fill="FFFFFF"/>
              </w:rPr>
              <w:t>May et al. (2020) </w:t>
            </w:r>
          </w:p>
          <w:p w14:paraId="3A3E3ABD" w14:textId="77777777" w:rsidR="002B7D37" w:rsidRPr="004969EF" w:rsidRDefault="002B7D37" w:rsidP="004969EF">
            <w:pPr>
              <w:spacing w:line="360" w:lineRule="auto"/>
              <w:jc w:val="both"/>
              <w:rPr>
                <w:rFonts w:ascii="Arial" w:hAnsi="Arial" w:cs="Arial"/>
                <w:b/>
                <w:bCs/>
                <w:sz w:val="22"/>
                <w:szCs w:val="22"/>
              </w:rPr>
            </w:pPr>
          </w:p>
        </w:tc>
        <w:tc>
          <w:tcPr>
            <w:tcW w:w="2426" w:type="dxa"/>
          </w:tcPr>
          <w:p w14:paraId="006037E9"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Attainment, attendance, and school difficulties in UK primary schoolchildren with probable ADHD</w:t>
            </w:r>
          </w:p>
        </w:tc>
        <w:tc>
          <w:tcPr>
            <w:tcW w:w="1615" w:type="dxa"/>
          </w:tcPr>
          <w:p w14:paraId="064D918E"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Large UK cohort study</w:t>
            </w:r>
          </w:p>
          <w:p w14:paraId="68D5B8FF" w14:textId="77777777" w:rsidR="002B7D37" w:rsidRPr="004969EF" w:rsidRDefault="002B7D37" w:rsidP="004969EF">
            <w:pPr>
              <w:spacing w:line="360" w:lineRule="auto"/>
              <w:jc w:val="both"/>
              <w:rPr>
                <w:rFonts w:ascii="Arial" w:hAnsi="Arial" w:cs="Arial"/>
                <w:sz w:val="22"/>
                <w:szCs w:val="22"/>
              </w:rPr>
            </w:pPr>
          </w:p>
        </w:tc>
        <w:tc>
          <w:tcPr>
            <w:tcW w:w="1808" w:type="dxa"/>
          </w:tcPr>
          <w:p w14:paraId="6A26F0A0"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 xml:space="preserve">Analysis of data from the UK Millennium Cohort Study of 19,000 children examining </w:t>
            </w:r>
            <w:r w:rsidRPr="004969EF">
              <w:rPr>
                <w:rFonts w:ascii="Arial" w:eastAsiaTheme="minorHAnsi" w:hAnsi="Arial" w:cs="Arial"/>
                <w:sz w:val="22"/>
                <w:szCs w:val="22"/>
                <w:lang w:eastAsia="en-US"/>
              </w:rPr>
              <w:lastRenderedPageBreak/>
              <w:t>ADHD-related outcomes.</w:t>
            </w:r>
          </w:p>
        </w:tc>
        <w:tc>
          <w:tcPr>
            <w:tcW w:w="2190" w:type="dxa"/>
          </w:tcPr>
          <w:p w14:paraId="72EA29F3"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lastRenderedPageBreak/>
              <w:t>Strengths: Large UK study linking ADHD symptoms to school outcomes.</w:t>
            </w:r>
          </w:p>
          <w:p w14:paraId="1C584AD6"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lastRenderedPageBreak/>
              <w:t> Limitations: Sample lacks ethnic diversity.</w:t>
            </w:r>
          </w:p>
        </w:tc>
        <w:tc>
          <w:tcPr>
            <w:tcW w:w="1657" w:type="dxa"/>
          </w:tcPr>
          <w:p w14:paraId="023BBB74"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lastRenderedPageBreak/>
              <w:t xml:space="preserve">Poor academic attainment. Poor school attendance. </w:t>
            </w:r>
            <w:r w:rsidRPr="004969EF">
              <w:rPr>
                <w:rFonts w:ascii="Arial" w:eastAsiaTheme="minorHAnsi" w:hAnsi="Arial" w:cs="Arial"/>
                <w:sz w:val="22"/>
                <w:szCs w:val="22"/>
                <w:lang w:eastAsia="en-US"/>
              </w:rPr>
              <w:lastRenderedPageBreak/>
              <w:t>School difficulties.</w:t>
            </w:r>
          </w:p>
        </w:tc>
        <w:tc>
          <w:tcPr>
            <w:tcW w:w="2226" w:type="dxa"/>
          </w:tcPr>
          <w:p w14:paraId="4892FE19"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lastRenderedPageBreak/>
              <w:t>poor attainment, poor attendance, school difficulties, recognised, income, disadvantaged</w:t>
            </w:r>
          </w:p>
        </w:tc>
        <w:tc>
          <w:tcPr>
            <w:tcW w:w="1423" w:type="dxa"/>
          </w:tcPr>
          <w:p w14:paraId="4A2ADE53" w14:textId="77777777" w:rsidR="002B7D37" w:rsidRPr="004969EF" w:rsidRDefault="002B7D37" w:rsidP="004969EF">
            <w:pPr>
              <w:spacing w:line="360" w:lineRule="auto"/>
              <w:jc w:val="both"/>
              <w:rPr>
                <w:rFonts w:ascii="Arial" w:hAnsi="Arial" w:cs="Arial"/>
                <w:sz w:val="22"/>
                <w:szCs w:val="22"/>
              </w:rPr>
            </w:pPr>
          </w:p>
        </w:tc>
      </w:tr>
      <w:tr w:rsidR="002B7D37" w:rsidRPr="004969EF" w14:paraId="2323D19C" w14:textId="77777777" w:rsidTr="002B7D37">
        <w:trPr>
          <w:trHeight w:val="610"/>
        </w:trPr>
        <w:tc>
          <w:tcPr>
            <w:tcW w:w="1864" w:type="dxa"/>
          </w:tcPr>
          <w:p w14:paraId="3764F958" w14:textId="77777777" w:rsidR="002B7D37" w:rsidRPr="004969EF" w:rsidRDefault="002B7D37" w:rsidP="004969EF">
            <w:pPr>
              <w:spacing w:line="360" w:lineRule="auto"/>
              <w:jc w:val="both"/>
              <w:rPr>
                <w:rFonts w:ascii="Arial" w:hAnsi="Arial" w:cs="Arial"/>
                <w:b/>
                <w:bCs/>
                <w:sz w:val="22"/>
                <w:szCs w:val="22"/>
              </w:rPr>
            </w:pPr>
            <w:proofErr w:type="spellStart"/>
            <w:r w:rsidRPr="004969EF">
              <w:rPr>
                <w:rFonts w:ascii="Arial" w:hAnsi="Arial" w:cs="Arial"/>
                <w:b/>
                <w:bCs/>
                <w:sz w:val="22"/>
                <w:szCs w:val="22"/>
                <w:shd w:val="clear" w:color="auto" w:fill="FFFFFF"/>
              </w:rPr>
              <w:t>Ogundele</w:t>
            </w:r>
            <w:proofErr w:type="spellEnd"/>
            <w:r w:rsidRPr="004969EF">
              <w:rPr>
                <w:rFonts w:ascii="Arial" w:hAnsi="Arial" w:cs="Arial"/>
                <w:b/>
                <w:bCs/>
                <w:sz w:val="22"/>
                <w:szCs w:val="22"/>
                <w:shd w:val="clear" w:color="auto" w:fill="FFFFFF"/>
              </w:rPr>
              <w:t xml:space="preserve"> &amp; Ayyash (2023) </w:t>
            </w:r>
          </w:p>
          <w:p w14:paraId="37BE7106" w14:textId="77777777" w:rsidR="002B7D37" w:rsidRPr="004969EF" w:rsidRDefault="002B7D37" w:rsidP="004969EF">
            <w:pPr>
              <w:spacing w:line="360" w:lineRule="auto"/>
              <w:jc w:val="both"/>
              <w:rPr>
                <w:rFonts w:ascii="Arial" w:hAnsi="Arial" w:cs="Arial"/>
                <w:b/>
                <w:bCs/>
                <w:sz w:val="22"/>
                <w:szCs w:val="22"/>
              </w:rPr>
            </w:pPr>
          </w:p>
        </w:tc>
        <w:tc>
          <w:tcPr>
            <w:tcW w:w="2426" w:type="dxa"/>
          </w:tcPr>
          <w:p w14:paraId="2002B4AB"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ADHD in children and adolescents: Review of current practice of non-pharmacological and behavioural management</w:t>
            </w:r>
          </w:p>
          <w:p w14:paraId="22D9D485" w14:textId="77777777" w:rsidR="002B7D37" w:rsidRPr="004969EF" w:rsidRDefault="002B7D37" w:rsidP="004969EF">
            <w:pPr>
              <w:spacing w:line="360" w:lineRule="auto"/>
              <w:jc w:val="both"/>
              <w:rPr>
                <w:rFonts w:ascii="Arial" w:hAnsi="Arial" w:cs="Arial"/>
                <w:sz w:val="22"/>
                <w:szCs w:val="22"/>
              </w:rPr>
            </w:pPr>
          </w:p>
        </w:tc>
        <w:tc>
          <w:tcPr>
            <w:tcW w:w="1615" w:type="dxa"/>
          </w:tcPr>
          <w:p w14:paraId="19BAC856"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Systematic Review</w:t>
            </w:r>
          </w:p>
        </w:tc>
        <w:tc>
          <w:tcPr>
            <w:tcW w:w="1808" w:type="dxa"/>
          </w:tcPr>
          <w:p w14:paraId="2DA452CD"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Review of existing literature on ADHD management; number of included studies not systematically defined</w:t>
            </w:r>
          </w:p>
        </w:tc>
        <w:tc>
          <w:tcPr>
            <w:tcW w:w="2190" w:type="dxa"/>
          </w:tcPr>
          <w:p w14:paraId="140947DC"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Strengths: Gives an overview of non-medication approaches for ADHD. </w:t>
            </w:r>
          </w:p>
          <w:p w14:paraId="43167E0A"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Limitations: Most studies are on boys, so findings may not apply to girls.</w:t>
            </w:r>
          </w:p>
        </w:tc>
        <w:tc>
          <w:tcPr>
            <w:tcW w:w="1657" w:type="dxa"/>
          </w:tcPr>
          <w:p w14:paraId="50EE2B89"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Fragmented care between health, education, and social services.</w:t>
            </w:r>
          </w:p>
        </w:tc>
        <w:tc>
          <w:tcPr>
            <w:tcW w:w="2226" w:type="dxa"/>
          </w:tcPr>
          <w:p w14:paraId="5C0901CE"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 xml:space="preserve">Carers, society, co </w:t>
            </w:r>
            <w:proofErr w:type="gramStart"/>
            <w:r w:rsidRPr="004969EF">
              <w:rPr>
                <w:rFonts w:ascii="Arial" w:eastAsiaTheme="minorHAnsi" w:hAnsi="Arial" w:cs="Arial"/>
                <w:sz w:val="22"/>
                <w:szCs w:val="22"/>
                <w:lang w:eastAsia="en-US"/>
              </w:rPr>
              <w:t>morbidity ,</w:t>
            </w:r>
            <w:proofErr w:type="gramEnd"/>
            <w:r w:rsidRPr="004969EF">
              <w:rPr>
                <w:rFonts w:ascii="Arial" w:eastAsiaTheme="minorHAnsi" w:hAnsi="Arial" w:cs="Arial"/>
                <w:sz w:val="22"/>
                <w:szCs w:val="22"/>
                <w:lang w:eastAsia="en-US"/>
              </w:rPr>
              <w:t xml:space="preserve"> school exclusion, criminal justice, </w:t>
            </w:r>
            <w:proofErr w:type="spellStart"/>
            <w:r w:rsidRPr="004969EF">
              <w:rPr>
                <w:rFonts w:ascii="Arial" w:eastAsiaTheme="minorHAnsi" w:hAnsi="Arial" w:cs="Arial"/>
                <w:sz w:val="22"/>
                <w:szCs w:val="22"/>
                <w:lang w:eastAsia="en-US"/>
              </w:rPr>
              <w:t>self concept</w:t>
            </w:r>
            <w:proofErr w:type="spellEnd"/>
            <w:r w:rsidRPr="004969EF">
              <w:rPr>
                <w:rFonts w:ascii="Arial" w:eastAsiaTheme="minorHAnsi" w:hAnsi="Arial" w:cs="Arial"/>
                <w:sz w:val="22"/>
                <w:szCs w:val="22"/>
                <w:lang w:eastAsia="en-US"/>
              </w:rPr>
              <w:t>. Parent education, interventions  </w:t>
            </w:r>
          </w:p>
        </w:tc>
        <w:tc>
          <w:tcPr>
            <w:tcW w:w="1423" w:type="dxa"/>
          </w:tcPr>
          <w:p w14:paraId="60973046" w14:textId="77777777" w:rsidR="002B7D37" w:rsidRPr="004969EF" w:rsidRDefault="002B7D37" w:rsidP="004969EF">
            <w:pPr>
              <w:spacing w:line="360" w:lineRule="auto"/>
              <w:jc w:val="both"/>
              <w:rPr>
                <w:rFonts w:ascii="Arial" w:hAnsi="Arial" w:cs="Arial"/>
                <w:sz w:val="22"/>
                <w:szCs w:val="22"/>
              </w:rPr>
            </w:pPr>
          </w:p>
        </w:tc>
      </w:tr>
      <w:tr w:rsidR="002B7D37" w:rsidRPr="004969EF" w14:paraId="65373995" w14:textId="77777777" w:rsidTr="002B7D37">
        <w:trPr>
          <w:trHeight w:val="610"/>
        </w:trPr>
        <w:tc>
          <w:tcPr>
            <w:tcW w:w="1864" w:type="dxa"/>
          </w:tcPr>
          <w:p w14:paraId="302D21E4"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shd w:val="clear" w:color="auto" w:fill="FFFFFF"/>
              </w:rPr>
              <w:t>Patel et al. (2024)</w:t>
            </w:r>
          </w:p>
          <w:p w14:paraId="4E7A07F6" w14:textId="77777777" w:rsidR="002B7D37" w:rsidRPr="004969EF" w:rsidRDefault="002B7D37" w:rsidP="004969EF">
            <w:pPr>
              <w:spacing w:line="360" w:lineRule="auto"/>
              <w:jc w:val="both"/>
              <w:rPr>
                <w:rFonts w:ascii="Arial" w:hAnsi="Arial" w:cs="Arial"/>
                <w:b/>
                <w:bCs/>
                <w:sz w:val="22"/>
                <w:szCs w:val="22"/>
              </w:rPr>
            </w:pPr>
          </w:p>
        </w:tc>
        <w:tc>
          <w:tcPr>
            <w:tcW w:w="2426" w:type="dxa"/>
          </w:tcPr>
          <w:p w14:paraId="3A9043EE"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Parenting Styles and Attention Deficit Hyperactivity Disorder in the South Asian Population: A Narrative Review</w:t>
            </w:r>
          </w:p>
          <w:p w14:paraId="4B8AD9F3" w14:textId="77777777" w:rsidR="002B7D37" w:rsidRPr="004969EF" w:rsidRDefault="002B7D37" w:rsidP="004969EF">
            <w:pPr>
              <w:spacing w:line="360" w:lineRule="auto"/>
              <w:jc w:val="both"/>
              <w:rPr>
                <w:rFonts w:ascii="Arial" w:hAnsi="Arial" w:cs="Arial"/>
                <w:sz w:val="22"/>
                <w:szCs w:val="22"/>
              </w:rPr>
            </w:pPr>
          </w:p>
        </w:tc>
        <w:tc>
          <w:tcPr>
            <w:tcW w:w="1615" w:type="dxa"/>
          </w:tcPr>
          <w:p w14:paraId="28D82CF9"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Narrative Review</w:t>
            </w:r>
          </w:p>
        </w:tc>
        <w:tc>
          <w:tcPr>
            <w:tcW w:w="1808" w:type="dxa"/>
          </w:tcPr>
          <w:p w14:paraId="0842234D"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 xml:space="preserve">Review of existing literature on ADHD management; number of included studies not systematically defined; no </w:t>
            </w:r>
            <w:r w:rsidRPr="004969EF">
              <w:rPr>
                <w:rFonts w:ascii="Arial" w:eastAsiaTheme="minorHAnsi" w:hAnsi="Arial" w:cs="Arial"/>
                <w:sz w:val="22"/>
                <w:szCs w:val="22"/>
                <w:lang w:eastAsia="en-US"/>
              </w:rPr>
              <w:lastRenderedPageBreak/>
              <w:t>primary participants.</w:t>
            </w:r>
          </w:p>
        </w:tc>
        <w:tc>
          <w:tcPr>
            <w:tcW w:w="2190" w:type="dxa"/>
          </w:tcPr>
          <w:p w14:paraId="6C510874"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lastRenderedPageBreak/>
              <w:t>Strengths: Looks directly at South Asian culture, stigma, and parenting. </w:t>
            </w:r>
          </w:p>
          <w:p w14:paraId="7BBE2EEA"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 xml:space="preserve">Limitations: Relies on what people report about themselves. Sample from urban </w:t>
            </w:r>
            <w:r w:rsidRPr="004969EF">
              <w:rPr>
                <w:rFonts w:ascii="Arial" w:hAnsi="Arial" w:cs="Arial"/>
                <w:sz w:val="22"/>
                <w:szCs w:val="22"/>
              </w:rPr>
              <w:lastRenderedPageBreak/>
              <w:t>Bangladesh, not the UK.</w:t>
            </w:r>
          </w:p>
        </w:tc>
        <w:tc>
          <w:tcPr>
            <w:tcW w:w="1657" w:type="dxa"/>
          </w:tcPr>
          <w:p w14:paraId="4A1AD30C"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lastRenderedPageBreak/>
              <w:t>Cultural attitudes delay diagnosis. Stigma stops help-seeking. Authoritarian parenting masks ADHD. Parents delay seeking help.</w:t>
            </w:r>
          </w:p>
        </w:tc>
        <w:tc>
          <w:tcPr>
            <w:tcW w:w="2226" w:type="dxa"/>
          </w:tcPr>
          <w:p w14:paraId="021F5FEF"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Undiagnosed, society, norms, cultural attitudes, stigma, authority, parenting, delay, help-seeking barriers, extended family, misinterpretation,</w:t>
            </w:r>
          </w:p>
        </w:tc>
        <w:tc>
          <w:tcPr>
            <w:tcW w:w="1423" w:type="dxa"/>
          </w:tcPr>
          <w:p w14:paraId="08B00EDF" w14:textId="77777777" w:rsidR="002B7D37" w:rsidRPr="004969EF" w:rsidRDefault="002B7D37" w:rsidP="004969EF">
            <w:pPr>
              <w:spacing w:line="360" w:lineRule="auto"/>
              <w:jc w:val="both"/>
              <w:rPr>
                <w:rFonts w:ascii="Arial" w:hAnsi="Arial" w:cs="Arial"/>
                <w:sz w:val="22"/>
                <w:szCs w:val="22"/>
              </w:rPr>
            </w:pPr>
          </w:p>
        </w:tc>
      </w:tr>
      <w:tr w:rsidR="002B7D37" w:rsidRPr="004969EF" w14:paraId="1395109E" w14:textId="77777777" w:rsidTr="002B7D37">
        <w:trPr>
          <w:trHeight w:val="610"/>
        </w:trPr>
        <w:tc>
          <w:tcPr>
            <w:tcW w:w="1864" w:type="dxa"/>
          </w:tcPr>
          <w:p w14:paraId="12A8FF49"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shd w:val="clear" w:color="auto" w:fill="FFFFFF"/>
              </w:rPr>
              <w:t>Russell et al. (2023)</w:t>
            </w:r>
          </w:p>
          <w:p w14:paraId="785648DE" w14:textId="77777777" w:rsidR="002B7D37" w:rsidRPr="004969EF" w:rsidRDefault="002B7D37" w:rsidP="004969EF">
            <w:pPr>
              <w:spacing w:line="360" w:lineRule="auto"/>
              <w:jc w:val="both"/>
              <w:rPr>
                <w:rFonts w:ascii="Arial" w:hAnsi="Arial" w:cs="Arial"/>
                <w:b/>
                <w:bCs/>
                <w:sz w:val="22"/>
                <w:szCs w:val="22"/>
              </w:rPr>
            </w:pPr>
          </w:p>
        </w:tc>
        <w:tc>
          <w:tcPr>
            <w:tcW w:w="2426" w:type="dxa"/>
          </w:tcPr>
          <w:p w14:paraId="21365314"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 xml:space="preserve">Educational experiences of young people with ADHD in the UK: Secondary analysis of qualitative data from the </w:t>
            </w:r>
            <w:proofErr w:type="spellStart"/>
            <w:r w:rsidRPr="004969EF">
              <w:rPr>
                <w:rFonts w:ascii="Arial" w:hAnsi="Arial" w:cs="Arial"/>
                <w:sz w:val="22"/>
                <w:szCs w:val="22"/>
              </w:rPr>
              <w:t>CATCh-uS</w:t>
            </w:r>
            <w:proofErr w:type="spellEnd"/>
            <w:r w:rsidRPr="004969EF">
              <w:rPr>
                <w:rFonts w:ascii="Arial" w:hAnsi="Arial" w:cs="Arial"/>
                <w:sz w:val="22"/>
                <w:szCs w:val="22"/>
              </w:rPr>
              <w:t xml:space="preserve"> mixed-methods study</w:t>
            </w:r>
          </w:p>
        </w:tc>
        <w:tc>
          <w:tcPr>
            <w:tcW w:w="1615" w:type="dxa"/>
          </w:tcPr>
          <w:p w14:paraId="3C1DE56E"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Qualitative secondary analysis.</w:t>
            </w:r>
          </w:p>
          <w:p w14:paraId="61F78B85" w14:textId="77777777" w:rsidR="002B7D37" w:rsidRPr="004969EF" w:rsidRDefault="002B7D37" w:rsidP="004969EF">
            <w:pPr>
              <w:spacing w:line="360" w:lineRule="auto"/>
              <w:jc w:val="both"/>
              <w:rPr>
                <w:rFonts w:ascii="Arial" w:hAnsi="Arial" w:cs="Arial"/>
                <w:sz w:val="22"/>
                <w:szCs w:val="22"/>
              </w:rPr>
            </w:pPr>
          </w:p>
        </w:tc>
        <w:tc>
          <w:tcPr>
            <w:tcW w:w="1808" w:type="dxa"/>
          </w:tcPr>
          <w:p w14:paraId="70B04FFF" w14:textId="77777777" w:rsidR="002B7D37" w:rsidRPr="004969EF" w:rsidRDefault="002B7D37" w:rsidP="004969EF">
            <w:pPr>
              <w:spacing w:line="360" w:lineRule="auto"/>
              <w:jc w:val="both"/>
              <w:rPr>
                <w:rFonts w:ascii="Arial" w:eastAsiaTheme="minorHAnsi" w:hAnsi="Arial" w:cs="Arial"/>
                <w:sz w:val="22"/>
                <w:szCs w:val="22"/>
                <w:lang w:eastAsia="en-US"/>
              </w:rPr>
            </w:pPr>
            <w:r w:rsidRPr="004969EF">
              <w:rPr>
                <w:rFonts w:ascii="Arial" w:eastAsiaTheme="minorHAnsi" w:hAnsi="Arial" w:cs="Arial"/>
                <w:sz w:val="22"/>
                <w:szCs w:val="22"/>
                <w:lang w:eastAsia="en-US"/>
              </w:rPr>
              <w:t xml:space="preserve">Secondary analysis of qualitative interview data from the </w:t>
            </w:r>
            <w:proofErr w:type="spellStart"/>
            <w:r w:rsidRPr="004969EF">
              <w:rPr>
                <w:rFonts w:ascii="Arial" w:eastAsiaTheme="minorHAnsi" w:hAnsi="Arial" w:cs="Arial"/>
                <w:sz w:val="22"/>
                <w:szCs w:val="22"/>
                <w:lang w:eastAsia="en-US"/>
              </w:rPr>
              <w:t>CATCh-uS</w:t>
            </w:r>
            <w:proofErr w:type="spellEnd"/>
            <w:r w:rsidRPr="004969EF">
              <w:rPr>
                <w:rFonts w:ascii="Arial" w:eastAsiaTheme="minorHAnsi" w:hAnsi="Arial" w:cs="Arial"/>
                <w:sz w:val="22"/>
                <w:szCs w:val="22"/>
                <w:lang w:eastAsia="en-US"/>
              </w:rPr>
              <w:t xml:space="preserve"> study involving approximately 64 young people, parents, and professionals.</w:t>
            </w:r>
          </w:p>
        </w:tc>
        <w:tc>
          <w:tcPr>
            <w:tcW w:w="2190" w:type="dxa"/>
          </w:tcPr>
          <w:p w14:paraId="36F9CBF2"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Strengths: Hears directly from young people with ADHD. Large UK sample. </w:t>
            </w:r>
          </w:p>
          <w:p w14:paraId="2811C261"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 xml:space="preserve">Limitations: Education was not the </w:t>
            </w:r>
            <w:proofErr w:type="gramStart"/>
            <w:r w:rsidRPr="004969EF">
              <w:rPr>
                <w:rFonts w:ascii="Arial" w:hAnsi="Arial" w:cs="Arial"/>
                <w:sz w:val="22"/>
                <w:szCs w:val="22"/>
              </w:rPr>
              <w:t>main focus</w:t>
            </w:r>
            <w:proofErr w:type="gramEnd"/>
            <w:r w:rsidRPr="004969EF">
              <w:rPr>
                <w:rFonts w:ascii="Arial" w:hAnsi="Arial" w:cs="Arial"/>
                <w:sz w:val="22"/>
                <w:szCs w:val="22"/>
              </w:rPr>
              <w:t xml:space="preserve"> of the original interviews. Sample excludes young people not in services</w:t>
            </w:r>
          </w:p>
        </w:tc>
        <w:tc>
          <w:tcPr>
            <w:tcW w:w="1657" w:type="dxa"/>
          </w:tcPr>
          <w:p w14:paraId="4C5AD74F"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Teacher awareness varies. Teacher support is inconsistent. Children struggle at school.</w:t>
            </w:r>
          </w:p>
        </w:tc>
        <w:tc>
          <w:tcPr>
            <w:tcW w:w="2226" w:type="dxa"/>
          </w:tcPr>
          <w:p w14:paraId="5402C3E5" w14:textId="77777777" w:rsidR="002B7D37" w:rsidRPr="004969EF" w:rsidRDefault="002B7D37" w:rsidP="004969EF">
            <w:pPr>
              <w:spacing w:line="360" w:lineRule="auto"/>
              <w:jc w:val="both"/>
              <w:rPr>
                <w:rFonts w:ascii="Arial" w:eastAsiaTheme="minorHAnsi" w:hAnsi="Arial" w:cs="Arial"/>
                <w:sz w:val="22"/>
                <w:szCs w:val="22"/>
                <w:lang w:eastAsia="en-US"/>
              </w:rPr>
            </w:pPr>
            <w:r w:rsidRPr="004969EF">
              <w:rPr>
                <w:rFonts w:ascii="Arial" w:eastAsiaTheme="minorHAnsi" w:hAnsi="Arial" w:cs="Arial"/>
                <w:sz w:val="22"/>
                <w:szCs w:val="22"/>
                <w:lang w:eastAsia="en-US"/>
              </w:rPr>
              <w:t> inconsistent awareness, inconsistent support, school struggles labelling</w:t>
            </w:r>
          </w:p>
          <w:p w14:paraId="09220C00" w14:textId="77777777" w:rsidR="002B7D37" w:rsidRPr="004969EF" w:rsidRDefault="002B7D37" w:rsidP="004969EF">
            <w:pPr>
              <w:spacing w:line="360" w:lineRule="auto"/>
              <w:jc w:val="both"/>
              <w:rPr>
                <w:rFonts w:ascii="Arial" w:hAnsi="Arial" w:cs="Arial"/>
                <w:sz w:val="22"/>
                <w:szCs w:val="22"/>
              </w:rPr>
            </w:pPr>
          </w:p>
        </w:tc>
        <w:tc>
          <w:tcPr>
            <w:tcW w:w="1423" w:type="dxa"/>
          </w:tcPr>
          <w:p w14:paraId="7A330D60" w14:textId="77777777" w:rsidR="002B7D37" w:rsidRPr="004969EF" w:rsidRDefault="002B7D37" w:rsidP="004969EF">
            <w:pPr>
              <w:spacing w:line="360" w:lineRule="auto"/>
              <w:jc w:val="both"/>
              <w:rPr>
                <w:rFonts w:ascii="Arial" w:hAnsi="Arial" w:cs="Arial"/>
                <w:sz w:val="22"/>
                <w:szCs w:val="22"/>
              </w:rPr>
            </w:pPr>
          </w:p>
        </w:tc>
      </w:tr>
      <w:tr w:rsidR="002B7D37" w:rsidRPr="004969EF" w14:paraId="1E58098A" w14:textId="77777777" w:rsidTr="002B7D37">
        <w:trPr>
          <w:trHeight w:val="610"/>
        </w:trPr>
        <w:tc>
          <w:tcPr>
            <w:tcW w:w="1864" w:type="dxa"/>
          </w:tcPr>
          <w:p w14:paraId="58AB30DF"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shd w:val="clear" w:color="auto" w:fill="FFFFFF"/>
              </w:rPr>
              <w:t>Vincent et al. (2025) </w:t>
            </w:r>
          </w:p>
          <w:p w14:paraId="3A7ED30C" w14:textId="77777777" w:rsidR="002B7D37" w:rsidRPr="004969EF" w:rsidRDefault="002B7D37" w:rsidP="004969EF">
            <w:pPr>
              <w:spacing w:line="360" w:lineRule="auto"/>
              <w:jc w:val="both"/>
              <w:rPr>
                <w:rFonts w:ascii="Arial" w:hAnsi="Arial" w:cs="Arial"/>
                <w:b/>
                <w:bCs/>
                <w:sz w:val="22"/>
                <w:szCs w:val="22"/>
              </w:rPr>
            </w:pPr>
          </w:p>
        </w:tc>
        <w:tc>
          <w:tcPr>
            <w:tcW w:w="2426" w:type="dxa"/>
          </w:tcPr>
          <w:p w14:paraId="2E734CC0"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 xml:space="preserve">Barriers and facilitators to accessing services for neurodevelopmental disorders among the carers of individuals from Black, Asian and minority ethnic groups </w:t>
            </w:r>
            <w:r w:rsidRPr="004969EF">
              <w:rPr>
                <w:rFonts w:ascii="Arial" w:hAnsi="Arial" w:cs="Arial"/>
                <w:sz w:val="22"/>
                <w:szCs w:val="22"/>
                <w:shd w:val="clear" w:color="auto" w:fill="FFFFFF"/>
              </w:rPr>
              <w:lastRenderedPageBreak/>
              <w:t>in the UK: a scoping review</w:t>
            </w:r>
          </w:p>
        </w:tc>
        <w:tc>
          <w:tcPr>
            <w:tcW w:w="1615" w:type="dxa"/>
          </w:tcPr>
          <w:p w14:paraId="18542FFA"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lastRenderedPageBreak/>
              <w:t>Scoping review.</w:t>
            </w:r>
          </w:p>
        </w:tc>
        <w:tc>
          <w:tcPr>
            <w:tcW w:w="1808" w:type="dxa"/>
          </w:tcPr>
          <w:p w14:paraId="70C15592" w14:textId="77777777" w:rsidR="002B7D37" w:rsidRPr="004969EF" w:rsidRDefault="002B7D37" w:rsidP="004969EF">
            <w:pPr>
              <w:spacing w:line="360" w:lineRule="auto"/>
              <w:jc w:val="both"/>
              <w:rPr>
                <w:rFonts w:ascii="Arial" w:eastAsiaTheme="minorHAnsi" w:hAnsi="Arial" w:cs="Arial"/>
                <w:sz w:val="22"/>
                <w:szCs w:val="22"/>
                <w:lang w:eastAsia="en-US"/>
              </w:rPr>
            </w:pPr>
            <w:r w:rsidRPr="004969EF">
              <w:rPr>
                <w:rFonts w:ascii="Arial" w:eastAsiaTheme="minorHAnsi" w:hAnsi="Arial" w:cs="Arial"/>
                <w:sz w:val="22"/>
                <w:szCs w:val="22"/>
                <w:lang w:eastAsia="en-US"/>
              </w:rPr>
              <w:t>Review of 38 included studies examining barriers and facilitators for BAME carers; no primary participants.</w:t>
            </w:r>
          </w:p>
          <w:p w14:paraId="43FCB461" w14:textId="77777777" w:rsidR="002B7D37" w:rsidRPr="004969EF" w:rsidRDefault="002B7D37" w:rsidP="004969EF">
            <w:pPr>
              <w:spacing w:line="360" w:lineRule="auto"/>
              <w:jc w:val="both"/>
              <w:rPr>
                <w:rFonts w:ascii="Arial" w:hAnsi="Arial" w:cs="Arial"/>
                <w:sz w:val="22"/>
                <w:szCs w:val="22"/>
              </w:rPr>
            </w:pPr>
          </w:p>
        </w:tc>
        <w:tc>
          <w:tcPr>
            <w:tcW w:w="2190" w:type="dxa"/>
          </w:tcPr>
          <w:p w14:paraId="50A0CE45"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Strengths: First UK review looking at barriers for BAME families accessing neurodevelopmental services. </w:t>
            </w:r>
          </w:p>
          <w:p w14:paraId="44160F86"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 xml:space="preserve">Limitations: Narrative review can be subjective. </w:t>
            </w:r>
            <w:r w:rsidRPr="004969EF">
              <w:rPr>
                <w:rFonts w:ascii="Arial" w:hAnsi="Arial" w:cs="Arial"/>
                <w:sz w:val="22"/>
                <w:szCs w:val="22"/>
              </w:rPr>
              <w:lastRenderedPageBreak/>
              <w:t>Only includes UK peer-reviewed studies.</w:t>
            </w:r>
          </w:p>
        </w:tc>
        <w:tc>
          <w:tcPr>
            <w:tcW w:w="1657" w:type="dxa"/>
          </w:tcPr>
          <w:p w14:paraId="1D5E5515"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lastRenderedPageBreak/>
              <w:t xml:space="preserve">Difficult systems to navigate. Lack cultural understanding. Stigma and mistrust persist. </w:t>
            </w:r>
            <w:r w:rsidRPr="004969EF">
              <w:rPr>
                <w:rFonts w:ascii="Arial" w:eastAsiaTheme="minorHAnsi" w:hAnsi="Arial" w:cs="Arial"/>
                <w:sz w:val="22"/>
                <w:szCs w:val="22"/>
                <w:lang w:eastAsia="en-US"/>
              </w:rPr>
              <w:lastRenderedPageBreak/>
              <w:t>Language barriers.</w:t>
            </w:r>
          </w:p>
        </w:tc>
        <w:tc>
          <w:tcPr>
            <w:tcW w:w="2226" w:type="dxa"/>
          </w:tcPr>
          <w:p w14:paraId="46F2D275"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lastRenderedPageBreak/>
              <w:t> </w:t>
            </w:r>
            <w:proofErr w:type="gramStart"/>
            <w:r w:rsidRPr="004969EF">
              <w:rPr>
                <w:rFonts w:ascii="Arial" w:eastAsiaTheme="minorHAnsi" w:hAnsi="Arial" w:cs="Arial"/>
                <w:sz w:val="22"/>
                <w:szCs w:val="22"/>
                <w:lang w:eastAsia="en-US"/>
              </w:rPr>
              <w:t>Ethnic,  religious</w:t>
            </w:r>
            <w:proofErr w:type="gramEnd"/>
            <w:r w:rsidRPr="004969EF">
              <w:rPr>
                <w:rFonts w:ascii="Arial" w:eastAsiaTheme="minorHAnsi" w:hAnsi="Arial" w:cs="Arial"/>
                <w:sz w:val="22"/>
                <w:szCs w:val="22"/>
                <w:lang w:eastAsia="en-US"/>
              </w:rPr>
              <w:t xml:space="preserve"> influences,  lack of cultural understanding, stigma, mistrust, language barriers, communication barriers, diagnosed less , stress, anxiety</w:t>
            </w:r>
          </w:p>
        </w:tc>
        <w:tc>
          <w:tcPr>
            <w:tcW w:w="1423" w:type="dxa"/>
          </w:tcPr>
          <w:p w14:paraId="6C80A572" w14:textId="77777777" w:rsidR="002B7D37" w:rsidRPr="004969EF" w:rsidRDefault="002B7D37" w:rsidP="004969EF">
            <w:pPr>
              <w:spacing w:line="360" w:lineRule="auto"/>
              <w:jc w:val="both"/>
              <w:rPr>
                <w:rFonts w:ascii="Arial" w:hAnsi="Arial" w:cs="Arial"/>
                <w:sz w:val="22"/>
                <w:szCs w:val="22"/>
              </w:rPr>
            </w:pPr>
          </w:p>
        </w:tc>
      </w:tr>
      <w:tr w:rsidR="002B7D37" w:rsidRPr="004969EF" w14:paraId="103C3D2A" w14:textId="77777777" w:rsidTr="002B7D37">
        <w:trPr>
          <w:trHeight w:val="610"/>
        </w:trPr>
        <w:tc>
          <w:tcPr>
            <w:tcW w:w="1864" w:type="dxa"/>
          </w:tcPr>
          <w:p w14:paraId="3272C82D"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shd w:val="clear" w:color="auto" w:fill="FFFFFF"/>
              </w:rPr>
              <w:t>Ward et al. (2021)</w:t>
            </w:r>
          </w:p>
          <w:p w14:paraId="78764667" w14:textId="77777777" w:rsidR="002B7D37" w:rsidRPr="004969EF" w:rsidRDefault="002B7D37" w:rsidP="004969EF">
            <w:pPr>
              <w:spacing w:line="360" w:lineRule="auto"/>
              <w:jc w:val="both"/>
              <w:rPr>
                <w:rFonts w:ascii="Arial" w:hAnsi="Arial" w:cs="Arial"/>
                <w:b/>
                <w:bCs/>
                <w:sz w:val="22"/>
                <w:szCs w:val="22"/>
              </w:rPr>
            </w:pPr>
          </w:p>
        </w:tc>
        <w:tc>
          <w:tcPr>
            <w:tcW w:w="2426" w:type="dxa"/>
          </w:tcPr>
          <w:p w14:paraId="6C77D85F"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shd w:val="clear" w:color="auto" w:fill="FFFFFF"/>
              </w:rPr>
              <w:t>UK teachers’ knowledge, confidence and training needs for ADHD.</w:t>
            </w:r>
          </w:p>
          <w:p w14:paraId="4CB4B790" w14:textId="77777777" w:rsidR="002B7D37" w:rsidRPr="004969EF" w:rsidRDefault="002B7D37" w:rsidP="004969EF">
            <w:pPr>
              <w:spacing w:line="360" w:lineRule="auto"/>
              <w:jc w:val="both"/>
              <w:rPr>
                <w:rFonts w:ascii="Arial" w:hAnsi="Arial" w:cs="Arial"/>
                <w:sz w:val="22"/>
                <w:szCs w:val="22"/>
              </w:rPr>
            </w:pPr>
          </w:p>
        </w:tc>
        <w:tc>
          <w:tcPr>
            <w:tcW w:w="1615" w:type="dxa"/>
          </w:tcPr>
          <w:p w14:paraId="4BF2DD50"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Qualitative study</w:t>
            </w:r>
          </w:p>
        </w:tc>
        <w:tc>
          <w:tcPr>
            <w:tcW w:w="1808" w:type="dxa"/>
          </w:tcPr>
          <w:p w14:paraId="3F212346"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Qualitative data collected through</w:t>
            </w:r>
            <w:r w:rsidRPr="004969EF">
              <w:rPr>
                <w:rFonts w:ascii="Arial" w:hAnsi="Arial" w:cs="Arial"/>
                <w:sz w:val="22"/>
                <w:szCs w:val="22"/>
              </w:rPr>
              <w:t xml:space="preserve"> Semi-structured interviews </w:t>
            </w:r>
            <w:r w:rsidRPr="004969EF">
              <w:rPr>
                <w:rFonts w:ascii="Arial" w:eastAsiaTheme="minorHAnsi" w:hAnsi="Arial" w:cs="Arial"/>
                <w:sz w:val="22"/>
                <w:szCs w:val="22"/>
                <w:lang w:eastAsia="en-US"/>
              </w:rPr>
              <w:t xml:space="preserve">groups with </w:t>
            </w:r>
            <w:proofErr w:type="gramStart"/>
            <w:r w:rsidRPr="004969EF">
              <w:rPr>
                <w:rFonts w:ascii="Arial" w:eastAsiaTheme="minorHAnsi" w:hAnsi="Arial" w:cs="Arial"/>
                <w:sz w:val="22"/>
                <w:szCs w:val="22"/>
                <w:lang w:eastAsia="en-US"/>
              </w:rPr>
              <w:t>15  UK</w:t>
            </w:r>
            <w:proofErr w:type="gramEnd"/>
            <w:r w:rsidRPr="004969EF">
              <w:rPr>
                <w:rFonts w:ascii="Arial" w:eastAsiaTheme="minorHAnsi" w:hAnsi="Arial" w:cs="Arial"/>
                <w:sz w:val="22"/>
                <w:szCs w:val="22"/>
                <w:lang w:eastAsia="en-US"/>
              </w:rPr>
              <w:t xml:space="preserve"> primary school </w:t>
            </w:r>
          </w:p>
        </w:tc>
        <w:tc>
          <w:tcPr>
            <w:tcW w:w="2190" w:type="dxa"/>
          </w:tcPr>
          <w:p w14:paraId="75530CC4"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Strengths: Shows what UK primary school staff think about ADHD training. </w:t>
            </w:r>
          </w:p>
          <w:p w14:paraId="0E1DC154"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Limitations: Small sample from one area. Does not explore gender differences or co-occurring conditions.</w:t>
            </w:r>
          </w:p>
        </w:tc>
        <w:tc>
          <w:tcPr>
            <w:tcW w:w="1657" w:type="dxa"/>
          </w:tcPr>
          <w:p w14:paraId="268E6C63"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Staff are under-trained. Staff lack confidence. Staff delay referral.</w:t>
            </w:r>
          </w:p>
        </w:tc>
        <w:tc>
          <w:tcPr>
            <w:tcW w:w="2226" w:type="dxa"/>
          </w:tcPr>
          <w:p w14:paraId="40E0E6A2"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Training, confidence, support achievement</w:t>
            </w:r>
          </w:p>
        </w:tc>
        <w:tc>
          <w:tcPr>
            <w:tcW w:w="1423" w:type="dxa"/>
          </w:tcPr>
          <w:p w14:paraId="0EFCB86F" w14:textId="77777777" w:rsidR="002B7D37" w:rsidRPr="004969EF" w:rsidRDefault="002B7D37" w:rsidP="004969EF">
            <w:pPr>
              <w:spacing w:line="360" w:lineRule="auto"/>
              <w:jc w:val="both"/>
              <w:rPr>
                <w:rFonts w:ascii="Arial" w:hAnsi="Arial" w:cs="Arial"/>
                <w:sz w:val="22"/>
                <w:szCs w:val="22"/>
              </w:rPr>
            </w:pPr>
          </w:p>
        </w:tc>
      </w:tr>
      <w:tr w:rsidR="002B7D37" w:rsidRPr="004969EF" w14:paraId="46961414" w14:textId="77777777" w:rsidTr="002B7D37">
        <w:trPr>
          <w:trHeight w:val="610"/>
        </w:trPr>
        <w:tc>
          <w:tcPr>
            <w:tcW w:w="1864" w:type="dxa"/>
          </w:tcPr>
          <w:p w14:paraId="720328A1" w14:textId="77777777" w:rsidR="002B7D37" w:rsidRPr="004969EF" w:rsidRDefault="002B7D37" w:rsidP="004969EF">
            <w:pPr>
              <w:spacing w:line="360" w:lineRule="auto"/>
              <w:jc w:val="both"/>
              <w:rPr>
                <w:rFonts w:ascii="Arial" w:hAnsi="Arial" w:cs="Arial"/>
                <w:b/>
                <w:bCs/>
                <w:sz w:val="22"/>
                <w:szCs w:val="22"/>
              </w:rPr>
            </w:pPr>
            <w:r w:rsidRPr="004969EF">
              <w:rPr>
                <w:rFonts w:ascii="Arial" w:hAnsi="Arial" w:cs="Arial"/>
                <w:b/>
                <w:bCs/>
                <w:sz w:val="22"/>
                <w:szCs w:val="22"/>
                <w:shd w:val="clear" w:color="auto" w:fill="FFFFFF"/>
              </w:rPr>
              <w:t>Young et al. (2021)</w:t>
            </w:r>
          </w:p>
          <w:p w14:paraId="7E3AA76A" w14:textId="77777777" w:rsidR="002B7D37" w:rsidRPr="004969EF" w:rsidRDefault="002B7D37" w:rsidP="004969EF">
            <w:pPr>
              <w:spacing w:line="360" w:lineRule="auto"/>
              <w:jc w:val="both"/>
              <w:rPr>
                <w:rFonts w:ascii="Arial" w:hAnsi="Arial" w:cs="Arial"/>
                <w:sz w:val="22"/>
                <w:szCs w:val="22"/>
              </w:rPr>
            </w:pPr>
          </w:p>
        </w:tc>
        <w:tc>
          <w:tcPr>
            <w:tcW w:w="2426" w:type="dxa"/>
          </w:tcPr>
          <w:p w14:paraId="2B358253"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Failure of Healthcare Provision for Attention-Deficit/Hyperactivity Disorder in the United Kingdom: A Consensus Statement</w:t>
            </w:r>
          </w:p>
          <w:p w14:paraId="3ED56486" w14:textId="77777777" w:rsidR="002B7D37" w:rsidRPr="004969EF" w:rsidRDefault="002B7D37" w:rsidP="004969EF">
            <w:pPr>
              <w:spacing w:line="360" w:lineRule="auto"/>
              <w:jc w:val="both"/>
              <w:rPr>
                <w:rFonts w:ascii="Arial" w:hAnsi="Arial" w:cs="Arial"/>
                <w:sz w:val="22"/>
                <w:szCs w:val="22"/>
              </w:rPr>
            </w:pPr>
          </w:p>
        </w:tc>
        <w:tc>
          <w:tcPr>
            <w:tcW w:w="1615" w:type="dxa"/>
          </w:tcPr>
          <w:p w14:paraId="1B7E2F44"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Expert consensus</w:t>
            </w:r>
          </w:p>
        </w:tc>
        <w:tc>
          <w:tcPr>
            <w:tcW w:w="1808" w:type="dxa"/>
          </w:tcPr>
          <w:p w14:paraId="52E7FB39"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Expert consensus involving 20+ ADHD specialists; no participant-based data collection.</w:t>
            </w:r>
          </w:p>
        </w:tc>
        <w:tc>
          <w:tcPr>
            <w:tcW w:w="2190" w:type="dxa"/>
          </w:tcPr>
          <w:p w14:paraId="289DAA67"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Strengths: over 20 UK experts from different fields agree on what is wrong with ADHD services. </w:t>
            </w:r>
          </w:p>
          <w:p w14:paraId="439EEC16" w14:textId="77777777" w:rsidR="002B7D37" w:rsidRPr="004969EF" w:rsidRDefault="002B7D37" w:rsidP="004969EF">
            <w:pPr>
              <w:spacing w:line="360" w:lineRule="auto"/>
              <w:jc w:val="both"/>
              <w:rPr>
                <w:rFonts w:ascii="Arial" w:hAnsi="Arial" w:cs="Arial"/>
                <w:sz w:val="22"/>
                <w:szCs w:val="22"/>
              </w:rPr>
            </w:pPr>
            <w:r w:rsidRPr="004969EF">
              <w:rPr>
                <w:rFonts w:ascii="Arial" w:hAnsi="Arial" w:cs="Arial"/>
                <w:sz w:val="22"/>
                <w:szCs w:val="22"/>
              </w:rPr>
              <w:t xml:space="preserve">Limitations: Expert opinion, not new </w:t>
            </w:r>
            <w:r w:rsidRPr="004969EF">
              <w:rPr>
                <w:rFonts w:ascii="Arial" w:hAnsi="Arial" w:cs="Arial"/>
                <w:sz w:val="22"/>
                <w:szCs w:val="22"/>
              </w:rPr>
              <w:lastRenderedPageBreak/>
              <w:t>data. Reflects only the views of the group.</w:t>
            </w:r>
          </w:p>
        </w:tc>
        <w:tc>
          <w:tcPr>
            <w:tcW w:w="1657" w:type="dxa"/>
          </w:tcPr>
          <w:p w14:paraId="42D3EA73"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lastRenderedPageBreak/>
              <w:t>Inconsistent services across areas. Postcode lottery. Delays in diagnosis.</w:t>
            </w:r>
          </w:p>
        </w:tc>
        <w:tc>
          <w:tcPr>
            <w:tcW w:w="2226" w:type="dxa"/>
          </w:tcPr>
          <w:p w14:paraId="56D60B2D" w14:textId="77777777" w:rsidR="002B7D37" w:rsidRPr="004969EF" w:rsidRDefault="002B7D37" w:rsidP="004969EF">
            <w:pPr>
              <w:spacing w:line="360" w:lineRule="auto"/>
              <w:jc w:val="both"/>
              <w:rPr>
                <w:rFonts w:ascii="Arial" w:hAnsi="Arial" w:cs="Arial"/>
                <w:sz w:val="22"/>
                <w:szCs w:val="22"/>
              </w:rPr>
            </w:pPr>
            <w:r w:rsidRPr="004969EF">
              <w:rPr>
                <w:rFonts w:ascii="Arial" w:eastAsiaTheme="minorHAnsi" w:hAnsi="Arial" w:cs="Arial"/>
                <w:sz w:val="22"/>
                <w:szCs w:val="22"/>
                <w:lang w:eastAsia="en-US"/>
              </w:rPr>
              <w:t>Waiting, services, postcode lottery, shared care, delays. Cultural barriers, structural barriers, insufficient</w:t>
            </w:r>
          </w:p>
        </w:tc>
        <w:tc>
          <w:tcPr>
            <w:tcW w:w="1423" w:type="dxa"/>
          </w:tcPr>
          <w:p w14:paraId="6C77AF89" w14:textId="77777777" w:rsidR="002B7D37" w:rsidRPr="004969EF" w:rsidRDefault="002B7D37" w:rsidP="004969EF">
            <w:pPr>
              <w:spacing w:line="360" w:lineRule="auto"/>
              <w:jc w:val="both"/>
              <w:rPr>
                <w:rFonts w:ascii="Arial" w:hAnsi="Arial" w:cs="Arial"/>
                <w:sz w:val="22"/>
                <w:szCs w:val="22"/>
              </w:rPr>
            </w:pPr>
          </w:p>
        </w:tc>
      </w:tr>
    </w:tbl>
    <w:p w14:paraId="068D201B" w14:textId="77777777" w:rsidR="002B7D37" w:rsidRPr="004969EF" w:rsidRDefault="002B7D37" w:rsidP="004969EF">
      <w:pPr>
        <w:spacing w:line="360" w:lineRule="auto"/>
        <w:jc w:val="both"/>
        <w:rPr>
          <w:rFonts w:ascii="Arial" w:hAnsi="Arial" w:cs="Arial"/>
          <w:sz w:val="22"/>
          <w:szCs w:val="22"/>
        </w:rPr>
      </w:pPr>
    </w:p>
    <w:p w14:paraId="6F15614E" w14:textId="77777777" w:rsidR="002B7D37" w:rsidRPr="004969EF" w:rsidRDefault="002B7D37" w:rsidP="004969EF">
      <w:pPr>
        <w:spacing w:line="360" w:lineRule="auto"/>
        <w:jc w:val="both"/>
        <w:rPr>
          <w:rFonts w:ascii="Arial" w:hAnsi="Arial" w:cs="Arial"/>
          <w:sz w:val="22"/>
          <w:szCs w:val="22"/>
        </w:rPr>
      </w:pPr>
    </w:p>
    <w:p w14:paraId="3BE53AC5" w14:textId="77777777" w:rsidR="002B7D37" w:rsidRPr="004969EF" w:rsidRDefault="002B7D37" w:rsidP="004969EF">
      <w:pPr>
        <w:spacing w:line="360" w:lineRule="auto"/>
        <w:jc w:val="both"/>
        <w:rPr>
          <w:rFonts w:ascii="Arial" w:hAnsi="Arial" w:cs="Arial"/>
          <w:sz w:val="22"/>
          <w:szCs w:val="22"/>
        </w:rPr>
      </w:pPr>
    </w:p>
    <w:p w14:paraId="219EBC85" w14:textId="77777777" w:rsidR="002B7D37" w:rsidRPr="004969EF" w:rsidRDefault="002B7D37" w:rsidP="004969EF">
      <w:pPr>
        <w:spacing w:line="360" w:lineRule="auto"/>
        <w:jc w:val="both"/>
        <w:rPr>
          <w:rFonts w:ascii="Arial" w:hAnsi="Arial" w:cs="Arial"/>
          <w:sz w:val="22"/>
          <w:szCs w:val="22"/>
        </w:rPr>
      </w:pPr>
    </w:p>
    <w:sectPr w:rsidR="002B7D37" w:rsidRPr="004969EF" w:rsidSect="00F4763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86407" w14:textId="77777777" w:rsidR="00250E65" w:rsidRDefault="00250E65" w:rsidP="00211184">
      <w:r>
        <w:separator/>
      </w:r>
    </w:p>
  </w:endnote>
  <w:endnote w:type="continuationSeparator" w:id="0">
    <w:p w14:paraId="4BB37757" w14:textId="77777777" w:rsidR="00250E65" w:rsidRDefault="00250E65" w:rsidP="00211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EC22A" w14:textId="77777777" w:rsidR="00250E65" w:rsidRDefault="00250E65" w:rsidP="00211184">
      <w:r>
        <w:separator/>
      </w:r>
    </w:p>
  </w:footnote>
  <w:footnote w:type="continuationSeparator" w:id="0">
    <w:p w14:paraId="50A4A7C8" w14:textId="77777777" w:rsidR="00250E65" w:rsidRDefault="00250E65" w:rsidP="002111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6436"/>
    <w:multiLevelType w:val="multilevel"/>
    <w:tmpl w:val="683A0934"/>
    <w:lvl w:ilvl="0">
      <w:start w:val="1"/>
      <w:numFmt w:val="bullet"/>
      <w:lvlText w:val="•"/>
      <w:lvlJc w:val="left"/>
      <w:pPr>
        <w:ind w:left="720" w:hanging="360"/>
      </w:pPr>
      <w:rPr>
        <w:rFonts w:ascii="Arial" w:hAnsi="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B970C4"/>
    <w:multiLevelType w:val="hybridMultilevel"/>
    <w:tmpl w:val="AE00C96A"/>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27FF22AF"/>
    <w:multiLevelType w:val="multilevel"/>
    <w:tmpl w:val="AF70D57C"/>
    <w:lvl w:ilvl="0">
      <w:start w:val="3"/>
      <w:numFmt w:val="decimal"/>
      <w:lvlText w:val="%1."/>
      <w:lvlJc w:val="left"/>
      <w:pPr>
        <w:ind w:left="380" w:hanging="38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C1C6F9E"/>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B6B39CD"/>
    <w:multiLevelType w:val="multilevel"/>
    <w:tmpl w:val="3586A58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410071AE"/>
    <w:multiLevelType w:val="hybridMultilevel"/>
    <w:tmpl w:val="7E54DF8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4C511760"/>
    <w:multiLevelType w:val="multilevel"/>
    <w:tmpl w:val="FDB4A6BE"/>
    <w:lvl w:ilvl="0">
      <w:start w:val="1"/>
      <w:numFmt w:val="bullet"/>
      <w:lvlText w:val=""/>
      <w:lvlJc w:val="left"/>
      <w:pPr>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134A36"/>
    <w:multiLevelType w:val="multilevel"/>
    <w:tmpl w:val="97227ED0"/>
    <w:lvl w:ilvl="0">
      <w:start w:val="1"/>
      <w:numFmt w:val="bullet"/>
      <w:lvlText w:val="•"/>
      <w:lvlJc w:val="left"/>
      <w:pPr>
        <w:ind w:left="720" w:hanging="360"/>
      </w:pPr>
      <w:rPr>
        <w:rFonts w:ascii="Arial" w:hAnsi="Aria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2"/>
  </w:num>
  <w:num w:numId="2">
    <w:abstractNumId w:val="14"/>
  </w:num>
  <w:num w:numId="3">
    <w:abstractNumId w:val="3"/>
  </w:num>
  <w:num w:numId="4">
    <w:abstractNumId w:val="15"/>
  </w:num>
  <w:num w:numId="5">
    <w:abstractNumId w:val="22"/>
  </w:num>
  <w:num w:numId="6">
    <w:abstractNumId w:val="24"/>
  </w:num>
  <w:num w:numId="7">
    <w:abstractNumId w:val="19"/>
  </w:num>
  <w:num w:numId="8">
    <w:abstractNumId w:val="8"/>
  </w:num>
  <w:num w:numId="9">
    <w:abstractNumId w:val="11"/>
  </w:num>
  <w:num w:numId="10">
    <w:abstractNumId w:val="9"/>
  </w:num>
  <w:num w:numId="11">
    <w:abstractNumId w:val="17"/>
  </w:num>
  <w:num w:numId="12">
    <w:abstractNumId w:val="6"/>
  </w:num>
  <w:num w:numId="13">
    <w:abstractNumId w:val="16"/>
  </w:num>
  <w:num w:numId="14">
    <w:abstractNumId w:val="23"/>
  </w:num>
  <w:num w:numId="15">
    <w:abstractNumId w:val="20"/>
  </w:num>
  <w:num w:numId="16">
    <w:abstractNumId w:val="13"/>
  </w:num>
  <w:num w:numId="17">
    <w:abstractNumId w:val="18"/>
  </w:num>
  <w:num w:numId="18">
    <w:abstractNumId w:val="12"/>
  </w:num>
  <w:num w:numId="19">
    <w:abstractNumId w:val="0"/>
  </w:num>
  <w:num w:numId="20">
    <w:abstractNumId w:val="21"/>
  </w:num>
  <w:num w:numId="21">
    <w:abstractNumId w:val="4"/>
  </w:num>
  <w:num w:numId="22">
    <w:abstractNumId w:val="7"/>
  </w:num>
  <w:num w:numId="23">
    <w:abstractNumId w:val="10"/>
  </w:num>
  <w:num w:numId="24">
    <w:abstractNumId w:val="5"/>
  </w:num>
  <w:num w:numId="25">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3AD2"/>
    <w:rsid w:val="000264A2"/>
    <w:rsid w:val="000400E4"/>
    <w:rsid w:val="000545F7"/>
    <w:rsid w:val="00063B4C"/>
    <w:rsid w:val="00086E7D"/>
    <w:rsid w:val="000C064E"/>
    <w:rsid w:val="000D05D8"/>
    <w:rsid w:val="000D0641"/>
    <w:rsid w:val="000D1602"/>
    <w:rsid w:val="000D2B00"/>
    <w:rsid w:val="000D6461"/>
    <w:rsid w:val="000F57F4"/>
    <w:rsid w:val="00132D83"/>
    <w:rsid w:val="001601E6"/>
    <w:rsid w:val="00160468"/>
    <w:rsid w:val="0016229A"/>
    <w:rsid w:val="001837C9"/>
    <w:rsid w:val="001C3AF6"/>
    <w:rsid w:val="001D1485"/>
    <w:rsid w:val="001D2D45"/>
    <w:rsid w:val="001F19A6"/>
    <w:rsid w:val="002006F2"/>
    <w:rsid w:val="002058F1"/>
    <w:rsid w:val="00207B7E"/>
    <w:rsid w:val="00211184"/>
    <w:rsid w:val="0021364B"/>
    <w:rsid w:val="00222DD4"/>
    <w:rsid w:val="0025020C"/>
    <w:rsid w:val="00250E65"/>
    <w:rsid w:val="00256951"/>
    <w:rsid w:val="002865F5"/>
    <w:rsid w:val="00292A36"/>
    <w:rsid w:val="00293CD9"/>
    <w:rsid w:val="002B7D37"/>
    <w:rsid w:val="002C2F2B"/>
    <w:rsid w:val="002D64A3"/>
    <w:rsid w:val="002E0C27"/>
    <w:rsid w:val="002F5E53"/>
    <w:rsid w:val="0031192D"/>
    <w:rsid w:val="00312A5A"/>
    <w:rsid w:val="003135AD"/>
    <w:rsid w:val="003253A6"/>
    <w:rsid w:val="00333CF7"/>
    <w:rsid w:val="00393F39"/>
    <w:rsid w:val="003A66FD"/>
    <w:rsid w:val="003B1E32"/>
    <w:rsid w:val="003B75FB"/>
    <w:rsid w:val="00433DE3"/>
    <w:rsid w:val="00460F1B"/>
    <w:rsid w:val="00463A70"/>
    <w:rsid w:val="004969EF"/>
    <w:rsid w:val="004B019F"/>
    <w:rsid w:val="004D4021"/>
    <w:rsid w:val="004E679C"/>
    <w:rsid w:val="004E6E51"/>
    <w:rsid w:val="005119DE"/>
    <w:rsid w:val="005446BF"/>
    <w:rsid w:val="0055147E"/>
    <w:rsid w:val="0058671D"/>
    <w:rsid w:val="005A087C"/>
    <w:rsid w:val="005A7742"/>
    <w:rsid w:val="005B3EDE"/>
    <w:rsid w:val="005B6E67"/>
    <w:rsid w:val="005C5E80"/>
    <w:rsid w:val="005D7A1E"/>
    <w:rsid w:val="005E1650"/>
    <w:rsid w:val="005F258E"/>
    <w:rsid w:val="005F62B8"/>
    <w:rsid w:val="00603AC7"/>
    <w:rsid w:val="00604A87"/>
    <w:rsid w:val="006056D3"/>
    <w:rsid w:val="00621776"/>
    <w:rsid w:val="00621872"/>
    <w:rsid w:val="00636D9A"/>
    <w:rsid w:val="00652A03"/>
    <w:rsid w:val="006707C7"/>
    <w:rsid w:val="006748FE"/>
    <w:rsid w:val="006A3F0D"/>
    <w:rsid w:val="006A4515"/>
    <w:rsid w:val="006C0BE9"/>
    <w:rsid w:val="006C5B94"/>
    <w:rsid w:val="006C78AA"/>
    <w:rsid w:val="006F04D4"/>
    <w:rsid w:val="006F4AB2"/>
    <w:rsid w:val="007063BA"/>
    <w:rsid w:val="00730C3C"/>
    <w:rsid w:val="0073280B"/>
    <w:rsid w:val="00750B5B"/>
    <w:rsid w:val="0076415F"/>
    <w:rsid w:val="0077163A"/>
    <w:rsid w:val="00785752"/>
    <w:rsid w:val="00795E48"/>
    <w:rsid w:val="007A59C8"/>
    <w:rsid w:val="007A5AC7"/>
    <w:rsid w:val="007A712E"/>
    <w:rsid w:val="007C246B"/>
    <w:rsid w:val="007C685B"/>
    <w:rsid w:val="007F7847"/>
    <w:rsid w:val="0080088F"/>
    <w:rsid w:val="00804B94"/>
    <w:rsid w:val="00807B11"/>
    <w:rsid w:val="008104F4"/>
    <w:rsid w:val="00825038"/>
    <w:rsid w:val="008256DA"/>
    <w:rsid w:val="0082760D"/>
    <w:rsid w:val="00867C74"/>
    <w:rsid w:val="00880B2D"/>
    <w:rsid w:val="00883AB0"/>
    <w:rsid w:val="00894108"/>
    <w:rsid w:val="00894AE0"/>
    <w:rsid w:val="008B187E"/>
    <w:rsid w:val="008B1DFA"/>
    <w:rsid w:val="008C38C3"/>
    <w:rsid w:val="008D6F0F"/>
    <w:rsid w:val="008E7B2E"/>
    <w:rsid w:val="009019D5"/>
    <w:rsid w:val="00916814"/>
    <w:rsid w:val="00923362"/>
    <w:rsid w:val="00934B10"/>
    <w:rsid w:val="00942E88"/>
    <w:rsid w:val="00983FB2"/>
    <w:rsid w:val="00995444"/>
    <w:rsid w:val="009A3F02"/>
    <w:rsid w:val="009A4A9B"/>
    <w:rsid w:val="009D06C5"/>
    <w:rsid w:val="009D534C"/>
    <w:rsid w:val="009D728C"/>
    <w:rsid w:val="009E5B14"/>
    <w:rsid w:val="00A153CF"/>
    <w:rsid w:val="00A5032A"/>
    <w:rsid w:val="00A63C78"/>
    <w:rsid w:val="00A90A7A"/>
    <w:rsid w:val="00AA437C"/>
    <w:rsid w:val="00AA5DED"/>
    <w:rsid w:val="00AB78F0"/>
    <w:rsid w:val="00AD1365"/>
    <w:rsid w:val="00AE66C4"/>
    <w:rsid w:val="00B01396"/>
    <w:rsid w:val="00B12FC6"/>
    <w:rsid w:val="00B13DE6"/>
    <w:rsid w:val="00B14B6E"/>
    <w:rsid w:val="00B2206D"/>
    <w:rsid w:val="00B2418B"/>
    <w:rsid w:val="00B26973"/>
    <w:rsid w:val="00B278AF"/>
    <w:rsid w:val="00B42A86"/>
    <w:rsid w:val="00B575E2"/>
    <w:rsid w:val="00B7073C"/>
    <w:rsid w:val="00B776B3"/>
    <w:rsid w:val="00B858A1"/>
    <w:rsid w:val="00B9124C"/>
    <w:rsid w:val="00BA4642"/>
    <w:rsid w:val="00BA6A40"/>
    <w:rsid w:val="00BB5150"/>
    <w:rsid w:val="00BB65AC"/>
    <w:rsid w:val="00BB79A4"/>
    <w:rsid w:val="00BD2909"/>
    <w:rsid w:val="00C17A49"/>
    <w:rsid w:val="00C220C0"/>
    <w:rsid w:val="00C24013"/>
    <w:rsid w:val="00C32ACB"/>
    <w:rsid w:val="00C4361E"/>
    <w:rsid w:val="00C56A9E"/>
    <w:rsid w:val="00C57254"/>
    <w:rsid w:val="00C76E47"/>
    <w:rsid w:val="00C91479"/>
    <w:rsid w:val="00CA4BAB"/>
    <w:rsid w:val="00CB1261"/>
    <w:rsid w:val="00CB3AF6"/>
    <w:rsid w:val="00CB3C13"/>
    <w:rsid w:val="00CE3FD1"/>
    <w:rsid w:val="00CE620E"/>
    <w:rsid w:val="00CF1ED5"/>
    <w:rsid w:val="00D131AA"/>
    <w:rsid w:val="00D13A82"/>
    <w:rsid w:val="00D13DB7"/>
    <w:rsid w:val="00D373BB"/>
    <w:rsid w:val="00DB71AC"/>
    <w:rsid w:val="00DC00D1"/>
    <w:rsid w:val="00DD02A4"/>
    <w:rsid w:val="00DD5375"/>
    <w:rsid w:val="00DE1A02"/>
    <w:rsid w:val="00DF75BF"/>
    <w:rsid w:val="00E02DD4"/>
    <w:rsid w:val="00E05C6C"/>
    <w:rsid w:val="00E157E1"/>
    <w:rsid w:val="00E2182C"/>
    <w:rsid w:val="00E325CF"/>
    <w:rsid w:val="00E40B0D"/>
    <w:rsid w:val="00E71420"/>
    <w:rsid w:val="00E90B9E"/>
    <w:rsid w:val="00E94DA0"/>
    <w:rsid w:val="00E97D1C"/>
    <w:rsid w:val="00EA5CC3"/>
    <w:rsid w:val="00EE50AF"/>
    <w:rsid w:val="00EF6341"/>
    <w:rsid w:val="00F0560A"/>
    <w:rsid w:val="00F158D7"/>
    <w:rsid w:val="00F20EE5"/>
    <w:rsid w:val="00F21E50"/>
    <w:rsid w:val="00F26E91"/>
    <w:rsid w:val="00F44833"/>
    <w:rsid w:val="00F4763B"/>
    <w:rsid w:val="00F47756"/>
    <w:rsid w:val="00F544B0"/>
    <w:rsid w:val="00F55207"/>
    <w:rsid w:val="00F63527"/>
    <w:rsid w:val="00F65FCA"/>
    <w:rsid w:val="00F67C87"/>
    <w:rsid w:val="00F84C23"/>
    <w:rsid w:val="00FA0562"/>
    <w:rsid w:val="00FA256F"/>
    <w:rsid w:val="00FD3DE0"/>
    <w:rsid w:val="00FD7729"/>
    <w:rsid w:val="00FD7C22"/>
    <w:rsid w:val="00FE5C58"/>
    <w:rsid w:val="00FF7F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DED"/>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link w:val="Heading1Char"/>
    <w:uiPriority w:val="1"/>
    <w:qFormat/>
    <w:rsid w:val="00063B4C"/>
    <w:pPr>
      <w:widowControl w:val="0"/>
      <w:autoSpaceDE w:val="0"/>
      <w:autoSpaceDN w:val="0"/>
      <w:ind w:left="220"/>
      <w:outlineLvl w:val="0"/>
    </w:pPr>
    <w:rPr>
      <w:rFonts w:ascii="Arial" w:eastAsia="Calibri Light" w:hAnsi="Arial" w:cs="Calibri Light"/>
      <w:b/>
      <w:sz w:val="32"/>
      <w:szCs w:val="32"/>
      <w:lang w:bidi="en-GB"/>
    </w:rPr>
  </w:style>
  <w:style w:type="paragraph" w:styleId="Heading2">
    <w:name w:val="heading 2"/>
    <w:basedOn w:val="Normal"/>
    <w:next w:val="Normal"/>
    <w:link w:val="Heading2Char"/>
    <w:uiPriority w:val="9"/>
    <w:unhideWhenUsed/>
    <w:qFormat/>
    <w:rsid w:val="005D7A1E"/>
    <w:pPr>
      <w:keepNext/>
      <w:keepLines/>
      <w:spacing w:before="4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semiHidden/>
    <w:unhideWhenUsed/>
    <w:qFormat/>
    <w:rsid w:val="00FE5C5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7063B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pPr>
    <w:rPr>
      <w:rFonts w:ascii="Arial" w:eastAsia="Calibri Light" w:hAnsi="Arial" w:cs="Calibri Light"/>
      <w:lang w:bidi="en-GB"/>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pPr>
  </w:style>
  <w:style w:type="paragraph" w:styleId="ListParagraph">
    <w:name w:val="List Paragraph"/>
    <w:basedOn w:val="Normal"/>
    <w:uiPriority w:val="34"/>
    <w:qFormat/>
    <w:rsid w:val="00CE620E"/>
    <w:pPr>
      <w:widowControl w:val="0"/>
      <w:autoSpaceDE w:val="0"/>
      <w:autoSpaceDN w:val="0"/>
      <w:ind w:left="940" w:hanging="360"/>
    </w:pPr>
    <w:rPr>
      <w:rFonts w:ascii="Calibri Light" w:eastAsia="Calibri Light" w:hAnsi="Calibri Light" w:cs="Calibri Light"/>
      <w:lang w:bidi="en-GB"/>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p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0088F"/>
    <w:pPr>
      <w:keepNext/>
      <w:keepLines/>
      <w:widowControl/>
      <w:autoSpaceDE/>
      <w:autoSpaceDN/>
      <w:spacing w:before="480" w:line="276" w:lineRule="auto"/>
      <w:ind w:left="0"/>
      <w:outlineLvl w:val="9"/>
    </w:pPr>
    <w:rPr>
      <w:rFonts w:asciiTheme="majorHAnsi" w:eastAsiaTheme="majorEastAsia" w:hAnsiTheme="majorHAnsi" w:cstheme="majorBid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80088F"/>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F75BF"/>
    <w:pPr>
      <w:tabs>
        <w:tab w:val="right" w:leader="dot" w:pos="9016"/>
      </w:tabs>
      <w:spacing w:before="120"/>
      <w:ind w:left="220"/>
    </w:pPr>
    <w:rPr>
      <w:rFonts w:asciiTheme="minorHAnsi" w:hAnsiTheme="minorHAnsi" w:cstheme="minorHAnsi"/>
      <w:b/>
      <w:bCs/>
    </w:rPr>
  </w:style>
  <w:style w:type="paragraph" w:styleId="TOC3">
    <w:name w:val="toc 3"/>
    <w:basedOn w:val="Normal"/>
    <w:next w:val="Normal"/>
    <w:autoRedefine/>
    <w:uiPriority w:val="39"/>
    <w:unhideWhenUsed/>
    <w:rsid w:val="0080088F"/>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0088F"/>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0088F"/>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0088F"/>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0088F"/>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0088F"/>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0088F"/>
    <w:pPr>
      <w:ind w:left="1760"/>
    </w:pPr>
    <w:rPr>
      <w:rFonts w:asciiTheme="minorHAnsi" w:hAnsiTheme="minorHAnsi" w:cstheme="minorHAnsi"/>
      <w:sz w:val="20"/>
      <w:szCs w:val="20"/>
    </w:rPr>
  </w:style>
  <w:style w:type="character" w:customStyle="1" w:styleId="apple-converted-space">
    <w:name w:val="apple-converted-space"/>
    <w:basedOn w:val="DefaultParagraphFont"/>
    <w:rsid w:val="00BA6A40"/>
  </w:style>
  <w:style w:type="character" w:styleId="Emphasis">
    <w:name w:val="Emphasis"/>
    <w:basedOn w:val="DefaultParagraphFont"/>
    <w:uiPriority w:val="20"/>
    <w:qFormat/>
    <w:rsid w:val="009A4A9B"/>
    <w:rPr>
      <w:i/>
      <w:iCs/>
    </w:rPr>
  </w:style>
  <w:style w:type="character" w:customStyle="1" w:styleId="il">
    <w:name w:val="il"/>
    <w:basedOn w:val="DefaultParagraphFont"/>
    <w:rsid w:val="00C24013"/>
  </w:style>
  <w:style w:type="character" w:styleId="FollowedHyperlink">
    <w:name w:val="FollowedHyperlink"/>
    <w:basedOn w:val="DefaultParagraphFont"/>
    <w:uiPriority w:val="99"/>
    <w:semiHidden/>
    <w:unhideWhenUsed/>
    <w:rsid w:val="00207B7E"/>
    <w:rPr>
      <w:color w:val="954F72" w:themeColor="followedHyperlink"/>
      <w:u w:val="single"/>
    </w:rPr>
  </w:style>
  <w:style w:type="paragraph" w:styleId="NoSpacing">
    <w:name w:val="No Spacing"/>
    <w:uiPriority w:val="1"/>
    <w:qFormat/>
    <w:rsid w:val="00C76E47"/>
    <w:pPr>
      <w:spacing w:after="0" w:line="240" w:lineRule="auto"/>
      <w:jc w:val="both"/>
    </w:pPr>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76245605">
      <w:bodyDiv w:val="1"/>
      <w:marLeft w:val="0"/>
      <w:marRight w:val="0"/>
      <w:marTop w:val="0"/>
      <w:marBottom w:val="0"/>
      <w:divBdr>
        <w:top w:val="none" w:sz="0" w:space="0" w:color="auto"/>
        <w:left w:val="none" w:sz="0" w:space="0" w:color="auto"/>
        <w:bottom w:val="none" w:sz="0" w:space="0" w:color="auto"/>
        <w:right w:val="none" w:sz="0" w:space="0" w:color="auto"/>
      </w:divBdr>
      <w:divsChild>
        <w:div w:id="1581862367">
          <w:marLeft w:val="0"/>
          <w:marRight w:val="0"/>
          <w:marTop w:val="0"/>
          <w:marBottom w:val="0"/>
          <w:divBdr>
            <w:top w:val="none" w:sz="0" w:space="0" w:color="auto"/>
            <w:left w:val="none" w:sz="0" w:space="0" w:color="auto"/>
            <w:bottom w:val="none" w:sz="0" w:space="0" w:color="auto"/>
            <w:right w:val="none" w:sz="0" w:space="0" w:color="auto"/>
          </w:divBdr>
        </w:div>
        <w:div w:id="1990594371">
          <w:marLeft w:val="0"/>
          <w:marRight w:val="0"/>
          <w:marTop w:val="0"/>
          <w:marBottom w:val="0"/>
          <w:divBdr>
            <w:top w:val="none" w:sz="0" w:space="0" w:color="auto"/>
            <w:left w:val="none" w:sz="0" w:space="0" w:color="auto"/>
            <w:bottom w:val="none" w:sz="0" w:space="0" w:color="auto"/>
            <w:right w:val="none" w:sz="0" w:space="0" w:color="auto"/>
          </w:divBdr>
        </w:div>
        <w:div w:id="316812884">
          <w:marLeft w:val="0"/>
          <w:marRight w:val="0"/>
          <w:marTop w:val="0"/>
          <w:marBottom w:val="0"/>
          <w:divBdr>
            <w:top w:val="none" w:sz="0" w:space="0" w:color="auto"/>
            <w:left w:val="none" w:sz="0" w:space="0" w:color="auto"/>
            <w:bottom w:val="none" w:sz="0" w:space="0" w:color="auto"/>
            <w:right w:val="none" w:sz="0" w:space="0" w:color="auto"/>
          </w:divBdr>
        </w:div>
        <w:div w:id="1624076674">
          <w:marLeft w:val="0"/>
          <w:marRight w:val="0"/>
          <w:marTop w:val="0"/>
          <w:marBottom w:val="0"/>
          <w:divBdr>
            <w:top w:val="none" w:sz="0" w:space="0" w:color="auto"/>
            <w:left w:val="none" w:sz="0" w:space="0" w:color="auto"/>
            <w:bottom w:val="none" w:sz="0" w:space="0" w:color="auto"/>
            <w:right w:val="none" w:sz="0" w:space="0" w:color="auto"/>
          </w:divBdr>
        </w:div>
        <w:div w:id="912348877">
          <w:marLeft w:val="0"/>
          <w:marRight w:val="0"/>
          <w:marTop w:val="0"/>
          <w:marBottom w:val="0"/>
          <w:divBdr>
            <w:top w:val="none" w:sz="0" w:space="0" w:color="auto"/>
            <w:left w:val="none" w:sz="0" w:space="0" w:color="auto"/>
            <w:bottom w:val="none" w:sz="0" w:space="0" w:color="auto"/>
            <w:right w:val="none" w:sz="0" w:space="0" w:color="auto"/>
          </w:divBdr>
        </w:div>
        <w:div w:id="662856872">
          <w:marLeft w:val="0"/>
          <w:marRight w:val="0"/>
          <w:marTop w:val="0"/>
          <w:marBottom w:val="0"/>
          <w:divBdr>
            <w:top w:val="none" w:sz="0" w:space="0" w:color="auto"/>
            <w:left w:val="none" w:sz="0" w:space="0" w:color="auto"/>
            <w:bottom w:val="none" w:sz="0" w:space="0" w:color="auto"/>
            <w:right w:val="none" w:sz="0" w:space="0" w:color="auto"/>
          </w:divBdr>
        </w:div>
        <w:div w:id="628440782">
          <w:marLeft w:val="0"/>
          <w:marRight w:val="0"/>
          <w:marTop w:val="0"/>
          <w:marBottom w:val="0"/>
          <w:divBdr>
            <w:top w:val="none" w:sz="0" w:space="0" w:color="auto"/>
            <w:left w:val="none" w:sz="0" w:space="0" w:color="auto"/>
            <w:bottom w:val="none" w:sz="0" w:space="0" w:color="auto"/>
            <w:right w:val="none" w:sz="0" w:space="0" w:color="auto"/>
          </w:divBdr>
        </w:div>
        <w:div w:id="125633586">
          <w:marLeft w:val="0"/>
          <w:marRight w:val="0"/>
          <w:marTop w:val="0"/>
          <w:marBottom w:val="0"/>
          <w:divBdr>
            <w:top w:val="none" w:sz="0" w:space="0" w:color="auto"/>
            <w:left w:val="none" w:sz="0" w:space="0" w:color="auto"/>
            <w:bottom w:val="none" w:sz="0" w:space="0" w:color="auto"/>
            <w:right w:val="none" w:sz="0" w:space="0" w:color="auto"/>
          </w:divBdr>
        </w:div>
        <w:div w:id="149761464">
          <w:marLeft w:val="0"/>
          <w:marRight w:val="0"/>
          <w:marTop w:val="0"/>
          <w:marBottom w:val="0"/>
          <w:divBdr>
            <w:top w:val="none" w:sz="0" w:space="0" w:color="auto"/>
            <w:left w:val="none" w:sz="0" w:space="0" w:color="auto"/>
            <w:bottom w:val="none" w:sz="0" w:space="0" w:color="auto"/>
            <w:right w:val="none" w:sz="0" w:space="0" w:color="auto"/>
          </w:divBdr>
        </w:div>
        <w:div w:id="1874002296">
          <w:marLeft w:val="0"/>
          <w:marRight w:val="0"/>
          <w:marTop w:val="0"/>
          <w:marBottom w:val="0"/>
          <w:divBdr>
            <w:top w:val="none" w:sz="0" w:space="0" w:color="auto"/>
            <w:left w:val="none" w:sz="0" w:space="0" w:color="auto"/>
            <w:bottom w:val="none" w:sz="0" w:space="0" w:color="auto"/>
            <w:right w:val="none" w:sz="0" w:space="0" w:color="auto"/>
          </w:divBdr>
        </w:div>
        <w:div w:id="1812163751">
          <w:marLeft w:val="0"/>
          <w:marRight w:val="0"/>
          <w:marTop w:val="0"/>
          <w:marBottom w:val="0"/>
          <w:divBdr>
            <w:top w:val="none" w:sz="0" w:space="0" w:color="auto"/>
            <w:left w:val="none" w:sz="0" w:space="0" w:color="auto"/>
            <w:bottom w:val="none" w:sz="0" w:space="0" w:color="auto"/>
            <w:right w:val="none" w:sz="0" w:space="0" w:color="auto"/>
          </w:divBdr>
        </w:div>
        <w:div w:id="1832941570">
          <w:marLeft w:val="0"/>
          <w:marRight w:val="0"/>
          <w:marTop w:val="0"/>
          <w:marBottom w:val="0"/>
          <w:divBdr>
            <w:top w:val="none" w:sz="0" w:space="0" w:color="auto"/>
            <w:left w:val="none" w:sz="0" w:space="0" w:color="auto"/>
            <w:bottom w:val="none" w:sz="0" w:space="0" w:color="auto"/>
            <w:right w:val="none" w:sz="0" w:space="0" w:color="auto"/>
          </w:divBdr>
        </w:div>
        <w:div w:id="185681511">
          <w:marLeft w:val="0"/>
          <w:marRight w:val="0"/>
          <w:marTop w:val="0"/>
          <w:marBottom w:val="0"/>
          <w:divBdr>
            <w:top w:val="none" w:sz="0" w:space="0" w:color="auto"/>
            <w:left w:val="none" w:sz="0" w:space="0" w:color="auto"/>
            <w:bottom w:val="none" w:sz="0" w:space="0" w:color="auto"/>
            <w:right w:val="none" w:sz="0" w:space="0" w:color="auto"/>
          </w:divBdr>
        </w:div>
        <w:div w:id="59644386">
          <w:marLeft w:val="0"/>
          <w:marRight w:val="0"/>
          <w:marTop w:val="0"/>
          <w:marBottom w:val="0"/>
          <w:divBdr>
            <w:top w:val="none" w:sz="0" w:space="0" w:color="auto"/>
            <w:left w:val="none" w:sz="0" w:space="0" w:color="auto"/>
            <w:bottom w:val="none" w:sz="0" w:space="0" w:color="auto"/>
            <w:right w:val="none" w:sz="0" w:space="0" w:color="auto"/>
          </w:divBdr>
        </w:div>
        <w:div w:id="341902523">
          <w:marLeft w:val="0"/>
          <w:marRight w:val="0"/>
          <w:marTop w:val="0"/>
          <w:marBottom w:val="0"/>
          <w:divBdr>
            <w:top w:val="none" w:sz="0" w:space="0" w:color="auto"/>
            <w:left w:val="none" w:sz="0" w:space="0" w:color="auto"/>
            <w:bottom w:val="none" w:sz="0" w:space="0" w:color="auto"/>
            <w:right w:val="none" w:sz="0" w:space="0" w:color="auto"/>
          </w:divBdr>
        </w:div>
        <w:div w:id="1998681953">
          <w:marLeft w:val="0"/>
          <w:marRight w:val="0"/>
          <w:marTop w:val="0"/>
          <w:marBottom w:val="0"/>
          <w:divBdr>
            <w:top w:val="none" w:sz="0" w:space="0" w:color="auto"/>
            <w:left w:val="none" w:sz="0" w:space="0" w:color="auto"/>
            <w:bottom w:val="none" w:sz="0" w:space="0" w:color="auto"/>
            <w:right w:val="none" w:sz="0" w:space="0" w:color="auto"/>
          </w:divBdr>
        </w:div>
        <w:div w:id="1688866938">
          <w:marLeft w:val="0"/>
          <w:marRight w:val="0"/>
          <w:marTop w:val="0"/>
          <w:marBottom w:val="0"/>
          <w:divBdr>
            <w:top w:val="none" w:sz="0" w:space="0" w:color="auto"/>
            <w:left w:val="none" w:sz="0" w:space="0" w:color="auto"/>
            <w:bottom w:val="none" w:sz="0" w:space="0" w:color="auto"/>
            <w:right w:val="none" w:sz="0" w:space="0" w:color="auto"/>
          </w:divBdr>
        </w:div>
        <w:div w:id="449318602">
          <w:marLeft w:val="0"/>
          <w:marRight w:val="0"/>
          <w:marTop w:val="0"/>
          <w:marBottom w:val="0"/>
          <w:divBdr>
            <w:top w:val="none" w:sz="0" w:space="0" w:color="auto"/>
            <w:left w:val="none" w:sz="0" w:space="0" w:color="auto"/>
            <w:bottom w:val="none" w:sz="0" w:space="0" w:color="auto"/>
            <w:right w:val="none" w:sz="0" w:space="0" w:color="auto"/>
          </w:divBdr>
        </w:div>
        <w:div w:id="1967467453">
          <w:marLeft w:val="0"/>
          <w:marRight w:val="0"/>
          <w:marTop w:val="0"/>
          <w:marBottom w:val="0"/>
          <w:divBdr>
            <w:top w:val="none" w:sz="0" w:space="0" w:color="auto"/>
            <w:left w:val="none" w:sz="0" w:space="0" w:color="auto"/>
            <w:bottom w:val="none" w:sz="0" w:space="0" w:color="auto"/>
            <w:right w:val="none" w:sz="0" w:space="0" w:color="auto"/>
          </w:divBdr>
        </w:div>
      </w:divsChild>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04141">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753384">
      <w:bodyDiv w:val="1"/>
      <w:marLeft w:val="0"/>
      <w:marRight w:val="0"/>
      <w:marTop w:val="0"/>
      <w:marBottom w:val="0"/>
      <w:divBdr>
        <w:top w:val="none" w:sz="0" w:space="0" w:color="auto"/>
        <w:left w:val="none" w:sz="0" w:space="0" w:color="auto"/>
        <w:bottom w:val="none" w:sz="0" w:space="0" w:color="auto"/>
        <w:right w:val="none" w:sz="0" w:space="0" w:color="auto"/>
      </w:divBdr>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22171">
      <w:bodyDiv w:val="1"/>
      <w:marLeft w:val="0"/>
      <w:marRight w:val="0"/>
      <w:marTop w:val="0"/>
      <w:marBottom w:val="0"/>
      <w:divBdr>
        <w:top w:val="none" w:sz="0" w:space="0" w:color="auto"/>
        <w:left w:val="none" w:sz="0" w:space="0" w:color="auto"/>
        <w:bottom w:val="none" w:sz="0" w:space="0" w:color="auto"/>
        <w:right w:val="none" w:sz="0" w:space="0" w:color="auto"/>
      </w:divBdr>
      <w:divsChild>
        <w:div w:id="1507204937">
          <w:marLeft w:val="0"/>
          <w:marRight w:val="0"/>
          <w:marTop w:val="0"/>
          <w:marBottom w:val="0"/>
          <w:divBdr>
            <w:top w:val="none" w:sz="0" w:space="0" w:color="auto"/>
            <w:left w:val="none" w:sz="0" w:space="0" w:color="auto"/>
            <w:bottom w:val="none" w:sz="0" w:space="0" w:color="auto"/>
            <w:right w:val="none" w:sz="0" w:space="0" w:color="auto"/>
          </w:divBdr>
        </w:div>
        <w:div w:id="846795181">
          <w:marLeft w:val="0"/>
          <w:marRight w:val="0"/>
          <w:marTop w:val="0"/>
          <w:marBottom w:val="0"/>
          <w:divBdr>
            <w:top w:val="none" w:sz="0" w:space="0" w:color="auto"/>
            <w:left w:val="none" w:sz="0" w:space="0" w:color="auto"/>
            <w:bottom w:val="none" w:sz="0" w:space="0" w:color="auto"/>
            <w:right w:val="none" w:sz="0" w:space="0" w:color="auto"/>
          </w:divBdr>
        </w:div>
        <w:div w:id="824708184">
          <w:marLeft w:val="0"/>
          <w:marRight w:val="0"/>
          <w:marTop w:val="0"/>
          <w:marBottom w:val="0"/>
          <w:divBdr>
            <w:top w:val="none" w:sz="0" w:space="0" w:color="auto"/>
            <w:left w:val="none" w:sz="0" w:space="0" w:color="auto"/>
            <w:bottom w:val="none" w:sz="0" w:space="0" w:color="auto"/>
            <w:right w:val="none" w:sz="0" w:space="0" w:color="auto"/>
          </w:divBdr>
        </w:div>
      </w:divsChild>
    </w:div>
    <w:div w:id="202911708">
      <w:bodyDiv w:val="1"/>
      <w:marLeft w:val="0"/>
      <w:marRight w:val="0"/>
      <w:marTop w:val="0"/>
      <w:marBottom w:val="0"/>
      <w:divBdr>
        <w:top w:val="none" w:sz="0" w:space="0" w:color="auto"/>
        <w:left w:val="none" w:sz="0" w:space="0" w:color="auto"/>
        <w:bottom w:val="none" w:sz="0" w:space="0" w:color="auto"/>
        <w:right w:val="none" w:sz="0" w:space="0" w:color="auto"/>
      </w:divBdr>
      <w:divsChild>
        <w:div w:id="889269444">
          <w:marLeft w:val="0"/>
          <w:marRight w:val="0"/>
          <w:marTop w:val="0"/>
          <w:marBottom w:val="0"/>
          <w:divBdr>
            <w:top w:val="none" w:sz="0" w:space="0" w:color="auto"/>
            <w:left w:val="none" w:sz="0" w:space="0" w:color="auto"/>
            <w:bottom w:val="none" w:sz="0" w:space="0" w:color="auto"/>
            <w:right w:val="none" w:sz="0" w:space="0" w:color="auto"/>
          </w:divBdr>
        </w:div>
        <w:div w:id="1778519339">
          <w:marLeft w:val="0"/>
          <w:marRight w:val="0"/>
          <w:marTop w:val="0"/>
          <w:marBottom w:val="0"/>
          <w:divBdr>
            <w:top w:val="none" w:sz="0" w:space="0" w:color="auto"/>
            <w:left w:val="none" w:sz="0" w:space="0" w:color="auto"/>
            <w:bottom w:val="none" w:sz="0" w:space="0" w:color="auto"/>
            <w:right w:val="none" w:sz="0" w:space="0" w:color="auto"/>
          </w:divBdr>
        </w:div>
        <w:div w:id="937828209">
          <w:marLeft w:val="0"/>
          <w:marRight w:val="0"/>
          <w:marTop w:val="0"/>
          <w:marBottom w:val="0"/>
          <w:divBdr>
            <w:top w:val="none" w:sz="0" w:space="0" w:color="auto"/>
            <w:left w:val="none" w:sz="0" w:space="0" w:color="auto"/>
            <w:bottom w:val="none" w:sz="0" w:space="0" w:color="auto"/>
            <w:right w:val="none" w:sz="0" w:space="0" w:color="auto"/>
          </w:divBdr>
        </w:div>
        <w:div w:id="1322390811">
          <w:marLeft w:val="0"/>
          <w:marRight w:val="0"/>
          <w:marTop w:val="0"/>
          <w:marBottom w:val="0"/>
          <w:divBdr>
            <w:top w:val="none" w:sz="0" w:space="0" w:color="auto"/>
            <w:left w:val="none" w:sz="0" w:space="0" w:color="auto"/>
            <w:bottom w:val="none" w:sz="0" w:space="0" w:color="auto"/>
            <w:right w:val="none" w:sz="0" w:space="0" w:color="auto"/>
          </w:divBdr>
        </w:div>
        <w:div w:id="774983145">
          <w:marLeft w:val="0"/>
          <w:marRight w:val="0"/>
          <w:marTop w:val="0"/>
          <w:marBottom w:val="0"/>
          <w:divBdr>
            <w:top w:val="none" w:sz="0" w:space="0" w:color="auto"/>
            <w:left w:val="none" w:sz="0" w:space="0" w:color="auto"/>
            <w:bottom w:val="none" w:sz="0" w:space="0" w:color="auto"/>
            <w:right w:val="none" w:sz="0" w:space="0" w:color="auto"/>
          </w:divBdr>
        </w:div>
        <w:div w:id="194196798">
          <w:marLeft w:val="0"/>
          <w:marRight w:val="0"/>
          <w:marTop w:val="0"/>
          <w:marBottom w:val="0"/>
          <w:divBdr>
            <w:top w:val="none" w:sz="0" w:space="0" w:color="auto"/>
            <w:left w:val="none" w:sz="0" w:space="0" w:color="auto"/>
            <w:bottom w:val="none" w:sz="0" w:space="0" w:color="auto"/>
            <w:right w:val="none" w:sz="0" w:space="0" w:color="auto"/>
          </w:divBdr>
        </w:div>
        <w:div w:id="480466807">
          <w:marLeft w:val="0"/>
          <w:marRight w:val="0"/>
          <w:marTop w:val="0"/>
          <w:marBottom w:val="0"/>
          <w:divBdr>
            <w:top w:val="none" w:sz="0" w:space="0" w:color="auto"/>
            <w:left w:val="none" w:sz="0" w:space="0" w:color="auto"/>
            <w:bottom w:val="none" w:sz="0" w:space="0" w:color="auto"/>
            <w:right w:val="none" w:sz="0" w:space="0" w:color="auto"/>
          </w:divBdr>
        </w:div>
        <w:div w:id="405687896">
          <w:marLeft w:val="0"/>
          <w:marRight w:val="0"/>
          <w:marTop w:val="0"/>
          <w:marBottom w:val="0"/>
          <w:divBdr>
            <w:top w:val="none" w:sz="0" w:space="0" w:color="auto"/>
            <w:left w:val="none" w:sz="0" w:space="0" w:color="auto"/>
            <w:bottom w:val="none" w:sz="0" w:space="0" w:color="auto"/>
            <w:right w:val="none" w:sz="0" w:space="0" w:color="auto"/>
          </w:divBdr>
        </w:div>
        <w:div w:id="1193886884">
          <w:marLeft w:val="0"/>
          <w:marRight w:val="0"/>
          <w:marTop w:val="0"/>
          <w:marBottom w:val="0"/>
          <w:divBdr>
            <w:top w:val="none" w:sz="0" w:space="0" w:color="auto"/>
            <w:left w:val="none" w:sz="0" w:space="0" w:color="auto"/>
            <w:bottom w:val="none" w:sz="0" w:space="0" w:color="auto"/>
            <w:right w:val="none" w:sz="0" w:space="0" w:color="auto"/>
          </w:divBdr>
          <w:divsChild>
            <w:div w:id="866259212">
              <w:marLeft w:val="0"/>
              <w:marRight w:val="0"/>
              <w:marTop w:val="0"/>
              <w:marBottom w:val="0"/>
              <w:divBdr>
                <w:top w:val="none" w:sz="0" w:space="0" w:color="auto"/>
                <w:left w:val="none" w:sz="0" w:space="0" w:color="auto"/>
                <w:bottom w:val="none" w:sz="0" w:space="0" w:color="auto"/>
                <w:right w:val="none" w:sz="0" w:space="0" w:color="auto"/>
              </w:divBdr>
            </w:div>
            <w:div w:id="2048411808">
              <w:marLeft w:val="0"/>
              <w:marRight w:val="0"/>
              <w:marTop w:val="0"/>
              <w:marBottom w:val="0"/>
              <w:divBdr>
                <w:top w:val="none" w:sz="0" w:space="0" w:color="auto"/>
                <w:left w:val="none" w:sz="0" w:space="0" w:color="auto"/>
                <w:bottom w:val="none" w:sz="0" w:space="0" w:color="auto"/>
                <w:right w:val="none" w:sz="0" w:space="0" w:color="auto"/>
              </w:divBdr>
            </w:div>
          </w:divsChild>
        </w:div>
        <w:div w:id="1412120122">
          <w:marLeft w:val="0"/>
          <w:marRight w:val="0"/>
          <w:marTop w:val="0"/>
          <w:marBottom w:val="0"/>
          <w:divBdr>
            <w:top w:val="none" w:sz="0" w:space="0" w:color="auto"/>
            <w:left w:val="none" w:sz="0" w:space="0" w:color="auto"/>
            <w:bottom w:val="none" w:sz="0" w:space="0" w:color="auto"/>
            <w:right w:val="none" w:sz="0" w:space="0" w:color="auto"/>
          </w:divBdr>
        </w:div>
        <w:div w:id="1505126791">
          <w:marLeft w:val="0"/>
          <w:marRight w:val="0"/>
          <w:marTop w:val="0"/>
          <w:marBottom w:val="0"/>
          <w:divBdr>
            <w:top w:val="none" w:sz="0" w:space="0" w:color="auto"/>
            <w:left w:val="none" w:sz="0" w:space="0" w:color="auto"/>
            <w:bottom w:val="none" w:sz="0" w:space="0" w:color="auto"/>
            <w:right w:val="none" w:sz="0" w:space="0" w:color="auto"/>
          </w:divBdr>
        </w:div>
      </w:divsChild>
    </w:div>
    <w:div w:id="234826738">
      <w:bodyDiv w:val="1"/>
      <w:marLeft w:val="0"/>
      <w:marRight w:val="0"/>
      <w:marTop w:val="0"/>
      <w:marBottom w:val="0"/>
      <w:divBdr>
        <w:top w:val="none" w:sz="0" w:space="0" w:color="auto"/>
        <w:left w:val="none" w:sz="0" w:space="0" w:color="auto"/>
        <w:bottom w:val="none" w:sz="0" w:space="0" w:color="auto"/>
        <w:right w:val="none" w:sz="0" w:space="0" w:color="auto"/>
      </w:divBdr>
    </w:div>
    <w:div w:id="245920432">
      <w:bodyDiv w:val="1"/>
      <w:marLeft w:val="0"/>
      <w:marRight w:val="0"/>
      <w:marTop w:val="0"/>
      <w:marBottom w:val="0"/>
      <w:divBdr>
        <w:top w:val="none" w:sz="0" w:space="0" w:color="auto"/>
        <w:left w:val="none" w:sz="0" w:space="0" w:color="auto"/>
        <w:bottom w:val="none" w:sz="0" w:space="0" w:color="auto"/>
        <w:right w:val="none" w:sz="0" w:space="0" w:color="auto"/>
      </w:divBdr>
    </w:div>
    <w:div w:id="303706292">
      <w:bodyDiv w:val="1"/>
      <w:marLeft w:val="0"/>
      <w:marRight w:val="0"/>
      <w:marTop w:val="0"/>
      <w:marBottom w:val="0"/>
      <w:divBdr>
        <w:top w:val="none" w:sz="0" w:space="0" w:color="auto"/>
        <w:left w:val="none" w:sz="0" w:space="0" w:color="auto"/>
        <w:bottom w:val="none" w:sz="0" w:space="0" w:color="auto"/>
        <w:right w:val="none" w:sz="0" w:space="0" w:color="auto"/>
      </w:divBdr>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39623678">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398137793">
      <w:bodyDiv w:val="1"/>
      <w:marLeft w:val="0"/>
      <w:marRight w:val="0"/>
      <w:marTop w:val="0"/>
      <w:marBottom w:val="0"/>
      <w:divBdr>
        <w:top w:val="none" w:sz="0" w:space="0" w:color="auto"/>
        <w:left w:val="none" w:sz="0" w:space="0" w:color="auto"/>
        <w:bottom w:val="none" w:sz="0" w:space="0" w:color="auto"/>
        <w:right w:val="none" w:sz="0" w:space="0" w:color="auto"/>
      </w:divBdr>
      <w:divsChild>
        <w:div w:id="410857329">
          <w:marLeft w:val="0"/>
          <w:marRight w:val="0"/>
          <w:marTop w:val="0"/>
          <w:marBottom w:val="0"/>
          <w:divBdr>
            <w:top w:val="none" w:sz="0" w:space="0" w:color="auto"/>
            <w:left w:val="none" w:sz="0" w:space="0" w:color="auto"/>
            <w:bottom w:val="none" w:sz="0" w:space="0" w:color="auto"/>
            <w:right w:val="none" w:sz="0" w:space="0" w:color="auto"/>
          </w:divBdr>
        </w:div>
      </w:divsChild>
    </w:div>
    <w:div w:id="411124749">
      <w:bodyDiv w:val="1"/>
      <w:marLeft w:val="0"/>
      <w:marRight w:val="0"/>
      <w:marTop w:val="0"/>
      <w:marBottom w:val="0"/>
      <w:divBdr>
        <w:top w:val="none" w:sz="0" w:space="0" w:color="auto"/>
        <w:left w:val="none" w:sz="0" w:space="0" w:color="auto"/>
        <w:bottom w:val="none" w:sz="0" w:space="0" w:color="auto"/>
        <w:right w:val="none" w:sz="0" w:space="0" w:color="auto"/>
      </w:divBdr>
      <w:divsChild>
        <w:div w:id="1137725673">
          <w:marLeft w:val="0"/>
          <w:marRight w:val="0"/>
          <w:marTop w:val="0"/>
          <w:marBottom w:val="0"/>
          <w:divBdr>
            <w:top w:val="none" w:sz="0" w:space="0" w:color="auto"/>
            <w:left w:val="none" w:sz="0" w:space="0" w:color="auto"/>
            <w:bottom w:val="none" w:sz="0" w:space="0" w:color="auto"/>
            <w:right w:val="none" w:sz="0" w:space="0" w:color="auto"/>
          </w:divBdr>
        </w:div>
        <w:div w:id="460736321">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60684515">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514462153">
      <w:bodyDiv w:val="1"/>
      <w:marLeft w:val="0"/>
      <w:marRight w:val="0"/>
      <w:marTop w:val="0"/>
      <w:marBottom w:val="0"/>
      <w:divBdr>
        <w:top w:val="none" w:sz="0" w:space="0" w:color="auto"/>
        <w:left w:val="none" w:sz="0" w:space="0" w:color="auto"/>
        <w:bottom w:val="none" w:sz="0" w:space="0" w:color="auto"/>
        <w:right w:val="none" w:sz="0" w:space="0" w:color="auto"/>
      </w:divBdr>
    </w:div>
    <w:div w:id="628626467">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70660610">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37113848">
      <w:bodyDiv w:val="1"/>
      <w:marLeft w:val="0"/>
      <w:marRight w:val="0"/>
      <w:marTop w:val="0"/>
      <w:marBottom w:val="0"/>
      <w:divBdr>
        <w:top w:val="none" w:sz="0" w:space="0" w:color="auto"/>
        <w:left w:val="none" w:sz="0" w:space="0" w:color="auto"/>
        <w:bottom w:val="none" w:sz="0" w:space="0" w:color="auto"/>
        <w:right w:val="none" w:sz="0" w:space="0" w:color="auto"/>
      </w:divBdr>
      <w:divsChild>
        <w:div w:id="2100328120">
          <w:marLeft w:val="0"/>
          <w:marRight w:val="0"/>
          <w:marTop w:val="0"/>
          <w:marBottom w:val="0"/>
          <w:divBdr>
            <w:top w:val="none" w:sz="0" w:space="0" w:color="auto"/>
            <w:left w:val="none" w:sz="0" w:space="0" w:color="auto"/>
            <w:bottom w:val="none" w:sz="0" w:space="0" w:color="auto"/>
            <w:right w:val="none" w:sz="0" w:space="0" w:color="auto"/>
          </w:divBdr>
        </w:div>
        <w:div w:id="531378458">
          <w:marLeft w:val="0"/>
          <w:marRight w:val="0"/>
          <w:marTop w:val="0"/>
          <w:marBottom w:val="0"/>
          <w:divBdr>
            <w:top w:val="none" w:sz="0" w:space="0" w:color="auto"/>
            <w:left w:val="none" w:sz="0" w:space="0" w:color="auto"/>
            <w:bottom w:val="none" w:sz="0" w:space="0" w:color="auto"/>
            <w:right w:val="none" w:sz="0" w:space="0" w:color="auto"/>
          </w:divBdr>
        </w:div>
        <w:div w:id="1192961675">
          <w:marLeft w:val="0"/>
          <w:marRight w:val="0"/>
          <w:marTop w:val="0"/>
          <w:marBottom w:val="0"/>
          <w:divBdr>
            <w:top w:val="none" w:sz="0" w:space="0" w:color="auto"/>
            <w:left w:val="none" w:sz="0" w:space="0" w:color="auto"/>
            <w:bottom w:val="none" w:sz="0" w:space="0" w:color="auto"/>
            <w:right w:val="none" w:sz="0" w:space="0" w:color="auto"/>
          </w:divBdr>
        </w:div>
        <w:div w:id="772551410">
          <w:marLeft w:val="0"/>
          <w:marRight w:val="0"/>
          <w:marTop w:val="0"/>
          <w:marBottom w:val="0"/>
          <w:divBdr>
            <w:top w:val="none" w:sz="0" w:space="0" w:color="auto"/>
            <w:left w:val="none" w:sz="0" w:space="0" w:color="auto"/>
            <w:bottom w:val="none" w:sz="0" w:space="0" w:color="auto"/>
            <w:right w:val="none" w:sz="0" w:space="0" w:color="auto"/>
          </w:divBdr>
        </w:div>
        <w:div w:id="1393799">
          <w:marLeft w:val="0"/>
          <w:marRight w:val="0"/>
          <w:marTop w:val="0"/>
          <w:marBottom w:val="0"/>
          <w:divBdr>
            <w:top w:val="none" w:sz="0" w:space="0" w:color="auto"/>
            <w:left w:val="none" w:sz="0" w:space="0" w:color="auto"/>
            <w:bottom w:val="none" w:sz="0" w:space="0" w:color="auto"/>
            <w:right w:val="none" w:sz="0" w:space="0" w:color="auto"/>
          </w:divBdr>
        </w:div>
        <w:div w:id="476997320">
          <w:marLeft w:val="0"/>
          <w:marRight w:val="0"/>
          <w:marTop w:val="0"/>
          <w:marBottom w:val="0"/>
          <w:divBdr>
            <w:top w:val="none" w:sz="0" w:space="0" w:color="auto"/>
            <w:left w:val="none" w:sz="0" w:space="0" w:color="auto"/>
            <w:bottom w:val="none" w:sz="0" w:space="0" w:color="auto"/>
            <w:right w:val="none" w:sz="0" w:space="0" w:color="auto"/>
          </w:divBdr>
        </w:div>
        <w:div w:id="636182422">
          <w:marLeft w:val="0"/>
          <w:marRight w:val="0"/>
          <w:marTop w:val="0"/>
          <w:marBottom w:val="0"/>
          <w:divBdr>
            <w:top w:val="none" w:sz="0" w:space="0" w:color="auto"/>
            <w:left w:val="none" w:sz="0" w:space="0" w:color="auto"/>
            <w:bottom w:val="none" w:sz="0" w:space="0" w:color="auto"/>
            <w:right w:val="none" w:sz="0" w:space="0" w:color="auto"/>
          </w:divBdr>
        </w:div>
        <w:div w:id="796415476">
          <w:marLeft w:val="0"/>
          <w:marRight w:val="0"/>
          <w:marTop w:val="0"/>
          <w:marBottom w:val="0"/>
          <w:divBdr>
            <w:top w:val="none" w:sz="0" w:space="0" w:color="auto"/>
            <w:left w:val="none" w:sz="0" w:space="0" w:color="auto"/>
            <w:bottom w:val="none" w:sz="0" w:space="0" w:color="auto"/>
            <w:right w:val="none" w:sz="0" w:space="0" w:color="auto"/>
          </w:divBdr>
        </w:div>
        <w:div w:id="456069566">
          <w:marLeft w:val="0"/>
          <w:marRight w:val="0"/>
          <w:marTop w:val="0"/>
          <w:marBottom w:val="0"/>
          <w:divBdr>
            <w:top w:val="none" w:sz="0" w:space="0" w:color="auto"/>
            <w:left w:val="none" w:sz="0" w:space="0" w:color="auto"/>
            <w:bottom w:val="none" w:sz="0" w:space="0" w:color="auto"/>
            <w:right w:val="none" w:sz="0" w:space="0" w:color="auto"/>
          </w:divBdr>
        </w:div>
        <w:div w:id="614096857">
          <w:marLeft w:val="0"/>
          <w:marRight w:val="0"/>
          <w:marTop w:val="0"/>
          <w:marBottom w:val="0"/>
          <w:divBdr>
            <w:top w:val="none" w:sz="0" w:space="0" w:color="auto"/>
            <w:left w:val="none" w:sz="0" w:space="0" w:color="auto"/>
            <w:bottom w:val="none" w:sz="0" w:space="0" w:color="auto"/>
            <w:right w:val="none" w:sz="0" w:space="0" w:color="auto"/>
          </w:divBdr>
        </w:div>
        <w:div w:id="726539157">
          <w:marLeft w:val="0"/>
          <w:marRight w:val="0"/>
          <w:marTop w:val="0"/>
          <w:marBottom w:val="0"/>
          <w:divBdr>
            <w:top w:val="none" w:sz="0" w:space="0" w:color="auto"/>
            <w:left w:val="none" w:sz="0" w:space="0" w:color="auto"/>
            <w:bottom w:val="none" w:sz="0" w:space="0" w:color="auto"/>
            <w:right w:val="none" w:sz="0" w:space="0" w:color="auto"/>
          </w:divBdr>
        </w:div>
        <w:div w:id="1061564509">
          <w:marLeft w:val="0"/>
          <w:marRight w:val="0"/>
          <w:marTop w:val="0"/>
          <w:marBottom w:val="0"/>
          <w:divBdr>
            <w:top w:val="none" w:sz="0" w:space="0" w:color="auto"/>
            <w:left w:val="none" w:sz="0" w:space="0" w:color="auto"/>
            <w:bottom w:val="none" w:sz="0" w:space="0" w:color="auto"/>
            <w:right w:val="none" w:sz="0" w:space="0" w:color="auto"/>
          </w:divBdr>
        </w:div>
        <w:div w:id="1790471132">
          <w:marLeft w:val="0"/>
          <w:marRight w:val="0"/>
          <w:marTop w:val="0"/>
          <w:marBottom w:val="0"/>
          <w:divBdr>
            <w:top w:val="none" w:sz="0" w:space="0" w:color="auto"/>
            <w:left w:val="none" w:sz="0" w:space="0" w:color="auto"/>
            <w:bottom w:val="none" w:sz="0" w:space="0" w:color="auto"/>
            <w:right w:val="none" w:sz="0" w:space="0" w:color="auto"/>
          </w:divBdr>
        </w:div>
        <w:div w:id="245119688">
          <w:marLeft w:val="0"/>
          <w:marRight w:val="0"/>
          <w:marTop w:val="0"/>
          <w:marBottom w:val="0"/>
          <w:divBdr>
            <w:top w:val="none" w:sz="0" w:space="0" w:color="auto"/>
            <w:left w:val="none" w:sz="0" w:space="0" w:color="auto"/>
            <w:bottom w:val="none" w:sz="0" w:space="0" w:color="auto"/>
            <w:right w:val="none" w:sz="0" w:space="0" w:color="auto"/>
          </w:divBdr>
        </w:div>
        <w:div w:id="387799897">
          <w:marLeft w:val="0"/>
          <w:marRight w:val="0"/>
          <w:marTop w:val="0"/>
          <w:marBottom w:val="0"/>
          <w:divBdr>
            <w:top w:val="none" w:sz="0" w:space="0" w:color="auto"/>
            <w:left w:val="none" w:sz="0" w:space="0" w:color="auto"/>
            <w:bottom w:val="none" w:sz="0" w:space="0" w:color="auto"/>
            <w:right w:val="none" w:sz="0" w:space="0" w:color="auto"/>
          </w:divBdr>
        </w:div>
        <w:div w:id="2142381779">
          <w:marLeft w:val="0"/>
          <w:marRight w:val="0"/>
          <w:marTop w:val="0"/>
          <w:marBottom w:val="0"/>
          <w:divBdr>
            <w:top w:val="none" w:sz="0" w:space="0" w:color="auto"/>
            <w:left w:val="none" w:sz="0" w:space="0" w:color="auto"/>
            <w:bottom w:val="none" w:sz="0" w:space="0" w:color="auto"/>
            <w:right w:val="none" w:sz="0" w:space="0" w:color="auto"/>
          </w:divBdr>
        </w:div>
        <w:div w:id="167018465">
          <w:marLeft w:val="0"/>
          <w:marRight w:val="0"/>
          <w:marTop w:val="0"/>
          <w:marBottom w:val="0"/>
          <w:divBdr>
            <w:top w:val="none" w:sz="0" w:space="0" w:color="auto"/>
            <w:left w:val="none" w:sz="0" w:space="0" w:color="auto"/>
            <w:bottom w:val="none" w:sz="0" w:space="0" w:color="auto"/>
            <w:right w:val="none" w:sz="0" w:space="0" w:color="auto"/>
          </w:divBdr>
        </w:div>
        <w:div w:id="315375936">
          <w:marLeft w:val="0"/>
          <w:marRight w:val="0"/>
          <w:marTop w:val="0"/>
          <w:marBottom w:val="0"/>
          <w:divBdr>
            <w:top w:val="none" w:sz="0" w:space="0" w:color="auto"/>
            <w:left w:val="none" w:sz="0" w:space="0" w:color="auto"/>
            <w:bottom w:val="none" w:sz="0" w:space="0" w:color="auto"/>
            <w:right w:val="none" w:sz="0" w:space="0" w:color="auto"/>
          </w:divBdr>
        </w:div>
        <w:div w:id="1116755715">
          <w:marLeft w:val="0"/>
          <w:marRight w:val="0"/>
          <w:marTop w:val="0"/>
          <w:marBottom w:val="0"/>
          <w:divBdr>
            <w:top w:val="none" w:sz="0" w:space="0" w:color="auto"/>
            <w:left w:val="none" w:sz="0" w:space="0" w:color="auto"/>
            <w:bottom w:val="none" w:sz="0" w:space="0" w:color="auto"/>
            <w:right w:val="none" w:sz="0" w:space="0" w:color="auto"/>
          </w:divBdr>
        </w:div>
        <w:div w:id="628975101">
          <w:marLeft w:val="0"/>
          <w:marRight w:val="0"/>
          <w:marTop w:val="0"/>
          <w:marBottom w:val="0"/>
          <w:divBdr>
            <w:top w:val="none" w:sz="0" w:space="0" w:color="auto"/>
            <w:left w:val="none" w:sz="0" w:space="0" w:color="auto"/>
            <w:bottom w:val="none" w:sz="0" w:space="0" w:color="auto"/>
            <w:right w:val="none" w:sz="0" w:space="0" w:color="auto"/>
          </w:divBdr>
        </w:div>
        <w:div w:id="1336424107">
          <w:marLeft w:val="0"/>
          <w:marRight w:val="0"/>
          <w:marTop w:val="0"/>
          <w:marBottom w:val="0"/>
          <w:divBdr>
            <w:top w:val="none" w:sz="0" w:space="0" w:color="auto"/>
            <w:left w:val="none" w:sz="0" w:space="0" w:color="auto"/>
            <w:bottom w:val="none" w:sz="0" w:space="0" w:color="auto"/>
            <w:right w:val="none" w:sz="0" w:space="0" w:color="auto"/>
          </w:divBdr>
        </w:div>
        <w:div w:id="1309286868">
          <w:marLeft w:val="0"/>
          <w:marRight w:val="0"/>
          <w:marTop w:val="0"/>
          <w:marBottom w:val="0"/>
          <w:divBdr>
            <w:top w:val="none" w:sz="0" w:space="0" w:color="auto"/>
            <w:left w:val="none" w:sz="0" w:space="0" w:color="auto"/>
            <w:bottom w:val="none" w:sz="0" w:space="0" w:color="auto"/>
            <w:right w:val="none" w:sz="0" w:space="0" w:color="auto"/>
          </w:divBdr>
        </w:div>
        <w:div w:id="1312633662">
          <w:marLeft w:val="0"/>
          <w:marRight w:val="0"/>
          <w:marTop w:val="0"/>
          <w:marBottom w:val="0"/>
          <w:divBdr>
            <w:top w:val="none" w:sz="0" w:space="0" w:color="auto"/>
            <w:left w:val="none" w:sz="0" w:space="0" w:color="auto"/>
            <w:bottom w:val="none" w:sz="0" w:space="0" w:color="auto"/>
            <w:right w:val="none" w:sz="0" w:space="0" w:color="auto"/>
          </w:divBdr>
        </w:div>
        <w:div w:id="1831168777">
          <w:marLeft w:val="0"/>
          <w:marRight w:val="0"/>
          <w:marTop w:val="0"/>
          <w:marBottom w:val="0"/>
          <w:divBdr>
            <w:top w:val="none" w:sz="0" w:space="0" w:color="auto"/>
            <w:left w:val="none" w:sz="0" w:space="0" w:color="auto"/>
            <w:bottom w:val="none" w:sz="0" w:space="0" w:color="auto"/>
            <w:right w:val="none" w:sz="0" w:space="0" w:color="auto"/>
          </w:divBdr>
        </w:div>
        <w:div w:id="1580287755">
          <w:marLeft w:val="0"/>
          <w:marRight w:val="0"/>
          <w:marTop w:val="0"/>
          <w:marBottom w:val="0"/>
          <w:divBdr>
            <w:top w:val="none" w:sz="0" w:space="0" w:color="auto"/>
            <w:left w:val="none" w:sz="0" w:space="0" w:color="auto"/>
            <w:bottom w:val="none" w:sz="0" w:space="0" w:color="auto"/>
            <w:right w:val="none" w:sz="0" w:space="0" w:color="auto"/>
          </w:divBdr>
        </w:div>
        <w:div w:id="420879836">
          <w:marLeft w:val="0"/>
          <w:marRight w:val="0"/>
          <w:marTop w:val="0"/>
          <w:marBottom w:val="0"/>
          <w:divBdr>
            <w:top w:val="none" w:sz="0" w:space="0" w:color="auto"/>
            <w:left w:val="none" w:sz="0" w:space="0" w:color="auto"/>
            <w:bottom w:val="none" w:sz="0" w:space="0" w:color="auto"/>
            <w:right w:val="none" w:sz="0" w:space="0" w:color="auto"/>
          </w:divBdr>
        </w:div>
        <w:div w:id="529805959">
          <w:marLeft w:val="0"/>
          <w:marRight w:val="0"/>
          <w:marTop w:val="0"/>
          <w:marBottom w:val="0"/>
          <w:divBdr>
            <w:top w:val="none" w:sz="0" w:space="0" w:color="auto"/>
            <w:left w:val="none" w:sz="0" w:space="0" w:color="auto"/>
            <w:bottom w:val="none" w:sz="0" w:space="0" w:color="auto"/>
            <w:right w:val="none" w:sz="0" w:space="0" w:color="auto"/>
          </w:divBdr>
        </w:div>
        <w:div w:id="2086296095">
          <w:marLeft w:val="0"/>
          <w:marRight w:val="0"/>
          <w:marTop w:val="0"/>
          <w:marBottom w:val="0"/>
          <w:divBdr>
            <w:top w:val="none" w:sz="0" w:space="0" w:color="auto"/>
            <w:left w:val="none" w:sz="0" w:space="0" w:color="auto"/>
            <w:bottom w:val="none" w:sz="0" w:space="0" w:color="auto"/>
            <w:right w:val="none" w:sz="0" w:space="0" w:color="auto"/>
          </w:divBdr>
        </w:div>
        <w:div w:id="121045864">
          <w:marLeft w:val="0"/>
          <w:marRight w:val="0"/>
          <w:marTop w:val="0"/>
          <w:marBottom w:val="0"/>
          <w:divBdr>
            <w:top w:val="none" w:sz="0" w:space="0" w:color="auto"/>
            <w:left w:val="none" w:sz="0" w:space="0" w:color="auto"/>
            <w:bottom w:val="none" w:sz="0" w:space="0" w:color="auto"/>
            <w:right w:val="none" w:sz="0" w:space="0" w:color="auto"/>
          </w:divBdr>
        </w:div>
        <w:div w:id="1140995897">
          <w:marLeft w:val="0"/>
          <w:marRight w:val="0"/>
          <w:marTop w:val="0"/>
          <w:marBottom w:val="0"/>
          <w:divBdr>
            <w:top w:val="none" w:sz="0" w:space="0" w:color="auto"/>
            <w:left w:val="none" w:sz="0" w:space="0" w:color="auto"/>
            <w:bottom w:val="none" w:sz="0" w:space="0" w:color="auto"/>
            <w:right w:val="none" w:sz="0" w:space="0" w:color="auto"/>
          </w:divBdr>
        </w:div>
        <w:div w:id="792482292">
          <w:marLeft w:val="0"/>
          <w:marRight w:val="0"/>
          <w:marTop w:val="0"/>
          <w:marBottom w:val="0"/>
          <w:divBdr>
            <w:top w:val="none" w:sz="0" w:space="0" w:color="auto"/>
            <w:left w:val="none" w:sz="0" w:space="0" w:color="auto"/>
            <w:bottom w:val="none" w:sz="0" w:space="0" w:color="auto"/>
            <w:right w:val="none" w:sz="0" w:space="0" w:color="auto"/>
          </w:divBdr>
        </w:div>
        <w:div w:id="645816129">
          <w:marLeft w:val="0"/>
          <w:marRight w:val="0"/>
          <w:marTop w:val="0"/>
          <w:marBottom w:val="0"/>
          <w:divBdr>
            <w:top w:val="none" w:sz="0" w:space="0" w:color="auto"/>
            <w:left w:val="none" w:sz="0" w:space="0" w:color="auto"/>
            <w:bottom w:val="none" w:sz="0" w:space="0" w:color="auto"/>
            <w:right w:val="none" w:sz="0" w:space="0" w:color="auto"/>
          </w:divBdr>
        </w:div>
        <w:div w:id="1861042653">
          <w:marLeft w:val="0"/>
          <w:marRight w:val="0"/>
          <w:marTop w:val="0"/>
          <w:marBottom w:val="0"/>
          <w:divBdr>
            <w:top w:val="none" w:sz="0" w:space="0" w:color="auto"/>
            <w:left w:val="none" w:sz="0" w:space="0" w:color="auto"/>
            <w:bottom w:val="none" w:sz="0" w:space="0" w:color="auto"/>
            <w:right w:val="none" w:sz="0" w:space="0" w:color="auto"/>
          </w:divBdr>
        </w:div>
        <w:div w:id="1588878520">
          <w:marLeft w:val="0"/>
          <w:marRight w:val="0"/>
          <w:marTop w:val="0"/>
          <w:marBottom w:val="0"/>
          <w:divBdr>
            <w:top w:val="none" w:sz="0" w:space="0" w:color="auto"/>
            <w:left w:val="none" w:sz="0" w:space="0" w:color="auto"/>
            <w:bottom w:val="none" w:sz="0" w:space="0" w:color="auto"/>
            <w:right w:val="none" w:sz="0" w:space="0" w:color="auto"/>
          </w:divBdr>
        </w:div>
        <w:div w:id="427194314">
          <w:marLeft w:val="0"/>
          <w:marRight w:val="0"/>
          <w:marTop w:val="0"/>
          <w:marBottom w:val="0"/>
          <w:divBdr>
            <w:top w:val="none" w:sz="0" w:space="0" w:color="auto"/>
            <w:left w:val="none" w:sz="0" w:space="0" w:color="auto"/>
            <w:bottom w:val="none" w:sz="0" w:space="0" w:color="auto"/>
            <w:right w:val="none" w:sz="0" w:space="0" w:color="auto"/>
          </w:divBdr>
        </w:div>
        <w:div w:id="993919099">
          <w:marLeft w:val="0"/>
          <w:marRight w:val="0"/>
          <w:marTop w:val="0"/>
          <w:marBottom w:val="0"/>
          <w:divBdr>
            <w:top w:val="none" w:sz="0" w:space="0" w:color="auto"/>
            <w:left w:val="none" w:sz="0" w:space="0" w:color="auto"/>
            <w:bottom w:val="none" w:sz="0" w:space="0" w:color="auto"/>
            <w:right w:val="none" w:sz="0" w:space="0" w:color="auto"/>
          </w:divBdr>
        </w:div>
        <w:div w:id="1897547860">
          <w:marLeft w:val="0"/>
          <w:marRight w:val="0"/>
          <w:marTop w:val="0"/>
          <w:marBottom w:val="0"/>
          <w:divBdr>
            <w:top w:val="none" w:sz="0" w:space="0" w:color="auto"/>
            <w:left w:val="none" w:sz="0" w:space="0" w:color="auto"/>
            <w:bottom w:val="none" w:sz="0" w:space="0" w:color="auto"/>
            <w:right w:val="none" w:sz="0" w:space="0" w:color="auto"/>
          </w:divBdr>
        </w:div>
        <w:div w:id="1320839865">
          <w:marLeft w:val="0"/>
          <w:marRight w:val="0"/>
          <w:marTop w:val="0"/>
          <w:marBottom w:val="0"/>
          <w:divBdr>
            <w:top w:val="none" w:sz="0" w:space="0" w:color="auto"/>
            <w:left w:val="none" w:sz="0" w:space="0" w:color="auto"/>
            <w:bottom w:val="none" w:sz="0" w:space="0" w:color="auto"/>
            <w:right w:val="none" w:sz="0" w:space="0" w:color="auto"/>
          </w:divBdr>
        </w:div>
        <w:div w:id="1495756503">
          <w:marLeft w:val="0"/>
          <w:marRight w:val="0"/>
          <w:marTop w:val="0"/>
          <w:marBottom w:val="0"/>
          <w:divBdr>
            <w:top w:val="none" w:sz="0" w:space="0" w:color="auto"/>
            <w:left w:val="none" w:sz="0" w:space="0" w:color="auto"/>
            <w:bottom w:val="none" w:sz="0" w:space="0" w:color="auto"/>
            <w:right w:val="none" w:sz="0" w:space="0" w:color="auto"/>
          </w:divBdr>
        </w:div>
        <w:div w:id="1653825554">
          <w:marLeft w:val="0"/>
          <w:marRight w:val="0"/>
          <w:marTop w:val="0"/>
          <w:marBottom w:val="0"/>
          <w:divBdr>
            <w:top w:val="none" w:sz="0" w:space="0" w:color="auto"/>
            <w:left w:val="none" w:sz="0" w:space="0" w:color="auto"/>
            <w:bottom w:val="none" w:sz="0" w:space="0" w:color="auto"/>
            <w:right w:val="none" w:sz="0" w:space="0" w:color="auto"/>
          </w:divBdr>
        </w:div>
        <w:div w:id="1060327533">
          <w:marLeft w:val="0"/>
          <w:marRight w:val="0"/>
          <w:marTop w:val="0"/>
          <w:marBottom w:val="0"/>
          <w:divBdr>
            <w:top w:val="none" w:sz="0" w:space="0" w:color="auto"/>
            <w:left w:val="none" w:sz="0" w:space="0" w:color="auto"/>
            <w:bottom w:val="none" w:sz="0" w:space="0" w:color="auto"/>
            <w:right w:val="none" w:sz="0" w:space="0" w:color="auto"/>
          </w:divBdr>
        </w:div>
        <w:div w:id="260724350">
          <w:marLeft w:val="0"/>
          <w:marRight w:val="0"/>
          <w:marTop w:val="0"/>
          <w:marBottom w:val="0"/>
          <w:divBdr>
            <w:top w:val="none" w:sz="0" w:space="0" w:color="auto"/>
            <w:left w:val="none" w:sz="0" w:space="0" w:color="auto"/>
            <w:bottom w:val="none" w:sz="0" w:space="0" w:color="auto"/>
            <w:right w:val="none" w:sz="0" w:space="0" w:color="auto"/>
          </w:divBdr>
        </w:div>
        <w:div w:id="1186405342">
          <w:marLeft w:val="0"/>
          <w:marRight w:val="0"/>
          <w:marTop w:val="0"/>
          <w:marBottom w:val="0"/>
          <w:divBdr>
            <w:top w:val="none" w:sz="0" w:space="0" w:color="auto"/>
            <w:left w:val="none" w:sz="0" w:space="0" w:color="auto"/>
            <w:bottom w:val="none" w:sz="0" w:space="0" w:color="auto"/>
            <w:right w:val="none" w:sz="0" w:space="0" w:color="auto"/>
          </w:divBdr>
        </w:div>
      </w:divsChild>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897520274">
      <w:bodyDiv w:val="1"/>
      <w:marLeft w:val="0"/>
      <w:marRight w:val="0"/>
      <w:marTop w:val="0"/>
      <w:marBottom w:val="0"/>
      <w:divBdr>
        <w:top w:val="none" w:sz="0" w:space="0" w:color="auto"/>
        <w:left w:val="none" w:sz="0" w:space="0" w:color="auto"/>
        <w:bottom w:val="none" w:sz="0" w:space="0" w:color="auto"/>
        <w:right w:val="none" w:sz="0" w:space="0" w:color="auto"/>
      </w:divBdr>
      <w:divsChild>
        <w:div w:id="439691664">
          <w:marLeft w:val="0"/>
          <w:marRight w:val="0"/>
          <w:marTop w:val="0"/>
          <w:marBottom w:val="0"/>
          <w:divBdr>
            <w:top w:val="none" w:sz="0" w:space="0" w:color="auto"/>
            <w:left w:val="none" w:sz="0" w:space="0" w:color="auto"/>
            <w:bottom w:val="none" w:sz="0" w:space="0" w:color="auto"/>
            <w:right w:val="none" w:sz="0" w:space="0" w:color="auto"/>
          </w:divBdr>
        </w:div>
        <w:div w:id="353574871">
          <w:marLeft w:val="0"/>
          <w:marRight w:val="0"/>
          <w:marTop w:val="0"/>
          <w:marBottom w:val="0"/>
          <w:divBdr>
            <w:top w:val="none" w:sz="0" w:space="0" w:color="auto"/>
            <w:left w:val="none" w:sz="0" w:space="0" w:color="auto"/>
            <w:bottom w:val="none" w:sz="0" w:space="0" w:color="auto"/>
            <w:right w:val="none" w:sz="0" w:space="0" w:color="auto"/>
          </w:divBdr>
        </w:div>
        <w:div w:id="44793693">
          <w:marLeft w:val="0"/>
          <w:marRight w:val="0"/>
          <w:marTop w:val="0"/>
          <w:marBottom w:val="0"/>
          <w:divBdr>
            <w:top w:val="none" w:sz="0" w:space="0" w:color="auto"/>
            <w:left w:val="none" w:sz="0" w:space="0" w:color="auto"/>
            <w:bottom w:val="none" w:sz="0" w:space="0" w:color="auto"/>
            <w:right w:val="none" w:sz="0" w:space="0" w:color="auto"/>
          </w:divBdr>
        </w:div>
        <w:div w:id="1023165659">
          <w:marLeft w:val="0"/>
          <w:marRight w:val="0"/>
          <w:marTop w:val="0"/>
          <w:marBottom w:val="0"/>
          <w:divBdr>
            <w:top w:val="none" w:sz="0" w:space="0" w:color="auto"/>
            <w:left w:val="none" w:sz="0" w:space="0" w:color="auto"/>
            <w:bottom w:val="none" w:sz="0" w:space="0" w:color="auto"/>
            <w:right w:val="none" w:sz="0" w:space="0" w:color="auto"/>
          </w:divBdr>
        </w:div>
        <w:div w:id="618874840">
          <w:marLeft w:val="0"/>
          <w:marRight w:val="0"/>
          <w:marTop w:val="0"/>
          <w:marBottom w:val="0"/>
          <w:divBdr>
            <w:top w:val="none" w:sz="0" w:space="0" w:color="auto"/>
            <w:left w:val="none" w:sz="0" w:space="0" w:color="auto"/>
            <w:bottom w:val="none" w:sz="0" w:space="0" w:color="auto"/>
            <w:right w:val="none" w:sz="0" w:space="0" w:color="auto"/>
          </w:divBdr>
        </w:div>
      </w:divsChild>
    </w:div>
    <w:div w:id="926379886">
      <w:bodyDiv w:val="1"/>
      <w:marLeft w:val="0"/>
      <w:marRight w:val="0"/>
      <w:marTop w:val="0"/>
      <w:marBottom w:val="0"/>
      <w:divBdr>
        <w:top w:val="none" w:sz="0" w:space="0" w:color="auto"/>
        <w:left w:val="none" w:sz="0" w:space="0" w:color="auto"/>
        <w:bottom w:val="none" w:sz="0" w:space="0" w:color="auto"/>
        <w:right w:val="none" w:sz="0" w:space="0" w:color="auto"/>
      </w:divBdr>
      <w:divsChild>
        <w:div w:id="1084764070">
          <w:marLeft w:val="0"/>
          <w:marRight w:val="0"/>
          <w:marTop w:val="0"/>
          <w:marBottom w:val="0"/>
          <w:divBdr>
            <w:top w:val="none" w:sz="0" w:space="0" w:color="auto"/>
            <w:left w:val="none" w:sz="0" w:space="0" w:color="auto"/>
            <w:bottom w:val="none" w:sz="0" w:space="0" w:color="auto"/>
            <w:right w:val="none" w:sz="0" w:space="0" w:color="auto"/>
          </w:divBdr>
        </w:div>
        <w:div w:id="82918679">
          <w:marLeft w:val="0"/>
          <w:marRight w:val="0"/>
          <w:marTop w:val="0"/>
          <w:marBottom w:val="0"/>
          <w:divBdr>
            <w:top w:val="none" w:sz="0" w:space="0" w:color="auto"/>
            <w:left w:val="none" w:sz="0" w:space="0" w:color="auto"/>
            <w:bottom w:val="none" w:sz="0" w:space="0" w:color="auto"/>
            <w:right w:val="none" w:sz="0" w:space="0" w:color="auto"/>
          </w:divBdr>
        </w:div>
        <w:div w:id="1005935463">
          <w:marLeft w:val="0"/>
          <w:marRight w:val="0"/>
          <w:marTop w:val="0"/>
          <w:marBottom w:val="0"/>
          <w:divBdr>
            <w:top w:val="none" w:sz="0" w:space="0" w:color="auto"/>
            <w:left w:val="none" w:sz="0" w:space="0" w:color="auto"/>
            <w:bottom w:val="none" w:sz="0" w:space="0" w:color="auto"/>
            <w:right w:val="none" w:sz="0" w:space="0" w:color="auto"/>
          </w:divBdr>
        </w:div>
        <w:div w:id="532233562">
          <w:marLeft w:val="0"/>
          <w:marRight w:val="0"/>
          <w:marTop w:val="0"/>
          <w:marBottom w:val="0"/>
          <w:divBdr>
            <w:top w:val="none" w:sz="0" w:space="0" w:color="auto"/>
            <w:left w:val="none" w:sz="0" w:space="0" w:color="auto"/>
            <w:bottom w:val="none" w:sz="0" w:space="0" w:color="auto"/>
            <w:right w:val="none" w:sz="0" w:space="0" w:color="auto"/>
          </w:divBdr>
        </w:div>
        <w:div w:id="896739752">
          <w:marLeft w:val="0"/>
          <w:marRight w:val="0"/>
          <w:marTop w:val="0"/>
          <w:marBottom w:val="0"/>
          <w:divBdr>
            <w:top w:val="none" w:sz="0" w:space="0" w:color="auto"/>
            <w:left w:val="none" w:sz="0" w:space="0" w:color="auto"/>
            <w:bottom w:val="none" w:sz="0" w:space="0" w:color="auto"/>
            <w:right w:val="none" w:sz="0" w:space="0" w:color="auto"/>
          </w:divBdr>
        </w:div>
      </w:divsChild>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23166767">
      <w:bodyDiv w:val="1"/>
      <w:marLeft w:val="0"/>
      <w:marRight w:val="0"/>
      <w:marTop w:val="0"/>
      <w:marBottom w:val="0"/>
      <w:divBdr>
        <w:top w:val="none" w:sz="0" w:space="0" w:color="auto"/>
        <w:left w:val="none" w:sz="0" w:space="0" w:color="auto"/>
        <w:bottom w:val="none" w:sz="0" w:space="0" w:color="auto"/>
        <w:right w:val="none" w:sz="0" w:space="0" w:color="auto"/>
      </w:divBdr>
      <w:divsChild>
        <w:div w:id="1012607008">
          <w:marLeft w:val="0"/>
          <w:marRight w:val="0"/>
          <w:marTop w:val="0"/>
          <w:marBottom w:val="0"/>
          <w:divBdr>
            <w:top w:val="none" w:sz="0" w:space="0" w:color="auto"/>
            <w:left w:val="none" w:sz="0" w:space="0" w:color="auto"/>
            <w:bottom w:val="none" w:sz="0" w:space="0" w:color="auto"/>
            <w:right w:val="none" w:sz="0" w:space="0" w:color="auto"/>
          </w:divBdr>
        </w:div>
        <w:div w:id="1881357945">
          <w:marLeft w:val="0"/>
          <w:marRight w:val="0"/>
          <w:marTop w:val="0"/>
          <w:marBottom w:val="0"/>
          <w:divBdr>
            <w:top w:val="none" w:sz="0" w:space="0" w:color="auto"/>
            <w:left w:val="none" w:sz="0" w:space="0" w:color="auto"/>
            <w:bottom w:val="none" w:sz="0" w:space="0" w:color="auto"/>
            <w:right w:val="none" w:sz="0" w:space="0" w:color="auto"/>
          </w:divBdr>
        </w:div>
        <w:div w:id="1265268301">
          <w:marLeft w:val="0"/>
          <w:marRight w:val="0"/>
          <w:marTop w:val="0"/>
          <w:marBottom w:val="0"/>
          <w:divBdr>
            <w:top w:val="none" w:sz="0" w:space="0" w:color="auto"/>
            <w:left w:val="none" w:sz="0" w:space="0" w:color="auto"/>
            <w:bottom w:val="none" w:sz="0" w:space="0" w:color="auto"/>
            <w:right w:val="none" w:sz="0" w:space="0" w:color="auto"/>
          </w:divBdr>
        </w:div>
        <w:div w:id="483856134">
          <w:marLeft w:val="0"/>
          <w:marRight w:val="0"/>
          <w:marTop w:val="0"/>
          <w:marBottom w:val="0"/>
          <w:divBdr>
            <w:top w:val="none" w:sz="0" w:space="0" w:color="auto"/>
            <w:left w:val="none" w:sz="0" w:space="0" w:color="auto"/>
            <w:bottom w:val="none" w:sz="0" w:space="0" w:color="auto"/>
            <w:right w:val="none" w:sz="0" w:space="0" w:color="auto"/>
          </w:divBdr>
        </w:div>
        <w:div w:id="1657957568">
          <w:marLeft w:val="0"/>
          <w:marRight w:val="0"/>
          <w:marTop w:val="0"/>
          <w:marBottom w:val="0"/>
          <w:divBdr>
            <w:top w:val="none" w:sz="0" w:space="0" w:color="auto"/>
            <w:left w:val="none" w:sz="0" w:space="0" w:color="auto"/>
            <w:bottom w:val="none" w:sz="0" w:space="0" w:color="auto"/>
            <w:right w:val="none" w:sz="0" w:space="0" w:color="auto"/>
          </w:divBdr>
        </w:div>
        <w:div w:id="738093780">
          <w:marLeft w:val="0"/>
          <w:marRight w:val="0"/>
          <w:marTop w:val="0"/>
          <w:marBottom w:val="0"/>
          <w:divBdr>
            <w:top w:val="none" w:sz="0" w:space="0" w:color="auto"/>
            <w:left w:val="none" w:sz="0" w:space="0" w:color="auto"/>
            <w:bottom w:val="none" w:sz="0" w:space="0" w:color="auto"/>
            <w:right w:val="none" w:sz="0" w:space="0" w:color="auto"/>
          </w:divBdr>
        </w:div>
        <w:div w:id="1889952503">
          <w:marLeft w:val="0"/>
          <w:marRight w:val="0"/>
          <w:marTop w:val="0"/>
          <w:marBottom w:val="0"/>
          <w:divBdr>
            <w:top w:val="none" w:sz="0" w:space="0" w:color="auto"/>
            <w:left w:val="none" w:sz="0" w:space="0" w:color="auto"/>
            <w:bottom w:val="none" w:sz="0" w:space="0" w:color="auto"/>
            <w:right w:val="none" w:sz="0" w:space="0" w:color="auto"/>
          </w:divBdr>
        </w:div>
        <w:div w:id="1014383389">
          <w:marLeft w:val="0"/>
          <w:marRight w:val="0"/>
          <w:marTop w:val="0"/>
          <w:marBottom w:val="0"/>
          <w:divBdr>
            <w:top w:val="none" w:sz="0" w:space="0" w:color="auto"/>
            <w:left w:val="none" w:sz="0" w:space="0" w:color="auto"/>
            <w:bottom w:val="none" w:sz="0" w:space="0" w:color="auto"/>
            <w:right w:val="none" w:sz="0" w:space="0" w:color="auto"/>
          </w:divBdr>
        </w:div>
        <w:div w:id="1374839949">
          <w:marLeft w:val="0"/>
          <w:marRight w:val="0"/>
          <w:marTop w:val="0"/>
          <w:marBottom w:val="0"/>
          <w:divBdr>
            <w:top w:val="none" w:sz="0" w:space="0" w:color="auto"/>
            <w:left w:val="none" w:sz="0" w:space="0" w:color="auto"/>
            <w:bottom w:val="none" w:sz="0" w:space="0" w:color="auto"/>
            <w:right w:val="none" w:sz="0" w:space="0" w:color="auto"/>
          </w:divBdr>
        </w:div>
        <w:div w:id="261115075">
          <w:marLeft w:val="0"/>
          <w:marRight w:val="0"/>
          <w:marTop w:val="0"/>
          <w:marBottom w:val="0"/>
          <w:divBdr>
            <w:top w:val="none" w:sz="0" w:space="0" w:color="auto"/>
            <w:left w:val="none" w:sz="0" w:space="0" w:color="auto"/>
            <w:bottom w:val="none" w:sz="0" w:space="0" w:color="auto"/>
            <w:right w:val="none" w:sz="0" w:space="0" w:color="auto"/>
          </w:divBdr>
        </w:div>
        <w:div w:id="1771897651">
          <w:marLeft w:val="0"/>
          <w:marRight w:val="0"/>
          <w:marTop w:val="0"/>
          <w:marBottom w:val="0"/>
          <w:divBdr>
            <w:top w:val="none" w:sz="0" w:space="0" w:color="auto"/>
            <w:left w:val="none" w:sz="0" w:space="0" w:color="auto"/>
            <w:bottom w:val="none" w:sz="0" w:space="0" w:color="auto"/>
            <w:right w:val="none" w:sz="0" w:space="0" w:color="auto"/>
          </w:divBdr>
        </w:div>
      </w:divsChild>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033574225">
      <w:bodyDiv w:val="1"/>
      <w:marLeft w:val="0"/>
      <w:marRight w:val="0"/>
      <w:marTop w:val="0"/>
      <w:marBottom w:val="0"/>
      <w:divBdr>
        <w:top w:val="none" w:sz="0" w:space="0" w:color="auto"/>
        <w:left w:val="none" w:sz="0" w:space="0" w:color="auto"/>
        <w:bottom w:val="none" w:sz="0" w:space="0" w:color="auto"/>
        <w:right w:val="none" w:sz="0" w:space="0" w:color="auto"/>
      </w:divBdr>
    </w:div>
    <w:div w:id="1162964968">
      <w:bodyDiv w:val="1"/>
      <w:marLeft w:val="0"/>
      <w:marRight w:val="0"/>
      <w:marTop w:val="0"/>
      <w:marBottom w:val="0"/>
      <w:divBdr>
        <w:top w:val="none" w:sz="0" w:space="0" w:color="auto"/>
        <w:left w:val="none" w:sz="0" w:space="0" w:color="auto"/>
        <w:bottom w:val="none" w:sz="0" w:space="0" w:color="auto"/>
        <w:right w:val="none" w:sz="0" w:space="0" w:color="auto"/>
      </w:divBdr>
      <w:divsChild>
        <w:div w:id="597710690">
          <w:marLeft w:val="0"/>
          <w:marRight w:val="0"/>
          <w:marTop w:val="0"/>
          <w:marBottom w:val="0"/>
          <w:divBdr>
            <w:top w:val="none" w:sz="0" w:space="0" w:color="auto"/>
            <w:left w:val="none" w:sz="0" w:space="0" w:color="auto"/>
            <w:bottom w:val="none" w:sz="0" w:space="0" w:color="auto"/>
            <w:right w:val="none" w:sz="0" w:space="0" w:color="auto"/>
          </w:divBdr>
        </w:div>
        <w:div w:id="1817525367">
          <w:marLeft w:val="0"/>
          <w:marRight w:val="0"/>
          <w:marTop w:val="0"/>
          <w:marBottom w:val="0"/>
          <w:divBdr>
            <w:top w:val="none" w:sz="0" w:space="0" w:color="auto"/>
            <w:left w:val="none" w:sz="0" w:space="0" w:color="auto"/>
            <w:bottom w:val="none" w:sz="0" w:space="0" w:color="auto"/>
            <w:right w:val="none" w:sz="0" w:space="0" w:color="auto"/>
          </w:divBdr>
        </w:div>
        <w:div w:id="1067417404">
          <w:marLeft w:val="0"/>
          <w:marRight w:val="0"/>
          <w:marTop w:val="0"/>
          <w:marBottom w:val="0"/>
          <w:divBdr>
            <w:top w:val="none" w:sz="0" w:space="0" w:color="auto"/>
            <w:left w:val="none" w:sz="0" w:space="0" w:color="auto"/>
            <w:bottom w:val="none" w:sz="0" w:space="0" w:color="auto"/>
            <w:right w:val="none" w:sz="0" w:space="0" w:color="auto"/>
          </w:divBdr>
        </w:div>
        <w:div w:id="1224950767">
          <w:marLeft w:val="0"/>
          <w:marRight w:val="0"/>
          <w:marTop w:val="0"/>
          <w:marBottom w:val="0"/>
          <w:divBdr>
            <w:top w:val="none" w:sz="0" w:space="0" w:color="auto"/>
            <w:left w:val="none" w:sz="0" w:space="0" w:color="auto"/>
            <w:bottom w:val="none" w:sz="0" w:space="0" w:color="auto"/>
            <w:right w:val="none" w:sz="0" w:space="0" w:color="auto"/>
          </w:divBdr>
        </w:div>
      </w:divsChild>
    </w:div>
    <w:div w:id="1165825865">
      <w:bodyDiv w:val="1"/>
      <w:marLeft w:val="0"/>
      <w:marRight w:val="0"/>
      <w:marTop w:val="0"/>
      <w:marBottom w:val="0"/>
      <w:divBdr>
        <w:top w:val="none" w:sz="0" w:space="0" w:color="auto"/>
        <w:left w:val="none" w:sz="0" w:space="0" w:color="auto"/>
        <w:bottom w:val="none" w:sz="0" w:space="0" w:color="auto"/>
        <w:right w:val="none" w:sz="0" w:space="0" w:color="auto"/>
      </w:divBdr>
      <w:divsChild>
        <w:div w:id="1741899428">
          <w:marLeft w:val="0"/>
          <w:marRight w:val="0"/>
          <w:marTop w:val="0"/>
          <w:marBottom w:val="0"/>
          <w:divBdr>
            <w:top w:val="none" w:sz="0" w:space="0" w:color="auto"/>
            <w:left w:val="none" w:sz="0" w:space="0" w:color="auto"/>
            <w:bottom w:val="none" w:sz="0" w:space="0" w:color="auto"/>
            <w:right w:val="none" w:sz="0" w:space="0" w:color="auto"/>
          </w:divBdr>
        </w:div>
        <w:div w:id="195654735">
          <w:marLeft w:val="0"/>
          <w:marRight w:val="0"/>
          <w:marTop w:val="0"/>
          <w:marBottom w:val="0"/>
          <w:divBdr>
            <w:top w:val="none" w:sz="0" w:space="0" w:color="auto"/>
            <w:left w:val="none" w:sz="0" w:space="0" w:color="auto"/>
            <w:bottom w:val="none" w:sz="0" w:space="0" w:color="auto"/>
            <w:right w:val="none" w:sz="0" w:space="0" w:color="auto"/>
          </w:divBdr>
        </w:div>
        <w:div w:id="945842275">
          <w:marLeft w:val="0"/>
          <w:marRight w:val="0"/>
          <w:marTop w:val="0"/>
          <w:marBottom w:val="0"/>
          <w:divBdr>
            <w:top w:val="none" w:sz="0" w:space="0" w:color="auto"/>
            <w:left w:val="none" w:sz="0" w:space="0" w:color="auto"/>
            <w:bottom w:val="none" w:sz="0" w:space="0" w:color="auto"/>
            <w:right w:val="none" w:sz="0" w:space="0" w:color="auto"/>
          </w:divBdr>
        </w:div>
        <w:div w:id="1075856135">
          <w:marLeft w:val="0"/>
          <w:marRight w:val="0"/>
          <w:marTop w:val="0"/>
          <w:marBottom w:val="0"/>
          <w:divBdr>
            <w:top w:val="none" w:sz="0" w:space="0" w:color="auto"/>
            <w:left w:val="none" w:sz="0" w:space="0" w:color="auto"/>
            <w:bottom w:val="none" w:sz="0" w:space="0" w:color="auto"/>
            <w:right w:val="none" w:sz="0" w:space="0" w:color="auto"/>
          </w:divBdr>
        </w:div>
        <w:div w:id="73475301">
          <w:marLeft w:val="0"/>
          <w:marRight w:val="0"/>
          <w:marTop w:val="0"/>
          <w:marBottom w:val="0"/>
          <w:divBdr>
            <w:top w:val="none" w:sz="0" w:space="0" w:color="auto"/>
            <w:left w:val="none" w:sz="0" w:space="0" w:color="auto"/>
            <w:bottom w:val="none" w:sz="0" w:space="0" w:color="auto"/>
            <w:right w:val="none" w:sz="0" w:space="0" w:color="auto"/>
          </w:divBdr>
        </w:div>
        <w:div w:id="1972396666">
          <w:marLeft w:val="0"/>
          <w:marRight w:val="0"/>
          <w:marTop w:val="0"/>
          <w:marBottom w:val="0"/>
          <w:divBdr>
            <w:top w:val="none" w:sz="0" w:space="0" w:color="auto"/>
            <w:left w:val="none" w:sz="0" w:space="0" w:color="auto"/>
            <w:bottom w:val="none" w:sz="0" w:space="0" w:color="auto"/>
            <w:right w:val="none" w:sz="0" w:space="0" w:color="auto"/>
          </w:divBdr>
        </w:div>
        <w:div w:id="2009601164">
          <w:marLeft w:val="0"/>
          <w:marRight w:val="0"/>
          <w:marTop w:val="0"/>
          <w:marBottom w:val="0"/>
          <w:divBdr>
            <w:top w:val="none" w:sz="0" w:space="0" w:color="auto"/>
            <w:left w:val="none" w:sz="0" w:space="0" w:color="auto"/>
            <w:bottom w:val="none" w:sz="0" w:space="0" w:color="auto"/>
            <w:right w:val="none" w:sz="0" w:space="0" w:color="auto"/>
          </w:divBdr>
        </w:div>
        <w:div w:id="1263878171">
          <w:marLeft w:val="0"/>
          <w:marRight w:val="0"/>
          <w:marTop w:val="0"/>
          <w:marBottom w:val="0"/>
          <w:divBdr>
            <w:top w:val="none" w:sz="0" w:space="0" w:color="auto"/>
            <w:left w:val="none" w:sz="0" w:space="0" w:color="auto"/>
            <w:bottom w:val="none" w:sz="0" w:space="0" w:color="auto"/>
            <w:right w:val="none" w:sz="0" w:space="0" w:color="auto"/>
          </w:divBdr>
        </w:div>
        <w:div w:id="1838184229">
          <w:marLeft w:val="0"/>
          <w:marRight w:val="0"/>
          <w:marTop w:val="0"/>
          <w:marBottom w:val="0"/>
          <w:divBdr>
            <w:top w:val="none" w:sz="0" w:space="0" w:color="auto"/>
            <w:left w:val="none" w:sz="0" w:space="0" w:color="auto"/>
            <w:bottom w:val="none" w:sz="0" w:space="0" w:color="auto"/>
            <w:right w:val="none" w:sz="0" w:space="0" w:color="auto"/>
          </w:divBdr>
        </w:div>
        <w:div w:id="1925263882">
          <w:marLeft w:val="0"/>
          <w:marRight w:val="0"/>
          <w:marTop w:val="0"/>
          <w:marBottom w:val="0"/>
          <w:divBdr>
            <w:top w:val="none" w:sz="0" w:space="0" w:color="auto"/>
            <w:left w:val="none" w:sz="0" w:space="0" w:color="auto"/>
            <w:bottom w:val="none" w:sz="0" w:space="0" w:color="auto"/>
            <w:right w:val="none" w:sz="0" w:space="0" w:color="auto"/>
          </w:divBdr>
        </w:div>
      </w:divsChild>
    </w:div>
    <w:div w:id="1167134801">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66690955">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286931616">
      <w:bodyDiv w:val="1"/>
      <w:marLeft w:val="0"/>
      <w:marRight w:val="0"/>
      <w:marTop w:val="0"/>
      <w:marBottom w:val="0"/>
      <w:divBdr>
        <w:top w:val="none" w:sz="0" w:space="0" w:color="auto"/>
        <w:left w:val="none" w:sz="0" w:space="0" w:color="auto"/>
        <w:bottom w:val="none" w:sz="0" w:space="0" w:color="auto"/>
        <w:right w:val="none" w:sz="0" w:space="0" w:color="auto"/>
      </w:divBdr>
      <w:divsChild>
        <w:div w:id="288164777">
          <w:marLeft w:val="0"/>
          <w:marRight w:val="0"/>
          <w:marTop w:val="0"/>
          <w:marBottom w:val="0"/>
          <w:divBdr>
            <w:top w:val="none" w:sz="0" w:space="0" w:color="auto"/>
            <w:left w:val="none" w:sz="0" w:space="0" w:color="auto"/>
            <w:bottom w:val="none" w:sz="0" w:space="0" w:color="auto"/>
            <w:right w:val="none" w:sz="0" w:space="0" w:color="auto"/>
          </w:divBdr>
        </w:div>
        <w:div w:id="1727604995">
          <w:marLeft w:val="0"/>
          <w:marRight w:val="0"/>
          <w:marTop w:val="0"/>
          <w:marBottom w:val="0"/>
          <w:divBdr>
            <w:top w:val="none" w:sz="0" w:space="0" w:color="auto"/>
            <w:left w:val="none" w:sz="0" w:space="0" w:color="auto"/>
            <w:bottom w:val="none" w:sz="0" w:space="0" w:color="auto"/>
            <w:right w:val="none" w:sz="0" w:space="0" w:color="auto"/>
          </w:divBdr>
        </w:div>
        <w:div w:id="1497259770">
          <w:marLeft w:val="0"/>
          <w:marRight w:val="0"/>
          <w:marTop w:val="0"/>
          <w:marBottom w:val="0"/>
          <w:divBdr>
            <w:top w:val="none" w:sz="0" w:space="0" w:color="auto"/>
            <w:left w:val="none" w:sz="0" w:space="0" w:color="auto"/>
            <w:bottom w:val="none" w:sz="0" w:space="0" w:color="auto"/>
            <w:right w:val="none" w:sz="0" w:space="0" w:color="auto"/>
          </w:divBdr>
        </w:div>
        <w:div w:id="904531867">
          <w:marLeft w:val="0"/>
          <w:marRight w:val="0"/>
          <w:marTop w:val="0"/>
          <w:marBottom w:val="0"/>
          <w:divBdr>
            <w:top w:val="none" w:sz="0" w:space="0" w:color="auto"/>
            <w:left w:val="none" w:sz="0" w:space="0" w:color="auto"/>
            <w:bottom w:val="none" w:sz="0" w:space="0" w:color="auto"/>
            <w:right w:val="none" w:sz="0" w:space="0" w:color="auto"/>
          </w:divBdr>
        </w:div>
        <w:div w:id="671643424">
          <w:marLeft w:val="0"/>
          <w:marRight w:val="0"/>
          <w:marTop w:val="0"/>
          <w:marBottom w:val="0"/>
          <w:divBdr>
            <w:top w:val="none" w:sz="0" w:space="0" w:color="auto"/>
            <w:left w:val="none" w:sz="0" w:space="0" w:color="auto"/>
            <w:bottom w:val="none" w:sz="0" w:space="0" w:color="auto"/>
            <w:right w:val="none" w:sz="0" w:space="0" w:color="auto"/>
          </w:divBdr>
        </w:div>
        <w:div w:id="939996796">
          <w:marLeft w:val="0"/>
          <w:marRight w:val="0"/>
          <w:marTop w:val="0"/>
          <w:marBottom w:val="0"/>
          <w:divBdr>
            <w:top w:val="none" w:sz="0" w:space="0" w:color="auto"/>
            <w:left w:val="none" w:sz="0" w:space="0" w:color="auto"/>
            <w:bottom w:val="none" w:sz="0" w:space="0" w:color="auto"/>
            <w:right w:val="none" w:sz="0" w:space="0" w:color="auto"/>
          </w:divBdr>
        </w:div>
        <w:div w:id="1228569874">
          <w:marLeft w:val="0"/>
          <w:marRight w:val="0"/>
          <w:marTop w:val="0"/>
          <w:marBottom w:val="0"/>
          <w:divBdr>
            <w:top w:val="none" w:sz="0" w:space="0" w:color="auto"/>
            <w:left w:val="none" w:sz="0" w:space="0" w:color="auto"/>
            <w:bottom w:val="none" w:sz="0" w:space="0" w:color="auto"/>
            <w:right w:val="none" w:sz="0" w:space="0" w:color="auto"/>
          </w:divBdr>
        </w:div>
      </w:divsChild>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77186257">
      <w:bodyDiv w:val="1"/>
      <w:marLeft w:val="0"/>
      <w:marRight w:val="0"/>
      <w:marTop w:val="0"/>
      <w:marBottom w:val="0"/>
      <w:divBdr>
        <w:top w:val="none" w:sz="0" w:space="0" w:color="auto"/>
        <w:left w:val="none" w:sz="0" w:space="0" w:color="auto"/>
        <w:bottom w:val="none" w:sz="0" w:space="0" w:color="auto"/>
        <w:right w:val="none" w:sz="0" w:space="0" w:color="auto"/>
      </w:divBdr>
    </w:div>
    <w:div w:id="147915282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2667668">
      <w:bodyDiv w:val="1"/>
      <w:marLeft w:val="0"/>
      <w:marRight w:val="0"/>
      <w:marTop w:val="0"/>
      <w:marBottom w:val="0"/>
      <w:divBdr>
        <w:top w:val="none" w:sz="0" w:space="0" w:color="auto"/>
        <w:left w:val="none" w:sz="0" w:space="0" w:color="auto"/>
        <w:bottom w:val="none" w:sz="0" w:space="0" w:color="auto"/>
        <w:right w:val="none" w:sz="0" w:space="0" w:color="auto"/>
      </w:divBdr>
      <w:divsChild>
        <w:div w:id="730468037">
          <w:marLeft w:val="0"/>
          <w:marRight w:val="0"/>
          <w:marTop w:val="0"/>
          <w:marBottom w:val="0"/>
          <w:divBdr>
            <w:top w:val="none" w:sz="0" w:space="0" w:color="auto"/>
            <w:left w:val="none" w:sz="0" w:space="0" w:color="auto"/>
            <w:bottom w:val="none" w:sz="0" w:space="0" w:color="auto"/>
            <w:right w:val="none" w:sz="0" w:space="0" w:color="auto"/>
          </w:divBdr>
        </w:div>
        <w:div w:id="938568225">
          <w:marLeft w:val="0"/>
          <w:marRight w:val="0"/>
          <w:marTop w:val="0"/>
          <w:marBottom w:val="0"/>
          <w:divBdr>
            <w:top w:val="none" w:sz="0" w:space="0" w:color="auto"/>
            <w:left w:val="none" w:sz="0" w:space="0" w:color="auto"/>
            <w:bottom w:val="none" w:sz="0" w:space="0" w:color="auto"/>
            <w:right w:val="none" w:sz="0" w:space="0" w:color="auto"/>
          </w:divBdr>
        </w:div>
        <w:div w:id="202253908">
          <w:marLeft w:val="0"/>
          <w:marRight w:val="0"/>
          <w:marTop w:val="0"/>
          <w:marBottom w:val="0"/>
          <w:divBdr>
            <w:top w:val="none" w:sz="0" w:space="0" w:color="auto"/>
            <w:left w:val="none" w:sz="0" w:space="0" w:color="auto"/>
            <w:bottom w:val="none" w:sz="0" w:space="0" w:color="auto"/>
            <w:right w:val="none" w:sz="0" w:space="0" w:color="auto"/>
          </w:divBdr>
        </w:div>
        <w:div w:id="2075733917">
          <w:marLeft w:val="0"/>
          <w:marRight w:val="0"/>
          <w:marTop w:val="0"/>
          <w:marBottom w:val="0"/>
          <w:divBdr>
            <w:top w:val="none" w:sz="0" w:space="0" w:color="auto"/>
            <w:left w:val="none" w:sz="0" w:space="0" w:color="auto"/>
            <w:bottom w:val="none" w:sz="0" w:space="0" w:color="auto"/>
            <w:right w:val="none" w:sz="0" w:space="0" w:color="auto"/>
          </w:divBdr>
        </w:div>
        <w:div w:id="1129781799">
          <w:marLeft w:val="0"/>
          <w:marRight w:val="0"/>
          <w:marTop w:val="0"/>
          <w:marBottom w:val="0"/>
          <w:divBdr>
            <w:top w:val="none" w:sz="0" w:space="0" w:color="auto"/>
            <w:left w:val="none" w:sz="0" w:space="0" w:color="auto"/>
            <w:bottom w:val="none" w:sz="0" w:space="0" w:color="auto"/>
            <w:right w:val="none" w:sz="0" w:space="0" w:color="auto"/>
          </w:divBdr>
        </w:div>
        <w:div w:id="1752118589">
          <w:marLeft w:val="0"/>
          <w:marRight w:val="0"/>
          <w:marTop w:val="0"/>
          <w:marBottom w:val="0"/>
          <w:divBdr>
            <w:top w:val="none" w:sz="0" w:space="0" w:color="auto"/>
            <w:left w:val="none" w:sz="0" w:space="0" w:color="auto"/>
            <w:bottom w:val="none" w:sz="0" w:space="0" w:color="auto"/>
            <w:right w:val="none" w:sz="0" w:space="0" w:color="auto"/>
          </w:divBdr>
        </w:div>
        <w:div w:id="1967739870">
          <w:marLeft w:val="0"/>
          <w:marRight w:val="0"/>
          <w:marTop w:val="0"/>
          <w:marBottom w:val="0"/>
          <w:divBdr>
            <w:top w:val="none" w:sz="0" w:space="0" w:color="auto"/>
            <w:left w:val="none" w:sz="0" w:space="0" w:color="auto"/>
            <w:bottom w:val="none" w:sz="0" w:space="0" w:color="auto"/>
            <w:right w:val="none" w:sz="0" w:space="0" w:color="auto"/>
          </w:divBdr>
        </w:div>
        <w:div w:id="443159895">
          <w:marLeft w:val="0"/>
          <w:marRight w:val="0"/>
          <w:marTop w:val="0"/>
          <w:marBottom w:val="0"/>
          <w:divBdr>
            <w:top w:val="none" w:sz="0" w:space="0" w:color="auto"/>
            <w:left w:val="none" w:sz="0" w:space="0" w:color="auto"/>
            <w:bottom w:val="none" w:sz="0" w:space="0" w:color="auto"/>
            <w:right w:val="none" w:sz="0" w:space="0" w:color="auto"/>
          </w:divBdr>
        </w:div>
        <w:div w:id="1049376755">
          <w:marLeft w:val="0"/>
          <w:marRight w:val="0"/>
          <w:marTop w:val="0"/>
          <w:marBottom w:val="0"/>
          <w:divBdr>
            <w:top w:val="none" w:sz="0" w:space="0" w:color="auto"/>
            <w:left w:val="none" w:sz="0" w:space="0" w:color="auto"/>
            <w:bottom w:val="none" w:sz="0" w:space="0" w:color="auto"/>
            <w:right w:val="none" w:sz="0" w:space="0" w:color="auto"/>
          </w:divBdr>
        </w:div>
        <w:div w:id="271137131">
          <w:marLeft w:val="0"/>
          <w:marRight w:val="0"/>
          <w:marTop w:val="0"/>
          <w:marBottom w:val="0"/>
          <w:divBdr>
            <w:top w:val="none" w:sz="0" w:space="0" w:color="auto"/>
            <w:left w:val="none" w:sz="0" w:space="0" w:color="auto"/>
            <w:bottom w:val="none" w:sz="0" w:space="0" w:color="auto"/>
            <w:right w:val="none" w:sz="0" w:space="0" w:color="auto"/>
          </w:divBdr>
        </w:div>
        <w:div w:id="1355380876">
          <w:marLeft w:val="0"/>
          <w:marRight w:val="0"/>
          <w:marTop w:val="0"/>
          <w:marBottom w:val="0"/>
          <w:divBdr>
            <w:top w:val="none" w:sz="0" w:space="0" w:color="auto"/>
            <w:left w:val="none" w:sz="0" w:space="0" w:color="auto"/>
            <w:bottom w:val="none" w:sz="0" w:space="0" w:color="auto"/>
            <w:right w:val="none" w:sz="0" w:space="0" w:color="auto"/>
          </w:divBdr>
        </w:div>
        <w:div w:id="783186375">
          <w:marLeft w:val="0"/>
          <w:marRight w:val="0"/>
          <w:marTop w:val="0"/>
          <w:marBottom w:val="0"/>
          <w:divBdr>
            <w:top w:val="none" w:sz="0" w:space="0" w:color="auto"/>
            <w:left w:val="none" w:sz="0" w:space="0" w:color="auto"/>
            <w:bottom w:val="none" w:sz="0" w:space="0" w:color="auto"/>
            <w:right w:val="none" w:sz="0" w:space="0" w:color="auto"/>
          </w:divBdr>
        </w:div>
        <w:div w:id="2051490032">
          <w:marLeft w:val="0"/>
          <w:marRight w:val="0"/>
          <w:marTop w:val="0"/>
          <w:marBottom w:val="0"/>
          <w:divBdr>
            <w:top w:val="none" w:sz="0" w:space="0" w:color="auto"/>
            <w:left w:val="none" w:sz="0" w:space="0" w:color="auto"/>
            <w:bottom w:val="none" w:sz="0" w:space="0" w:color="auto"/>
            <w:right w:val="none" w:sz="0" w:space="0" w:color="auto"/>
          </w:divBdr>
        </w:div>
        <w:div w:id="1637953737">
          <w:marLeft w:val="0"/>
          <w:marRight w:val="0"/>
          <w:marTop w:val="0"/>
          <w:marBottom w:val="0"/>
          <w:divBdr>
            <w:top w:val="none" w:sz="0" w:space="0" w:color="auto"/>
            <w:left w:val="none" w:sz="0" w:space="0" w:color="auto"/>
            <w:bottom w:val="none" w:sz="0" w:space="0" w:color="auto"/>
            <w:right w:val="none" w:sz="0" w:space="0" w:color="auto"/>
          </w:divBdr>
        </w:div>
        <w:div w:id="809249179">
          <w:marLeft w:val="0"/>
          <w:marRight w:val="0"/>
          <w:marTop w:val="0"/>
          <w:marBottom w:val="0"/>
          <w:divBdr>
            <w:top w:val="none" w:sz="0" w:space="0" w:color="auto"/>
            <w:left w:val="none" w:sz="0" w:space="0" w:color="auto"/>
            <w:bottom w:val="none" w:sz="0" w:space="0" w:color="auto"/>
            <w:right w:val="none" w:sz="0" w:space="0" w:color="auto"/>
          </w:divBdr>
        </w:div>
        <w:div w:id="830098142">
          <w:marLeft w:val="0"/>
          <w:marRight w:val="0"/>
          <w:marTop w:val="0"/>
          <w:marBottom w:val="0"/>
          <w:divBdr>
            <w:top w:val="none" w:sz="0" w:space="0" w:color="auto"/>
            <w:left w:val="none" w:sz="0" w:space="0" w:color="auto"/>
            <w:bottom w:val="none" w:sz="0" w:space="0" w:color="auto"/>
            <w:right w:val="none" w:sz="0" w:space="0" w:color="auto"/>
          </w:divBdr>
        </w:div>
        <w:div w:id="1317224965">
          <w:marLeft w:val="0"/>
          <w:marRight w:val="0"/>
          <w:marTop w:val="0"/>
          <w:marBottom w:val="0"/>
          <w:divBdr>
            <w:top w:val="none" w:sz="0" w:space="0" w:color="auto"/>
            <w:left w:val="none" w:sz="0" w:space="0" w:color="auto"/>
            <w:bottom w:val="none" w:sz="0" w:space="0" w:color="auto"/>
            <w:right w:val="none" w:sz="0" w:space="0" w:color="auto"/>
          </w:divBdr>
        </w:div>
        <w:div w:id="1402293693">
          <w:marLeft w:val="0"/>
          <w:marRight w:val="0"/>
          <w:marTop w:val="0"/>
          <w:marBottom w:val="0"/>
          <w:divBdr>
            <w:top w:val="none" w:sz="0" w:space="0" w:color="auto"/>
            <w:left w:val="none" w:sz="0" w:space="0" w:color="auto"/>
            <w:bottom w:val="none" w:sz="0" w:space="0" w:color="auto"/>
            <w:right w:val="none" w:sz="0" w:space="0" w:color="auto"/>
          </w:divBdr>
        </w:div>
        <w:div w:id="2022850150">
          <w:marLeft w:val="0"/>
          <w:marRight w:val="0"/>
          <w:marTop w:val="0"/>
          <w:marBottom w:val="0"/>
          <w:divBdr>
            <w:top w:val="none" w:sz="0" w:space="0" w:color="auto"/>
            <w:left w:val="none" w:sz="0" w:space="0" w:color="auto"/>
            <w:bottom w:val="none" w:sz="0" w:space="0" w:color="auto"/>
            <w:right w:val="none" w:sz="0" w:space="0" w:color="auto"/>
          </w:divBdr>
        </w:div>
      </w:divsChild>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14190510">
      <w:bodyDiv w:val="1"/>
      <w:marLeft w:val="0"/>
      <w:marRight w:val="0"/>
      <w:marTop w:val="0"/>
      <w:marBottom w:val="0"/>
      <w:divBdr>
        <w:top w:val="none" w:sz="0" w:space="0" w:color="auto"/>
        <w:left w:val="none" w:sz="0" w:space="0" w:color="auto"/>
        <w:bottom w:val="none" w:sz="0" w:space="0" w:color="auto"/>
        <w:right w:val="none" w:sz="0" w:space="0" w:color="auto"/>
      </w:divBdr>
    </w:div>
    <w:div w:id="1715812959">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729256926">
      <w:bodyDiv w:val="1"/>
      <w:marLeft w:val="0"/>
      <w:marRight w:val="0"/>
      <w:marTop w:val="0"/>
      <w:marBottom w:val="0"/>
      <w:divBdr>
        <w:top w:val="none" w:sz="0" w:space="0" w:color="auto"/>
        <w:left w:val="none" w:sz="0" w:space="0" w:color="auto"/>
        <w:bottom w:val="none" w:sz="0" w:space="0" w:color="auto"/>
        <w:right w:val="none" w:sz="0" w:space="0" w:color="auto"/>
      </w:divBdr>
    </w:div>
    <w:div w:id="1729957627">
      <w:bodyDiv w:val="1"/>
      <w:marLeft w:val="0"/>
      <w:marRight w:val="0"/>
      <w:marTop w:val="0"/>
      <w:marBottom w:val="0"/>
      <w:divBdr>
        <w:top w:val="none" w:sz="0" w:space="0" w:color="auto"/>
        <w:left w:val="none" w:sz="0" w:space="0" w:color="auto"/>
        <w:bottom w:val="none" w:sz="0" w:space="0" w:color="auto"/>
        <w:right w:val="none" w:sz="0" w:space="0" w:color="auto"/>
      </w:divBdr>
      <w:divsChild>
        <w:div w:id="1936740233">
          <w:marLeft w:val="0"/>
          <w:marRight w:val="0"/>
          <w:marTop w:val="0"/>
          <w:marBottom w:val="0"/>
          <w:divBdr>
            <w:top w:val="none" w:sz="0" w:space="0" w:color="auto"/>
            <w:left w:val="none" w:sz="0" w:space="0" w:color="auto"/>
            <w:bottom w:val="none" w:sz="0" w:space="0" w:color="auto"/>
            <w:right w:val="none" w:sz="0" w:space="0" w:color="auto"/>
          </w:divBdr>
        </w:div>
        <w:div w:id="1279945451">
          <w:marLeft w:val="0"/>
          <w:marRight w:val="0"/>
          <w:marTop w:val="0"/>
          <w:marBottom w:val="0"/>
          <w:divBdr>
            <w:top w:val="none" w:sz="0" w:space="0" w:color="auto"/>
            <w:left w:val="none" w:sz="0" w:space="0" w:color="auto"/>
            <w:bottom w:val="none" w:sz="0" w:space="0" w:color="auto"/>
            <w:right w:val="none" w:sz="0" w:space="0" w:color="auto"/>
          </w:divBdr>
        </w:div>
      </w:divsChild>
    </w:div>
    <w:div w:id="1828007847">
      <w:bodyDiv w:val="1"/>
      <w:marLeft w:val="0"/>
      <w:marRight w:val="0"/>
      <w:marTop w:val="0"/>
      <w:marBottom w:val="0"/>
      <w:divBdr>
        <w:top w:val="none" w:sz="0" w:space="0" w:color="auto"/>
        <w:left w:val="none" w:sz="0" w:space="0" w:color="auto"/>
        <w:bottom w:val="none" w:sz="0" w:space="0" w:color="auto"/>
        <w:right w:val="none" w:sz="0" w:space="0" w:color="auto"/>
      </w:divBdr>
    </w:div>
    <w:div w:id="1848014637">
      <w:bodyDiv w:val="1"/>
      <w:marLeft w:val="0"/>
      <w:marRight w:val="0"/>
      <w:marTop w:val="0"/>
      <w:marBottom w:val="0"/>
      <w:divBdr>
        <w:top w:val="none" w:sz="0" w:space="0" w:color="auto"/>
        <w:left w:val="none" w:sz="0" w:space="0" w:color="auto"/>
        <w:bottom w:val="none" w:sz="0" w:space="0" w:color="auto"/>
        <w:right w:val="none" w:sz="0" w:space="0" w:color="auto"/>
      </w:divBdr>
    </w:div>
    <w:div w:id="1877698744">
      <w:bodyDiv w:val="1"/>
      <w:marLeft w:val="0"/>
      <w:marRight w:val="0"/>
      <w:marTop w:val="0"/>
      <w:marBottom w:val="0"/>
      <w:divBdr>
        <w:top w:val="none" w:sz="0" w:space="0" w:color="auto"/>
        <w:left w:val="none" w:sz="0" w:space="0" w:color="auto"/>
        <w:bottom w:val="none" w:sz="0" w:space="0" w:color="auto"/>
        <w:right w:val="none" w:sz="0" w:space="0" w:color="auto"/>
      </w:divBdr>
      <w:divsChild>
        <w:div w:id="1125735100">
          <w:marLeft w:val="0"/>
          <w:marRight w:val="0"/>
          <w:marTop w:val="0"/>
          <w:marBottom w:val="0"/>
          <w:divBdr>
            <w:top w:val="none" w:sz="0" w:space="0" w:color="auto"/>
            <w:left w:val="none" w:sz="0" w:space="0" w:color="auto"/>
            <w:bottom w:val="none" w:sz="0" w:space="0" w:color="auto"/>
            <w:right w:val="none" w:sz="0" w:space="0" w:color="auto"/>
          </w:divBdr>
        </w:div>
        <w:div w:id="23285508">
          <w:marLeft w:val="0"/>
          <w:marRight w:val="0"/>
          <w:marTop w:val="0"/>
          <w:marBottom w:val="0"/>
          <w:divBdr>
            <w:top w:val="none" w:sz="0" w:space="0" w:color="auto"/>
            <w:left w:val="none" w:sz="0" w:space="0" w:color="auto"/>
            <w:bottom w:val="none" w:sz="0" w:space="0" w:color="auto"/>
            <w:right w:val="none" w:sz="0" w:space="0" w:color="auto"/>
          </w:divBdr>
        </w:div>
      </w:divsChild>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1969890961">
      <w:bodyDiv w:val="1"/>
      <w:marLeft w:val="0"/>
      <w:marRight w:val="0"/>
      <w:marTop w:val="0"/>
      <w:marBottom w:val="0"/>
      <w:divBdr>
        <w:top w:val="none" w:sz="0" w:space="0" w:color="auto"/>
        <w:left w:val="none" w:sz="0" w:space="0" w:color="auto"/>
        <w:bottom w:val="none" w:sz="0" w:space="0" w:color="auto"/>
        <w:right w:val="none" w:sz="0" w:space="0" w:color="auto"/>
      </w:divBdr>
    </w:div>
    <w:div w:id="1979263069">
      <w:bodyDiv w:val="1"/>
      <w:marLeft w:val="0"/>
      <w:marRight w:val="0"/>
      <w:marTop w:val="0"/>
      <w:marBottom w:val="0"/>
      <w:divBdr>
        <w:top w:val="none" w:sz="0" w:space="0" w:color="auto"/>
        <w:left w:val="none" w:sz="0" w:space="0" w:color="auto"/>
        <w:bottom w:val="none" w:sz="0" w:space="0" w:color="auto"/>
        <w:right w:val="none" w:sz="0" w:space="0" w:color="auto"/>
      </w:divBdr>
      <w:divsChild>
        <w:div w:id="890307244">
          <w:marLeft w:val="0"/>
          <w:marRight w:val="0"/>
          <w:marTop w:val="0"/>
          <w:marBottom w:val="0"/>
          <w:divBdr>
            <w:top w:val="none" w:sz="0" w:space="0" w:color="auto"/>
            <w:left w:val="none" w:sz="0" w:space="0" w:color="auto"/>
            <w:bottom w:val="none" w:sz="0" w:space="0" w:color="auto"/>
            <w:right w:val="none" w:sz="0" w:space="0" w:color="auto"/>
          </w:divBdr>
        </w:div>
        <w:div w:id="70129474">
          <w:marLeft w:val="0"/>
          <w:marRight w:val="0"/>
          <w:marTop w:val="0"/>
          <w:marBottom w:val="0"/>
          <w:divBdr>
            <w:top w:val="none" w:sz="0" w:space="0" w:color="auto"/>
            <w:left w:val="none" w:sz="0" w:space="0" w:color="auto"/>
            <w:bottom w:val="none" w:sz="0" w:space="0" w:color="auto"/>
            <w:right w:val="none" w:sz="0" w:space="0" w:color="auto"/>
          </w:divBdr>
        </w:div>
        <w:div w:id="1263804495">
          <w:marLeft w:val="0"/>
          <w:marRight w:val="0"/>
          <w:marTop w:val="0"/>
          <w:marBottom w:val="0"/>
          <w:divBdr>
            <w:top w:val="none" w:sz="0" w:space="0" w:color="auto"/>
            <w:left w:val="none" w:sz="0" w:space="0" w:color="auto"/>
            <w:bottom w:val="none" w:sz="0" w:space="0" w:color="auto"/>
            <w:right w:val="none" w:sz="0" w:space="0" w:color="auto"/>
          </w:divBdr>
        </w:div>
      </w:divsChild>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0870547231176862" TargetMode="External"/><Relationship Id="rId21" Type="http://schemas.openxmlformats.org/officeDocument/2006/relationships/hyperlink" Target="https://www.who.int/tools/your-life-your-health/a-healthy-world/people-s-roles/the-role-of-media-in-supporting-health" TargetMode="External"/><Relationship Id="rId42" Type="http://schemas.openxmlformats.org/officeDocument/2006/relationships/hyperlink" Target="https://doi.org/10.3389/fpsyg.2025.1563508" TargetMode="External"/><Relationship Id="rId47" Type="http://schemas.openxmlformats.org/officeDocument/2006/relationships/hyperlink" Target="https://doi.org/10.1111/bjep.12375" TargetMode="External"/><Relationship Id="rId63" Type="http://schemas.openxmlformats.org/officeDocument/2006/relationships/hyperlink" Target="https://doi.org/10.1111/bjep.12375" TargetMode="External"/><Relationship Id="rId68" Type="http://schemas.openxmlformats.org/officeDocument/2006/relationships/hyperlink" Target="https://doi.org/10.1080/13632752.2019.1609271" TargetMode="External"/><Relationship Id="rId2" Type="http://schemas.openxmlformats.org/officeDocument/2006/relationships/numbering" Target="numbering.xml"/><Relationship Id="rId16" Type="http://schemas.openxmlformats.org/officeDocument/2006/relationships/hyperlink" Target="https://www.england.nhs.uk/long-read/improvement-framework-community-language-translation-and-interpreting-services/" TargetMode="External"/><Relationship Id="rId29" Type="http://schemas.openxmlformats.org/officeDocument/2006/relationships/hyperlink" Target="https://doi.org/10.1111/bjep.12375" TargetMode="External"/><Relationship Id="rId11" Type="http://schemas.openxmlformats.org/officeDocument/2006/relationships/hyperlink" Target="https://pmc.ncbi.nlm.nih.gov/articles/PMC7909498/" TargetMode="External"/><Relationship Id="rId24" Type="http://schemas.openxmlformats.org/officeDocument/2006/relationships/hyperlink" Target="https://doi.org/10.1007/s00787-020-01603-7" TargetMode="External"/><Relationship Id="rId32" Type="http://schemas.openxmlformats.org/officeDocument/2006/relationships/hyperlink" Target="https://doi.org/10.7759/cureus.74967" TargetMode="External"/><Relationship Id="rId37" Type="http://schemas.openxmlformats.org/officeDocument/2006/relationships/hyperlink" Target="https://assets.publishing.service.gov.uk/media/5a80b62d40f0b62302695133/4b_Health_Literacy-Briefing.pdf" TargetMode="External"/><Relationship Id="rId40" Type="http://schemas.openxmlformats.org/officeDocument/2006/relationships/hyperlink" Target="https://adc.bmj.com/content/111/2/167" TargetMode="External"/><Relationship Id="rId45" Type="http://schemas.openxmlformats.org/officeDocument/2006/relationships/hyperlink" Target="https://doi.org/10.1177/10870547231176862" TargetMode="External"/><Relationship Id="rId53" Type="http://schemas.openxmlformats.org/officeDocument/2006/relationships/hyperlink" Target="https://doi.org/10.1080/13632752.2019.1609271" TargetMode="External"/><Relationship Id="rId58" Type="http://schemas.openxmlformats.org/officeDocument/2006/relationships/hyperlink" Target="https://doi.org/10.1007/s11218-025-10092-y" TargetMode="External"/><Relationship Id="rId66" Type="http://schemas.openxmlformats.org/officeDocument/2006/relationships/hyperlink" Target="https://doi.org/10.3389/feduc.2025.1550711"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icd.who.int/browse/2026-01/mms/en" TargetMode="External"/><Relationship Id="rId19" Type="http://schemas.openxmlformats.org/officeDocument/2006/relationships/hyperlink" Target="https://www.jmir.org/2025/1/e68124" TargetMode="External"/><Relationship Id="rId14" Type="http://schemas.openxmlformats.org/officeDocument/2006/relationships/hyperlink" Target="https://dl.acm.org/doi/10.1145/2611009.2611020" TargetMode="External"/><Relationship Id="rId22" Type="http://schemas.openxmlformats.org/officeDocument/2006/relationships/hyperlink" Target="https://doi.org/10.3390/children11091053" TargetMode="External"/><Relationship Id="rId27" Type="http://schemas.openxmlformats.org/officeDocument/2006/relationships/hyperlink" Target="https://www.gov.uk/rights-disabled-person/education-rights" TargetMode="External"/><Relationship Id="rId30" Type="http://schemas.openxmlformats.org/officeDocument/2006/relationships/hyperlink" Target="https://doi.org/10.1007/s10803-022-05639-3" TargetMode="External"/><Relationship Id="rId35" Type="http://schemas.openxmlformats.org/officeDocument/2006/relationships/hyperlink" Target="https://doi.org/10.1080/13632752.2019.1609271" TargetMode="External"/><Relationship Id="rId43" Type="http://schemas.openxmlformats.org/officeDocument/2006/relationships/hyperlink" Target="https://doi.org/10.1007/s00787-020-01603-7" TargetMode="External"/><Relationship Id="rId48" Type="http://schemas.openxmlformats.org/officeDocument/2006/relationships/hyperlink" Target="https://doi.org/10.1007/s10803-022-05639-3" TargetMode="External"/><Relationship Id="rId56" Type="http://schemas.openxmlformats.org/officeDocument/2006/relationships/hyperlink" Target="https://doi.org/10.3389/fpsyg.2025.1563508" TargetMode="External"/><Relationship Id="rId64" Type="http://schemas.openxmlformats.org/officeDocument/2006/relationships/hyperlink" Target="http://www.aimspress.com/article/doi/10.3934/publichealth.2023004" TargetMode="External"/><Relationship Id="rId69" Type="http://schemas.openxmlformats.org/officeDocument/2006/relationships/hyperlink" Target="https://doi.org/10.1136/bmjopen-2025-104511" TargetMode="External"/><Relationship Id="rId8" Type="http://schemas.openxmlformats.org/officeDocument/2006/relationships/image" Target="media/image1.png"/><Relationship Id="rId51" Type="http://schemas.openxmlformats.org/officeDocument/2006/relationships/hyperlink" Target="https://doi.org/10.3389/feduc.2025.1550711" TargetMode="External"/><Relationship Id="rId72" Type="http://schemas.openxmlformats.org/officeDocument/2006/relationships/hyperlink" Target="https://doi.org/10.3390/children11091053" TargetMode="External"/><Relationship Id="rId3" Type="http://schemas.openxmlformats.org/officeDocument/2006/relationships/styles" Target="styles.xml"/><Relationship Id="rId12" Type="http://schemas.openxmlformats.org/officeDocument/2006/relationships/hyperlink" Target="https://jsomer.org/index.php/pub/article/view/29" TargetMode="External"/><Relationship Id="rId17" Type="http://schemas.openxmlformats.org/officeDocument/2006/relationships/hyperlink" Target="https://pmc.ncbi.nlm.nih.gov/articles/PMC9879880/" TargetMode="External"/><Relationship Id="rId25" Type="http://schemas.openxmlformats.org/officeDocument/2006/relationships/hyperlink" Target="https://doi.org/10.1007/s11218-025-10092-y" TargetMode="External"/><Relationship Id="rId33" Type="http://schemas.openxmlformats.org/officeDocument/2006/relationships/hyperlink" Target="https://doi.org/10.3389/feduc.2025.1550711" TargetMode="External"/><Relationship Id="rId38" Type="http://schemas.openxmlformats.org/officeDocument/2006/relationships/hyperlink" Target="https://www.ons.gov.uk/peoplepopulationandcommunity/culturalidentity/ethnicity/bulletins/ethnicgroupenglandandwales/census2021" TargetMode="External"/><Relationship Id="rId46" Type="http://schemas.openxmlformats.org/officeDocument/2006/relationships/hyperlink" Target="https://doi.org/10.1093/eurpub/ckaf116" TargetMode="External"/><Relationship Id="rId59" Type="http://schemas.openxmlformats.org/officeDocument/2006/relationships/hyperlink" Target="https://www.gov.uk/rights-disabled-person/education-rights" TargetMode="External"/><Relationship Id="rId67" Type="http://schemas.openxmlformats.org/officeDocument/2006/relationships/hyperlink" Target="https://doi.org/10.1111/bjep.12613" TargetMode="External"/><Relationship Id="rId20" Type="http://schemas.openxmlformats.org/officeDocument/2006/relationships/hyperlink" Target="https://pmc.ncbi.nlm.nih.gov/articles/PMC11471997/" TargetMode="External"/><Relationship Id="rId41" Type="http://schemas.openxmlformats.org/officeDocument/2006/relationships/hyperlink" Target="https://doi.org/10.3390/children11091053" TargetMode="External"/><Relationship Id="rId54" Type="http://schemas.openxmlformats.org/officeDocument/2006/relationships/hyperlink" Target="https://doi.org/10.1136/bmjopen-2025-104511" TargetMode="External"/><Relationship Id="rId62" Type="http://schemas.openxmlformats.org/officeDocument/2006/relationships/hyperlink" Target="https://doi.org/10.1093/eurpub/ckaf116" TargetMode="External"/><Relationship Id="rId70" Type="http://schemas.openxmlformats.org/officeDocument/2006/relationships/hyperlink" Target="https://doi.org/10.1080/13632752.2021.1965342"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ngland.nhs.uk/campaign-partnerships/" TargetMode="External"/><Relationship Id="rId23" Type="http://schemas.openxmlformats.org/officeDocument/2006/relationships/hyperlink" Target="https://doi.org/10.3389/fpsyg.2025.1563508" TargetMode="External"/><Relationship Id="rId28" Type="http://schemas.openxmlformats.org/officeDocument/2006/relationships/hyperlink" Target="https://doi.org/10.1093/eurpub/ckaf116" TargetMode="External"/><Relationship Id="rId36" Type="http://schemas.openxmlformats.org/officeDocument/2006/relationships/hyperlink" Target="https://doi.org/10.3389/fpsyt.2021.649399" TargetMode="External"/><Relationship Id="rId49" Type="http://schemas.openxmlformats.org/officeDocument/2006/relationships/hyperlink" Target="https://doi.org/10.3934/publichealth.2023004" TargetMode="External"/><Relationship Id="rId57" Type="http://schemas.openxmlformats.org/officeDocument/2006/relationships/hyperlink" Target="https://doi.org/10.1007/s00787-020-01603-7" TargetMode="External"/><Relationship Id="rId10" Type="http://schemas.openxmlformats.org/officeDocument/2006/relationships/hyperlink" Target="https://www.ncbi.nlm.nih.gov/books/NBK606120/" TargetMode="External"/><Relationship Id="rId31" Type="http://schemas.openxmlformats.org/officeDocument/2006/relationships/hyperlink" Target="https://doi.org/10.3934/publichealth.2023004" TargetMode="External"/><Relationship Id="rId44" Type="http://schemas.openxmlformats.org/officeDocument/2006/relationships/hyperlink" Target="https://doi.org/10.1007/s11218-025-10092-y" TargetMode="External"/><Relationship Id="rId52" Type="http://schemas.openxmlformats.org/officeDocument/2006/relationships/hyperlink" Target="https://doi.org/10.1111/bjep.12613" TargetMode="External"/><Relationship Id="rId60" Type="http://schemas.openxmlformats.org/officeDocument/2006/relationships/hyperlink" Target="https://doi.org/10.1177/10870547231176862" TargetMode="External"/><Relationship Id="rId65" Type="http://schemas.openxmlformats.org/officeDocument/2006/relationships/hyperlink" Target="https://doi.org/10.7759/cureus.74967" TargetMode="External"/><Relationship Id="rId73" Type="http://schemas.openxmlformats.org/officeDocument/2006/relationships/hyperlink" Target="https://doi.org/10.1007/s10803-022-05639-3"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local.gov.uk/topics/social-care-health-and-integration/understanding-health-literacy-empowering-communities" TargetMode="External"/><Relationship Id="rId18" Type="http://schemas.openxmlformats.org/officeDocument/2006/relationships/hyperlink" Target="https://www.gov.uk/government/publications/health-matters-health-and-wellbeing-community-centred-approaches/health-matters-community-centred-approaches-for-health-and-wellbeing" TargetMode="External"/><Relationship Id="rId39" Type="http://schemas.openxmlformats.org/officeDocument/2006/relationships/hyperlink" Target="https://doi.org/10.1371/journal.pone.0335606" TargetMode="External"/><Relationship Id="rId34" Type="http://schemas.openxmlformats.org/officeDocument/2006/relationships/hyperlink" Target="https://doi.org/10.1111/bjep.12613" TargetMode="External"/><Relationship Id="rId50" Type="http://schemas.openxmlformats.org/officeDocument/2006/relationships/hyperlink" Target="https://doi.org/10.7759/cureus.74967" TargetMode="External"/><Relationship Id="rId55" Type="http://schemas.openxmlformats.org/officeDocument/2006/relationships/hyperlink" Target="https://doi.org/10.1080/13632752.2021.1965342" TargetMode="External"/><Relationship Id="rId7" Type="http://schemas.openxmlformats.org/officeDocument/2006/relationships/endnotes" Target="endnotes.xml"/><Relationship Id="rId71" Type="http://schemas.openxmlformats.org/officeDocument/2006/relationships/hyperlink" Target="https://doi.org/10.3389/fpsyt.2021.6493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536</TotalTime>
  <Pages>89</Pages>
  <Words>24035</Words>
  <Characters>137001</Characters>
  <Application>Microsoft Office Word</Application>
  <DocSecurity>0</DocSecurity>
  <Lines>1141</Lines>
  <Paragraphs>321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Rumeena Miah (2236702)</cp:lastModifiedBy>
  <cp:revision>24</cp:revision>
  <dcterms:created xsi:type="dcterms:W3CDTF">2026-04-03T08:53:00Z</dcterms:created>
  <dcterms:modified xsi:type="dcterms:W3CDTF">2026-04-07T22:13:00Z</dcterms:modified>
</cp:coreProperties>
</file>