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42FE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7F78FA2" w:rsidR="00CD33A8" w:rsidRPr="0025630D" w:rsidRDefault="00CD33A8" w:rsidP="00CD33A8">
      <w:pPr>
        <w:tabs>
          <w:tab w:val="left" w:pos="6540"/>
        </w:tabs>
        <w:spacing w:line="360" w:lineRule="auto"/>
        <w:rPr>
          <w:rFonts w:ascii="Arial" w:hAnsi="Arial" w:cs="Arial"/>
          <w:sz w:val="28"/>
          <w:szCs w:val="28"/>
        </w:rPr>
      </w:pPr>
      <w:r w:rsidRPr="0025630D">
        <w:rPr>
          <w:rFonts w:ascii="Arial" w:hAnsi="Arial" w:cs="Arial"/>
          <w:b/>
          <w:bCs/>
          <w:sz w:val="28"/>
          <w:szCs w:val="28"/>
        </w:rPr>
        <w:t>Module name</w:t>
      </w:r>
      <w:r w:rsidRPr="0025630D">
        <w:rPr>
          <w:rFonts w:ascii="Arial" w:hAnsi="Arial" w:cs="Arial"/>
          <w:sz w:val="28"/>
          <w:szCs w:val="28"/>
        </w:rPr>
        <w:t xml:space="preserve">: </w:t>
      </w:r>
    </w:p>
    <w:p w14:paraId="529D7354" w14:textId="4DE82397" w:rsidR="00CD33A8" w:rsidRPr="0002388B"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02388B">
        <w:rPr>
          <w:rFonts w:ascii="Arial" w:hAnsi="Arial" w:cs="Arial"/>
          <w:sz w:val="28"/>
          <w:szCs w:val="28"/>
        </w:rPr>
        <w:t xml:space="preserve"> LCHS</w:t>
      </w:r>
    </w:p>
    <w:p w14:paraId="0A48766D" w14:textId="5B973372" w:rsidR="00074402" w:rsidRPr="0025630D" w:rsidRDefault="00074402" w:rsidP="00CD33A8">
      <w:pPr>
        <w:tabs>
          <w:tab w:val="left" w:pos="6540"/>
        </w:tabs>
        <w:spacing w:line="360" w:lineRule="auto"/>
        <w:rPr>
          <w:rFonts w:ascii="Arial" w:hAnsi="Arial" w:cs="Arial"/>
          <w:sz w:val="28"/>
          <w:szCs w:val="28"/>
        </w:rPr>
      </w:pPr>
      <w:r w:rsidRPr="0025630D">
        <w:rPr>
          <w:rFonts w:ascii="Arial" w:hAnsi="Arial" w:cs="Arial"/>
          <w:b/>
          <w:bCs/>
          <w:sz w:val="28"/>
          <w:szCs w:val="28"/>
        </w:rPr>
        <w:t>Student name</w:t>
      </w:r>
      <w:r w:rsidRPr="0025630D">
        <w:rPr>
          <w:rFonts w:ascii="Arial" w:hAnsi="Arial" w:cs="Arial"/>
          <w:sz w:val="28"/>
          <w:szCs w:val="28"/>
        </w:rPr>
        <w:t>:</w:t>
      </w:r>
    </w:p>
    <w:p w14:paraId="39AA4413" w14:textId="0F9EE9F4" w:rsidR="00074402" w:rsidRPr="0025630D" w:rsidRDefault="00074402" w:rsidP="00CD33A8">
      <w:pPr>
        <w:tabs>
          <w:tab w:val="left" w:pos="6540"/>
        </w:tabs>
        <w:spacing w:line="360" w:lineRule="auto"/>
        <w:rPr>
          <w:rFonts w:ascii="Arial" w:hAnsi="Arial" w:cs="Arial"/>
          <w:sz w:val="28"/>
          <w:szCs w:val="28"/>
        </w:rPr>
      </w:pPr>
      <w:r w:rsidRPr="0025630D">
        <w:rPr>
          <w:rFonts w:ascii="Arial" w:hAnsi="Arial" w:cs="Arial"/>
          <w:b/>
          <w:bCs/>
          <w:sz w:val="28"/>
          <w:szCs w:val="28"/>
        </w:rPr>
        <w:t>Student ID</w:t>
      </w:r>
      <w:r w:rsidRPr="0025630D">
        <w:rPr>
          <w:rFonts w:ascii="Arial" w:hAnsi="Arial" w:cs="Arial"/>
          <w:sz w:val="28"/>
          <w:szCs w:val="28"/>
        </w:rPr>
        <w:t>:</w:t>
      </w:r>
    </w:p>
    <w:p w14:paraId="5E81F6AD" w14:textId="77777777" w:rsidR="00074402" w:rsidRPr="0025630D" w:rsidRDefault="00074402" w:rsidP="00CD33A8">
      <w:pPr>
        <w:tabs>
          <w:tab w:val="left" w:pos="6540"/>
        </w:tabs>
        <w:spacing w:line="360" w:lineRule="auto"/>
        <w:rPr>
          <w:rFonts w:ascii="Arial" w:hAnsi="Arial" w:cs="Arial"/>
          <w:sz w:val="28"/>
          <w:szCs w:val="28"/>
        </w:rPr>
      </w:pPr>
    </w:p>
    <w:p w14:paraId="1A0B2D2B" w14:textId="2AB49D50"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sdt>
      <w:sdtPr>
        <w:id w:val="-155927085"/>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312ECCFE" w14:textId="30B07455" w:rsidR="00010FF7" w:rsidRDefault="00010FF7">
          <w:pPr>
            <w:pStyle w:val="TOCHeading"/>
          </w:pPr>
          <w:r>
            <w:t>Table of Contents</w:t>
          </w:r>
        </w:p>
        <w:p w14:paraId="529F7431" w14:textId="76F9EEAA" w:rsidR="00010FF7" w:rsidRDefault="00010FF7">
          <w:pPr>
            <w:pStyle w:val="TOC1"/>
            <w:tabs>
              <w:tab w:val="right" w:leader="dot" w:pos="9016"/>
            </w:tabs>
            <w:rPr>
              <w:rFonts w:asciiTheme="minorHAnsi" w:eastAsiaTheme="minorEastAsia" w:hAnsiTheme="minorHAnsi"/>
              <w:noProof/>
              <w:kern w:val="2"/>
              <w:szCs w:val="24"/>
              <w:lang w:val="en-US" w:eastAsia="zh-CN"/>
              <w14:ligatures w14:val="standardContextual"/>
            </w:rPr>
          </w:pPr>
          <w:r>
            <w:fldChar w:fldCharType="begin"/>
          </w:r>
          <w:r>
            <w:instrText xml:space="preserve"> TOC \o "1-3" \h \z \u </w:instrText>
          </w:r>
          <w:r>
            <w:fldChar w:fldCharType="separate"/>
          </w:r>
          <w:hyperlink w:anchor="_Toc237866915" w:history="1">
            <w:r w:rsidRPr="00353617">
              <w:rPr>
                <w:rStyle w:val="Hyperlink"/>
                <w:noProof/>
              </w:rPr>
              <w:t>1. Introduction</w:t>
            </w:r>
            <w:r>
              <w:rPr>
                <w:noProof/>
                <w:webHidden/>
              </w:rPr>
              <w:tab/>
            </w:r>
            <w:r>
              <w:rPr>
                <w:noProof/>
                <w:webHidden/>
              </w:rPr>
              <w:fldChar w:fldCharType="begin"/>
            </w:r>
            <w:r>
              <w:rPr>
                <w:noProof/>
                <w:webHidden/>
              </w:rPr>
              <w:instrText xml:space="preserve"> PAGEREF _Toc237866915 \h </w:instrText>
            </w:r>
            <w:r>
              <w:rPr>
                <w:noProof/>
                <w:webHidden/>
              </w:rPr>
            </w:r>
            <w:r>
              <w:rPr>
                <w:noProof/>
                <w:webHidden/>
              </w:rPr>
              <w:fldChar w:fldCharType="separate"/>
            </w:r>
            <w:r>
              <w:rPr>
                <w:noProof/>
                <w:webHidden/>
              </w:rPr>
              <w:t>3</w:t>
            </w:r>
            <w:r>
              <w:rPr>
                <w:noProof/>
                <w:webHidden/>
              </w:rPr>
              <w:fldChar w:fldCharType="end"/>
            </w:r>
          </w:hyperlink>
        </w:p>
        <w:p w14:paraId="4A3966CD" w14:textId="2F0802A2" w:rsidR="00010FF7" w:rsidRDefault="00010FF7">
          <w:pPr>
            <w:pStyle w:val="TOC1"/>
            <w:tabs>
              <w:tab w:val="right" w:leader="dot" w:pos="9016"/>
            </w:tabs>
            <w:rPr>
              <w:rFonts w:asciiTheme="minorHAnsi" w:eastAsiaTheme="minorEastAsia" w:hAnsiTheme="minorHAnsi"/>
              <w:noProof/>
              <w:kern w:val="2"/>
              <w:szCs w:val="24"/>
              <w:lang w:val="en-US" w:eastAsia="zh-CN"/>
              <w14:ligatures w14:val="standardContextual"/>
            </w:rPr>
          </w:pPr>
          <w:hyperlink w:anchor="_Toc237866916" w:history="1">
            <w:r w:rsidRPr="00353617">
              <w:rPr>
                <w:rStyle w:val="Hyperlink"/>
                <w:noProof/>
              </w:rPr>
              <w:t>2. Importance of effective communication</w:t>
            </w:r>
            <w:r>
              <w:rPr>
                <w:noProof/>
                <w:webHidden/>
              </w:rPr>
              <w:tab/>
            </w:r>
            <w:r>
              <w:rPr>
                <w:noProof/>
                <w:webHidden/>
              </w:rPr>
              <w:fldChar w:fldCharType="begin"/>
            </w:r>
            <w:r>
              <w:rPr>
                <w:noProof/>
                <w:webHidden/>
              </w:rPr>
              <w:instrText xml:space="preserve"> PAGEREF _Toc237866916 \h </w:instrText>
            </w:r>
            <w:r>
              <w:rPr>
                <w:noProof/>
                <w:webHidden/>
              </w:rPr>
            </w:r>
            <w:r>
              <w:rPr>
                <w:noProof/>
                <w:webHidden/>
              </w:rPr>
              <w:fldChar w:fldCharType="separate"/>
            </w:r>
            <w:r>
              <w:rPr>
                <w:noProof/>
                <w:webHidden/>
              </w:rPr>
              <w:t>3</w:t>
            </w:r>
            <w:r>
              <w:rPr>
                <w:noProof/>
                <w:webHidden/>
              </w:rPr>
              <w:fldChar w:fldCharType="end"/>
            </w:r>
          </w:hyperlink>
        </w:p>
        <w:p w14:paraId="17299FA4" w14:textId="4CDD245B" w:rsidR="00010FF7" w:rsidRDefault="00010FF7">
          <w:pPr>
            <w:pStyle w:val="TOC1"/>
            <w:tabs>
              <w:tab w:val="right" w:leader="dot" w:pos="9016"/>
            </w:tabs>
            <w:rPr>
              <w:rFonts w:asciiTheme="minorHAnsi" w:eastAsiaTheme="minorEastAsia" w:hAnsiTheme="minorHAnsi"/>
              <w:noProof/>
              <w:kern w:val="2"/>
              <w:szCs w:val="24"/>
              <w:lang w:val="en-US" w:eastAsia="zh-CN"/>
              <w14:ligatures w14:val="standardContextual"/>
            </w:rPr>
          </w:pPr>
          <w:hyperlink w:anchor="_Toc237866917" w:history="1">
            <w:r w:rsidRPr="00353617">
              <w:rPr>
                <w:rStyle w:val="Hyperlink"/>
                <w:noProof/>
              </w:rPr>
              <w:t>3. Importance of good administrative skills</w:t>
            </w:r>
            <w:r>
              <w:rPr>
                <w:noProof/>
                <w:webHidden/>
              </w:rPr>
              <w:tab/>
            </w:r>
            <w:r>
              <w:rPr>
                <w:noProof/>
                <w:webHidden/>
              </w:rPr>
              <w:fldChar w:fldCharType="begin"/>
            </w:r>
            <w:r>
              <w:rPr>
                <w:noProof/>
                <w:webHidden/>
              </w:rPr>
              <w:instrText xml:space="preserve"> PAGEREF _Toc237866917 \h </w:instrText>
            </w:r>
            <w:r>
              <w:rPr>
                <w:noProof/>
                <w:webHidden/>
              </w:rPr>
            </w:r>
            <w:r>
              <w:rPr>
                <w:noProof/>
                <w:webHidden/>
              </w:rPr>
              <w:fldChar w:fldCharType="separate"/>
            </w:r>
            <w:r>
              <w:rPr>
                <w:noProof/>
                <w:webHidden/>
              </w:rPr>
              <w:t>4</w:t>
            </w:r>
            <w:r>
              <w:rPr>
                <w:noProof/>
                <w:webHidden/>
              </w:rPr>
              <w:fldChar w:fldCharType="end"/>
            </w:r>
          </w:hyperlink>
        </w:p>
        <w:p w14:paraId="32DE0FE6" w14:textId="5ADBDFB1" w:rsidR="00010FF7" w:rsidRDefault="00010FF7">
          <w:pPr>
            <w:pStyle w:val="TOC1"/>
            <w:tabs>
              <w:tab w:val="right" w:leader="dot" w:pos="9016"/>
            </w:tabs>
            <w:rPr>
              <w:rFonts w:asciiTheme="minorHAnsi" w:eastAsiaTheme="minorEastAsia" w:hAnsiTheme="minorHAnsi"/>
              <w:noProof/>
              <w:kern w:val="2"/>
              <w:szCs w:val="24"/>
              <w:lang w:val="en-US" w:eastAsia="zh-CN"/>
              <w14:ligatures w14:val="standardContextual"/>
            </w:rPr>
          </w:pPr>
          <w:hyperlink w:anchor="_Toc237866918" w:history="1">
            <w:r w:rsidRPr="00353617">
              <w:rPr>
                <w:rStyle w:val="Hyperlink"/>
                <w:noProof/>
              </w:rPr>
              <w:t>4. Importance of working collaboratively</w:t>
            </w:r>
            <w:r>
              <w:rPr>
                <w:noProof/>
                <w:webHidden/>
              </w:rPr>
              <w:tab/>
            </w:r>
            <w:r>
              <w:rPr>
                <w:noProof/>
                <w:webHidden/>
              </w:rPr>
              <w:fldChar w:fldCharType="begin"/>
            </w:r>
            <w:r>
              <w:rPr>
                <w:noProof/>
                <w:webHidden/>
              </w:rPr>
              <w:instrText xml:space="preserve"> PAGEREF _Toc237866918 \h </w:instrText>
            </w:r>
            <w:r>
              <w:rPr>
                <w:noProof/>
                <w:webHidden/>
              </w:rPr>
            </w:r>
            <w:r>
              <w:rPr>
                <w:noProof/>
                <w:webHidden/>
              </w:rPr>
              <w:fldChar w:fldCharType="separate"/>
            </w:r>
            <w:r>
              <w:rPr>
                <w:noProof/>
                <w:webHidden/>
              </w:rPr>
              <w:t>5</w:t>
            </w:r>
            <w:r>
              <w:rPr>
                <w:noProof/>
                <w:webHidden/>
              </w:rPr>
              <w:fldChar w:fldCharType="end"/>
            </w:r>
          </w:hyperlink>
        </w:p>
        <w:p w14:paraId="0C14C2AD" w14:textId="5DF615F4" w:rsidR="00010FF7" w:rsidRDefault="00010FF7">
          <w:pPr>
            <w:pStyle w:val="TOC1"/>
            <w:tabs>
              <w:tab w:val="right" w:leader="dot" w:pos="9016"/>
            </w:tabs>
            <w:rPr>
              <w:rFonts w:asciiTheme="minorHAnsi" w:eastAsiaTheme="minorEastAsia" w:hAnsiTheme="minorHAnsi"/>
              <w:noProof/>
              <w:kern w:val="2"/>
              <w:szCs w:val="24"/>
              <w:lang w:val="en-US" w:eastAsia="zh-CN"/>
              <w14:ligatures w14:val="standardContextual"/>
            </w:rPr>
          </w:pPr>
          <w:hyperlink w:anchor="_Toc237866919" w:history="1">
            <w:r w:rsidRPr="00353617">
              <w:rPr>
                <w:rStyle w:val="Hyperlink"/>
                <w:noProof/>
              </w:rPr>
              <w:t>5. Conclusion</w:t>
            </w:r>
            <w:r>
              <w:rPr>
                <w:noProof/>
                <w:webHidden/>
              </w:rPr>
              <w:tab/>
            </w:r>
            <w:r>
              <w:rPr>
                <w:noProof/>
                <w:webHidden/>
              </w:rPr>
              <w:fldChar w:fldCharType="begin"/>
            </w:r>
            <w:r>
              <w:rPr>
                <w:noProof/>
                <w:webHidden/>
              </w:rPr>
              <w:instrText xml:space="preserve"> PAGEREF _Toc237866919 \h </w:instrText>
            </w:r>
            <w:r>
              <w:rPr>
                <w:noProof/>
                <w:webHidden/>
              </w:rPr>
            </w:r>
            <w:r>
              <w:rPr>
                <w:noProof/>
                <w:webHidden/>
              </w:rPr>
              <w:fldChar w:fldCharType="separate"/>
            </w:r>
            <w:r>
              <w:rPr>
                <w:noProof/>
                <w:webHidden/>
              </w:rPr>
              <w:t>6</w:t>
            </w:r>
            <w:r>
              <w:rPr>
                <w:noProof/>
                <w:webHidden/>
              </w:rPr>
              <w:fldChar w:fldCharType="end"/>
            </w:r>
          </w:hyperlink>
        </w:p>
        <w:p w14:paraId="137D0B57" w14:textId="71CDF09C" w:rsidR="00010FF7" w:rsidRDefault="00010FF7">
          <w:pPr>
            <w:pStyle w:val="TOC1"/>
            <w:tabs>
              <w:tab w:val="right" w:leader="dot" w:pos="9016"/>
            </w:tabs>
            <w:rPr>
              <w:rFonts w:asciiTheme="minorHAnsi" w:eastAsiaTheme="minorEastAsia" w:hAnsiTheme="minorHAnsi"/>
              <w:noProof/>
              <w:kern w:val="2"/>
              <w:szCs w:val="24"/>
              <w:lang w:val="en-US" w:eastAsia="zh-CN"/>
              <w14:ligatures w14:val="standardContextual"/>
            </w:rPr>
          </w:pPr>
          <w:hyperlink w:anchor="_Toc237866920" w:history="1">
            <w:r w:rsidRPr="00353617">
              <w:rPr>
                <w:rStyle w:val="Hyperlink"/>
                <w:noProof/>
              </w:rPr>
              <w:t>References</w:t>
            </w:r>
            <w:r>
              <w:rPr>
                <w:noProof/>
                <w:webHidden/>
              </w:rPr>
              <w:tab/>
            </w:r>
            <w:r>
              <w:rPr>
                <w:noProof/>
                <w:webHidden/>
              </w:rPr>
              <w:fldChar w:fldCharType="begin"/>
            </w:r>
            <w:r>
              <w:rPr>
                <w:noProof/>
                <w:webHidden/>
              </w:rPr>
              <w:instrText xml:space="preserve"> PAGEREF _Toc237866920 \h </w:instrText>
            </w:r>
            <w:r>
              <w:rPr>
                <w:noProof/>
                <w:webHidden/>
              </w:rPr>
            </w:r>
            <w:r>
              <w:rPr>
                <w:noProof/>
                <w:webHidden/>
              </w:rPr>
              <w:fldChar w:fldCharType="separate"/>
            </w:r>
            <w:r>
              <w:rPr>
                <w:noProof/>
                <w:webHidden/>
              </w:rPr>
              <w:t>8</w:t>
            </w:r>
            <w:r>
              <w:rPr>
                <w:noProof/>
                <w:webHidden/>
              </w:rPr>
              <w:fldChar w:fldCharType="end"/>
            </w:r>
          </w:hyperlink>
        </w:p>
        <w:p w14:paraId="6B7B0463" w14:textId="3F28CDB1" w:rsidR="00010FF7" w:rsidRDefault="00010FF7">
          <w:r>
            <w:rPr>
              <w:b/>
              <w:bCs/>
              <w:noProof/>
            </w:rPr>
            <w:fldChar w:fldCharType="end"/>
          </w:r>
        </w:p>
      </w:sdtContent>
    </w:sdt>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bookmarkStart w:id="0" w:name="_Toc237866915"/>
      <w:r w:rsidRPr="00CD33A8">
        <w:lastRenderedPageBreak/>
        <w:t>1. Introduction</w:t>
      </w:r>
      <w:bookmarkEnd w:id="0"/>
    </w:p>
    <w:p w14:paraId="12CA4F8E" w14:textId="4A2DF23E" w:rsidR="0025630D" w:rsidRPr="0025630D" w:rsidRDefault="00E70E16" w:rsidP="0025630D">
      <w:pPr>
        <w:tabs>
          <w:tab w:val="left" w:pos="6540"/>
        </w:tabs>
        <w:spacing w:line="360" w:lineRule="auto"/>
        <w:rPr>
          <w:rFonts w:ascii="Arial" w:hAnsi="Arial" w:cs="Arial"/>
          <w:sz w:val="22"/>
        </w:rPr>
      </w:pPr>
      <w:r>
        <w:rPr>
          <w:rFonts w:ascii="Arial" w:hAnsi="Arial" w:cs="Arial"/>
          <w:sz w:val="22"/>
        </w:rPr>
        <w:t xml:space="preserve">The assignment examines that case study of </w:t>
      </w:r>
      <w:r w:rsidR="0025630D" w:rsidRPr="0025630D">
        <w:rPr>
          <w:rFonts w:ascii="Arial" w:hAnsi="Arial" w:cs="Arial"/>
          <w:sz w:val="22"/>
        </w:rPr>
        <w:t xml:space="preserve">Mrs </w:t>
      </w:r>
      <w:r w:rsidRPr="0025630D">
        <w:rPr>
          <w:rFonts w:ascii="Arial" w:hAnsi="Arial" w:cs="Arial"/>
          <w:sz w:val="22"/>
        </w:rPr>
        <w:t>Thompson</w:t>
      </w:r>
      <w:r>
        <w:rPr>
          <w:rFonts w:ascii="Arial" w:hAnsi="Arial" w:cs="Arial"/>
          <w:sz w:val="22"/>
        </w:rPr>
        <w:t xml:space="preserve">, </w:t>
      </w:r>
      <w:r w:rsidRPr="0025630D">
        <w:rPr>
          <w:rFonts w:ascii="Arial" w:hAnsi="Arial" w:cs="Arial"/>
          <w:sz w:val="22"/>
        </w:rPr>
        <w:t>an</w:t>
      </w:r>
      <w:r w:rsidR="0025630D" w:rsidRPr="0025630D">
        <w:rPr>
          <w:rFonts w:ascii="Arial" w:hAnsi="Arial" w:cs="Arial"/>
          <w:sz w:val="22"/>
        </w:rPr>
        <w:t xml:space="preserve"> 84</w:t>
      </w:r>
      <w:r w:rsidR="0025630D" w:rsidRPr="0025630D">
        <w:rPr>
          <w:rFonts w:ascii="Cambria Math" w:hAnsi="Cambria Math" w:cs="Cambria Math"/>
          <w:sz w:val="22"/>
        </w:rPr>
        <w:t>‑</w:t>
      </w:r>
      <w:r w:rsidR="0025630D" w:rsidRPr="0025630D">
        <w:rPr>
          <w:rFonts w:ascii="Arial" w:hAnsi="Arial" w:cs="Arial"/>
          <w:sz w:val="22"/>
        </w:rPr>
        <w:t>year</w:t>
      </w:r>
      <w:r w:rsidR="0025630D" w:rsidRPr="0025630D">
        <w:rPr>
          <w:rFonts w:ascii="Cambria Math" w:hAnsi="Cambria Math" w:cs="Cambria Math"/>
          <w:sz w:val="22"/>
        </w:rPr>
        <w:t>‑</w:t>
      </w:r>
      <w:r w:rsidR="0025630D" w:rsidRPr="0025630D">
        <w:rPr>
          <w:rFonts w:ascii="Arial" w:hAnsi="Arial" w:cs="Arial"/>
          <w:sz w:val="22"/>
        </w:rPr>
        <w:t xml:space="preserve">old woman who </w:t>
      </w:r>
      <w:r>
        <w:rPr>
          <w:rFonts w:ascii="Arial" w:hAnsi="Arial" w:cs="Arial"/>
          <w:sz w:val="22"/>
        </w:rPr>
        <w:t>wa</w:t>
      </w:r>
      <w:r w:rsidR="0025630D" w:rsidRPr="0025630D">
        <w:rPr>
          <w:rFonts w:ascii="Arial" w:hAnsi="Arial" w:cs="Arial"/>
          <w:sz w:val="22"/>
        </w:rPr>
        <w:t>s recently discharged from hospital after treatment for pneumonia. She lives alone in sheltered housing and receives twice</w:t>
      </w:r>
      <w:r w:rsidR="0025630D" w:rsidRPr="0025630D">
        <w:rPr>
          <w:rFonts w:ascii="Cambria Math" w:hAnsi="Cambria Math" w:cs="Cambria Math"/>
          <w:sz w:val="22"/>
        </w:rPr>
        <w:t>‑</w:t>
      </w:r>
      <w:r w:rsidR="0025630D" w:rsidRPr="0025630D">
        <w:rPr>
          <w:rFonts w:ascii="Arial" w:hAnsi="Arial" w:cs="Arial"/>
          <w:sz w:val="22"/>
        </w:rPr>
        <w:t>daily domiciliary care to support her with daily tasks</w:t>
      </w:r>
      <w:r w:rsidR="0025630D">
        <w:rPr>
          <w:rFonts w:ascii="Arial" w:hAnsi="Arial" w:cs="Arial"/>
          <w:sz w:val="22"/>
        </w:rPr>
        <w:t>.</w:t>
      </w:r>
    </w:p>
    <w:p w14:paraId="68C53673" w14:textId="1DC18F88" w:rsidR="008E3943" w:rsidRDefault="0025630D" w:rsidP="0025630D">
      <w:pPr>
        <w:tabs>
          <w:tab w:val="left" w:pos="6540"/>
        </w:tabs>
        <w:spacing w:line="360" w:lineRule="auto"/>
        <w:rPr>
          <w:rFonts w:ascii="Arial" w:hAnsi="Arial" w:cs="Arial"/>
          <w:sz w:val="22"/>
        </w:rPr>
      </w:pPr>
      <w:r w:rsidRPr="0025630D">
        <w:rPr>
          <w:rFonts w:ascii="Arial" w:hAnsi="Arial" w:cs="Arial"/>
          <w:sz w:val="22"/>
        </w:rPr>
        <w:t>She has mild dementia, which affects her memory and leads to occasional medication errors. A recent incident occurred when she missed two consecutive days of medication, resulting in increased confusion. This was formally recorded through the service’s incident reporting process, and a medication review has been requested to reduce future risk.</w:t>
      </w:r>
      <w:r w:rsidR="00E70E16">
        <w:rPr>
          <w:rFonts w:ascii="Arial" w:hAnsi="Arial" w:cs="Arial"/>
          <w:sz w:val="22"/>
        </w:rPr>
        <w:t xml:space="preserve"> The</w:t>
      </w:r>
      <w:r w:rsidRPr="0025630D">
        <w:rPr>
          <w:rFonts w:ascii="Arial" w:hAnsi="Arial" w:cs="Arial"/>
          <w:sz w:val="22"/>
        </w:rPr>
        <w:t xml:space="preserve"> incident is under review by the local council to determine whether additional support or protective measures are needed.</w:t>
      </w:r>
      <w:r w:rsidR="00E70E16">
        <w:rPr>
          <w:rFonts w:ascii="Arial" w:hAnsi="Arial" w:cs="Arial"/>
          <w:sz w:val="22"/>
        </w:rPr>
        <w:t xml:space="preserve"> </w:t>
      </w:r>
    </w:p>
    <w:p w14:paraId="52010A5E" w14:textId="4A37DA72" w:rsidR="0026393A" w:rsidRDefault="00010FF7" w:rsidP="00CD33A8">
      <w:pPr>
        <w:tabs>
          <w:tab w:val="left" w:pos="6540"/>
        </w:tabs>
        <w:spacing w:line="360" w:lineRule="auto"/>
        <w:rPr>
          <w:rFonts w:ascii="Arial" w:hAnsi="Arial" w:cs="Arial"/>
          <w:sz w:val="22"/>
        </w:rPr>
      </w:pPr>
      <w:r>
        <w:rPr>
          <w:rFonts w:ascii="Arial" w:hAnsi="Arial" w:cs="Arial"/>
          <w:sz w:val="22"/>
        </w:rPr>
        <w:t>Therefore,</w:t>
      </w:r>
      <w:r w:rsidR="00E70E16">
        <w:rPr>
          <w:rFonts w:ascii="Arial" w:hAnsi="Arial" w:cs="Arial"/>
          <w:sz w:val="22"/>
        </w:rPr>
        <w:t xml:space="preserve"> this assignment explores the importance of effective communication, good</w:t>
      </w:r>
      <w:r>
        <w:rPr>
          <w:rFonts w:ascii="Arial" w:hAnsi="Arial" w:cs="Arial"/>
          <w:sz w:val="22"/>
        </w:rPr>
        <w:t xml:space="preserve"> </w:t>
      </w:r>
      <w:r w:rsidR="00E70E16">
        <w:rPr>
          <w:rFonts w:ascii="Arial" w:hAnsi="Arial" w:cs="Arial"/>
          <w:sz w:val="22"/>
        </w:rPr>
        <w:t>administrative skills and collaborative working within the context of this case study.</w:t>
      </w:r>
    </w:p>
    <w:p w14:paraId="0EDD850C" w14:textId="77777777" w:rsidR="008C709B" w:rsidRPr="00CD33A8" w:rsidRDefault="008C709B" w:rsidP="00CD33A8">
      <w:pPr>
        <w:tabs>
          <w:tab w:val="left" w:pos="6540"/>
        </w:tabs>
        <w:spacing w:line="360" w:lineRule="auto"/>
        <w:rPr>
          <w:rFonts w:ascii="Arial" w:hAnsi="Arial" w:cs="Arial"/>
          <w:sz w:val="22"/>
        </w:rPr>
      </w:pPr>
    </w:p>
    <w:p w14:paraId="73B07562" w14:textId="0E99FAFE" w:rsidR="008E3943" w:rsidRDefault="0026393A" w:rsidP="008E3943">
      <w:pPr>
        <w:pStyle w:val="Heading1"/>
      </w:pPr>
      <w:bookmarkStart w:id="1" w:name="_Toc237866916"/>
      <w:r w:rsidRPr="00CD33A8">
        <w:t xml:space="preserve">2. </w:t>
      </w:r>
      <w:r w:rsidR="008E3943">
        <w:t>I</w:t>
      </w:r>
      <w:r w:rsidR="008E3943" w:rsidRPr="008E3943">
        <w:t>mportance of effective communication</w:t>
      </w:r>
      <w:bookmarkEnd w:id="1"/>
    </w:p>
    <w:p w14:paraId="0BE498FE" w14:textId="5907DC49"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Effective communication is central to delivering safe, person</w:t>
      </w:r>
      <w:r w:rsidRPr="00A664EF">
        <w:rPr>
          <w:rFonts w:ascii="Cambria Math" w:hAnsi="Cambria Math" w:cs="Cambria Math"/>
          <w:sz w:val="22"/>
        </w:rPr>
        <w:t>‑</w:t>
      </w:r>
      <w:r w:rsidRPr="00A664EF">
        <w:rPr>
          <w:rFonts w:asciiTheme="minorBidi" w:hAnsiTheme="minorBidi"/>
          <w:sz w:val="22"/>
        </w:rPr>
        <w:t xml:space="preserve">centred care for </w:t>
      </w:r>
      <w:r w:rsidR="0083489B">
        <w:rPr>
          <w:rFonts w:asciiTheme="minorBidi" w:hAnsiTheme="minorBidi"/>
          <w:sz w:val="22"/>
        </w:rPr>
        <w:t>people living with dementia (</w:t>
      </w:r>
      <w:r w:rsidR="0083489B" w:rsidRPr="0083489B">
        <w:rPr>
          <w:rFonts w:asciiTheme="minorBidi" w:hAnsiTheme="minorBidi"/>
          <w:sz w:val="22"/>
        </w:rPr>
        <w:t>McGilton</w:t>
      </w:r>
      <w:r w:rsidR="0083489B">
        <w:rPr>
          <w:rFonts w:asciiTheme="minorBidi" w:hAnsiTheme="minorBidi"/>
          <w:sz w:val="22"/>
        </w:rPr>
        <w:t xml:space="preserve"> et al., 2017). Considering </w:t>
      </w:r>
      <w:r w:rsidR="0083489B" w:rsidRPr="00A664EF">
        <w:rPr>
          <w:rFonts w:asciiTheme="minorBidi" w:hAnsiTheme="minorBidi"/>
          <w:sz w:val="22"/>
        </w:rPr>
        <w:t>Mrs</w:t>
      </w:r>
      <w:r w:rsidRPr="00A664EF">
        <w:rPr>
          <w:rFonts w:asciiTheme="minorBidi" w:hAnsiTheme="minorBidi"/>
          <w:sz w:val="22"/>
        </w:rPr>
        <w:t xml:space="preserve"> Thompson</w:t>
      </w:r>
      <w:r w:rsidR="0083489B">
        <w:rPr>
          <w:rFonts w:asciiTheme="minorBidi" w:hAnsiTheme="minorBidi"/>
          <w:sz w:val="22"/>
        </w:rPr>
        <w:t xml:space="preserve">’s </w:t>
      </w:r>
      <w:r w:rsidRPr="00A664EF">
        <w:rPr>
          <w:rFonts w:asciiTheme="minorBidi" w:hAnsiTheme="minorBidi"/>
          <w:sz w:val="22"/>
        </w:rPr>
        <w:t>age, recent illness, and mild dementia</w:t>
      </w:r>
      <w:r w:rsidR="0083489B">
        <w:rPr>
          <w:rFonts w:asciiTheme="minorBidi" w:hAnsiTheme="minorBidi"/>
          <w:sz w:val="22"/>
        </w:rPr>
        <w:t>, c</w:t>
      </w:r>
      <w:r w:rsidRPr="00A664EF">
        <w:rPr>
          <w:rFonts w:asciiTheme="minorBidi" w:hAnsiTheme="minorBidi"/>
          <w:sz w:val="22"/>
        </w:rPr>
        <w:t>lear, respectful, and well</w:t>
      </w:r>
      <w:r w:rsidRPr="00A664EF">
        <w:rPr>
          <w:rFonts w:ascii="Cambria Math" w:hAnsi="Cambria Math" w:cs="Cambria Math"/>
          <w:sz w:val="22"/>
        </w:rPr>
        <w:t>‑</w:t>
      </w:r>
      <w:r w:rsidRPr="00A664EF">
        <w:rPr>
          <w:rFonts w:asciiTheme="minorBidi" w:hAnsiTheme="minorBidi"/>
          <w:sz w:val="22"/>
        </w:rPr>
        <w:t xml:space="preserve">coordinated communication enables professionals to understand her needs, respond to risks, and maintain her dignity and wellbeing. As an older adult living alone with cognitive impairment, </w:t>
      </w:r>
      <w:r w:rsidR="0083489B">
        <w:rPr>
          <w:rFonts w:asciiTheme="minorBidi" w:hAnsiTheme="minorBidi"/>
          <w:sz w:val="22"/>
        </w:rPr>
        <w:t>she</w:t>
      </w:r>
      <w:r w:rsidRPr="00A664EF">
        <w:rPr>
          <w:rFonts w:asciiTheme="minorBidi" w:hAnsiTheme="minorBidi"/>
          <w:sz w:val="22"/>
        </w:rPr>
        <w:t xml:space="preserve"> is especially vulnerable to misunderstandings, confusion, and anxiety. Therefore, communication must be adapted to her individual abilities, ensuring she can participate meaningfully in decisions about her care.</w:t>
      </w:r>
    </w:p>
    <w:p w14:paraId="0AE34809" w14:textId="70A8AB0B"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 xml:space="preserve">Communication with Mrs Thompson </w:t>
      </w:r>
      <w:r w:rsidR="00E70E16">
        <w:rPr>
          <w:rFonts w:asciiTheme="minorBidi" w:hAnsiTheme="minorBidi"/>
          <w:sz w:val="22"/>
        </w:rPr>
        <w:t>will require p</w:t>
      </w:r>
      <w:r w:rsidRPr="00A664EF">
        <w:rPr>
          <w:rFonts w:asciiTheme="minorBidi" w:hAnsiTheme="minorBidi"/>
          <w:sz w:val="22"/>
        </w:rPr>
        <w:t xml:space="preserve">rofessionals </w:t>
      </w:r>
      <w:r w:rsidR="00E70E16">
        <w:rPr>
          <w:rFonts w:asciiTheme="minorBidi" w:hAnsiTheme="minorBidi"/>
          <w:sz w:val="22"/>
        </w:rPr>
        <w:t xml:space="preserve">to </w:t>
      </w:r>
      <w:r w:rsidRPr="00A664EF">
        <w:rPr>
          <w:rFonts w:asciiTheme="minorBidi" w:hAnsiTheme="minorBidi"/>
          <w:sz w:val="22"/>
        </w:rPr>
        <w:t>use simple language, speak slowly, maintain eye contact, and allow extra time for her to process information. Checking her understanding through gentle clarification questions helps reduce confusion and supports her autonomy</w:t>
      </w:r>
      <w:r w:rsidR="0083489B">
        <w:rPr>
          <w:rFonts w:asciiTheme="minorBidi" w:hAnsiTheme="minorBidi"/>
          <w:sz w:val="22"/>
        </w:rPr>
        <w:t xml:space="preserve"> </w:t>
      </w:r>
      <w:r w:rsidR="0083489B">
        <w:rPr>
          <w:rFonts w:asciiTheme="minorBidi" w:hAnsiTheme="minorBidi"/>
          <w:sz w:val="22"/>
        </w:rPr>
        <w:t>(</w:t>
      </w:r>
      <w:r w:rsidR="0083489B" w:rsidRPr="0083489B">
        <w:rPr>
          <w:rFonts w:asciiTheme="minorBidi" w:hAnsiTheme="minorBidi"/>
          <w:sz w:val="22"/>
        </w:rPr>
        <w:t>McGilton</w:t>
      </w:r>
      <w:r w:rsidR="0083489B">
        <w:rPr>
          <w:rFonts w:asciiTheme="minorBidi" w:hAnsiTheme="minorBidi"/>
          <w:sz w:val="22"/>
        </w:rPr>
        <w:t xml:space="preserve"> et al., 2017</w:t>
      </w:r>
      <w:r w:rsidR="0083489B">
        <w:rPr>
          <w:rFonts w:asciiTheme="minorBidi" w:hAnsiTheme="minorBidi"/>
          <w:sz w:val="22"/>
        </w:rPr>
        <w:t>)</w:t>
      </w:r>
      <w:r w:rsidRPr="00A664EF">
        <w:rPr>
          <w:rFonts w:asciiTheme="minorBidi" w:hAnsiTheme="minorBidi"/>
          <w:sz w:val="22"/>
        </w:rPr>
        <w:t>. Non</w:t>
      </w:r>
      <w:r w:rsidRPr="00A664EF">
        <w:rPr>
          <w:rFonts w:ascii="Cambria Math" w:hAnsi="Cambria Math" w:cs="Cambria Math"/>
          <w:sz w:val="22"/>
        </w:rPr>
        <w:t>‑</w:t>
      </w:r>
      <w:r w:rsidRPr="00A664EF">
        <w:rPr>
          <w:rFonts w:asciiTheme="minorBidi" w:hAnsiTheme="minorBidi"/>
          <w:sz w:val="22"/>
        </w:rPr>
        <w:t>verbal communication</w:t>
      </w:r>
      <w:r w:rsidR="00E70E16">
        <w:rPr>
          <w:rFonts w:ascii="Arial" w:hAnsi="Arial" w:cs="Arial"/>
          <w:sz w:val="22"/>
        </w:rPr>
        <w:t xml:space="preserve"> </w:t>
      </w:r>
      <w:r w:rsidRPr="00A664EF">
        <w:rPr>
          <w:rFonts w:asciiTheme="minorBidi" w:hAnsiTheme="minorBidi"/>
          <w:sz w:val="22"/>
        </w:rPr>
        <w:t>such as a reassuring tone of voice, open body language, and appropriate facial expressions</w:t>
      </w:r>
      <w:r w:rsidR="00E70E16">
        <w:rPr>
          <w:rFonts w:ascii="Arial" w:hAnsi="Arial" w:cs="Arial"/>
          <w:sz w:val="22"/>
        </w:rPr>
        <w:t xml:space="preserve"> are</w:t>
      </w:r>
      <w:r w:rsidRPr="00A664EF">
        <w:rPr>
          <w:rFonts w:asciiTheme="minorBidi" w:hAnsiTheme="minorBidi"/>
          <w:sz w:val="22"/>
        </w:rPr>
        <w:t xml:space="preserve"> equally important in building trust and helping her feel safe. These approaches align with person</w:t>
      </w:r>
      <w:r w:rsidRPr="00A664EF">
        <w:rPr>
          <w:rFonts w:ascii="Cambria Math" w:hAnsi="Cambria Math" w:cs="Cambria Math"/>
          <w:sz w:val="22"/>
        </w:rPr>
        <w:t>‑</w:t>
      </w:r>
      <w:r w:rsidRPr="00A664EF">
        <w:rPr>
          <w:rFonts w:asciiTheme="minorBidi" w:hAnsiTheme="minorBidi"/>
          <w:sz w:val="22"/>
        </w:rPr>
        <w:t>centred values and ensure that her cognitive needs are respected</w:t>
      </w:r>
      <w:r w:rsidR="00515011">
        <w:rPr>
          <w:rFonts w:asciiTheme="minorBidi" w:hAnsiTheme="minorBidi"/>
          <w:sz w:val="22"/>
        </w:rPr>
        <w:t xml:space="preserve"> (Daly, 2017).</w:t>
      </w:r>
    </w:p>
    <w:p w14:paraId="142EC601" w14:textId="57CD9A54"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 xml:space="preserve">Engaging with her family members, where appropriate and with consent, is also essential. Families can provide insight into her routines, preferences, and early signs of deterioration. Communication with relatives should be transparent, respectful, and sensitive, ensuring they feel involved without being overwhelmed. Professionals must share information accurately, </w:t>
      </w:r>
      <w:r w:rsidRPr="00A664EF">
        <w:rPr>
          <w:rFonts w:asciiTheme="minorBidi" w:hAnsiTheme="minorBidi"/>
          <w:sz w:val="22"/>
        </w:rPr>
        <w:lastRenderedPageBreak/>
        <w:t>particularly regarding incidents such as missed medication or safeguarding concerns, while maintaining confidentiality and adhering to organisational policies.</w:t>
      </w:r>
    </w:p>
    <w:p w14:paraId="724E70C4" w14:textId="583D39A3"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The Equality Act 2010</w:t>
      </w:r>
      <w:r w:rsidR="00E50F9E">
        <w:rPr>
          <w:rFonts w:asciiTheme="minorBidi" w:hAnsiTheme="minorBidi"/>
          <w:sz w:val="22"/>
        </w:rPr>
        <w:t xml:space="preserve"> (Legislation.gov.UK, 2010)</w:t>
      </w:r>
      <w:r w:rsidRPr="00A664EF">
        <w:rPr>
          <w:rFonts w:asciiTheme="minorBidi" w:hAnsiTheme="minorBidi"/>
          <w:sz w:val="22"/>
        </w:rPr>
        <w:t xml:space="preserve"> provides a legal foundation for communication practices in Mrs Thompson’s care. The Act requires services to avoid discrimination and promote equal access for individuals with protected characteristics, including age and disability. In practice, this means ensuring Mrs Thompson receives information in a format she can understand, making reasonable adjustments for her dementia, and treating her with fairness and respect. Communication with her and her family must uphold the principles of dignity, inclusion, and non</w:t>
      </w:r>
      <w:r w:rsidRPr="00A664EF">
        <w:rPr>
          <w:rFonts w:ascii="Cambria Math" w:hAnsi="Cambria Math" w:cs="Cambria Math"/>
          <w:sz w:val="22"/>
        </w:rPr>
        <w:t>‑</w:t>
      </w:r>
      <w:r w:rsidRPr="00A664EF">
        <w:rPr>
          <w:rFonts w:asciiTheme="minorBidi" w:hAnsiTheme="minorBidi"/>
          <w:sz w:val="22"/>
        </w:rPr>
        <w:t>discrimination, ensuring she is not disadvantaged because of her cognitive impairment or age.</w:t>
      </w:r>
    </w:p>
    <w:p w14:paraId="79E9D115" w14:textId="22540F3D"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 xml:space="preserve">One useful framework for guiding communication is the SOLER model, which supports effective interpersonal interaction. Using SOLER, professionals should: </w:t>
      </w:r>
      <w:r w:rsidR="00E70E16">
        <w:rPr>
          <w:rFonts w:asciiTheme="minorBidi" w:hAnsiTheme="minorBidi"/>
          <w:sz w:val="22"/>
        </w:rPr>
        <w:t>si</w:t>
      </w:r>
      <w:r w:rsidRPr="00A664EF">
        <w:rPr>
          <w:rFonts w:asciiTheme="minorBidi" w:hAnsiTheme="minorBidi"/>
          <w:sz w:val="22"/>
        </w:rPr>
        <w:t xml:space="preserve">t squarely to show engagement; </w:t>
      </w:r>
      <w:r w:rsidR="00E70E16">
        <w:rPr>
          <w:rFonts w:asciiTheme="minorBidi" w:hAnsiTheme="minorBidi"/>
          <w:sz w:val="22"/>
        </w:rPr>
        <w:t>m</w:t>
      </w:r>
      <w:r w:rsidRPr="00A664EF">
        <w:rPr>
          <w:rFonts w:asciiTheme="minorBidi" w:hAnsiTheme="minorBidi"/>
          <w:sz w:val="22"/>
        </w:rPr>
        <w:t xml:space="preserve">aintain an open posture to convey approachability; </w:t>
      </w:r>
      <w:r w:rsidR="00E70E16">
        <w:rPr>
          <w:rFonts w:asciiTheme="minorBidi" w:hAnsiTheme="minorBidi"/>
          <w:sz w:val="22"/>
        </w:rPr>
        <w:t>l</w:t>
      </w:r>
      <w:r w:rsidRPr="00A664EF">
        <w:rPr>
          <w:rFonts w:asciiTheme="minorBidi" w:hAnsiTheme="minorBidi"/>
          <w:sz w:val="22"/>
        </w:rPr>
        <w:t xml:space="preserve">ean slightly forward to demonstrate interest; Maintain appropriate eye contact to build connection; and </w:t>
      </w:r>
      <w:r w:rsidR="00E70E16" w:rsidRPr="00A664EF">
        <w:rPr>
          <w:rFonts w:asciiTheme="minorBidi" w:hAnsiTheme="minorBidi"/>
          <w:sz w:val="22"/>
        </w:rPr>
        <w:t>relax</w:t>
      </w:r>
      <w:r w:rsidRPr="00A664EF">
        <w:rPr>
          <w:rFonts w:asciiTheme="minorBidi" w:hAnsiTheme="minorBidi"/>
          <w:sz w:val="22"/>
        </w:rPr>
        <w:t xml:space="preserve"> to reduce anxiety</w:t>
      </w:r>
      <w:r w:rsidR="00BC5442" w:rsidRPr="00BC5442">
        <w:t xml:space="preserve"> </w:t>
      </w:r>
      <w:r w:rsidR="00BC5442">
        <w:t>(</w:t>
      </w:r>
      <w:r w:rsidR="00BC5442" w:rsidRPr="00BC5442">
        <w:rPr>
          <w:rFonts w:asciiTheme="minorBidi" w:hAnsiTheme="minorBidi"/>
          <w:sz w:val="22"/>
        </w:rPr>
        <w:t>Wanko Keutchafo, Kerr, &amp; Baloyi, 2022)</w:t>
      </w:r>
      <w:r w:rsidRPr="00A664EF">
        <w:rPr>
          <w:rFonts w:asciiTheme="minorBidi" w:hAnsiTheme="minorBidi"/>
          <w:sz w:val="22"/>
        </w:rPr>
        <w:t>. Applying SOLER when speaking with Mrs Thompson can help create a supportive environment that encourages her to express her needs and concerns.</w:t>
      </w:r>
    </w:p>
    <w:p w14:paraId="0537CEF5" w14:textId="1A070AAB" w:rsidR="003E4EC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Overall, effective communication—grounded in legal principles, adapted strategies, and structured models—plays a vital role in safeguarding Mrs Thompson, promoting her wellbeing, and ensuring coordinated, high</w:t>
      </w:r>
      <w:r w:rsidRPr="00A664EF">
        <w:rPr>
          <w:rFonts w:ascii="Cambria Math" w:hAnsi="Cambria Math" w:cs="Cambria Math"/>
          <w:sz w:val="22"/>
        </w:rPr>
        <w:t>‑</w:t>
      </w:r>
      <w:r w:rsidRPr="00A664EF">
        <w:rPr>
          <w:rFonts w:asciiTheme="minorBidi" w:hAnsiTheme="minorBidi"/>
          <w:sz w:val="22"/>
        </w:rPr>
        <w:t>quality care.</w:t>
      </w: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12EE5464" w:rsidR="00B87E75" w:rsidRPr="00CD33A8" w:rsidRDefault="0026393A" w:rsidP="00E620E7">
      <w:pPr>
        <w:pStyle w:val="Heading1"/>
      </w:pPr>
      <w:bookmarkStart w:id="2" w:name="_Toc237866917"/>
      <w:r w:rsidRPr="00CD33A8">
        <w:t>3</w:t>
      </w:r>
      <w:r w:rsidR="00B87E75" w:rsidRPr="00CD33A8">
        <w:t>.</w:t>
      </w:r>
      <w:r w:rsidR="008E3943">
        <w:t xml:space="preserve"> I</w:t>
      </w:r>
      <w:r w:rsidR="008E3943" w:rsidRPr="008E3943">
        <w:t>mportance of good administrative skills</w:t>
      </w:r>
      <w:bookmarkEnd w:id="2"/>
      <w:r w:rsidR="008E3943" w:rsidRPr="008E3943">
        <w:t xml:space="preserve"> </w:t>
      </w:r>
    </w:p>
    <w:p w14:paraId="34989E9C" w14:textId="77777777"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Strong administrative skills are fundamental to safe, lawful, and effective professional practice in health and social care, particularly in complex cases such as Mrs Thompson’s. As an older adult with mild dementia who has recently been discharged from hospital, she relies on accurate documentation, coordinated communication, and robust organisational procedures to ensure her needs are met consistently. Administrative competence directly influences the quality of care she receives, supports multidisciplinary working, and protects her from avoidable harm.</w:t>
      </w:r>
    </w:p>
    <w:p w14:paraId="5E09A441" w14:textId="59050775" w:rsidR="00A664EF" w:rsidRPr="00A664EF" w:rsidRDefault="00A745D7" w:rsidP="00A664EF">
      <w:pPr>
        <w:tabs>
          <w:tab w:val="left" w:pos="6540"/>
        </w:tabs>
        <w:spacing w:line="360" w:lineRule="auto"/>
        <w:rPr>
          <w:rFonts w:asciiTheme="minorBidi" w:hAnsiTheme="minorBidi"/>
          <w:sz w:val="22"/>
        </w:rPr>
      </w:pPr>
      <w:r>
        <w:rPr>
          <w:rFonts w:asciiTheme="minorBidi" w:hAnsiTheme="minorBidi"/>
          <w:sz w:val="22"/>
        </w:rPr>
        <w:t>For instance, r</w:t>
      </w:r>
      <w:r w:rsidR="00A664EF" w:rsidRPr="00A664EF">
        <w:rPr>
          <w:rFonts w:asciiTheme="minorBidi" w:hAnsiTheme="minorBidi"/>
          <w:sz w:val="22"/>
        </w:rPr>
        <w:t>ecord</w:t>
      </w:r>
      <w:r w:rsidR="00A664EF" w:rsidRPr="00A664EF">
        <w:rPr>
          <w:rFonts w:asciiTheme="minorBidi" w:hAnsiTheme="minorBidi"/>
          <w:sz w:val="22"/>
        </w:rPr>
        <w:noBreakHyphen/>
        <w:t>keeping is one of the most critical administrative responsibilities</w:t>
      </w:r>
      <w:r w:rsidR="00E50F9E">
        <w:rPr>
          <w:rFonts w:asciiTheme="minorBidi" w:hAnsiTheme="minorBidi"/>
          <w:sz w:val="22"/>
        </w:rPr>
        <w:t xml:space="preserve"> (</w:t>
      </w:r>
      <w:r w:rsidR="00E50F9E" w:rsidRPr="008E51B1">
        <w:rPr>
          <w:rFonts w:asciiTheme="minorBidi" w:hAnsiTheme="minorBidi"/>
          <w:sz w:val="22"/>
        </w:rPr>
        <w:t>Royal College of Nursing</w:t>
      </w:r>
      <w:r w:rsidR="00E50F9E">
        <w:rPr>
          <w:rFonts w:asciiTheme="minorBidi" w:hAnsiTheme="minorBidi"/>
          <w:sz w:val="22"/>
        </w:rPr>
        <w:t>, 2</w:t>
      </w:r>
      <w:r w:rsidR="00E50F9E" w:rsidRPr="008E51B1">
        <w:rPr>
          <w:rFonts w:asciiTheme="minorBidi" w:hAnsiTheme="minorBidi"/>
          <w:sz w:val="22"/>
        </w:rPr>
        <w:t>020</w:t>
      </w:r>
      <w:r w:rsidR="00E50F9E">
        <w:rPr>
          <w:rFonts w:asciiTheme="minorBidi" w:hAnsiTheme="minorBidi"/>
          <w:sz w:val="22"/>
        </w:rPr>
        <w:t>)</w:t>
      </w:r>
      <w:r w:rsidR="00A664EF" w:rsidRPr="00A664EF">
        <w:rPr>
          <w:rFonts w:asciiTheme="minorBidi" w:hAnsiTheme="minorBidi"/>
          <w:sz w:val="22"/>
        </w:rPr>
        <w:t xml:space="preserve">. In Mrs Thompson’s case, the incident involving two missed days of medication demonstrates why precise, timely, and factual documentation is essential. Recording this event through the organisation’s incident reporting process ensures that all </w:t>
      </w:r>
      <w:r w:rsidR="00A664EF" w:rsidRPr="00A664EF">
        <w:rPr>
          <w:rFonts w:asciiTheme="minorBidi" w:hAnsiTheme="minorBidi"/>
          <w:sz w:val="22"/>
        </w:rPr>
        <w:lastRenderedPageBreak/>
        <w:t>professionals involved</w:t>
      </w:r>
      <w:r>
        <w:rPr>
          <w:rFonts w:asciiTheme="minorBidi" w:hAnsiTheme="minorBidi"/>
          <w:sz w:val="22"/>
        </w:rPr>
        <w:t xml:space="preserve"> like </w:t>
      </w:r>
      <w:r w:rsidR="00A664EF" w:rsidRPr="00A664EF">
        <w:rPr>
          <w:rFonts w:asciiTheme="minorBidi" w:hAnsiTheme="minorBidi"/>
          <w:sz w:val="22"/>
        </w:rPr>
        <w:t>domiciliary carers, community nurses, pharmacists, and her GP</w:t>
      </w:r>
      <w:r>
        <w:rPr>
          <w:rFonts w:asciiTheme="minorBidi" w:hAnsiTheme="minorBidi"/>
          <w:sz w:val="22"/>
        </w:rPr>
        <w:t xml:space="preserve"> are ware of her exposure to harm and associated health risks</w:t>
      </w:r>
      <w:r w:rsidR="00A664EF" w:rsidRPr="00A664EF">
        <w:rPr>
          <w:rFonts w:asciiTheme="minorBidi" w:hAnsiTheme="minorBidi"/>
          <w:sz w:val="22"/>
        </w:rPr>
        <w:t>. This enables appropriate follow</w:t>
      </w:r>
      <w:r w:rsidR="00A664EF" w:rsidRPr="00A664EF">
        <w:rPr>
          <w:rFonts w:asciiTheme="minorBidi" w:hAnsiTheme="minorBidi"/>
          <w:sz w:val="22"/>
        </w:rPr>
        <w:noBreakHyphen/>
        <w:t>up actions, including the requested medication review, and helps prevent future errors. High</w:t>
      </w:r>
      <w:r w:rsidR="00A664EF" w:rsidRPr="00A664EF">
        <w:rPr>
          <w:rFonts w:asciiTheme="minorBidi" w:hAnsiTheme="minorBidi"/>
          <w:sz w:val="22"/>
        </w:rPr>
        <w:noBreakHyphen/>
        <w:t>quality records also provide evidence of professional accountability and adherence to organisational policies, which is vital in safeguarding vulnerable adults</w:t>
      </w:r>
      <w:r w:rsidR="00E50F9E">
        <w:rPr>
          <w:rFonts w:asciiTheme="minorBidi" w:hAnsiTheme="minorBidi"/>
          <w:sz w:val="22"/>
        </w:rPr>
        <w:t xml:space="preserve"> </w:t>
      </w:r>
      <w:r w:rsidR="00234B35">
        <w:rPr>
          <w:rFonts w:asciiTheme="minorBidi" w:hAnsiTheme="minorBidi"/>
          <w:sz w:val="22"/>
        </w:rPr>
        <w:t>(Brooks, 2021).</w:t>
      </w:r>
    </w:p>
    <w:p w14:paraId="32EF4CCC" w14:textId="1D21F1B2"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Administrative skills also underpin effective safeguarding practice. When Mrs Thompson was found outside without suitable clothing in cold weather, staff were required to document the concern accurately and report it through the correct safeguarding channels. Clear, objective records support the local council’s review by providing a factual account of the incident, enabling professionals to assess risk and determine whether additional protective measures are needed. Good administrative practice ensures that safeguarding procedures are followed consistently and in line with statutory duties</w:t>
      </w:r>
      <w:r w:rsidR="00234B35">
        <w:rPr>
          <w:rFonts w:asciiTheme="minorBidi" w:hAnsiTheme="minorBidi"/>
          <w:sz w:val="22"/>
        </w:rPr>
        <w:t xml:space="preserve"> </w:t>
      </w:r>
      <w:r w:rsidR="00234B35">
        <w:rPr>
          <w:rFonts w:asciiTheme="minorBidi" w:hAnsiTheme="minorBidi"/>
          <w:sz w:val="22"/>
        </w:rPr>
        <w:t>(</w:t>
      </w:r>
      <w:r w:rsidR="00234B35" w:rsidRPr="008E51B1">
        <w:rPr>
          <w:rFonts w:asciiTheme="minorBidi" w:hAnsiTheme="minorBidi"/>
          <w:sz w:val="22"/>
        </w:rPr>
        <w:t>Royal College of Nursing</w:t>
      </w:r>
      <w:r w:rsidR="00234B35">
        <w:rPr>
          <w:rFonts w:asciiTheme="minorBidi" w:hAnsiTheme="minorBidi"/>
          <w:sz w:val="22"/>
        </w:rPr>
        <w:t>, 2</w:t>
      </w:r>
      <w:r w:rsidR="00234B35" w:rsidRPr="008E51B1">
        <w:rPr>
          <w:rFonts w:asciiTheme="minorBidi" w:hAnsiTheme="minorBidi"/>
          <w:sz w:val="22"/>
        </w:rPr>
        <w:t>020</w:t>
      </w:r>
      <w:r w:rsidR="00234B35">
        <w:rPr>
          <w:rFonts w:asciiTheme="minorBidi" w:hAnsiTheme="minorBidi"/>
          <w:sz w:val="22"/>
        </w:rPr>
        <w:t>)</w:t>
      </w:r>
      <w:r w:rsidR="00234B35" w:rsidRPr="00A664EF">
        <w:rPr>
          <w:rFonts w:asciiTheme="minorBidi" w:hAnsiTheme="minorBidi"/>
          <w:sz w:val="22"/>
        </w:rPr>
        <w:t>.</w:t>
      </w:r>
    </w:p>
    <w:p w14:paraId="2161F944" w14:textId="1A825111"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 xml:space="preserve">The </w:t>
      </w:r>
      <w:r w:rsidRPr="00A664EF">
        <w:rPr>
          <w:rFonts w:asciiTheme="minorBidi" w:hAnsiTheme="minorBidi"/>
          <w:b/>
          <w:bCs/>
          <w:sz w:val="22"/>
        </w:rPr>
        <w:t xml:space="preserve">Data Protection Act </w:t>
      </w:r>
      <w:r w:rsidR="0083489B">
        <w:rPr>
          <w:rFonts w:asciiTheme="minorBidi" w:hAnsiTheme="minorBidi"/>
          <w:b/>
          <w:bCs/>
          <w:sz w:val="22"/>
        </w:rPr>
        <w:t>(</w:t>
      </w:r>
      <w:r w:rsidRPr="00A664EF">
        <w:rPr>
          <w:rFonts w:asciiTheme="minorBidi" w:hAnsiTheme="minorBidi"/>
          <w:b/>
          <w:bCs/>
          <w:sz w:val="22"/>
        </w:rPr>
        <w:t>2018</w:t>
      </w:r>
      <w:r w:rsidR="0083489B">
        <w:rPr>
          <w:rFonts w:asciiTheme="minorBidi" w:hAnsiTheme="minorBidi"/>
          <w:b/>
          <w:bCs/>
          <w:sz w:val="22"/>
        </w:rPr>
        <w:t>)</w:t>
      </w:r>
      <w:r w:rsidRPr="00A664EF">
        <w:rPr>
          <w:rFonts w:asciiTheme="minorBidi" w:hAnsiTheme="minorBidi"/>
          <w:sz w:val="22"/>
        </w:rPr>
        <w:t xml:space="preserve"> and </w:t>
      </w:r>
      <w:r w:rsidRPr="00A664EF">
        <w:rPr>
          <w:rFonts w:asciiTheme="minorBidi" w:hAnsiTheme="minorBidi"/>
          <w:b/>
          <w:bCs/>
          <w:sz w:val="22"/>
        </w:rPr>
        <w:t>UK GDPR</w:t>
      </w:r>
      <w:r w:rsidRPr="00A664EF">
        <w:rPr>
          <w:rFonts w:asciiTheme="minorBidi" w:hAnsiTheme="minorBidi"/>
          <w:sz w:val="22"/>
        </w:rPr>
        <w:t xml:space="preserve"> set out the legal requirements for handling personal information within health and social care. These frameworks require organisations to process data lawfully, fairly, and transparently, ensuring that individuals’ privacy and rights are protected. Applying these principles in Mrs Thompson’s care means storing her records securely, limiting access to authorised professionals, and ensuring information is shared only when necessary for her wellbeing. Confidentiality must be </w:t>
      </w:r>
      <w:proofErr w:type="gramStart"/>
      <w:r w:rsidRPr="00A664EF">
        <w:rPr>
          <w:rFonts w:asciiTheme="minorBidi" w:hAnsiTheme="minorBidi"/>
          <w:sz w:val="22"/>
        </w:rPr>
        <w:t>maintained at all times</w:t>
      </w:r>
      <w:proofErr w:type="gramEnd"/>
      <w:r w:rsidRPr="00A664EF">
        <w:rPr>
          <w:rFonts w:asciiTheme="minorBidi" w:hAnsiTheme="minorBidi"/>
          <w:sz w:val="22"/>
        </w:rPr>
        <w:t xml:space="preserve">, and any </w:t>
      </w:r>
      <w:r w:rsidR="00813135">
        <w:rPr>
          <w:rFonts w:asciiTheme="minorBidi" w:hAnsiTheme="minorBidi"/>
          <w:sz w:val="22"/>
        </w:rPr>
        <w:t xml:space="preserve">documentation </w:t>
      </w:r>
      <w:r w:rsidRPr="00A664EF">
        <w:rPr>
          <w:rFonts w:asciiTheme="minorBidi" w:hAnsiTheme="minorBidi"/>
          <w:sz w:val="22"/>
        </w:rPr>
        <w:t>such as care notes, risk assessments, or incident reports</w:t>
      </w:r>
      <w:r w:rsidR="00813135">
        <w:rPr>
          <w:rFonts w:asciiTheme="minorBidi" w:hAnsiTheme="minorBidi"/>
          <w:sz w:val="22"/>
        </w:rPr>
        <w:t xml:space="preserve"> </w:t>
      </w:r>
      <w:r w:rsidRPr="00A664EF">
        <w:rPr>
          <w:rFonts w:asciiTheme="minorBidi" w:hAnsiTheme="minorBidi"/>
          <w:sz w:val="22"/>
        </w:rPr>
        <w:t>must comply with data protection standards.</w:t>
      </w:r>
    </w:p>
    <w:p w14:paraId="2B0F1F19" w14:textId="4740D639" w:rsidR="00A664EF" w:rsidRPr="00A664EF" w:rsidRDefault="00A664EF" w:rsidP="00A664EF">
      <w:pPr>
        <w:tabs>
          <w:tab w:val="left" w:pos="6540"/>
        </w:tabs>
        <w:spacing w:line="360" w:lineRule="auto"/>
        <w:rPr>
          <w:rFonts w:asciiTheme="minorBidi" w:hAnsiTheme="minorBidi"/>
          <w:sz w:val="22"/>
        </w:rPr>
      </w:pPr>
      <w:r w:rsidRPr="00A664EF">
        <w:rPr>
          <w:rFonts w:asciiTheme="minorBidi" w:hAnsiTheme="minorBidi"/>
          <w:sz w:val="22"/>
        </w:rPr>
        <w:t xml:space="preserve">Other legislation </w:t>
      </w:r>
      <w:r w:rsidR="00813135">
        <w:rPr>
          <w:rFonts w:asciiTheme="minorBidi" w:hAnsiTheme="minorBidi"/>
          <w:sz w:val="22"/>
        </w:rPr>
        <w:t xml:space="preserve">that </w:t>
      </w:r>
      <w:r w:rsidRPr="00A664EF">
        <w:rPr>
          <w:rFonts w:asciiTheme="minorBidi" w:hAnsiTheme="minorBidi"/>
          <w:sz w:val="22"/>
        </w:rPr>
        <w:t xml:space="preserve">shapes administrative practice, including the </w:t>
      </w:r>
      <w:r w:rsidRPr="00A664EF">
        <w:rPr>
          <w:rFonts w:asciiTheme="minorBidi" w:hAnsiTheme="minorBidi"/>
          <w:b/>
          <w:bCs/>
          <w:sz w:val="22"/>
        </w:rPr>
        <w:t>Care Act 2014</w:t>
      </w:r>
      <w:r w:rsidRPr="00A664EF">
        <w:rPr>
          <w:rFonts w:asciiTheme="minorBidi" w:hAnsiTheme="minorBidi"/>
          <w:sz w:val="22"/>
        </w:rPr>
        <w:t xml:space="preserve">, which emphasises safeguarding and wellbeing; the </w:t>
      </w:r>
      <w:r w:rsidRPr="00A664EF">
        <w:rPr>
          <w:rFonts w:asciiTheme="minorBidi" w:hAnsiTheme="minorBidi"/>
          <w:b/>
          <w:bCs/>
          <w:sz w:val="22"/>
        </w:rPr>
        <w:t xml:space="preserve">Mental Capacity </w:t>
      </w:r>
      <w:r w:rsidR="0083489B">
        <w:rPr>
          <w:rFonts w:asciiTheme="minorBidi" w:hAnsiTheme="minorBidi"/>
          <w:b/>
          <w:bCs/>
          <w:sz w:val="22"/>
        </w:rPr>
        <w:t>(</w:t>
      </w:r>
      <w:r w:rsidRPr="00A664EF">
        <w:rPr>
          <w:rFonts w:asciiTheme="minorBidi" w:hAnsiTheme="minorBidi"/>
          <w:b/>
          <w:bCs/>
          <w:sz w:val="22"/>
        </w:rPr>
        <w:t>Act 2005</w:t>
      </w:r>
      <w:r w:rsidR="0083489B">
        <w:rPr>
          <w:rFonts w:asciiTheme="minorBidi" w:hAnsiTheme="minorBidi"/>
          <w:b/>
          <w:bCs/>
          <w:sz w:val="22"/>
        </w:rPr>
        <w:t>)</w:t>
      </w:r>
      <w:r w:rsidRPr="00A664EF">
        <w:rPr>
          <w:rFonts w:asciiTheme="minorBidi" w:hAnsiTheme="minorBidi"/>
          <w:sz w:val="22"/>
        </w:rPr>
        <w:t>, which guides decision</w:t>
      </w:r>
      <w:r w:rsidRPr="00A664EF">
        <w:rPr>
          <w:rFonts w:asciiTheme="minorBidi" w:hAnsiTheme="minorBidi"/>
          <w:sz w:val="22"/>
        </w:rPr>
        <w:noBreakHyphen/>
        <w:t xml:space="preserve">making when cognitive impairment is present; and the </w:t>
      </w:r>
      <w:r w:rsidRPr="00A664EF">
        <w:rPr>
          <w:rFonts w:asciiTheme="minorBidi" w:hAnsiTheme="minorBidi"/>
          <w:b/>
          <w:bCs/>
          <w:sz w:val="22"/>
        </w:rPr>
        <w:t>Health and Social Care Act 2008 (Regulated Activities) Regulations 2014</w:t>
      </w:r>
      <w:r w:rsidRPr="00A664EF">
        <w:rPr>
          <w:rFonts w:asciiTheme="minorBidi" w:hAnsiTheme="minorBidi"/>
          <w:sz w:val="22"/>
        </w:rPr>
        <w:t>, which outline fundamental standards for record</w:t>
      </w:r>
      <w:r w:rsidRPr="00A664EF">
        <w:rPr>
          <w:rFonts w:asciiTheme="minorBidi" w:hAnsiTheme="minorBidi"/>
          <w:sz w:val="22"/>
        </w:rPr>
        <w:noBreakHyphen/>
        <w:t>keeping and governance. Together, these frameworks ensure that administrative tasks are not merely organisational duties but essential components of safe, person</w:t>
      </w:r>
      <w:r w:rsidRPr="00A664EF">
        <w:rPr>
          <w:rFonts w:asciiTheme="minorBidi" w:hAnsiTheme="minorBidi"/>
          <w:sz w:val="22"/>
        </w:rPr>
        <w:noBreakHyphen/>
        <w:t>centred care</w:t>
      </w:r>
      <w:r w:rsidR="00813135">
        <w:rPr>
          <w:rFonts w:asciiTheme="minorBidi" w:hAnsiTheme="minorBidi"/>
          <w:sz w:val="22"/>
        </w:rPr>
        <w:t xml:space="preserve">. </w:t>
      </w:r>
      <w:r w:rsidRPr="00A664EF">
        <w:rPr>
          <w:rFonts w:asciiTheme="minorBidi" w:hAnsiTheme="minorBidi"/>
          <w:sz w:val="22"/>
        </w:rPr>
        <w:t>Overall, good administrative skills ensure continuity, promote safety, support legal compliance, and enhance the quality of care delivered to individuals like Mrs Thompson.</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Pr="00CD33A8" w:rsidRDefault="004A736E" w:rsidP="00E620E7">
      <w:pPr>
        <w:pStyle w:val="Heading1"/>
      </w:pPr>
      <w:bookmarkStart w:id="3" w:name="_Toc237866918"/>
      <w:r w:rsidRPr="00CD33A8">
        <w:t>4</w:t>
      </w:r>
      <w:r w:rsidR="00B87E75" w:rsidRPr="00CD33A8">
        <w:t xml:space="preserve">. </w:t>
      </w:r>
      <w:r w:rsidR="008E3943">
        <w:t>I</w:t>
      </w:r>
      <w:r w:rsidR="008E3943" w:rsidRPr="008E3943">
        <w:t>mportance of working collaboratively</w:t>
      </w:r>
      <w:bookmarkEnd w:id="3"/>
    </w:p>
    <w:p w14:paraId="673331D4" w14:textId="47C4B1FA" w:rsidR="003B1AB8" w:rsidRPr="003B1AB8" w:rsidRDefault="003B1AB8" w:rsidP="003B1AB8">
      <w:pPr>
        <w:tabs>
          <w:tab w:val="left" w:pos="6540"/>
        </w:tabs>
        <w:spacing w:line="360" w:lineRule="auto"/>
        <w:rPr>
          <w:rFonts w:asciiTheme="minorBidi" w:hAnsiTheme="minorBidi"/>
          <w:sz w:val="22"/>
        </w:rPr>
      </w:pPr>
      <w:r w:rsidRPr="003B1AB8">
        <w:rPr>
          <w:rFonts w:asciiTheme="minorBidi" w:hAnsiTheme="minorBidi"/>
          <w:sz w:val="22"/>
        </w:rPr>
        <w:t xml:space="preserve">Collaborative working is vital in Mrs Thompson’s care because her needs span multiple professional roles, including the GP, community nurse, domiciliary care workers, pharmacists, and safeguarding teams. Effective collaboration ensures that her care is </w:t>
      </w:r>
      <w:r w:rsidRPr="003B1AB8">
        <w:rPr>
          <w:rFonts w:asciiTheme="minorBidi" w:hAnsiTheme="minorBidi"/>
          <w:sz w:val="22"/>
        </w:rPr>
        <w:lastRenderedPageBreak/>
        <w:t>coordinated, consistent, and responsive to changes in her health or behaviour</w:t>
      </w:r>
      <w:r w:rsidR="00515011">
        <w:rPr>
          <w:rFonts w:asciiTheme="minorBidi" w:hAnsiTheme="minorBidi"/>
          <w:sz w:val="22"/>
        </w:rPr>
        <w:t xml:space="preserve"> (</w:t>
      </w:r>
      <w:r w:rsidR="00515011">
        <w:rPr>
          <w:rFonts w:asciiTheme="minorBidi" w:hAnsiTheme="minorBidi"/>
          <w:sz w:val="22"/>
        </w:rPr>
        <w:t>Social Care Institute for Excellence</w:t>
      </w:r>
      <w:r w:rsidR="00515011">
        <w:rPr>
          <w:rFonts w:asciiTheme="minorBidi" w:hAnsiTheme="minorBidi"/>
          <w:sz w:val="22"/>
        </w:rPr>
        <w:t xml:space="preserve">, </w:t>
      </w:r>
      <w:r w:rsidR="00515011">
        <w:rPr>
          <w:rFonts w:asciiTheme="minorBidi" w:hAnsiTheme="minorBidi"/>
          <w:sz w:val="22"/>
        </w:rPr>
        <w:t>2025</w:t>
      </w:r>
      <w:r w:rsidR="00515011">
        <w:rPr>
          <w:rFonts w:asciiTheme="minorBidi" w:hAnsiTheme="minorBidi"/>
          <w:sz w:val="22"/>
        </w:rPr>
        <w:t>)</w:t>
      </w:r>
      <w:r w:rsidRPr="003B1AB8">
        <w:rPr>
          <w:rFonts w:asciiTheme="minorBidi" w:hAnsiTheme="minorBidi"/>
          <w:sz w:val="22"/>
        </w:rPr>
        <w:t>. Each professional contributes different expertise, and working together enables a holistic approach that promotes her safety, independence, and wellbeing.</w:t>
      </w:r>
    </w:p>
    <w:p w14:paraId="7F5192E5" w14:textId="1BA5523B" w:rsidR="003B1AB8" w:rsidRPr="003B1AB8" w:rsidRDefault="003B1AB8" w:rsidP="003B1AB8">
      <w:pPr>
        <w:tabs>
          <w:tab w:val="left" w:pos="6540"/>
        </w:tabs>
        <w:spacing w:line="360" w:lineRule="auto"/>
        <w:rPr>
          <w:rFonts w:asciiTheme="minorBidi" w:hAnsiTheme="minorBidi"/>
          <w:sz w:val="22"/>
        </w:rPr>
      </w:pPr>
      <w:r w:rsidRPr="003B1AB8">
        <w:rPr>
          <w:rFonts w:asciiTheme="minorBidi" w:hAnsiTheme="minorBidi"/>
          <w:sz w:val="22"/>
        </w:rPr>
        <w:t>Approaches that support effective collaboration include regular communication, shared care plans, multidisciplinary meetings, and clear reporting pathways</w:t>
      </w:r>
      <w:r w:rsidR="00BC5442">
        <w:rPr>
          <w:rFonts w:asciiTheme="minorBidi" w:hAnsiTheme="minorBidi"/>
          <w:sz w:val="22"/>
        </w:rPr>
        <w:t xml:space="preserve"> </w:t>
      </w:r>
      <w:r w:rsidR="00BC5442">
        <w:rPr>
          <w:rFonts w:asciiTheme="minorBidi" w:hAnsiTheme="minorBidi"/>
          <w:sz w:val="22"/>
        </w:rPr>
        <w:t>(Social Care Institute for Excellence, 2025</w:t>
      </w:r>
      <w:r w:rsidR="00BC5442">
        <w:rPr>
          <w:rFonts w:asciiTheme="minorBidi" w:hAnsiTheme="minorBidi"/>
          <w:sz w:val="22"/>
        </w:rPr>
        <w:t>)</w:t>
      </w:r>
      <w:r w:rsidRPr="003B1AB8">
        <w:rPr>
          <w:rFonts w:asciiTheme="minorBidi" w:hAnsiTheme="minorBidi"/>
          <w:sz w:val="22"/>
        </w:rPr>
        <w:t>. For example, domiciliary care workers play a key role in observing daily changes in Mrs Thompson’s condition, while the community nurse monitors her recovery from pneumonia and her ability to manage daily tasks. The GP oversees her overall health and medication management. When these professionals communicate effectively, they can identify risks early, respond promptly, and prevent avoidable deterioration.</w:t>
      </w:r>
    </w:p>
    <w:p w14:paraId="1D45192B" w14:textId="306112E8" w:rsidR="003B1AB8" w:rsidRPr="003B1AB8" w:rsidRDefault="003B1AB8" w:rsidP="003B1AB8">
      <w:pPr>
        <w:tabs>
          <w:tab w:val="left" w:pos="6540"/>
        </w:tabs>
        <w:spacing w:line="360" w:lineRule="auto"/>
        <w:rPr>
          <w:rFonts w:asciiTheme="minorBidi" w:hAnsiTheme="minorBidi"/>
          <w:sz w:val="22"/>
        </w:rPr>
      </w:pPr>
      <w:r w:rsidRPr="003B1AB8">
        <w:rPr>
          <w:rFonts w:asciiTheme="minorBidi" w:hAnsiTheme="minorBidi"/>
          <w:sz w:val="22"/>
        </w:rPr>
        <w:t>However, multi</w:t>
      </w:r>
      <w:r w:rsidRPr="003B1AB8">
        <w:rPr>
          <w:rFonts w:ascii="Cambria Math" w:hAnsi="Cambria Math" w:cs="Cambria Math"/>
          <w:sz w:val="22"/>
        </w:rPr>
        <w:t>‑</w:t>
      </w:r>
      <w:r w:rsidRPr="003B1AB8">
        <w:rPr>
          <w:rFonts w:asciiTheme="minorBidi" w:hAnsiTheme="minorBidi"/>
          <w:sz w:val="22"/>
        </w:rPr>
        <w:t>agency working can present challenges. Differences in professional roles, communication styles, organisational cultures, and workload pressures may lead to misunderstandings or delays</w:t>
      </w:r>
      <w:r w:rsidR="00BC5442">
        <w:rPr>
          <w:rFonts w:asciiTheme="minorBidi" w:hAnsiTheme="minorBidi"/>
          <w:sz w:val="22"/>
        </w:rPr>
        <w:t xml:space="preserve"> (Laming, 2003)</w:t>
      </w:r>
      <w:r w:rsidRPr="003B1AB8">
        <w:rPr>
          <w:rFonts w:asciiTheme="minorBidi" w:hAnsiTheme="minorBidi"/>
          <w:sz w:val="22"/>
        </w:rPr>
        <w:t>. Information may not always be shared consistently, increasing the risk of fragmented care. To overcome these challenges, professionals should adopt structured communication tools, such as SBAR (Situation, Background, Assessment, Recommendation), which supports clear and concise information sharing. Regular multidisciplinary meetings also help ensure that all professionals have up</w:t>
      </w:r>
      <w:r w:rsidRPr="003B1AB8">
        <w:rPr>
          <w:rFonts w:ascii="Cambria Math" w:hAnsi="Cambria Math" w:cs="Cambria Math"/>
          <w:sz w:val="22"/>
        </w:rPr>
        <w:t>‑</w:t>
      </w:r>
      <w:r w:rsidRPr="003B1AB8">
        <w:rPr>
          <w:rFonts w:asciiTheme="minorBidi" w:hAnsiTheme="minorBidi"/>
          <w:sz w:val="22"/>
        </w:rPr>
        <w:t>to</w:t>
      </w:r>
      <w:r w:rsidRPr="003B1AB8">
        <w:rPr>
          <w:rFonts w:ascii="Cambria Math" w:hAnsi="Cambria Math" w:cs="Cambria Math"/>
          <w:sz w:val="22"/>
        </w:rPr>
        <w:t>‑</w:t>
      </w:r>
      <w:r w:rsidRPr="003B1AB8">
        <w:rPr>
          <w:rFonts w:asciiTheme="minorBidi" w:hAnsiTheme="minorBidi"/>
          <w:sz w:val="22"/>
        </w:rPr>
        <w:t>date information and understand their responsibilities.</w:t>
      </w:r>
    </w:p>
    <w:p w14:paraId="682D1769" w14:textId="526D7EF5" w:rsidR="003E4ECF" w:rsidRDefault="003B1AB8" w:rsidP="003B1AB8">
      <w:pPr>
        <w:tabs>
          <w:tab w:val="left" w:pos="6540"/>
        </w:tabs>
        <w:spacing w:line="360" w:lineRule="auto"/>
        <w:rPr>
          <w:rFonts w:asciiTheme="minorBidi" w:hAnsiTheme="minorBidi"/>
          <w:sz w:val="22"/>
        </w:rPr>
      </w:pPr>
      <w:r w:rsidRPr="003B1AB8">
        <w:rPr>
          <w:rFonts w:asciiTheme="minorBidi" w:hAnsiTheme="minorBidi"/>
          <w:sz w:val="22"/>
        </w:rPr>
        <w:t>Building positive working relationships is essential. Mutual respect, active listening, and a shared commitment to person</w:t>
      </w:r>
      <w:r w:rsidRPr="003B1AB8">
        <w:rPr>
          <w:rFonts w:ascii="Cambria Math" w:hAnsi="Cambria Math" w:cs="Cambria Math"/>
          <w:sz w:val="22"/>
        </w:rPr>
        <w:t>‑</w:t>
      </w:r>
      <w:r w:rsidRPr="003B1AB8">
        <w:rPr>
          <w:rFonts w:asciiTheme="minorBidi" w:hAnsiTheme="minorBidi"/>
          <w:sz w:val="22"/>
        </w:rPr>
        <w:t>centred care help reduce conflict and promote cooperation. Clear policies and protocols</w:t>
      </w:r>
      <w:r w:rsidRPr="003B1AB8">
        <w:rPr>
          <w:rFonts w:ascii="Arial" w:hAnsi="Arial" w:cs="Arial"/>
          <w:sz w:val="22"/>
        </w:rPr>
        <w:t>—</w:t>
      </w:r>
      <w:r w:rsidRPr="003B1AB8">
        <w:rPr>
          <w:rFonts w:asciiTheme="minorBidi" w:hAnsiTheme="minorBidi"/>
          <w:sz w:val="22"/>
        </w:rPr>
        <w:t>such as safeguarding procedures and incident reporting frameworks</w:t>
      </w:r>
      <w:r w:rsidRPr="003B1AB8">
        <w:rPr>
          <w:rFonts w:ascii="Arial" w:hAnsi="Arial" w:cs="Arial"/>
          <w:sz w:val="22"/>
        </w:rPr>
        <w:t>—</w:t>
      </w:r>
      <w:r w:rsidRPr="003B1AB8">
        <w:rPr>
          <w:rFonts w:asciiTheme="minorBidi" w:hAnsiTheme="minorBidi"/>
          <w:sz w:val="22"/>
        </w:rPr>
        <w:t>provide structure and ensure that collaboration is consistent and legally compliant.</w:t>
      </w:r>
      <w:r w:rsidR="00010FF7">
        <w:rPr>
          <w:rFonts w:asciiTheme="minorBidi" w:hAnsiTheme="minorBidi"/>
          <w:sz w:val="22"/>
        </w:rPr>
        <w:t xml:space="preserve"> </w:t>
      </w:r>
      <w:r w:rsidRPr="003B1AB8">
        <w:rPr>
          <w:rFonts w:asciiTheme="minorBidi" w:hAnsiTheme="minorBidi"/>
          <w:sz w:val="22"/>
        </w:rPr>
        <w:t>Overall, effective collaborative working enhances safety, reduces risk, and ensures that Mrs Thompson receives coordinated, high</w:t>
      </w:r>
      <w:r w:rsidRPr="003B1AB8">
        <w:rPr>
          <w:rFonts w:ascii="Cambria Math" w:hAnsi="Cambria Math" w:cs="Cambria Math"/>
          <w:sz w:val="22"/>
        </w:rPr>
        <w:t>‑</w:t>
      </w:r>
      <w:r w:rsidRPr="003B1AB8">
        <w:rPr>
          <w:rFonts w:asciiTheme="minorBidi" w:hAnsiTheme="minorBidi"/>
          <w:sz w:val="22"/>
        </w:rPr>
        <w:t>quality care tailored to her complex needs.</w:t>
      </w: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bookmarkStart w:id="4" w:name="_Toc237866919"/>
      <w:r>
        <w:t>5</w:t>
      </w:r>
      <w:r w:rsidR="00B87E75" w:rsidRPr="00CD33A8">
        <w:t>. Conclusion</w:t>
      </w:r>
      <w:bookmarkEnd w:id="4"/>
      <w:r w:rsidR="00CD33A8">
        <w:t xml:space="preserve"> </w:t>
      </w:r>
    </w:p>
    <w:p w14:paraId="6812580D" w14:textId="039716C2" w:rsidR="0090040D" w:rsidRPr="00CD33A8" w:rsidRDefault="003B1AB8" w:rsidP="00CD33A8">
      <w:pPr>
        <w:tabs>
          <w:tab w:val="left" w:pos="6540"/>
        </w:tabs>
        <w:spacing w:line="360" w:lineRule="auto"/>
        <w:rPr>
          <w:rFonts w:asciiTheme="minorBidi" w:hAnsiTheme="minorBidi"/>
          <w:sz w:val="22"/>
        </w:rPr>
      </w:pPr>
      <w:r w:rsidRPr="003B1AB8">
        <w:rPr>
          <w:rFonts w:asciiTheme="minorBidi" w:hAnsiTheme="minorBidi"/>
          <w:sz w:val="22"/>
        </w:rPr>
        <w:t>In summary, Mrs Thompson’s case highlights the essential interplay between effective communication, strong administrative practice, and collaborative multi</w:t>
      </w:r>
      <w:r w:rsidRPr="003B1AB8">
        <w:rPr>
          <w:rFonts w:asciiTheme="minorBidi" w:hAnsiTheme="minorBidi"/>
          <w:sz w:val="22"/>
        </w:rPr>
        <w:noBreakHyphen/>
        <w:t>agency working in health and social care. Person</w:t>
      </w:r>
      <w:r w:rsidRPr="003B1AB8">
        <w:rPr>
          <w:rFonts w:asciiTheme="minorBidi" w:hAnsiTheme="minorBidi"/>
          <w:sz w:val="22"/>
        </w:rPr>
        <w:noBreakHyphen/>
        <w:t>centred communication, grounded in the principles of the Equality Act 2010, ensures that her cognitive needs, dignity, and autonomy remain central to decision</w:t>
      </w:r>
      <w:r w:rsidRPr="003B1AB8">
        <w:rPr>
          <w:rFonts w:asciiTheme="minorBidi" w:hAnsiTheme="minorBidi"/>
          <w:sz w:val="22"/>
        </w:rPr>
        <w:noBreakHyphen/>
        <w:t>making. Equally, high</w:t>
      </w:r>
      <w:r w:rsidRPr="003B1AB8">
        <w:rPr>
          <w:rFonts w:asciiTheme="minorBidi" w:hAnsiTheme="minorBidi"/>
          <w:sz w:val="22"/>
        </w:rPr>
        <w:noBreakHyphen/>
        <w:t>quality administrative skills</w:t>
      </w:r>
      <w:r w:rsidR="00813135">
        <w:rPr>
          <w:rFonts w:asciiTheme="minorBidi" w:hAnsiTheme="minorBidi"/>
          <w:sz w:val="22"/>
        </w:rPr>
        <w:t xml:space="preserve"> </w:t>
      </w:r>
      <w:r w:rsidRPr="003B1AB8">
        <w:rPr>
          <w:rFonts w:asciiTheme="minorBidi" w:hAnsiTheme="minorBidi"/>
          <w:sz w:val="22"/>
        </w:rPr>
        <w:t>particularly accurate record</w:t>
      </w:r>
      <w:r w:rsidRPr="003B1AB8">
        <w:rPr>
          <w:rFonts w:asciiTheme="minorBidi" w:hAnsiTheme="minorBidi"/>
          <w:sz w:val="22"/>
        </w:rPr>
        <w:noBreakHyphen/>
        <w:t>keeping and compliance with the Data Protection Act 2018</w:t>
      </w:r>
      <w:r w:rsidR="00813135">
        <w:rPr>
          <w:rFonts w:asciiTheme="minorBidi" w:hAnsiTheme="minorBidi"/>
          <w:sz w:val="22"/>
        </w:rPr>
        <w:t xml:space="preserve"> </w:t>
      </w:r>
      <w:r w:rsidRPr="003B1AB8">
        <w:rPr>
          <w:rFonts w:asciiTheme="minorBidi" w:hAnsiTheme="minorBidi"/>
          <w:sz w:val="22"/>
        </w:rPr>
        <w:t xml:space="preserve">provide the foundation for safe, and accountable care. These practices ensure that incidents, risks, and changes in her </w:t>
      </w:r>
      <w:r w:rsidRPr="003B1AB8">
        <w:rPr>
          <w:rFonts w:asciiTheme="minorBidi" w:hAnsiTheme="minorBidi"/>
          <w:sz w:val="22"/>
        </w:rPr>
        <w:lastRenderedPageBreak/>
        <w:t xml:space="preserve">condition are documented and shared appropriately. Finally, coordinated collaboration between </w:t>
      </w:r>
      <w:r w:rsidR="00813135">
        <w:rPr>
          <w:rFonts w:asciiTheme="minorBidi" w:hAnsiTheme="minorBidi"/>
          <w:sz w:val="22"/>
        </w:rPr>
        <w:t>multidisciplinary team ensure effective</w:t>
      </w:r>
      <w:r w:rsidRPr="003B1AB8">
        <w:rPr>
          <w:rFonts w:asciiTheme="minorBidi" w:hAnsiTheme="minorBidi"/>
          <w:sz w:val="22"/>
        </w:rPr>
        <w:t xml:space="preserve"> delive</w:t>
      </w:r>
      <w:r w:rsidR="00813135">
        <w:rPr>
          <w:rFonts w:asciiTheme="minorBidi" w:hAnsiTheme="minorBidi"/>
          <w:sz w:val="22"/>
        </w:rPr>
        <w:t>ry of</w:t>
      </w:r>
      <w:r w:rsidRPr="003B1AB8">
        <w:rPr>
          <w:rFonts w:asciiTheme="minorBidi" w:hAnsiTheme="minorBidi"/>
          <w:sz w:val="22"/>
        </w:rPr>
        <w:t xml:space="preserve"> holistic support. When communication, administration, and teamwork function effectively together, they create a robust system that promotes safety, reduces risk, and enhances the overall quality of care for vulnerable individuals like Mrs Thompson.</w:t>
      </w: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0841353A" w14:textId="77777777" w:rsidR="008C709B" w:rsidRDefault="008C709B"/>
    <w:p w14:paraId="18999130" w14:textId="6345CFC9" w:rsidR="00CD33A8" w:rsidRDefault="00CD33A8">
      <w:r>
        <w:br w:type="page"/>
      </w:r>
    </w:p>
    <w:p w14:paraId="3785708A" w14:textId="77777777" w:rsidR="008C709B" w:rsidRDefault="008C709B">
      <w:pPr>
        <w:rPr>
          <w:rFonts w:asciiTheme="minorBidi" w:eastAsiaTheme="majorEastAsia" w:hAnsiTheme="minorBidi"/>
          <w:b/>
          <w:sz w:val="28"/>
        </w:rPr>
      </w:pPr>
    </w:p>
    <w:p w14:paraId="33F8F0BD" w14:textId="597FD84B" w:rsidR="00B87E75" w:rsidRPr="00CD33A8" w:rsidRDefault="00B87E75" w:rsidP="00E620E7">
      <w:pPr>
        <w:pStyle w:val="Heading1"/>
      </w:pPr>
      <w:bookmarkStart w:id="5" w:name="_Toc237866920"/>
      <w:r w:rsidRPr="00CD33A8">
        <w:t>References</w:t>
      </w:r>
      <w:bookmarkEnd w:id="5"/>
    </w:p>
    <w:p w14:paraId="2387ED25" w14:textId="18DEBED7" w:rsidR="008E51B1" w:rsidRDefault="00234B35" w:rsidP="008E51B1">
      <w:pPr>
        <w:tabs>
          <w:tab w:val="left" w:pos="6540"/>
        </w:tabs>
        <w:spacing w:line="360" w:lineRule="auto"/>
        <w:rPr>
          <w:rFonts w:asciiTheme="minorBidi" w:hAnsiTheme="minorBidi"/>
          <w:sz w:val="22"/>
        </w:rPr>
      </w:pPr>
      <w:r>
        <w:rPr>
          <w:rFonts w:asciiTheme="minorBidi" w:hAnsiTheme="minorBidi"/>
          <w:sz w:val="22"/>
        </w:rPr>
        <w:t>B</w:t>
      </w:r>
      <w:r w:rsidRPr="00234B35">
        <w:rPr>
          <w:rFonts w:asciiTheme="minorBidi" w:hAnsiTheme="minorBidi"/>
          <w:sz w:val="22"/>
        </w:rPr>
        <w:t>rooks</w:t>
      </w:r>
      <w:r>
        <w:rPr>
          <w:rFonts w:asciiTheme="minorBidi" w:hAnsiTheme="minorBidi"/>
          <w:sz w:val="22"/>
        </w:rPr>
        <w:t>,</w:t>
      </w:r>
      <w:r w:rsidRPr="00234B35">
        <w:rPr>
          <w:rFonts w:asciiTheme="minorBidi" w:hAnsiTheme="minorBidi"/>
          <w:sz w:val="22"/>
        </w:rPr>
        <w:t xml:space="preserve"> N</w:t>
      </w:r>
      <w:r>
        <w:rPr>
          <w:rFonts w:asciiTheme="minorBidi" w:hAnsiTheme="minorBidi"/>
          <w:sz w:val="22"/>
        </w:rPr>
        <w:t>.</w:t>
      </w:r>
      <w:r w:rsidRPr="00234B35">
        <w:rPr>
          <w:rFonts w:asciiTheme="minorBidi" w:hAnsiTheme="minorBidi"/>
          <w:sz w:val="22"/>
        </w:rPr>
        <w:t xml:space="preserve"> (2021) </w:t>
      </w:r>
      <w:r>
        <w:rPr>
          <w:rFonts w:asciiTheme="minorBidi" w:hAnsiTheme="minorBidi"/>
          <w:sz w:val="22"/>
        </w:rPr>
        <w:t>“</w:t>
      </w:r>
      <w:r w:rsidRPr="00234B35">
        <w:rPr>
          <w:rFonts w:asciiTheme="minorBidi" w:hAnsiTheme="minorBidi"/>
          <w:sz w:val="22"/>
        </w:rPr>
        <w:t>How to undertake effective record-keeping and documentation</w:t>
      </w:r>
      <w:r>
        <w:rPr>
          <w:rFonts w:asciiTheme="minorBidi" w:hAnsiTheme="minorBidi"/>
          <w:sz w:val="22"/>
        </w:rPr>
        <w:t>”</w:t>
      </w:r>
      <w:r w:rsidRPr="00234B35">
        <w:rPr>
          <w:rFonts w:asciiTheme="minorBidi" w:hAnsiTheme="minorBidi"/>
          <w:sz w:val="22"/>
        </w:rPr>
        <w:t>.</w:t>
      </w:r>
      <w:r w:rsidRPr="00234B35">
        <w:t xml:space="preserve"> </w:t>
      </w:r>
      <w:r w:rsidRPr="00234B35">
        <w:rPr>
          <w:rFonts w:asciiTheme="minorBidi" w:hAnsiTheme="minorBidi"/>
          <w:i/>
          <w:iCs/>
          <w:sz w:val="22"/>
        </w:rPr>
        <w:t>Nursing standard (Royal College of Nursing (Great Britain)</w:t>
      </w:r>
      <w:r w:rsidRPr="00234B35">
        <w:rPr>
          <w:rFonts w:asciiTheme="minorBidi" w:hAnsiTheme="minorBidi"/>
          <w:i/>
          <w:iCs/>
          <w:sz w:val="22"/>
        </w:rPr>
        <w:t>.</w:t>
      </w:r>
      <w:r w:rsidRPr="00234B35">
        <w:rPr>
          <w:rFonts w:asciiTheme="minorBidi" w:hAnsiTheme="minorBidi"/>
          <w:sz w:val="22"/>
        </w:rPr>
        <w:t xml:space="preserve"> 1987), 36(4), </w:t>
      </w:r>
      <w:r>
        <w:rPr>
          <w:rFonts w:asciiTheme="minorBidi" w:hAnsiTheme="minorBidi"/>
          <w:sz w:val="22"/>
        </w:rPr>
        <w:t>pp.</w:t>
      </w:r>
      <w:r w:rsidRPr="00234B35">
        <w:rPr>
          <w:rFonts w:asciiTheme="minorBidi" w:hAnsiTheme="minorBidi"/>
          <w:sz w:val="22"/>
        </w:rPr>
        <w:t xml:space="preserve">31–33. </w:t>
      </w:r>
      <w:proofErr w:type="spellStart"/>
      <w:r w:rsidRPr="00234B35">
        <w:rPr>
          <w:rFonts w:asciiTheme="minorBidi" w:hAnsiTheme="minorBidi"/>
          <w:sz w:val="22"/>
        </w:rPr>
        <w:t>doi</w:t>
      </w:r>
      <w:proofErr w:type="spellEnd"/>
      <w:r w:rsidRPr="00234B35">
        <w:rPr>
          <w:rFonts w:asciiTheme="minorBidi" w:hAnsiTheme="minorBidi"/>
          <w:sz w:val="22"/>
        </w:rPr>
        <w:t xml:space="preserve">: </w:t>
      </w:r>
      <w:hyperlink r:id="rId10" w:tgtFrame="_blank" w:history="1">
        <w:r w:rsidRPr="00234B35">
          <w:rPr>
            <w:rStyle w:val="Hyperlink"/>
            <w:rFonts w:asciiTheme="minorBidi" w:hAnsiTheme="minorBidi"/>
            <w:sz w:val="22"/>
            <w:lang w:val="en-US"/>
          </w:rPr>
          <w:t>10.7748/</w:t>
        </w:r>
        <w:proofErr w:type="gramStart"/>
        <w:r w:rsidRPr="00234B35">
          <w:rPr>
            <w:rStyle w:val="Hyperlink"/>
            <w:rFonts w:asciiTheme="minorBidi" w:hAnsiTheme="minorBidi"/>
            <w:sz w:val="22"/>
            <w:lang w:val="en-US"/>
          </w:rPr>
          <w:t>ns.2021.e</w:t>
        </w:r>
        <w:proofErr w:type="gramEnd"/>
        <w:r w:rsidRPr="00234B35">
          <w:rPr>
            <w:rStyle w:val="Hyperlink"/>
            <w:rFonts w:asciiTheme="minorBidi" w:hAnsiTheme="minorBidi"/>
            <w:sz w:val="22"/>
            <w:lang w:val="en-US"/>
          </w:rPr>
          <w:t>11700</w:t>
        </w:r>
      </w:hyperlink>
    </w:p>
    <w:p w14:paraId="4514A3F0" w14:textId="50DF2BC6" w:rsidR="00BC5442" w:rsidRDefault="00BC5442" w:rsidP="008E51B1">
      <w:pPr>
        <w:tabs>
          <w:tab w:val="left" w:pos="6540"/>
        </w:tabs>
        <w:spacing w:line="360" w:lineRule="auto"/>
        <w:rPr>
          <w:rFonts w:asciiTheme="minorBidi" w:hAnsiTheme="minorBidi"/>
          <w:sz w:val="22"/>
        </w:rPr>
      </w:pPr>
      <w:r>
        <w:rPr>
          <w:rFonts w:asciiTheme="minorBidi" w:hAnsiTheme="minorBidi"/>
          <w:sz w:val="22"/>
        </w:rPr>
        <w:t xml:space="preserve">Care Quality Commission </w:t>
      </w:r>
      <w:r w:rsidRPr="008E51B1">
        <w:rPr>
          <w:rFonts w:asciiTheme="minorBidi" w:hAnsiTheme="minorBidi"/>
          <w:sz w:val="22"/>
        </w:rPr>
        <w:t>CQC. (20</w:t>
      </w:r>
      <w:r>
        <w:rPr>
          <w:rFonts w:asciiTheme="minorBidi" w:hAnsiTheme="minorBidi"/>
          <w:sz w:val="22"/>
        </w:rPr>
        <w:t>26</w:t>
      </w:r>
      <w:r w:rsidRPr="008E51B1">
        <w:rPr>
          <w:rFonts w:asciiTheme="minorBidi" w:hAnsiTheme="minorBidi"/>
          <w:sz w:val="22"/>
        </w:rPr>
        <w:t>). Fundamental Standard</w:t>
      </w:r>
      <w:r>
        <w:rPr>
          <w:rFonts w:asciiTheme="minorBidi" w:hAnsiTheme="minorBidi"/>
          <w:sz w:val="22"/>
        </w:rPr>
        <w:t>s of Care</w:t>
      </w:r>
      <w:r w:rsidRPr="008E51B1">
        <w:rPr>
          <w:rFonts w:asciiTheme="minorBidi" w:hAnsiTheme="minorBidi"/>
          <w:sz w:val="22"/>
        </w:rPr>
        <w:t xml:space="preserve">.  </w:t>
      </w:r>
      <w:r>
        <w:rPr>
          <w:rFonts w:asciiTheme="minorBidi" w:hAnsiTheme="minorBidi"/>
          <w:sz w:val="22"/>
        </w:rPr>
        <w:t xml:space="preserve">Available at: </w:t>
      </w:r>
      <w:hyperlink r:id="rId11" w:history="1">
        <w:r w:rsidRPr="00481BFA">
          <w:rPr>
            <w:rStyle w:val="Hyperlink"/>
            <w:rFonts w:asciiTheme="minorBidi" w:hAnsiTheme="minorBidi"/>
            <w:sz w:val="22"/>
          </w:rPr>
          <w:t>https://www.cqc.org.uk/about-us/fundamental-standards</w:t>
        </w:r>
      </w:hyperlink>
      <w:r>
        <w:rPr>
          <w:rFonts w:asciiTheme="minorBidi" w:hAnsiTheme="minorBidi"/>
          <w:sz w:val="22"/>
        </w:rPr>
        <w:t>. Accessed (26 July 2026).</w:t>
      </w:r>
    </w:p>
    <w:p w14:paraId="33F7F8D4" w14:textId="1F8CD35F" w:rsidR="00515011" w:rsidRDefault="00515011" w:rsidP="008E51B1">
      <w:pPr>
        <w:tabs>
          <w:tab w:val="left" w:pos="6540"/>
        </w:tabs>
        <w:spacing w:line="360" w:lineRule="auto"/>
        <w:rPr>
          <w:rFonts w:asciiTheme="minorBidi" w:hAnsiTheme="minorBidi"/>
          <w:sz w:val="22"/>
        </w:rPr>
      </w:pPr>
      <w:r w:rsidRPr="00515011">
        <w:rPr>
          <w:rFonts w:asciiTheme="minorBidi" w:hAnsiTheme="minorBidi"/>
          <w:sz w:val="22"/>
        </w:rPr>
        <w:t>Daly L. (2017). Effective communication with older adults. Nursing standard (Royal College of Nursing (Great Britain</w:t>
      </w:r>
      <w:r w:rsidR="00BC5442" w:rsidRPr="00515011">
        <w:rPr>
          <w:rFonts w:asciiTheme="minorBidi" w:hAnsiTheme="minorBidi"/>
          <w:sz w:val="22"/>
        </w:rPr>
        <w:t>):</w:t>
      </w:r>
      <w:r w:rsidRPr="00515011">
        <w:rPr>
          <w:rFonts w:asciiTheme="minorBidi" w:hAnsiTheme="minorBidi"/>
          <w:sz w:val="22"/>
        </w:rPr>
        <w:t xml:space="preserve"> 1987), 31(41), 55–63. </w:t>
      </w:r>
      <w:hyperlink r:id="rId12" w:history="1">
        <w:r w:rsidRPr="00481BFA">
          <w:rPr>
            <w:rStyle w:val="Hyperlink"/>
            <w:rFonts w:asciiTheme="minorBidi" w:hAnsiTheme="minorBidi"/>
            <w:sz w:val="22"/>
          </w:rPr>
          <w:t>https://doi.org/10.7748/ns.2017.e10832</w:t>
        </w:r>
      </w:hyperlink>
      <w:r>
        <w:rPr>
          <w:rFonts w:asciiTheme="minorBidi" w:hAnsiTheme="minorBidi"/>
          <w:sz w:val="22"/>
        </w:rPr>
        <w:t xml:space="preserve"> </w:t>
      </w:r>
    </w:p>
    <w:p w14:paraId="6102117E" w14:textId="0BD8DDDE" w:rsidR="007E68A7" w:rsidRDefault="007E68A7" w:rsidP="008E51B1">
      <w:pPr>
        <w:tabs>
          <w:tab w:val="left" w:pos="6540"/>
        </w:tabs>
        <w:spacing w:line="360" w:lineRule="auto"/>
        <w:rPr>
          <w:rFonts w:asciiTheme="minorBidi" w:hAnsiTheme="minorBidi"/>
          <w:sz w:val="22"/>
        </w:rPr>
      </w:pPr>
      <w:r w:rsidRPr="008E51B1">
        <w:rPr>
          <w:rFonts w:asciiTheme="minorBidi" w:hAnsiTheme="minorBidi"/>
          <w:sz w:val="22"/>
        </w:rPr>
        <w:t>Glasby, J., &amp; Dickinson, H. (20</w:t>
      </w:r>
      <w:r>
        <w:rPr>
          <w:rFonts w:asciiTheme="minorBidi" w:hAnsiTheme="minorBidi"/>
          <w:sz w:val="22"/>
        </w:rPr>
        <w:t>14</w:t>
      </w:r>
      <w:r w:rsidRPr="008E51B1">
        <w:rPr>
          <w:rFonts w:asciiTheme="minorBidi" w:hAnsiTheme="minorBidi"/>
          <w:sz w:val="22"/>
        </w:rPr>
        <w:t xml:space="preserve">). Partnership Working in Health and Social Care.  </w:t>
      </w:r>
      <w:r>
        <w:rPr>
          <w:rFonts w:asciiTheme="minorBidi" w:hAnsiTheme="minorBidi"/>
          <w:sz w:val="22"/>
        </w:rPr>
        <w:t>Bristol University Press 2nd edition.</w:t>
      </w:r>
    </w:p>
    <w:p w14:paraId="62CE0CA8" w14:textId="4482CB4E" w:rsidR="00BC5442" w:rsidRPr="007E68A7" w:rsidRDefault="00BC5442" w:rsidP="008E51B1">
      <w:pPr>
        <w:tabs>
          <w:tab w:val="left" w:pos="6540"/>
        </w:tabs>
        <w:spacing w:line="360" w:lineRule="auto"/>
        <w:rPr>
          <w:rFonts w:asciiTheme="minorBidi" w:hAnsiTheme="minorBidi"/>
          <w:sz w:val="22"/>
        </w:rPr>
      </w:pPr>
      <w:r w:rsidRPr="008E51B1">
        <w:rPr>
          <w:rFonts w:asciiTheme="minorBidi" w:hAnsiTheme="minorBidi"/>
          <w:sz w:val="22"/>
        </w:rPr>
        <w:t>Laming, H. (2003). The Victoria Climbié Inquiry Report.  Safeguarding, Multi</w:t>
      </w:r>
      <w:r w:rsidRPr="008E51B1">
        <w:rPr>
          <w:rFonts w:ascii="Cambria Math" w:hAnsi="Cambria Math" w:cs="Cambria Math"/>
          <w:sz w:val="22"/>
        </w:rPr>
        <w:t>‑</w:t>
      </w:r>
      <w:r w:rsidRPr="008E51B1">
        <w:rPr>
          <w:rFonts w:asciiTheme="minorBidi" w:hAnsiTheme="minorBidi"/>
          <w:sz w:val="22"/>
        </w:rPr>
        <w:t>Agency Working</w:t>
      </w:r>
      <w:r>
        <w:rPr>
          <w:rFonts w:asciiTheme="minorBidi" w:hAnsiTheme="minorBidi"/>
          <w:sz w:val="22"/>
        </w:rPr>
        <w:t xml:space="preserve"> Available at</w:t>
      </w:r>
      <w:r w:rsidRPr="008E51B1">
        <w:rPr>
          <w:rFonts w:asciiTheme="minorBidi" w:hAnsiTheme="minorBidi"/>
          <w:sz w:val="22"/>
        </w:rPr>
        <w:t xml:space="preserve">: </w:t>
      </w:r>
      <w:hyperlink r:id="rId13" w:history="1">
        <w:r w:rsidRPr="00BC5442">
          <w:rPr>
            <w:rStyle w:val="Hyperlink"/>
            <w:rFonts w:asciiTheme="minorBidi" w:hAnsiTheme="minorBidi"/>
            <w:sz w:val="22"/>
          </w:rPr>
          <w:t>https://www.gov.uk/government/publications/the-victoria-climbie-inquiry-report</w:t>
        </w:r>
      </w:hyperlink>
      <w:r>
        <w:rPr>
          <w:rFonts w:asciiTheme="minorBidi" w:hAnsiTheme="minorBidi"/>
          <w:sz w:val="22"/>
        </w:rPr>
        <w:t xml:space="preserve"> (Accessed 3 August 2026).</w:t>
      </w:r>
      <w:r w:rsidRPr="008E51B1">
        <w:rPr>
          <w:rFonts w:asciiTheme="minorBidi" w:hAnsiTheme="minorBidi"/>
          <w:sz w:val="22"/>
        </w:rPr>
        <w:t xml:space="preserve"> </w:t>
      </w:r>
    </w:p>
    <w:p w14:paraId="2C27C8E4" w14:textId="381BF8C2" w:rsidR="008E51B1" w:rsidRDefault="00E50F9E" w:rsidP="008E51B1">
      <w:pPr>
        <w:tabs>
          <w:tab w:val="left" w:pos="6540"/>
        </w:tabs>
        <w:spacing w:line="360" w:lineRule="auto"/>
        <w:rPr>
          <w:rFonts w:asciiTheme="minorBidi" w:hAnsiTheme="minorBidi"/>
          <w:sz w:val="22"/>
        </w:rPr>
      </w:pPr>
      <w:r>
        <w:rPr>
          <w:rFonts w:asciiTheme="minorBidi" w:hAnsiTheme="minorBidi"/>
          <w:sz w:val="22"/>
        </w:rPr>
        <w:t xml:space="preserve">Legislation.gov.UK (2010) </w:t>
      </w:r>
      <w:r w:rsidR="008E51B1" w:rsidRPr="00E50F9E">
        <w:rPr>
          <w:rFonts w:asciiTheme="minorBidi" w:hAnsiTheme="minorBidi"/>
          <w:i/>
          <w:iCs/>
          <w:sz w:val="22"/>
        </w:rPr>
        <w:t>Equality Act 2010</w:t>
      </w:r>
      <w:r w:rsidRPr="00E50F9E">
        <w:rPr>
          <w:rFonts w:asciiTheme="minorBidi" w:hAnsiTheme="minorBidi"/>
          <w:i/>
          <w:iCs/>
          <w:sz w:val="22"/>
        </w:rPr>
        <w:t>.</w:t>
      </w:r>
      <w:r>
        <w:rPr>
          <w:rFonts w:asciiTheme="minorBidi" w:hAnsiTheme="minorBidi"/>
          <w:sz w:val="22"/>
        </w:rPr>
        <w:t xml:space="preserve"> Available at: </w:t>
      </w:r>
      <w:r w:rsidR="008E51B1" w:rsidRPr="008E51B1">
        <w:rPr>
          <w:rFonts w:asciiTheme="minorBidi" w:hAnsiTheme="minorBidi"/>
          <w:sz w:val="22"/>
        </w:rPr>
        <w:t xml:space="preserve">https://www.legislation.gov.uk/ukpga/2010/15/contents </w:t>
      </w:r>
      <w:r>
        <w:rPr>
          <w:rFonts w:asciiTheme="minorBidi" w:hAnsiTheme="minorBidi"/>
          <w:sz w:val="22"/>
        </w:rPr>
        <w:t>(Accessed: 5 August 2026).</w:t>
      </w:r>
    </w:p>
    <w:p w14:paraId="21938502" w14:textId="26AB1853" w:rsidR="0083489B" w:rsidRDefault="0083489B" w:rsidP="0083489B">
      <w:pPr>
        <w:tabs>
          <w:tab w:val="left" w:pos="6540"/>
        </w:tabs>
        <w:spacing w:line="360" w:lineRule="auto"/>
        <w:rPr>
          <w:rFonts w:asciiTheme="minorBidi" w:hAnsiTheme="minorBidi"/>
          <w:sz w:val="22"/>
        </w:rPr>
      </w:pPr>
      <w:r>
        <w:rPr>
          <w:rFonts w:asciiTheme="minorBidi" w:hAnsiTheme="minorBidi"/>
          <w:sz w:val="22"/>
        </w:rPr>
        <w:t xml:space="preserve">Legislation.gov.UK </w:t>
      </w:r>
      <w:r>
        <w:rPr>
          <w:rFonts w:asciiTheme="minorBidi" w:hAnsiTheme="minorBidi"/>
          <w:sz w:val="22"/>
        </w:rPr>
        <w:t xml:space="preserve">(2005) </w:t>
      </w:r>
      <w:r w:rsidRPr="008E51B1">
        <w:rPr>
          <w:rFonts w:asciiTheme="minorBidi" w:hAnsiTheme="minorBidi"/>
          <w:sz w:val="22"/>
        </w:rPr>
        <w:t xml:space="preserve">Mental Capacity Act 2005 </w:t>
      </w:r>
      <w:r>
        <w:rPr>
          <w:rFonts w:asciiTheme="minorBidi" w:hAnsiTheme="minorBidi"/>
          <w:sz w:val="22"/>
        </w:rPr>
        <w:t xml:space="preserve">Available at:  </w:t>
      </w:r>
      <w:hyperlink r:id="rId14" w:history="1">
        <w:r w:rsidRPr="00481BFA">
          <w:rPr>
            <w:rStyle w:val="Hyperlink"/>
            <w:rFonts w:asciiTheme="minorBidi" w:hAnsiTheme="minorBidi"/>
            <w:sz w:val="22"/>
          </w:rPr>
          <w:t>https://www.legislation.gov.uk/ukpga/2005/9/contents</w:t>
        </w:r>
      </w:hyperlink>
      <w:r>
        <w:rPr>
          <w:rFonts w:asciiTheme="minorBidi" w:hAnsiTheme="minorBidi"/>
          <w:sz w:val="22"/>
        </w:rPr>
        <w:t xml:space="preserve"> </w:t>
      </w:r>
      <w:r>
        <w:rPr>
          <w:rFonts w:asciiTheme="minorBidi" w:hAnsiTheme="minorBidi"/>
          <w:sz w:val="22"/>
        </w:rPr>
        <w:t>(Accessed: 5 August 2026).</w:t>
      </w:r>
    </w:p>
    <w:p w14:paraId="5FB8C8C2" w14:textId="4C59AB9B" w:rsidR="007E68A7" w:rsidRDefault="007E68A7" w:rsidP="0083489B">
      <w:pPr>
        <w:tabs>
          <w:tab w:val="left" w:pos="6540"/>
        </w:tabs>
        <w:spacing w:line="360" w:lineRule="auto"/>
        <w:rPr>
          <w:rFonts w:asciiTheme="minorBidi" w:hAnsiTheme="minorBidi"/>
          <w:sz w:val="22"/>
        </w:rPr>
      </w:pPr>
      <w:r>
        <w:rPr>
          <w:rFonts w:asciiTheme="minorBidi" w:hAnsiTheme="minorBidi"/>
          <w:sz w:val="22"/>
        </w:rPr>
        <w:t>Legislation.gov.UK</w:t>
      </w:r>
      <w:r w:rsidRPr="008E51B1">
        <w:rPr>
          <w:rFonts w:asciiTheme="minorBidi" w:hAnsiTheme="minorBidi"/>
          <w:sz w:val="22"/>
        </w:rPr>
        <w:t xml:space="preserve"> </w:t>
      </w:r>
      <w:r>
        <w:rPr>
          <w:rFonts w:asciiTheme="minorBidi" w:hAnsiTheme="minorBidi"/>
          <w:sz w:val="22"/>
        </w:rPr>
        <w:t xml:space="preserve">(2014) </w:t>
      </w:r>
      <w:r w:rsidRPr="008E51B1">
        <w:rPr>
          <w:rFonts w:asciiTheme="minorBidi" w:hAnsiTheme="minorBidi"/>
          <w:sz w:val="22"/>
        </w:rPr>
        <w:t>Care Act</w:t>
      </w:r>
      <w:r>
        <w:rPr>
          <w:rFonts w:asciiTheme="minorBidi" w:hAnsiTheme="minorBidi"/>
          <w:sz w:val="22"/>
        </w:rPr>
        <w:t>.</w:t>
      </w:r>
      <w:r w:rsidRPr="007E68A7">
        <w:rPr>
          <w:rFonts w:asciiTheme="minorBidi" w:hAnsiTheme="minorBidi"/>
          <w:sz w:val="22"/>
        </w:rPr>
        <w:t xml:space="preserve"> </w:t>
      </w:r>
      <w:r>
        <w:rPr>
          <w:rFonts w:asciiTheme="minorBidi" w:hAnsiTheme="minorBidi"/>
          <w:sz w:val="22"/>
        </w:rPr>
        <w:t>Available at</w:t>
      </w:r>
      <w:r w:rsidRPr="008E51B1">
        <w:rPr>
          <w:rFonts w:asciiTheme="minorBidi" w:hAnsiTheme="minorBidi"/>
          <w:sz w:val="22"/>
        </w:rPr>
        <w:t xml:space="preserve">: </w:t>
      </w:r>
      <w:hyperlink r:id="rId15" w:history="1">
        <w:r w:rsidRPr="00481BFA">
          <w:rPr>
            <w:rStyle w:val="Hyperlink"/>
            <w:rFonts w:asciiTheme="minorBidi" w:hAnsiTheme="minorBidi"/>
            <w:sz w:val="22"/>
          </w:rPr>
          <w:t>https://www.legislation.gov.uk/ukpga/2014/23/contents</w:t>
        </w:r>
      </w:hyperlink>
      <w:r>
        <w:rPr>
          <w:rFonts w:asciiTheme="minorBidi" w:hAnsiTheme="minorBidi"/>
          <w:sz w:val="22"/>
        </w:rPr>
        <w:t xml:space="preserve"> </w:t>
      </w:r>
      <w:r>
        <w:rPr>
          <w:rFonts w:asciiTheme="minorBidi" w:hAnsiTheme="minorBidi"/>
          <w:sz w:val="22"/>
        </w:rPr>
        <w:t xml:space="preserve">(Accessed: </w:t>
      </w:r>
      <w:r>
        <w:rPr>
          <w:rFonts w:asciiTheme="minorBidi" w:hAnsiTheme="minorBidi"/>
          <w:sz w:val="22"/>
        </w:rPr>
        <w:t xml:space="preserve">2 </w:t>
      </w:r>
      <w:r>
        <w:rPr>
          <w:rFonts w:asciiTheme="minorBidi" w:hAnsiTheme="minorBidi"/>
          <w:sz w:val="22"/>
        </w:rPr>
        <w:t>August 2026).</w:t>
      </w:r>
    </w:p>
    <w:p w14:paraId="73BDD28D" w14:textId="06E584E7" w:rsidR="0083489B" w:rsidRPr="008E51B1" w:rsidRDefault="0083489B" w:rsidP="008E51B1">
      <w:pPr>
        <w:tabs>
          <w:tab w:val="left" w:pos="6540"/>
        </w:tabs>
        <w:spacing w:line="360" w:lineRule="auto"/>
        <w:rPr>
          <w:rFonts w:asciiTheme="minorBidi" w:hAnsiTheme="minorBidi"/>
          <w:sz w:val="22"/>
        </w:rPr>
      </w:pPr>
      <w:r w:rsidRPr="0083489B">
        <w:rPr>
          <w:rFonts w:asciiTheme="minorBidi" w:hAnsiTheme="minorBidi"/>
          <w:sz w:val="22"/>
        </w:rPr>
        <w:t xml:space="preserve">McGilton, K. S., Rochon, E., </w:t>
      </w:r>
      <w:proofErr w:type="spellStart"/>
      <w:r w:rsidRPr="0083489B">
        <w:rPr>
          <w:rFonts w:asciiTheme="minorBidi" w:hAnsiTheme="minorBidi"/>
          <w:sz w:val="22"/>
        </w:rPr>
        <w:t>Sidani</w:t>
      </w:r>
      <w:proofErr w:type="spellEnd"/>
      <w:r w:rsidRPr="0083489B">
        <w:rPr>
          <w:rFonts w:asciiTheme="minorBidi" w:hAnsiTheme="minorBidi"/>
          <w:sz w:val="22"/>
        </w:rPr>
        <w:t xml:space="preserve">, S., Shaw, A., Ben-David, B. M., Saragosa, M., </w:t>
      </w:r>
      <w:proofErr w:type="spellStart"/>
      <w:r w:rsidRPr="0083489B">
        <w:rPr>
          <w:rFonts w:asciiTheme="minorBidi" w:hAnsiTheme="minorBidi"/>
          <w:sz w:val="22"/>
        </w:rPr>
        <w:t>Boscart</w:t>
      </w:r>
      <w:proofErr w:type="spellEnd"/>
      <w:r w:rsidRPr="0083489B">
        <w:rPr>
          <w:rFonts w:asciiTheme="minorBidi" w:hAnsiTheme="minorBidi"/>
          <w:sz w:val="22"/>
        </w:rPr>
        <w:t xml:space="preserve">, V. M., Wilson, R., </w:t>
      </w:r>
      <w:proofErr w:type="spellStart"/>
      <w:r w:rsidRPr="0083489B">
        <w:rPr>
          <w:rFonts w:asciiTheme="minorBidi" w:hAnsiTheme="minorBidi"/>
          <w:sz w:val="22"/>
        </w:rPr>
        <w:t>Galimidi</w:t>
      </w:r>
      <w:proofErr w:type="spellEnd"/>
      <w:r w:rsidRPr="0083489B">
        <w:rPr>
          <w:rFonts w:asciiTheme="minorBidi" w:hAnsiTheme="minorBidi"/>
          <w:sz w:val="22"/>
        </w:rPr>
        <w:t xml:space="preserve">-Epstein, K. K., &amp; </w:t>
      </w:r>
      <w:proofErr w:type="spellStart"/>
      <w:r w:rsidRPr="0083489B">
        <w:rPr>
          <w:rFonts w:asciiTheme="minorBidi" w:hAnsiTheme="minorBidi"/>
          <w:sz w:val="22"/>
        </w:rPr>
        <w:t>Pichora</w:t>
      </w:r>
      <w:proofErr w:type="spellEnd"/>
      <w:r w:rsidRPr="0083489B">
        <w:rPr>
          <w:rFonts w:asciiTheme="minorBidi" w:hAnsiTheme="minorBidi"/>
          <w:sz w:val="22"/>
        </w:rPr>
        <w:t xml:space="preserve">-Fuller, M. K. (2017). </w:t>
      </w:r>
      <w:r>
        <w:rPr>
          <w:rFonts w:asciiTheme="minorBidi" w:hAnsiTheme="minorBidi"/>
          <w:sz w:val="22"/>
        </w:rPr>
        <w:t>“</w:t>
      </w:r>
      <w:r w:rsidRPr="0083489B">
        <w:rPr>
          <w:rFonts w:asciiTheme="minorBidi" w:hAnsiTheme="minorBidi"/>
          <w:sz w:val="22"/>
        </w:rPr>
        <w:t xml:space="preserve">Can We Help Care Providers Communicate More Effectively </w:t>
      </w:r>
      <w:proofErr w:type="gramStart"/>
      <w:r w:rsidRPr="0083489B">
        <w:rPr>
          <w:rFonts w:asciiTheme="minorBidi" w:hAnsiTheme="minorBidi"/>
          <w:sz w:val="22"/>
        </w:rPr>
        <w:t>With</w:t>
      </w:r>
      <w:proofErr w:type="gramEnd"/>
      <w:r w:rsidRPr="0083489B">
        <w:rPr>
          <w:rFonts w:asciiTheme="minorBidi" w:hAnsiTheme="minorBidi"/>
          <w:sz w:val="22"/>
        </w:rPr>
        <w:t xml:space="preserve"> Persons Having Dementia Living in Long-Term Care </w:t>
      </w:r>
      <w:r w:rsidRPr="0083489B">
        <w:rPr>
          <w:rFonts w:asciiTheme="minorBidi" w:hAnsiTheme="minorBidi"/>
          <w:sz w:val="22"/>
        </w:rPr>
        <w:t>Homes?</w:t>
      </w:r>
      <w:r>
        <w:rPr>
          <w:rFonts w:asciiTheme="minorBidi" w:hAnsiTheme="minorBidi"/>
          <w:sz w:val="22"/>
        </w:rPr>
        <w:t>”</w:t>
      </w:r>
      <w:r w:rsidRPr="0083489B">
        <w:rPr>
          <w:rFonts w:asciiTheme="minorBidi" w:hAnsiTheme="minorBidi"/>
          <w:sz w:val="22"/>
        </w:rPr>
        <w:t xml:space="preserve"> </w:t>
      </w:r>
      <w:r w:rsidRPr="0083489B">
        <w:rPr>
          <w:rFonts w:asciiTheme="minorBidi" w:hAnsiTheme="minorBidi"/>
          <w:i/>
          <w:iCs/>
          <w:sz w:val="22"/>
        </w:rPr>
        <w:t>American journal of Alzheimer's disease and other dementias</w:t>
      </w:r>
      <w:r w:rsidRPr="0083489B">
        <w:rPr>
          <w:rFonts w:asciiTheme="minorBidi" w:hAnsiTheme="minorBidi"/>
          <w:sz w:val="22"/>
        </w:rPr>
        <w:t xml:space="preserve">, 32(1), </w:t>
      </w:r>
      <w:r>
        <w:rPr>
          <w:rFonts w:asciiTheme="minorBidi" w:hAnsiTheme="minorBidi"/>
          <w:sz w:val="22"/>
        </w:rPr>
        <w:t>pp.</w:t>
      </w:r>
      <w:r w:rsidRPr="0083489B">
        <w:rPr>
          <w:rFonts w:asciiTheme="minorBidi" w:hAnsiTheme="minorBidi"/>
          <w:sz w:val="22"/>
        </w:rPr>
        <w:t>41–50. https://doi.org/10.1177/1533317516680899</w:t>
      </w:r>
    </w:p>
    <w:p w14:paraId="2425E1F4" w14:textId="4DB5760D" w:rsidR="008E51B1" w:rsidRDefault="008E51B1" w:rsidP="008E51B1">
      <w:pPr>
        <w:tabs>
          <w:tab w:val="left" w:pos="6540"/>
        </w:tabs>
        <w:spacing w:line="360" w:lineRule="auto"/>
        <w:rPr>
          <w:rFonts w:asciiTheme="minorBidi" w:hAnsiTheme="minorBidi"/>
          <w:sz w:val="22"/>
        </w:rPr>
      </w:pPr>
      <w:r w:rsidRPr="008E51B1">
        <w:rPr>
          <w:rFonts w:asciiTheme="minorBidi" w:hAnsiTheme="minorBidi"/>
          <w:sz w:val="22"/>
        </w:rPr>
        <w:t>Royal College of Nursing (RCN). (202</w:t>
      </w:r>
      <w:r w:rsidR="00E50F9E">
        <w:rPr>
          <w:rFonts w:asciiTheme="minorBidi" w:hAnsiTheme="minorBidi"/>
          <w:sz w:val="22"/>
        </w:rPr>
        <w:t>5</w:t>
      </w:r>
      <w:r w:rsidRPr="00E50F9E">
        <w:rPr>
          <w:rFonts w:asciiTheme="minorBidi" w:hAnsiTheme="minorBidi"/>
          <w:i/>
          <w:iCs/>
          <w:sz w:val="22"/>
        </w:rPr>
        <w:t>). Record Keeping: Guidance for Nurses and Midwives</w:t>
      </w:r>
      <w:r w:rsidRPr="008E51B1">
        <w:rPr>
          <w:rFonts w:asciiTheme="minorBidi" w:hAnsiTheme="minorBidi"/>
          <w:sz w:val="22"/>
        </w:rPr>
        <w:t xml:space="preserve">.  </w:t>
      </w:r>
      <w:r w:rsidR="00E50F9E">
        <w:rPr>
          <w:rFonts w:asciiTheme="minorBidi" w:hAnsiTheme="minorBidi"/>
          <w:sz w:val="22"/>
        </w:rPr>
        <w:t xml:space="preserve">Available at: </w:t>
      </w:r>
      <w:hyperlink r:id="rId16" w:history="1">
        <w:r w:rsidRPr="00E50F9E">
          <w:rPr>
            <w:rStyle w:val="Hyperlink"/>
            <w:rFonts w:asciiTheme="minorBidi" w:hAnsiTheme="minorBidi"/>
            <w:sz w:val="22"/>
            <w:lang w:val="nl-NL"/>
          </w:rPr>
          <w:t>https://www.rcn.org.uk/professional-development/publications/pub-003227</w:t>
        </w:r>
      </w:hyperlink>
      <w:r w:rsidRPr="008E51B1">
        <w:rPr>
          <w:rFonts w:asciiTheme="minorBidi" w:hAnsiTheme="minorBidi"/>
          <w:sz w:val="22"/>
          <w:lang w:val="nl-NL"/>
        </w:rPr>
        <w:t xml:space="preserve"> </w:t>
      </w:r>
      <w:r w:rsidR="00E50F9E">
        <w:rPr>
          <w:rFonts w:asciiTheme="minorBidi" w:hAnsiTheme="minorBidi"/>
          <w:sz w:val="22"/>
          <w:lang w:val="nl-NL"/>
        </w:rPr>
        <w:t>(Accessed: 2 August 2026)</w:t>
      </w:r>
      <w:r w:rsidR="00E50F9E">
        <w:rPr>
          <w:rFonts w:asciiTheme="minorBidi" w:hAnsiTheme="minorBidi"/>
          <w:sz w:val="22"/>
        </w:rPr>
        <w:t>.</w:t>
      </w:r>
    </w:p>
    <w:p w14:paraId="1FC76ECC" w14:textId="6DAEE446" w:rsidR="00515011" w:rsidRPr="008E51B1" w:rsidRDefault="00515011" w:rsidP="008E51B1">
      <w:pPr>
        <w:tabs>
          <w:tab w:val="left" w:pos="6540"/>
        </w:tabs>
        <w:spacing w:line="360" w:lineRule="auto"/>
        <w:rPr>
          <w:rFonts w:asciiTheme="minorBidi" w:hAnsiTheme="minorBidi"/>
          <w:sz w:val="22"/>
        </w:rPr>
      </w:pPr>
      <w:r>
        <w:rPr>
          <w:rFonts w:asciiTheme="minorBidi" w:hAnsiTheme="minorBidi"/>
          <w:sz w:val="22"/>
        </w:rPr>
        <w:t xml:space="preserve">Social Care Institute for Excellence (2025) </w:t>
      </w:r>
      <w:r w:rsidRPr="00515011">
        <w:rPr>
          <w:rFonts w:asciiTheme="minorBidi" w:hAnsiTheme="minorBidi"/>
          <w:i/>
          <w:iCs/>
          <w:sz w:val="22"/>
        </w:rPr>
        <w:t>Multidisciplinary teams working for integrated care</w:t>
      </w:r>
      <w:r w:rsidRPr="00515011">
        <w:rPr>
          <w:rFonts w:asciiTheme="minorBidi" w:hAnsiTheme="minorBidi"/>
          <w:sz w:val="22"/>
        </w:rPr>
        <w:t xml:space="preserve"> </w:t>
      </w:r>
      <w:r>
        <w:rPr>
          <w:rFonts w:asciiTheme="minorBidi" w:hAnsiTheme="minorBidi"/>
          <w:sz w:val="22"/>
        </w:rPr>
        <w:t xml:space="preserve">Available at: </w:t>
      </w:r>
      <w:hyperlink r:id="rId17" w:history="1">
        <w:r w:rsidRPr="00481BFA">
          <w:rPr>
            <w:rStyle w:val="Hyperlink"/>
            <w:rFonts w:asciiTheme="minorBidi" w:hAnsiTheme="minorBidi"/>
            <w:sz w:val="22"/>
          </w:rPr>
          <w:t>https://www.scie.org.uk/integrated-care/research-practice/activities/multidisciplinary-teams/</w:t>
        </w:r>
      </w:hyperlink>
      <w:r>
        <w:rPr>
          <w:rFonts w:asciiTheme="minorBidi" w:hAnsiTheme="minorBidi"/>
          <w:sz w:val="22"/>
        </w:rPr>
        <w:t xml:space="preserve"> Accessed 17 August 2026)</w:t>
      </w:r>
    </w:p>
    <w:p w14:paraId="5B73122D" w14:textId="7273E0C6" w:rsidR="008E51B1" w:rsidRPr="008E51B1" w:rsidRDefault="008E51B1" w:rsidP="00010FF7">
      <w:pPr>
        <w:tabs>
          <w:tab w:val="left" w:pos="6540"/>
        </w:tabs>
        <w:spacing w:line="360" w:lineRule="auto"/>
        <w:rPr>
          <w:rFonts w:asciiTheme="minorBidi" w:hAnsiTheme="minorBidi"/>
          <w:sz w:val="22"/>
        </w:rPr>
      </w:pPr>
      <w:r w:rsidRPr="008E51B1">
        <w:rPr>
          <w:rFonts w:asciiTheme="minorBidi" w:hAnsiTheme="minorBidi"/>
          <w:sz w:val="22"/>
        </w:rPr>
        <w:lastRenderedPageBreak/>
        <w:t xml:space="preserve">Information Commissioner’s Office (ICO). (2018). Guide to the General Data Protection Regulation (GDPR).  </w:t>
      </w:r>
      <w:r w:rsidR="00515011">
        <w:rPr>
          <w:rFonts w:asciiTheme="minorBidi" w:hAnsiTheme="minorBidi"/>
          <w:sz w:val="22"/>
        </w:rPr>
        <w:t>Available at</w:t>
      </w:r>
      <w:r w:rsidRPr="008E51B1">
        <w:rPr>
          <w:rFonts w:asciiTheme="minorBidi" w:hAnsiTheme="minorBidi"/>
          <w:sz w:val="22"/>
          <w:lang w:val="nl-NL"/>
        </w:rPr>
        <w:t xml:space="preserve">: https://ico.org.uk/for-organisations/guide-to-data-protection/ </w:t>
      </w:r>
    </w:p>
    <w:p w14:paraId="688D29FA" w14:textId="2148280B" w:rsidR="008E51B1" w:rsidRPr="008E51B1" w:rsidRDefault="00BC5442" w:rsidP="008E51B1">
      <w:pPr>
        <w:tabs>
          <w:tab w:val="left" w:pos="6540"/>
        </w:tabs>
        <w:spacing w:line="360" w:lineRule="auto"/>
        <w:rPr>
          <w:rFonts w:asciiTheme="minorBidi" w:hAnsiTheme="minorBidi"/>
          <w:sz w:val="22"/>
        </w:rPr>
      </w:pPr>
      <w:r w:rsidRPr="00BC5442">
        <w:rPr>
          <w:rFonts w:asciiTheme="minorBidi" w:hAnsiTheme="minorBidi"/>
          <w:sz w:val="22"/>
        </w:rPr>
        <w:t xml:space="preserve">Wanko Keutchafo, E. L., Kerr, J., &amp; Baloyi, O. B. (2022). A Model for Effective Nonverbal Communication between Nurses and Older Patients: A Grounded Theory Inquiry. Healthcare (Basel, Switzerland), 10(11), 2119. </w:t>
      </w:r>
      <w:hyperlink r:id="rId18" w:history="1">
        <w:r w:rsidRPr="00481BFA">
          <w:rPr>
            <w:rStyle w:val="Hyperlink"/>
            <w:rFonts w:asciiTheme="minorBidi" w:hAnsiTheme="minorBidi"/>
            <w:sz w:val="22"/>
          </w:rPr>
          <w:t>https://doi.org/10.3390/healthcare10112119</w:t>
        </w:r>
      </w:hyperlink>
      <w:r>
        <w:rPr>
          <w:rFonts w:asciiTheme="minorBidi" w:hAnsiTheme="minorBidi"/>
          <w:sz w:val="22"/>
        </w:rPr>
        <w:t xml:space="preserve"> </w:t>
      </w:r>
    </w:p>
    <w:sectPr w:rsidR="008E51B1" w:rsidRPr="008E51B1" w:rsidSect="00E620E7">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EE3E8" w14:textId="77777777" w:rsidR="00570E0A" w:rsidRDefault="00570E0A" w:rsidP="003E4ECF">
      <w:pPr>
        <w:spacing w:after="0" w:line="240" w:lineRule="auto"/>
      </w:pPr>
      <w:r>
        <w:separator/>
      </w:r>
    </w:p>
  </w:endnote>
  <w:endnote w:type="continuationSeparator" w:id="0">
    <w:p w14:paraId="5A9D7758" w14:textId="77777777" w:rsidR="00570E0A" w:rsidRDefault="00570E0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51B7B" w14:textId="77777777" w:rsidR="00570E0A" w:rsidRDefault="00570E0A" w:rsidP="003E4ECF">
      <w:pPr>
        <w:spacing w:after="0" w:line="240" w:lineRule="auto"/>
      </w:pPr>
      <w:r>
        <w:separator/>
      </w:r>
    </w:p>
  </w:footnote>
  <w:footnote w:type="continuationSeparator" w:id="0">
    <w:p w14:paraId="089469C3" w14:textId="77777777" w:rsidR="00570E0A" w:rsidRDefault="00570E0A"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360FF"/>
    <w:multiLevelType w:val="multilevel"/>
    <w:tmpl w:val="BA60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792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FF7"/>
    <w:rsid w:val="0002388B"/>
    <w:rsid w:val="000572BF"/>
    <w:rsid w:val="00074402"/>
    <w:rsid w:val="001202C1"/>
    <w:rsid w:val="001D7C03"/>
    <w:rsid w:val="0020062C"/>
    <w:rsid w:val="00216C85"/>
    <w:rsid w:val="00234B35"/>
    <w:rsid w:val="0025630D"/>
    <w:rsid w:val="0026393A"/>
    <w:rsid w:val="00273EDD"/>
    <w:rsid w:val="002C3965"/>
    <w:rsid w:val="00321C4C"/>
    <w:rsid w:val="00392BBC"/>
    <w:rsid w:val="003B1AB8"/>
    <w:rsid w:val="003E4ECF"/>
    <w:rsid w:val="004A736E"/>
    <w:rsid w:val="00515011"/>
    <w:rsid w:val="00555A37"/>
    <w:rsid w:val="00570E0A"/>
    <w:rsid w:val="006925AA"/>
    <w:rsid w:val="00725177"/>
    <w:rsid w:val="007A1B8D"/>
    <w:rsid w:val="007E68A7"/>
    <w:rsid w:val="00813135"/>
    <w:rsid w:val="00814A9E"/>
    <w:rsid w:val="0083489B"/>
    <w:rsid w:val="008C709B"/>
    <w:rsid w:val="008E3943"/>
    <w:rsid w:val="008E51B1"/>
    <w:rsid w:val="0090040D"/>
    <w:rsid w:val="009D052C"/>
    <w:rsid w:val="009D1D1E"/>
    <w:rsid w:val="00A035FD"/>
    <w:rsid w:val="00A42FE5"/>
    <w:rsid w:val="00A664EF"/>
    <w:rsid w:val="00A745D7"/>
    <w:rsid w:val="00AD23A0"/>
    <w:rsid w:val="00B746F8"/>
    <w:rsid w:val="00B87E75"/>
    <w:rsid w:val="00BC5442"/>
    <w:rsid w:val="00C75055"/>
    <w:rsid w:val="00CD33A8"/>
    <w:rsid w:val="00E50F9E"/>
    <w:rsid w:val="00E569FD"/>
    <w:rsid w:val="00E620E7"/>
    <w:rsid w:val="00E70E16"/>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010FF7"/>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010FF7"/>
    <w:pPr>
      <w:spacing w:after="100"/>
    </w:pPr>
  </w:style>
  <w:style w:type="character" w:styleId="Hyperlink">
    <w:name w:val="Hyperlink"/>
    <w:basedOn w:val="DefaultParagraphFont"/>
    <w:uiPriority w:val="99"/>
    <w:unhideWhenUsed/>
    <w:rsid w:val="00010FF7"/>
    <w:rPr>
      <w:color w:val="0563C1" w:themeColor="hyperlink"/>
      <w:u w:val="single"/>
    </w:rPr>
  </w:style>
  <w:style w:type="character" w:styleId="UnresolvedMention">
    <w:name w:val="Unresolved Mention"/>
    <w:basedOn w:val="DefaultParagraphFont"/>
    <w:uiPriority w:val="99"/>
    <w:semiHidden/>
    <w:unhideWhenUsed/>
    <w:rsid w:val="00E50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media/5a7c5edeed915d696ccfc51b/5730.pdf" TargetMode="External"/><Relationship Id="rId18" Type="http://schemas.openxmlformats.org/officeDocument/2006/relationships/hyperlink" Target="https://doi.org/10.3390/healthcare101121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7748/ns.2017.e10832" TargetMode="External"/><Relationship Id="rId17" Type="http://schemas.openxmlformats.org/officeDocument/2006/relationships/hyperlink" Target="https://www.scie.org.uk/integrated-care/research-practice/activities/multidisciplinary-teams/" TargetMode="External"/><Relationship Id="rId2" Type="http://schemas.openxmlformats.org/officeDocument/2006/relationships/numbering" Target="numbering.xml"/><Relationship Id="rId16" Type="http://schemas.openxmlformats.org/officeDocument/2006/relationships/hyperlink" Target="https://www.rcn.org.uk/magazines/Advice/2025/Mar/Three-simple-rules-for-record-keep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about-us/fundamental-standards" TargetMode="External"/><Relationship Id="rId5" Type="http://schemas.openxmlformats.org/officeDocument/2006/relationships/webSettings" Target="webSettings.xml"/><Relationship Id="rId15" Type="http://schemas.openxmlformats.org/officeDocument/2006/relationships/hyperlink" Target="https://www.legislation.gov.uk/ukpga/2014/23/contents" TargetMode="External"/><Relationship Id="rId10" Type="http://schemas.openxmlformats.org/officeDocument/2006/relationships/hyperlink" Target="https://doi.org/10.7748/ns.2021.e1170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legislation.gov.uk/ukpga/2005/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FC707-29D4-4E90-8A80-F62223257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9</Pages>
  <Words>2237</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Oluwadamilola Tayo</cp:lastModifiedBy>
  <cp:revision>18</cp:revision>
  <dcterms:created xsi:type="dcterms:W3CDTF">2021-10-31T12:16:00Z</dcterms:created>
  <dcterms:modified xsi:type="dcterms:W3CDTF">2026-08-17T14:36:00Z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16c9615b-4e9e-4ba5-a20c-e068bd901b63</vt:lpwstr>
  </property>
</Properties>
</file>