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DA48" w14:textId="77777777" w:rsidR="001E023E" w:rsidRDefault="001E023E" w:rsidP="00C11E83">
      <w:pPr>
        <w:spacing w:line="360" w:lineRule="auto"/>
        <w:jc w:val="center"/>
        <w:rPr>
          <w:b/>
          <w:bCs/>
          <w:sz w:val="23"/>
          <w:szCs w:val="23"/>
        </w:rPr>
      </w:pPr>
    </w:p>
    <w:p w14:paraId="295A302E" w14:textId="77777777" w:rsidR="001E023E" w:rsidRDefault="001E023E" w:rsidP="00C11E83">
      <w:pPr>
        <w:spacing w:line="360" w:lineRule="auto"/>
        <w:jc w:val="center"/>
        <w:rPr>
          <w:b/>
          <w:bCs/>
          <w:sz w:val="23"/>
          <w:szCs w:val="23"/>
        </w:rPr>
      </w:pPr>
    </w:p>
    <w:p w14:paraId="3BECF277" w14:textId="77777777" w:rsidR="001E023E" w:rsidRDefault="001E023E" w:rsidP="00C11E83">
      <w:pPr>
        <w:spacing w:line="360" w:lineRule="auto"/>
        <w:jc w:val="center"/>
        <w:rPr>
          <w:b/>
          <w:bCs/>
          <w:sz w:val="23"/>
          <w:szCs w:val="23"/>
        </w:rPr>
      </w:pPr>
    </w:p>
    <w:p w14:paraId="0C871D5A" w14:textId="77777777" w:rsidR="001E023E" w:rsidRDefault="001E023E" w:rsidP="00C11E83">
      <w:pPr>
        <w:spacing w:line="360" w:lineRule="auto"/>
        <w:jc w:val="center"/>
        <w:rPr>
          <w:b/>
          <w:bCs/>
          <w:sz w:val="23"/>
          <w:szCs w:val="23"/>
        </w:rPr>
      </w:pPr>
    </w:p>
    <w:p w14:paraId="12A84277" w14:textId="77777777" w:rsidR="001E023E" w:rsidRDefault="001E023E" w:rsidP="00C11E83">
      <w:pPr>
        <w:spacing w:line="360" w:lineRule="auto"/>
        <w:jc w:val="center"/>
        <w:rPr>
          <w:b/>
          <w:bCs/>
          <w:sz w:val="23"/>
          <w:szCs w:val="23"/>
        </w:rPr>
      </w:pPr>
    </w:p>
    <w:p w14:paraId="1D8C85AA" w14:textId="77777777" w:rsidR="001E023E" w:rsidRDefault="001E023E" w:rsidP="00C11E83">
      <w:pPr>
        <w:spacing w:line="360" w:lineRule="auto"/>
        <w:jc w:val="center"/>
        <w:rPr>
          <w:b/>
          <w:bCs/>
          <w:sz w:val="23"/>
          <w:szCs w:val="23"/>
        </w:rPr>
      </w:pPr>
    </w:p>
    <w:p w14:paraId="52B9AC58" w14:textId="77777777" w:rsidR="001E023E" w:rsidRDefault="001E023E" w:rsidP="00C11E83">
      <w:pPr>
        <w:spacing w:line="360" w:lineRule="auto"/>
        <w:jc w:val="center"/>
        <w:rPr>
          <w:b/>
          <w:bCs/>
          <w:sz w:val="23"/>
          <w:szCs w:val="23"/>
        </w:rPr>
      </w:pPr>
    </w:p>
    <w:p w14:paraId="298B35FC" w14:textId="32F09610" w:rsidR="00C11E83" w:rsidRDefault="00C11E83" w:rsidP="00C11E83">
      <w:pPr>
        <w:spacing w:line="360" w:lineRule="auto"/>
        <w:jc w:val="center"/>
        <w:rPr>
          <w:b/>
          <w:bCs/>
          <w:sz w:val="23"/>
          <w:szCs w:val="23"/>
        </w:rPr>
      </w:pPr>
      <w:r>
        <w:rPr>
          <w:b/>
          <w:bCs/>
          <w:sz w:val="23"/>
          <w:szCs w:val="23"/>
        </w:rPr>
        <w:t>Frederick Thomas William Miles</w:t>
      </w:r>
    </w:p>
    <w:p w14:paraId="3F8D9BDF" w14:textId="696503AF" w:rsidR="00C11E83" w:rsidRDefault="00C11E83" w:rsidP="00C11E83">
      <w:pPr>
        <w:spacing w:line="360" w:lineRule="auto"/>
        <w:jc w:val="center"/>
        <w:rPr>
          <w:b/>
          <w:bCs/>
          <w:sz w:val="23"/>
          <w:szCs w:val="23"/>
        </w:rPr>
      </w:pPr>
      <w:r>
        <w:rPr>
          <w:b/>
          <w:bCs/>
          <w:sz w:val="23"/>
          <w:szCs w:val="23"/>
        </w:rPr>
        <w:t>2307054</w:t>
      </w:r>
    </w:p>
    <w:p w14:paraId="571B3578" w14:textId="293C5C6B" w:rsidR="00C11E83" w:rsidRDefault="00C11E83" w:rsidP="00C11E83">
      <w:pPr>
        <w:spacing w:line="360" w:lineRule="auto"/>
        <w:jc w:val="center"/>
        <w:rPr>
          <w:b/>
          <w:bCs/>
          <w:sz w:val="23"/>
          <w:szCs w:val="23"/>
        </w:rPr>
      </w:pPr>
      <w:r>
        <w:rPr>
          <w:b/>
          <w:bCs/>
          <w:sz w:val="23"/>
          <w:szCs w:val="23"/>
        </w:rPr>
        <w:t>ECAD7004 Assignment Submission</w:t>
      </w:r>
    </w:p>
    <w:p w14:paraId="79329C84" w14:textId="1010E0D7" w:rsidR="00C21C6A" w:rsidRDefault="00C21C6A" w:rsidP="00C11E83">
      <w:pPr>
        <w:spacing w:line="360" w:lineRule="auto"/>
        <w:jc w:val="center"/>
        <w:rPr>
          <w:b/>
          <w:bCs/>
          <w:sz w:val="23"/>
          <w:szCs w:val="23"/>
        </w:rPr>
      </w:pPr>
      <w:r>
        <w:rPr>
          <w:b/>
          <w:bCs/>
          <w:sz w:val="23"/>
          <w:szCs w:val="23"/>
        </w:rPr>
        <w:t>4321 words</w:t>
      </w:r>
    </w:p>
    <w:p w14:paraId="50FE5F3F" w14:textId="47A784A1" w:rsidR="00C11E83" w:rsidRDefault="00C11E83" w:rsidP="00C11E83">
      <w:pPr>
        <w:spacing w:line="360" w:lineRule="auto"/>
        <w:jc w:val="center"/>
        <w:rPr>
          <w:rFonts w:cstheme="minorHAnsi"/>
        </w:rPr>
      </w:pPr>
      <w:r>
        <w:rPr>
          <w:rFonts w:cstheme="minorHAnsi"/>
        </w:rPr>
        <w:t>Design, conduct and critically evaluate a close-to-practice research project focusing on the model of the transformative teacher in developing practice that has a positive impact on the learner.</w:t>
      </w:r>
    </w:p>
    <w:p w14:paraId="5E03D0AE" w14:textId="77777777" w:rsidR="00C11E83" w:rsidRDefault="00C11E83" w:rsidP="00C11E83">
      <w:pPr>
        <w:spacing w:line="360" w:lineRule="auto"/>
        <w:jc w:val="center"/>
        <w:rPr>
          <w:rFonts w:cstheme="minorHAnsi"/>
        </w:rPr>
      </w:pPr>
    </w:p>
    <w:p w14:paraId="12F1C1B6" w14:textId="2CD20830" w:rsidR="00C11E83" w:rsidRDefault="00C11E83" w:rsidP="00C11E83">
      <w:pPr>
        <w:spacing w:line="360" w:lineRule="auto"/>
        <w:jc w:val="center"/>
        <w:rPr>
          <w:rFonts w:cstheme="minorHAnsi"/>
        </w:rPr>
      </w:pPr>
      <w:r>
        <w:rPr>
          <w:rFonts w:cstheme="minorHAnsi"/>
        </w:rPr>
        <w:t xml:space="preserve">Research Question: </w:t>
      </w:r>
    </w:p>
    <w:p w14:paraId="74522076" w14:textId="0DB456CA" w:rsidR="00C11E83" w:rsidRDefault="00C11E83" w:rsidP="00C11E83">
      <w:pPr>
        <w:spacing w:line="360" w:lineRule="auto"/>
        <w:jc w:val="center"/>
        <w:rPr>
          <w:b/>
          <w:bCs/>
          <w:sz w:val="23"/>
          <w:szCs w:val="23"/>
        </w:rPr>
      </w:pPr>
      <w:r w:rsidRPr="00FE52C0">
        <w:rPr>
          <w:rFonts w:cs="Arial"/>
          <w:sz w:val="23"/>
          <w:szCs w:val="23"/>
        </w:rPr>
        <w:t>How do Year 7 pupils engage differently with immediate feedback and delayed feedback?</w:t>
      </w:r>
    </w:p>
    <w:p w14:paraId="6F1AAF0F" w14:textId="77777777" w:rsidR="00C11E83" w:rsidRDefault="00C11E83" w:rsidP="00C11E83">
      <w:pPr>
        <w:jc w:val="center"/>
        <w:rPr>
          <w:b/>
          <w:bCs/>
          <w:sz w:val="23"/>
          <w:szCs w:val="23"/>
        </w:rPr>
      </w:pPr>
      <w:r>
        <w:rPr>
          <w:b/>
          <w:bCs/>
          <w:sz w:val="23"/>
          <w:szCs w:val="23"/>
        </w:rPr>
        <w:br w:type="page"/>
      </w:r>
    </w:p>
    <w:p w14:paraId="1D552B30" w14:textId="5CA2DD8F" w:rsidR="00DC3D4F" w:rsidRPr="00DC3D4F" w:rsidRDefault="00DC3D4F" w:rsidP="00AF2154">
      <w:pPr>
        <w:spacing w:line="360" w:lineRule="auto"/>
        <w:rPr>
          <w:b/>
          <w:bCs/>
          <w:sz w:val="23"/>
          <w:szCs w:val="23"/>
        </w:rPr>
      </w:pPr>
      <w:r>
        <w:rPr>
          <w:b/>
          <w:bCs/>
          <w:sz w:val="23"/>
          <w:szCs w:val="23"/>
        </w:rPr>
        <w:lastRenderedPageBreak/>
        <w:t>Introduction</w:t>
      </w:r>
    </w:p>
    <w:p w14:paraId="604A0BE7" w14:textId="2D89DFA3" w:rsidR="001D18A6" w:rsidRPr="00FE52C0" w:rsidRDefault="001D18A6" w:rsidP="00AF2154">
      <w:pPr>
        <w:spacing w:line="360" w:lineRule="auto"/>
        <w:rPr>
          <w:sz w:val="23"/>
          <w:szCs w:val="23"/>
        </w:rPr>
      </w:pPr>
      <w:r w:rsidRPr="00FE52C0">
        <w:rPr>
          <w:sz w:val="23"/>
          <w:szCs w:val="23"/>
        </w:rPr>
        <w:t xml:space="preserve">The aim of this essay is to explore the process of creating a close to practice research project with the aim of developing teaching practice to have a positive impact on learners. The research project aims to explore how pupils in Year 7 engage differently with immediate feedback given during lesson time and delayed feedback, in written from, given the next lesson. </w:t>
      </w:r>
    </w:p>
    <w:p w14:paraId="13B78B84" w14:textId="77777777" w:rsidR="001D18A6" w:rsidRPr="00FE52C0" w:rsidRDefault="001D18A6" w:rsidP="00AF2154">
      <w:pPr>
        <w:spacing w:line="360" w:lineRule="auto"/>
        <w:rPr>
          <w:sz w:val="23"/>
          <w:szCs w:val="23"/>
        </w:rPr>
      </w:pPr>
      <w:r w:rsidRPr="00FE52C0">
        <w:rPr>
          <w:sz w:val="23"/>
          <w:szCs w:val="23"/>
        </w:rPr>
        <w:t>The concept of exploring pupils’ relationship with different forms of feedback stemmed from an experience when on placement in a school which had recently changed their marking policy. In their new policy, teachers are only expected to provide one formal feedback assessment each half term. In order to not disadvantage pupils, this was accompanied by an expectation that teachers use of Assessment for Learning techniques and immediate, in-lesson, feedback would increase. This was done in an attempt to reduce teacher’s workload, particularly that produced by marking and giving feedback. The school in which the research takes place is an 11-18 school located in South Wales and all the pupils involved in the research were from the same mixed ability class in Year 7.</w:t>
      </w:r>
    </w:p>
    <w:p w14:paraId="036FFE54" w14:textId="77777777" w:rsidR="001D18A6" w:rsidRPr="00FE52C0" w:rsidRDefault="001D18A6" w:rsidP="00AF2154">
      <w:pPr>
        <w:spacing w:line="360" w:lineRule="auto"/>
        <w:rPr>
          <w:sz w:val="23"/>
          <w:szCs w:val="23"/>
        </w:rPr>
      </w:pPr>
      <w:r w:rsidRPr="00FE52C0">
        <w:rPr>
          <w:sz w:val="23"/>
          <w:szCs w:val="23"/>
        </w:rPr>
        <w:t>In the spirit of self-reflexivity, I register my position as a privately educated male in his early 30s who is confident in communicating verbally. Before I began engaging with the literature around feedback in schools, I was of the opinion that immediate feedback would have a greater impact on pupils’ retention and outcomes than delayed feedback. I acknowledge that my positionality will have influenced this project.</w:t>
      </w:r>
    </w:p>
    <w:p w14:paraId="7A7C98E8" w14:textId="77777777" w:rsidR="001D18A6" w:rsidRPr="00FE52C0" w:rsidRDefault="001D18A6" w:rsidP="00AF2154">
      <w:pPr>
        <w:spacing w:line="360" w:lineRule="auto"/>
        <w:rPr>
          <w:rFonts w:cs="Arial"/>
          <w:sz w:val="23"/>
          <w:szCs w:val="23"/>
        </w:rPr>
      </w:pPr>
      <w:r w:rsidRPr="00FE52C0">
        <w:rPr>
          <w:sz w:val="23"/>
          <w:szCs w:val="23"/>
        </w:rPr>
        <w:t xml:space="preserve">The question posed for this research was: </w:t>
      </w:r>
      <w:r w:rsidRPr="00FE52C0">
        <w:rPr>
          <w:rFonts w:cs="Arial"/>
          <w:sz w:val="23"/>
          <w:szCs w:val="23"/>
        </w:rPr>
        <w:t>How do Year 7 pupils engage differently with immediate feedback and delayed feedback?</w:t>
      </w:r>
    </w:p>
    <w:p w14:paraId="05C08184" w14:textId="77777777" w:rsidR="00143873" w:rsidRPr="00FE52C0" w:rsidRDefault="00143873" w:rsidP="00AF2154">
      <w:pPr>
        <w:spacing w:line="360" w:lineRule="auto"/>
        <w:rPr>
          <w:b/>
          <w:bCs/>
          <w:sz w:val="23"/>
          <w:szCs w:val="23"/>
        </w:rPr>
      </w:pPr>
      <w:r w:rsidRPr="00FE52C0">
        <w:rPr>
          <w:b/>
          <w:bCs/>
          <w:sz w:val="23"/>
          <w:szCs w:val="23"/>
        </w:rPr>
        <w:t>Literature Review</w:t>
      </w:r>
    </w:p>
    <w:p w14:paraId="45355D39" w14:textId="20D0F41D" w:rsidR="00143873" w:rsidRPr="00FE52C0" w:rsidRDefault="00143873" w:rsidP="00AF2154">
      <w:pPr>
        <w:spacing w:line="360" w:lineRule="auto"/>
        <w:rPr>
          <w:sz w:val="23"/>
          <w:szCs w:val="23"/>
        </w:rPr>
      </w:pPr>
      <w:r w:rsidRPr="00FE52C0">
        <w:rPr>
          <w:sz w:val="23"/>
          <w:szCs w:val="23"/>
        </w:rPr>
        <w:t xml:space="preserve">The potential for feedback interventions to be unhelpful is well known (Sadler, 1989). Kluger and DeNisi (1996) noted that up to 38% of interventions lead to a decline in performance and Walker (2009) highlighted that 27% of students were not able to understand comments given by their tutors. Feedback alone is not sufficient for improving the learning outcomes of students and the variation between students’ use of feedback and its actual potential is referred to at the ‘feedback gap’ (Faulkner </w:t>
      </w:r>
      <w:r w:rsidRPr="00FE52C0">
        <w:rPr>
          <w:i/>
          <w:iCs/>
          <w:sz w:val="23"/>
          <w:szCs w:val="23"/>
        </w:rPr>
        <w:t xml:space="preserve">et al. </w:t>
      </w:r>
      <w:r w:rsidRPr="00FE52C0">
        <w:rPr>
          <w:sz w:val="23"/>
          <w:szCs w:val="23"/>
        </w:rPr>
        <w:t xml:space="preserve">2020). The act of giving and receiving feedback is a mutual relationship between learners and educators and both must contribute in order to make the feedback work to its highest potential (Faulkner </w:t>
      </w:r>
      <w:r w:rsidRPr="00FE52C0">
        <w:rPr>
          <w:i/>
          <w:iCs/>
          <w:sz w:val="23"/>
          <w:szCs w:val="23"/>
        </w:rPr>
        <w:t xml:space="preserve">et al. </w:t>
      </w:r>
      <w:r w:rsidRPr="00FE52C0">
        <w:rPr>
          <w:sz w:val="23"/>
          <w:szCs w:val="23"/>
        </w:rPr>
        <w:t>2020).</w:t>
      </w:r>
    </w:p>
    <w:p w14:paraId="2B463D5C" w14:textId="1D8429E8" w:rsidR="00143873" w:rsidRPr="00FE52C0" w:rsidRDefault="00143873" w:rsidP="00AF2154">
      <w:pPr>
        <w:spacing w:line="360" w:lineRule="auto"/>
        <w:rPr>
          <w:sz w:val="23"/>
          <w:szCs w:val="23"/>
        </w:rPr>
      </w:pPr>
      <w:r w:rsidRPr="00FE52C0">
        <w:rPr>
          <w:sz w:val="23"/>
          <w:szCs w:val="23"/>
        </w:rPr>
        <w:lastRenderedPageBreak/>
        <w:t>Jordan (2011) concluded that feedback was most effective when it was tailored to the errors made my students and prompted them to examine their errors and misconceptions rather than providing them with the correct answers. Lizz</w:t>
      </w:r>
      <w:r w:rsidR="00D51A53" w:rsidRPr="00FE52C0">
        <w:rPr>
          <w:sz w:val="23"/>
          <w:szCs w:val="23"/>
        </w:rPr>
        <w:t>i</w:t>
      </w:r>
      <w:r w:rsidRPr="00FE52C0">
        <w:rPr>
          <w:sz w:val="23"/>
          <w:szCs w:val="23"/>
        </w:rPr>
        <w:t xml:space="preserve">o and Wilson (2008) found that students valued feedback which was constructive for their own learning. The students also valued encouragement and transparency in the assessment criteria. It was noted that the value placed on encouraging feedback reduced with the increase in age of the students but was still seen as a positive element of feedback being received. Faulkner </w:t>
      </w:r>
      <w:r w:rsidRPr="00FE52C0">
        <w:rPr>
          <w:i/>
          <w:iCs/>
          <w:sz w:val="23"/>
          <w:szCs w:val="23"/>
        </w:rPr>
        <w:t xml:space="preserve">et al., </w:t>
      </w:r>
      <w:r w:rsidRPr="00FE52C0">
        <w:rPr>
          <w:sz w:val="23"/>
          <w:szCs w:val="23"/>
        </w:rPr>
        <w:t>(2020) identified that early engagement with any form of feedback was associated with higher learning outcomes in a given course.</w:t>
      </w:r>
    </w:p>
    <w:p w14:paraId="40ACAA3E" w14:textId="77777777" w:rsidR="00143873" w:rsidRPr="00FE52C0" w:rsidRDefault="00143873" w:rsidP="00AF2154">
      <w:pPr>
        <w:spacing w:line="360" w:lineRule="auto"/>
        <w:rPr>
          <w:sz w:val="23"/>
          <w:szCs w:val="23"/>
        </w:rPr>
      </w:pPr>
      <w:r w:rsidRPr="00FE52C0">
        <w:rPr>
          <w:sz w:val="23"/>
          <w:szCs w:val="23"/>
        </w:rPr>
        <w:t xml:space="preserve">When pupils are given the option as to whether they want to experience immediate or delayed feedback, 95.33% chose immediate feedback (Cox and Lefevre, 2017). This study involved pupils answering multiple choice questions on computers and choosing whether to receive feedback after each question or at the end of the group of questions. This element of choice is more difficult to achieve with verbal feedback in a classroom setting and the research did not investigate any of the potential impacts of the learners’ choices on their learning outcomes. </w:t>
      </w:r>
    </w:p>
    <w:p w14:paraId="3B0BF2BA" w14:textId="77777777" w:rsidR="00143873" w:rsidRPr="00FE52C0" w:rsidRDefault="00143873" w:rsidP="00AF2154">
      <w:pPr>
        <w:spacing w:line="360" w:lineRule="auto"/>
        <w:rPr>
          <w:sz w:val="23"/>
          <w:szCs w:val="23"/>
        </w:rPr>
      </w:pPr>
      <w:r w:rsidRPr="00FE52C0">
        <w:rPr>
          <w:sz w:val="23"/>
          <w:szCs w:val="23"/>
        </w:rPr>
        <w:t xml:space="preserve">In contrast to the preference for immediate feedback shown by Cox and Lefevre, (2017) Butler </w:t>
      </w:r>
      <w:r w:rsidRPr="00FE52C0">
        <w:rPr>
          <w:i/>
          <w:iCs/>
          <w:sz w:val="23"/>
          <w:szCs w:val="23"/>
        </w:rPr>
        <w:t xml:space="preserve">et al., </w:t>
      </w:r>
      <w:r w:rsidRPr="00FE52C0">
        <w:rPr>
          <w:sz w:val="23"/>
          <w:szCs w:val="23"/>
        </w:rPr>
        <w:t xml:space="preserve">(2014) suggest that the advantages of immediate feedback could link exclusively to specific areas of knowledge acquisition and that delayed feedback is more optimised for the retention of knowledge. Fyfe </w:t>
      </w:r>
      <w:r w:rsidRPr="00FE52C0">
        <w:rPr>
          <w:i/>
          <w:iCs/>
          <w:sz w:val="23"/>
          <w:szCs w:val="23"/>
        </w:rPr>
        <w:t>et al</w:t>
      </w:r>
      <w:r w:rsidRPr="00FE52C0">
        <w:rPr>
          <w:sz w:val="23"/>
          <w:szCs w:val="23"/>
        </w:rPr>
        <w:t xml:space="preserve">., (2021) speculate that one significant advantage of delayed feedback is the re-visiting of the content when students access and action the feedback. Coogle </w:t>
      </w:r>
      <w:r w:rsidRPr="00FE52C0">
        <w:rPr>
          <w:i/>
          <w:iCs/>
          <w:sz w:val="23"/>
          <w:szCs w:val="23"/>
        </w:rPr>
        <w:t>et al.,</w:t>
      </w:r>
      <w:r w:rsidRPr="00FE52C0">
        <w:rPr>
          <w:sz w:val="23"/>
          <w:szCs w:val="23"/>
        </w:rPr>
        <w:t xml:space="preserve"> (2018) found that both immediate and delayed feedback created positive outcomes in pupils’ learning and communication. In addition to this, the use of delayed feedback techniques was also found to have a positive impact on teachers’ practice. </w:t>
      </w:r>
    </w:p>
    <w:p w14:paraId="546B9A1E" w14:textId="77777777" w:rsidR="00143873" w:rsidRPr="00FE52C0" w:rsidRDefault="00143873" w:rsidP="00AF2154">
      <w:pPr>
        <w:spacing w:line="360" w:lineRule="auto"/>
        <w:rPr>
          <w:sz w:val="23"/>
          <w:szCs w:val="23"/>
        </w:rPr>
      </w:pPr>
      <w:r w:rsidRPr="00FE52C0">
        <w:rPr>
          <w:sz w:val="23"/>
          <w:szCs w:val="23"/>
        </w:rPr>
        <w:t xml:space="preserve">Heffernan, Kehrer and Kelly (2013) showed that pupils who received immediate feedback learnt around 12% more that those who received delayed feedback. It was suggested that immediate feedback was more beneficial than delayed feedback particularly as it was able to correct misconceptions before they were practiced and reinforced. This study focused on pupils completing homework, an area which is traditionally associated with delayed feedback so can give only a limited insight into the comparison between immediate feedback and delayed feedback in a lesson scenario. </w:t>
      </w:r>
    </w:p>
    <w:p w14:paraId="3F0454DA" w14:textId="77777777" w:rsidR="00143873" w:rsidRPr="00FE52C0" w:rsidRDefault="00143873" w:rsidP="00AF2154">
      <w:pPr>
        <w:spacing w:line="360" w:lineRule="auto"/>
        <w:rPr>
          <w:sz w:val="23"/>
          <w:szCs w:val="23"/>
        </w:rPr>
      </w:pPr>
      <w:r w:rsidRPr="00FE52C0">
        <w:rPr>
          <w:sz w:val="23"/>
          <w:szCs w:val="23"/>
        </w:rPr>
        <w:lastRenderedPageBreak/>
        <w:t xml:space="preserve">The literature around immediate and delayed feedback in schools present a mixed picture. The studies which have been carried out suggest the effectiveness of the different forms of feedback often depend on the specific context of the study being carried out. </w:t>
      </w:r>
    </w:p>
    <w:p w14:paraId="56C95A13" w14:textId="77777777" w:rsidR="00D8529A" w:rsidRPr="00FE52C0" w:rsidRDefault="00D8529A" w:rsidP="00AF2154">
      <w:pPr>
        <w:spacing w:line="360" w:lineRule="auto"/>
        <w:rPr>
          <w:b/>
          <w:bCs/>
          <w:sz w:val="23"/>
          <w:szCs w:val="23"/>
        </w:rPr>
      </w:pPr>
      <w:r w:rsidRPr="00FE52C0">
        <w:rPr>
          <w:b/>
          <w:bCs/>
          <w:sz w:val="23"/>
          <w:szCs w:val="23"/>
        </w:rPr>
        <w:t>Case Studies</w:t>
      </w:r>
    </w:p>
    <w:p w14:paraId="05916CD6" w14:textId="77777777" w:rsidR="00D8529A" w:rsidRPr="00FE52C0" w:rsidRDefault="00D8529A" w:rsidP="00AF2154">
      <w:pPr>
        <w:spacing w:line="360" w:lineRule="auto"/>
        <w:rPr>
          <w:sz w:val="23"/>
          <w:szCs w:val="23"/>
        </w:rPr>
      </w:pPr>
      <w:r w:rsidRPr="00FE52C0">
        <w:rPr>
          <w:sz w:val="23"/>
          <w:szCs w:val="23"/>
        </w:rPr>
        <w:t xml:space="preserve">Simons (2009) summarises several definitions of what a case study is and highlights the areas which are common to them all. By doing this Simons states that a case study is the study of an area within its authentic, real-life context and that the primary purpose of using a case study in research is to build a detailed understanding of a particular area or event which can be used to inform an ongoing process such as professional practice. (Gall, </w:t>
      </w:r>
      <w:proofErr w:type="gramStart"/>
      <w:r w:rsidRPr="00FE52C0">
        <w:rPr>
          <w:sz w:val="23"/>
          <w:szCs w:val="23"/>
        </w:rPr>
        <w:t>Gall</w:t>
      </w:r>
      <w:proofErr w:type="gramEnd"/>
      <w:r w:rsidRPr="00FE52C0">
        <w:rPr>
          <w:sz w:val="23"/>
          <w:szCs w:val="23"/>
        </w:rPr>
        <w:t xml:space="preserve"> and Borg, 2005) highlight that as well as occurring in an authentic context, a case study is viewing a phenomenon from the perspective of those involved rather than that of the person or group conducting the research.  Yin (1994) and Simons (2009) both state that a case study involves the examination of multiple perspectives and Simons goes on to identify this as one of the main advantages of doing research involving case studies. Other advantages include a case studies flexibility as it can be carried out over a period or days, weeks, months or even longer. This allows researchers to collect large amounts of data whilst minimising the increase in cost. The advantage gained in case studies being set in real-life contexts means that conclusions and recommendations compiled from case study research can be more easily applied to policies or areas of professional practice. </w:t>
      </w:r>
    </w:p>
    <w:p w14:paraId="370910BB" w14:textId="77777777" w:rsidR="00D8529A" w:rsidRPr="00FE52C0" w:rsidRDefault="00D8529A" w:rsidP="00AF2154">
      <w:pPr>
        <w:spacing w:line="360" w:lineRule="auto"/>
        <w:rPr>
          <w:sz w:val="23"/>
          <w:szCs w:val="23"/>
        </w:rPr>
      </w:pPr>
      <w:r w:rsidRPr="00FE52C0">
        <w:rPr>
          <w:sz w:val="23"/>
          <w:szCs w:val="23"/>
        </w:rPr>
        <w:t xml:space="preserve">Repeating a study and recording the same or very similar results increases the studies reliability (Starman, 2013). Case studies cannot be replicated in the same way as other study methods as during repetition, the context of the case is already different making the reliability of case studies less precise than other forms of study (Mesec 1998, cited in Starman, 2013, p.41). Flyvbjerg (2006) identified five misconceptions about research involving case studies and highlighted </w:t>
      </w:r>
      <w:proofErr w:type="gramStart"/>
      <w:r w:rsidRPr="00FE52C0">
        <w:rPr>
          <w:sz w:val="23"/>
          <w:szCs w:val="23"/>
        </w:rPr>
        <w:t>that researchers</w:t>
      </w:r>
      <w:proofErr w:type="gramEnd"/>
      <w:r w:rsidRPr="00FE52C0">
        <w:rPr>
          <w:sz w:val="23"/>
          <w:szCs w:val="23"/>
        </w:rPr>
        <w:t xml:space="preserve"> like Donald Campbell had changed their opinions on the validity of case studies as a research method. Flyvbjerg concludes that many areas of study, particularly that of social science, could benefit from an increased number of well executed case studies.</w:t>
      </w:r>
    </w:p>
    <w:p w14:paraId="71D3983E" w14:textId="77777777" w:rsidR="00D8529A" w:rsidRPr="00FE52C0" w:rsidRDefault="00D8529A" w:rsidP="00AF2154">
      <w:pPr>
        <w:spacing w:line="360" w:lineRule="auto"/>
        <w:rPr>
          <w:sz w:val="23"/>
          <w:szCs w:val="23"/>
        </w:rPr>
      </w:pPr>
      <w:r w:rsidRPr="00FE52C0">
        <w:rPr>
          <w:sz w:val="23"/>
          <w:szCs w:val="23"/>
        </w:rPr>
        <w:t xml:space="preserve">The case study used in this assignment will be an exploratory case study. Yin (2014) asserts that case studies are an appropriate tool for researching ‘why’, ‘how’, ‘who’, and ‘what’ questions and exploratory case studies deal specifically with ‘how’ and ‘what’ questions. In </w:t>
      </w:r>
      <w:r w:rsidRPr="00FE52C0">
        <w:rPr>
          <w:sz w:val="23"/>
          <w:szCs w:val="23"/>
        </w:rPr>
        <w:lastRenderedPageBreak/>
        <w:t xml:space="preserve">this research, the participants were six pupils from a Year 7 class in a school in South Wales. All pupils in the class were informed of what the research question was and what they would be expected to do. They were then invited to take part in the research and a consent form was supplied to the parents or guardian of all pupils. These six pupils were selected out of the group of pupils whose parents or guardians gave their consent and who had given their assent to participate. The group consisted of five males and one female with a mixture of academic abilities. </w:t>
      </w:r>
    </w:p>
    <w:p w14:paraId="21B33B61" w14:textId="77777777" w:rsidR="00572490" w:rsidRPr="00FE52C0" w:rsidRDefault="00572490" w:rsidP="00AF2154">
      <w:pPr>
        <w:spacing w:line="360" w:lineRule="auto"/>
        <w:rPr>
          <w:b/>
          <w:bCs/>
          <w:sz w:val="23"/>
          <w:szCs w:val="23"/>
        </w:rPr>
      </w:pPr>
      <w:r w:rsidRPr="00FE52C0">
        <w:rPr>
          <w:b/>
          <w:bCs/>
          <w:sz w:val="23"/>
          <w:szCs w:val="23"/>
        </w:rPr>
        <w:t>Research Methods</w:t>
      </w:r>
    </w:p>
    <w:p w14:paraId="73F9C8A2" w14:textId="77777777" w:rsidR="00572490" w:rsidRPr="00FE52C0" w:rsidRDefault="00572490" w:rsidP="00AF2154">
      <w:pPr>
        <w:spacing w:line="360" w:lineRule="auto"/>
        <w:rPr>
          <w:sz w:val="23"/>
          <w:szCs w:val="23"/>
        </w:rPr>
      </w:pPr>
      <w:r w:rsidRPr="00FE52C0">
        <w:rPr>
          <w:sz w:val="23"/>
          <w:szCs w:val="23"/>
        </w:rPr>
        <w:t xml:space="preserve">This research used two methods for gathering data. A questionnaire and a simi structured group interview. A questionnaire was chosen to collect comparable information from every participant which could be directly related when analysed. The semi-structured interview then allowed further exploration of the evidence gathered in the questionnaires. When designing a questionnaire, it is important to remember that the purpose of the questionnaire is to provide answers to the question being asked by the research (Baxter, </w:t>
      </w:r>
      <w:proofErr w:type="gramStart"/>
      <w:r w:rsidRPr="00FE52C0">
        <w:rPr>
          <w:sz w:val="23"/>
          <w:szCs w:val="23"/>
        </w:rPr>
        <w:t>Jones</w:t>
      </w:r>
      <w:proofErr w:type="gramEnd"/>
      <w:r w:rsidRPr="00FE52C0">
        <w:rPr>
          <w:sz w:val="23"/>
          <w:szCs w:val="23"/>
        </w:rPr>
        <w:t xml:space="preserve"> and Khanduja, 2013). This is echoed by Lietz (2010) who further qualifies that questions should be clear, </w:t>
      </w:r>
      <w:proofErr w:type="gramStart"/>
      <w:r w:rsidRPr="00FE52C0">
        <w:rPr>
          <w:sz w:val="23"/>
          <w:szCs w:val="23"/>
        </w:rPr>
        <w:t>specific</w:t>
      </w:r>
      <w:proofErr w:type="gramEnd"/>
      <w:r w:rsidRPr="00FE52C0">
        <w:rPr>
          <w:sz w:val="23"/>
          <w:szCs w:val="23"/>
        </w:rPr>
        <w:t xml:space="preserve"> and simple whilst holding relevance to the aims of the research study. Lietz indicates that using simplistic language and considering splitting complex questions into smaller ones will aid in reducing the cognitive load of those responding to the questionnaire which can elicit more expansive responses. </w:t>
      </w:r>
      <w:proofErr w:type="spellStart"/>
      <w:r w:rsidRPr="00FE52C0">
        <w:rPr>
          <w:sz w:val="23"/>
          <w:szCs w:val="23"/>
        </w:rPr>
        <w:t>Foddy</w:t>
      </w:r>
      <w:proofErr w:type="spellEnd"/>
      <w:r w:rsidRPr="00FE52C0">
        <w:rPr>
          <w:sz w:val="23"/>
          <w:szCs w:val="23"/>
        </w:rPr>
        <w:t xml:space="preserve"> (1993) highlights that simplifying the language and reducing the use of jargon in questions can avoid the ‘question threat’ which occurs due to badly written questions. </w:t>
      </w:r>
    </w:p>
    <w:p w14:paraId="5092EB3B" w14:textId="77777777" w:rsidR="00572490" w:rsidRPr="00FE52C0" w:rsidRDefault="00572490" w:rsidP="00AF2154">
      <w:pPr>
        <w:spacing w:line="360" w:lineRule="auto"/>
        <w:rPr>
          <w:sz w:val="23"/>
          <w:szCs w:val="23"/>
        </w:rPr>
      </w:pPr>
      <w:r w:rsidRPr="00FE52C0">
        <w:rPr>
          <w:sz w:val="23"/>
          <w:szCs w:val="23"/>
        </w:rPr>
        <w:t xml:space="preserve">Advantages of using questionnaires include the ability for the questioner to include extra contextual information, which could be presented in the form of text or images, which allows for more complex questions to be asked (Brace, 2008). Lietz (2010) believes that when complex and specific questions are asked in a questionnaire, that questions should be ordered such that general questions on a topic come before those the look in more detail. The need to present questions in a specific order, highlights one of the disadvantages of using questionnaires. Once the respondent has the questionnaire, there is no way of stopping them from reading through all the questions and answering them in any order (Brace, 2008). This may lead to the respondent being prompted to include certain pieces of information in earlier answers than they otherwise would have done because they have seen what comes later in the questionnaire. </w:t>
      </w:r>
    </w:p>
    <w:p w14:paraId="2F57245B" w14:textId="77777777" w:rsidR="00572490" w:rsidRPr="00FE52C0" w:rsidRDefault="00572490" w:rsidP="00AF2154">
      <w:pPr>
        <w:spacing w:line="360" w:lineRule="auto"/>
        <w:rPr>
          <w:sz w:val="23"/>
          <w:szCs w:val="23"/>
        </w:rPr>
      </w:pPr>
      <w:r w:rsidRPr="00FE52C0">
        <w:rPr>
          <w:sz w:val="23"/>
          <w:szCs w:val="23"/>
        </w:rPr>
        <w:lastRenderedPageBreak/>
        <w:t xml:space="preserve">The questionnaire used in this research (Appendix. C) was designed to gain an understanding of how much of the feedback given was retained by the pupils and their thoughts about the impact of the different forms of feedback on their learning. In order to gain as much information as possible, open questions were used when asking pupils to recall feedback given to them. The freedom to offer any thought which may seem relevant is one of the chief advantages of using open questions in a questionnaire (Oppenheim, 2005). The later questions are more concerned with understanding which form of feedback was thought to have made more of an impact on the pupil and the reasons for their choice. The final question </w:t>
      </w:r>
      <w:proofErr w:type="spellStart"/>
      <w:r w:rsidRPr="00FE52C0">
        <w:rPr>
          <w:sz w:val="23"/>
          <w:szCs w:val="23"/>
        </w:rPr>
        <w:t>askes</w:t>
      </w:r>
      <w:proofErr w:type="spellEnd"/>
      <w:r w:rsidRPr="00FE52C0">
        <w:rPr>
          <w:sz w:val="23"/>
          <w:szCs w:val="23"/>
        </w:rPr>
        <w:t xml:space="preserve"> the pupil to rate the impact the two different forms of feedback have had on their confidence to attempt further questions on the topic using a Likert scale where 1 is no impact and 5 is a significant impact. Lietz (2010) suggests that Likert scales are most effective when they contain between five and eight options and the choice to have five options was made to give a clear middle option and so as not to overwhelm the respondents given their ages. It should be noted that the using a Likert scale for responses can introduce the potential for social desirability bias where the respondents avoid selecting the more extreme options in order to portray themselves as conforming to similar views to those around them (Jones and Rattray, 2007).</w:t>
      </w:r>
    </w:p>
    <w:p w14:paraId="3D1A7C71" w14:textId="77777777" w:rsidR="00572490" w:rsidRPr="00FE52C0" w:rsidRDefault="00572490" w:rsidP="00AF2154">
      <w:pPr>
        <w:spacing w:line="360" w:lineRule="auto"/>
        <w:rPr>
          <w:sz w:val="23"/>
          <w:szCs w:val="23"/>
        </w:rPr>
      </w:pPr>
      <w:r w:rsidRPr="00FE52C0">
        <w:rPr>
          <w:sz w:val="23"/>
          <w:szCs w:val="23"/>
        </w:rPr>
        <w:t xml:space="preserve">In qualitative research, the semi-structured interview is the data collection method which is most commonly used (DiCicco-Bloom and Crabtree, 2006). </w:t>
      </w:r>
      <w:proofErr w:type="spellStart"/>
      <w:r w:rsidRPr="00FE52C0">
        <w:rPr>
          <w:sz w:val="23"/>
          <w:szCs w:val="23"/>
        </w:rPr>
        <w:t>Alhabsyi</w:t>
      </w:r>
      <w:proofErr w:type="spellEnd"/>
      <w:r w:rsidRPr="00FE52C0">
        <w:rPr>
          <w:sz w:val="23"/>
          <w:szCs w:val="23"/>
        </w:rPr>
        <w:t xml:space="preserve"> </w:t>
      </w:r>
      <w:r w:rsidRPr="00FE52C0">
        <w:rPr>
          <w:i/>
          <w:iCs/>
          <w:sz w:val="23"/>
          <w:szCs w:val="23"/>
        </w:rPr>
        <w:t>et al</w:t>
      </w:r>
      <w:r w:rsidRPr="00FE52C0">
        <w:rPr>
          <w:sz w:val="23"/>
          <w:szCs w:val="23"/>
        </w:rPr>
        <w:t xml:space="preserve"> (2022) state that semi-structured interviews offer a level of flexibility and adaptability which allow the researcher to investigate ideas raised by the interviewees. The flexible format also allows the interview to be more akin to a conversation than a formal interview, although this more informal feel can present a challenge to maintain focus on the topic being discussed. Johnson </w:t>
      </w:r>
      <w:r w:rsidRPr="00FE52C0">
        <w:rPr>
          <w:i/>
          <w:iCs/>
          <w:sz w:val="23"/>
          <w:szCs w:val="23"/>
        </w:rPr>
        <w:t>et al.</w:t>
      </w:r>
      <w:r w:rsidRPr="00FE52C0">
        <w:rPr>
          <w:sz w:val="23"/>
          <w:szCs w:val="23"/>
        </w:rPr>
        <w:t xml:space="preserve"> (2016) </w:t>
      </w:r>
      <w:proofErr w:type="gramStart"/>
      <w:r w:rsidRPr="00FE52C0">
        <w:rPr>
          <w:sz w:val="23"/>
          <w:szCs w:val="23"/>
        </w:rPr>
        <w:t>conclude</w:t>
      </w:r>
      <w:proofErr w:type="gramEnd"/>
      <w:r w:rsidRPr="00FE52C0">
        <w:rPr>
          <w:sz w:val="23"/>
          <w:szCs w:val="23"/>
        </w:rPr>
        <w:t xml:space="preserve"> that the adaptability of a semi-structured interview in allowing the interviewer to ask follow-up questions based either on answers given during the interview or evidence gathered through other methods during the research process, is one of the primary advantages of using semi-structured interviews.</w:t>
      </w:r>
    </w:p>
    <w:p w14:paraId="3C24DC88" w14:textId="3F870EDC" w:rsidR="00572490" w:rsidRPr="00FE52C0" w:rsidRDefault="00572490" w:rsidP="00AF2154">
      <w:pPr>
        <w:spacing w:line="360" w:lineRule="auto"/>
        <w:rPr>
          <w:sz w:val="23"/>
          <w:szCs w:val="23"/>
        </w:rPr>
      </w:pPr>
      <w:r w:rsidRPr="00FE52C0">
        <w:rPr>
          <w:sz w:val="23"/>
          <w:szCs w:val="23"/>
        </w:rPr>
        <w:t>The four questions prepared in the interview guide (Appendix D) beg</w:t>
      </w:r>
      <w:r w:rsidR="001D688E">
        <w:rPr>
          <w:sz w:val="23"/>
          <w:szCs w:val="23"/>
        </w:rPr>
        <w:t>an</w:t>
      </w:r>
      <w:r w:rsidRPr="00FE52C0">
        <w:rPr>
          <w:sz w:val="23"/>
          <w:szCs w:val="23"/>
        </w:rPr>
        <w:t xml:space="preserve"> by asking participants to expand on other feedback experiences they may have described in the questionnaire. It was decided that, given the age of the participants, beginning the interview with a question closely related to an answer the participants had given in the questionnaire would encourage them to engage with the interview process more easily than if they had to </w:t>
      </w:r>
      <w:r w:rsidRPr="00FE52C0">
        <w:rPr>
          <w:sz w:val="23"/>
          <w:szCs w:val="23"/>
        </w:rPr>
        <w:lastRenderedPageBreak/>
        <w:t>consider a new question.  The second question was designed to elicit their thoughts on how the different forms of feedback experienced might affect their learning long term as the research up to this point had been mostly focused on the immediate experiences of the feedback being given. The final two questions aim to discover the frequency with which the participants experience the two different feedback forms across their wider education.</w:t>
      </w:r>
    </w:p>
    <w:p w14:paraId="63D4CBCA" w14:textId="54C1B65F" w:rsidR="00A675CB" w:rsidRPr="00FE52C0" w:rsidRDefault="00A675CB" w:rsidP="00AF2154">
      <w:pPr>
        <w:spacing w:line="360" w:lineRule="auto"/>
        <w:rPr>
          <w:b/>
          <w:bCs/>
          <w:sz w:val="23"/>
          <w:szCs w:val="23"/>
        </w:rPr>
      </w:pPr>
      <w:r w:rsidRPr="00FE52C0">
        <w:rPr>
          <w:b/>
          <w:bCs/>
          <w:sz w:val="23"/>
          <w:szCs w:val="23"/>
        </w:rPr>
        <w:t>Data Presentation and Analysis</w:t>
      </w:r>
      <w:r w:rsidRPr="00FE52C0">
        <w:rPr>
          <w:b/>
          <w:bCs/>
          <w:sz w:val="23"/>
          <w:szCs w:val="23"/>
        </w:rPr>
        <w:t xml:space="preserve"> Methods</w:t>
      </w:r>
    </w:p>
    <w:p w14:paraId="759AF4D9" w14:textId="77777777" w:rsidR="00A675CB" w:rsidRPr="00FE52C0" w:rsidRDefault="00A675CB" w:rsidP="00AF2154">
      <w:pPr>
        <w:spacing w:line="360" w:lineRule="auto"/>
        <w:rPr>
          <w:sz w:val="23"/>
          <w:szCs w:val="23"/>
        </w:rPr>
      </w:pPr>
      <w:r w:rsidRPr="00FE52C0">
        <w:rPr>
          <w:sz w:val="23"/>
          <w:szCs w:val="23"/>
        </w:rPr>
        <w:t xml:space="preserve">Thematic analysis will be the primary method through which the data collected in this research will be analysed. This method was chosen because the majority of data gathered was qualitative in nature and thematic analysis is one of the most widely used methods of analysis when looking at qualitative data (Delahunt and Maguire, 2017).  Ahmed (2024) suggests that being able to ensure trustworthiness in qualitative research findings is a critical step to creating credibility in research findings. The analysis of the data is a central part of the credibility of qualitative research (Delahunt and Maguire, 2017) and the use of existing and proven frameworks, such as those of Braun and Clarke (2006), lend credibility. Ahmed (2024) also asserts that a fundamental aspect of qualitative research is that the findings are able to accurately echo the real experiences of the participants. </w:t>
      </w:r>
    </w:p>
    <w:p w14:paraId="54B01B52" w14:textId="77777777" w:rsidR="00A675CB" w:rsidRPr="00FE52C0" w:rsidRDefault="00A675CB" w:rsidP="00AF2154">
      <w:pPr>
        <w:spacing w:line="360" w:lineRule="auto"/>
        <w:rPr>
          <w:sz w:val="23"/>
          <w:szCs w:val="23"/>
        </w:rPr>
      </w:pPr>
      <w:r w:rsidRPr="00FE52C0">
        <w:rPr>
          <w:sz w:val="23"/>
          <w:szCs w:val="23"/>
        </w:rPr>
        <w:t xml:space="preserve">To create trustworthiness, Ahmed (2024) observed that researchers conduct their research over extended periods of time with persistent levels of observation and multiple methods of data collection to triangulate consistency in their results. The nature of this assignment meant that it was not possible to conduct research over an extended period of time which will limit the credibility of the findings. In order to ensure trustworthiness in this research two processes were carried out. Member checking is the process of presenting the research findings to the participants to allow them to assess whether their experiences have been represented accurately and offering them the opportunity to correct any misinterpretations which may have occurred (Ahmed, 2024). This process occurred a week after the research had been carried out and all five pupils who participated in all elements of the research were given the opportunity to make comment on the research findings. All five participants validated the interpretations of the data. Being reflexive through processes such as reflexive journaling, allows the researcher to more clearly understand how their views and biases could affect the research process and plan accordingly (Berger, 2015; Ahmed, 2024). The acknowledgment of the researcher’s biases allows anyone viewing the research to analyse </w:t>
      </w:r>
      <w:r w:rsidRPr="00FE52C0">
        <w:rPr>
          <w:sz w:val="23"/>
          <w:szCs w:val="23"/>
        </w:rPr>
        <w:lastRenderedPageBreak/>
        <w:t xml:space="preserve">it with clearer criticality. The position and beliefs of the researcher have been stated earlier in this assignment. </w:t>
      </w:r>
    </w:p>
    <w:p w14:paraId="0315079D" w14:textId="77777777" w:rsidR="00A675CB" w:rsidRPr="00FE52C0" w:rsidRDefault="00A675CB" w:rsidP="00AF2154">
      <w:pPr>
        <w:spacing w:line="360" w:lineRule="auto"/>
        <w:rPr>
          <w:sz w:val="23"/>
          <w:szCs w:val="23"/>
        </w:rPr>
      </w:pPr>
      <w:r w:rsidRPr="00FE52C0">
        <w:rPr>
          <w:sz w:val="23"/>
          <w:szCs w:val="23"/>
        </w:rPr>
        <w:t xml:space="preserve">The method of coding when used in relation to </w:t>
      </w:r>
      <w:proofErr w:type="gramStart"/>
      <w:r w:rsidRPr="00FE52C0">
        <w:rPr>
          <w:sz w:val="23"/>
          <w:szCs w:val="23"/>
        </w:rPr>
        <w:t>analysing</w:t>
      </w:r>
      <w:proofErr w:type="gramEnd"/>
      <w:r w:rsidRPr="00FE52C0">
        <w:rPr>
          <w:sz w:val="23"/>
          <w:szCs w:val="23"/>
        </w:rPr>
        <w:t xml:space="preserve"> qualitative data means categorising the data into groups. The data in each group, or code, is informing the researcher about a similar theme occurring in the research (Stuckey, 2015). Coding is commonly used to analyse qualitative data as it allows the researcher to observe themes and patterns which emerge from the data more easily and it helps reduce the volume of data into its most meaningful elements (Rivas, 2012). The quantitative data generated by the use of the Linkert scale will be displayed graphically to give a visual representation of the data that is accessible. </w:t>
      </w:r>
    </w:p>
    <w:p w14:paraId="375A2C34" w14:textId="77777777" w:rsidR="007F6CE9" w:rsidRPr="00FE52C0" w:rsidRDefault="007F6CE9" w:rsidP="00AF2154">
      <w:pPr>
        <w:spacing w:line="360" w:lineRule="auto"/>
        <w:rPr>
          <w:b/>
          <w:bCs/>
          <w:sz w:val="23"/>
          <w:szCs w:val="23"/>
        </w:rPr>
      </w:pPr>
      <w:r w:rsidRPr="00FE52C0">
        <w:rPr>
          <w:b/>
          <w:bCs/>
          <w:sz w:val="23"/>
          <w:szCs w:val="23"/>
        </w:rPr>
        <w:t>Ethical Considerations</w:t>
      </w:r>
    </w:p>
    <w:p w14:paraId="195E9A97" w14:textId="7E5AE235" w:rsidR="007F6CE9" w:rsidRPr="00FE52C0" w:rsidRDefault="00A7377A" w:rsidP="00AF2154">
      <w:pPr>
        <w:spacing w:line="360" w:lineRule="auto"/>
        <w:rPr>
          <w:sz w:val="23"/>
          <w:szCs w:val="23"/>
        </w:rPr>
      </w:pPr>
      <w:r>
        <w:rPr>
          <w:sz w:val="23"/>
          <w:szCs w:val="23"/>
        </w:rPr>
        <w:t xml:space="preserve">The ethics form submitted for the research carried out in this assignment can be found in full in Appendix B. </w:t>
      </w:r>
      <w:r w:rsidR="007F6CE9" w:rsidRPr="00FE52C0">
        <w:rPr>
          <w:sz w:val="23"/>
          <w:szCs w:val="23"/>
        </w:rPr>
        <w:t xml:space="preserve">The British Educational Research Association set out that any individual involved in or affected by a piece of research being carried out should be treated with respect, fairness, dignity and be free from prejudices which may stem from their differences to others (BERA, 2018). The research involved in this assignment focused entirely on children between the ages of 11 and 12. Because the participants in this research were under the age of 18, parental consent was needed as well as assent by each individual taking part in the research. In order to gain parental consent a letter was sent out to the parents of every child in the class which was to be involved in the research (Appendix A). The letter detailed the purpose of the research and the processes in which their child would be involved as well as contact information should they have any questions. Included with the letter was an explanation of what would be expected of the child written in language which the child could access. </w:t>
      </w:r>
    </w:p>
    <w:p w14:paraId="5D5D4235" w14:textId="77777777" w:rsidR="007F6CE9" w:rsidRPr="00FE52C0" w:rsidRDefault="007F6CE9" w:rsidP="00AF2154">
      <w:pPr>
        <w:spacing w:line="360" w:lineRule="auto"/>
        <w:rPr>
          <w:sz w:val="23"/>
          <w:szCs w:val="23"/>
        </w:rPr>
      </w:pPr>
      <w:r w:rsidRPr="00FE52C0">
        <w:rPr>
          <w:sz w:val="23"/>
          <w:szCs w:val="23"/>
        </w:rPr>
        <w:t xml:space="preserve">As each child returned their consent form, they were asked if they were willing to take part in the research project and those who were not were disregarded from the rest of the process. This was the first point of gaining continued pupil assent. Once all responses were returned, six pupils were chosen to take part in the research and were asked if they were still willing to do so, this being the next point of ongoing pupil assent. There were three other moments during which assent was sought from the pupils participating in the research, each occurring at a point where the pupils were required to perform a task. At each point it </w:t>
      </w:r>
      <w:r w:rsidRPr="00FE52C0">
        <w:rPr>
          <w:sz w:val="23"/>
          <w:szCs w:val="23"/>
        </w:rPr>
        <w:lastRenderedPageBreak/>
        <w:t xml:space="preserve">was made clear to the pupils that their participation was voluntary and that they could leave the process at any time. Kirby (2020) identified that schools are places where children expect to have to conform to adult’s expectations of them and this can make them reluctant to dissent from a process such as this. To avoid this scenario occurring the pupils were explicitly informed that should they choose to no longer be part of the research that it would not have negative consequences for them. They were also told that they could withdraw from the process by not completing any task given and that no further questions would be asked of them. At the beginning of the group interview it was made clear that should they no longer wish to be part of the </w:t>
      </w:r>
      <w:proofErr w:type="gramStart"/>
      <w:r w:rsidRPr="00FE52C0">
        <w:rPr>
          <w:sz w:val="23"/>
          <w:szCs w:val="23"/>
        </w:rPr>
        <w:t>research,</w:t>
      </w:r>
      <w:proofErr w:type="gramEnd"/>
      <w:r w:rsidRPr="00FE52C0">
        <w:rPr>
          <w:sz w:val="23"/>
          <w:szCs w:val="23"/>
        </w:rPr>
        <w:t xml:space="preserve"> they could exit the room and anything they had said up to that point would be disregarded. Before the group interview began one pupil decided to exit the process.</w:t>
      </w:r>
    </w:p>
    <w:p w14:paraId="780DB01D" w14:textId="77777777" w:rsidR="0057212C" w:rsidRPr="00FE52C0" w:rsidRDefault="0057212C" w:rsidP="00AF2154">
      <w:pPr>
        <w:pStyle w:val="TableParagraph"/>
        <w:spacing w:before="2" w:line="360" w:lineRule="auto"/>
        <w:rPr>
          <w:rFonts w:asciiTheme="minorHAnsi" w:hAnsiTheme="minorHAnsi"/>
          <w:b/>
          <w:bCs/>
          <w:sz w:val="23"/>
          <w:szCs w:val="23"/>
        </w:rPr>
      </w:pPr>
      <w:r w:rsidRPr="00FE52C0">
        <w:rPr>
          <w:rFonts w:asciiTheme="minorHAnsi" w:hAnsiTheme="minorHAnsi"/>
          <w:b/>
          <w:bCs/>
          <w:sz w:val="23"/>
          <w:szCs w:val="23"/>
        </w:rPr>
        <w:t>Results</w:t>
      </w:r>
    </w:p>
    <w:p w14:paraId="402A3ABA" w14:textId="77777777" w:rsidR="0057212C" w:rsidRPr="00FE52C0" w:rsidRDefault="0057212C" w:rsidP="00AF2154">
      <w:pPr>
        <w:pStyle w:val="TableParagraph"/>
        <w:spacing w:before="2" w:line="360" w:lineRule="auto"/>
        <w:rPr>
          <w:rFonts w:asciiTheme="minorHAnsi" w:hAnsiTheme="minorHAnsi"/>
          <w:b/>
          <w:bCs/>
          <w:sz w:val="23"/>
          <w:szCs w:val="23"/>
        </w:rPr>
      </w:pPr>
    </w:p>
    <w:p w14:paraId="2F1BC484" w14:textId="77777777" w:rsidR="0057212C" w:rsidRPr="00FE52C0" w:rsidRDefault="0057212C" w:rsidP="00AF2154">
      <w:pPr>
        <w:pStyle w:val="TableParagraph"/>
        <w:spacing w:before="2" w:line="360" w:lineRule="auto"/>
        <w:rPr>
          <w:rFonts w:asciiTheme="minorHAnsi" w:hAnsiTheme="minorHAnsi"/>
          <w:sz w:val="23"/>
          <w:szCs w:val="23"/>
        </w:rPr>
      </w:pPr>
      <w:r w:rsidRPr="00FE52C0">
        <w:rPr>
          <w:rFonts w:asciiTheme="minorHAnsi" w:hAnsiTheme="minorHAnsi"/>
          <w:sz w:val="23"/>
          <w:szCs w:val="23"/>
        </w:rPr>
        <w:t>In looking at the question ‘How</w:t>
      </w:r>
      <w:r w:rsidRPr="00FE52C0">
        <w:rPr>
          <w:rFonts w:asciiTheme="minorHAnsi" w:hAnsiTheme="minorHAnsi"/>
          <w:spacing w:val="-8"/>
          <w:sz w:val="23"/>
          <w:szCs w:val="23"/>
        </w:rPr>
        <w:t xml:space="preserve"> </w:t>
      </w:r>
      <w:r w:rsidRPr="00FE52C0">
        <w:rPr>
          <w:rFonts w:asciiTheme="minorHAnsi" w:hAnsiTheme="minorHAnsi"/>
          <w:sz w:val="23"/>
          <w:szCs w:val="23"/>
        </w:rPr>
        <w:t>do</w:t>
      </w:r>
      <w:r w:rsidRPr="00FE52C0">
        <w:rPr>
          <w:rFonts w:asciiTheme="minorHAnsi" w:hAnsiTheme="minorHAnsi"/>
          <w:spacing w:val="-5"/>
          <w:sz w:val="23"/>
          <w:szCs w:val="23"/>
        </w:rPr>
        <w:t xml:space="preserve"> </w:t>
      </w:r>
      <w:r w:rsidRPr="00FE52C0">
        <w:rPr>
          <w:rFonts w:asciiTheme="minorHAnsi" w:hAnsiTheme="minorHAnsi"/>
          <w:sz w:val="23"/>
          <w:szCs w:val="23"/>
        </w:rPr>
        <w:t>Year</w:t>
      </w:r>
      <w:r w:rsidRPr="00FE52C0">
        <w:rPr>
          <w:rFonts w:asciiTheme="minorHAnsi" w:hAnsiTheme="minorHAnsi"/>
          <w:spacing w:val="-5"/>
          <w:sz w:val="23"/>
          <w:szCs w:val="23"/>
        </w:rPr>
        <w:t xml:space="preserve"> </w:t>
      </w:r>
      <w:r w:rsidRPr="00FE52C0">
        <w:rPr>
          <w:rFonts w:asciiTheme="minorHAnsi" w:hAnsiTheme="minorHAnsi"/>
          <w:sz w:val="23"/>
          <w:szCs w:val="23"/>
        </w:rPr>
        <w:t>7</w:t>
      </w:r>
      <w:r w:rsidRPr="00FE52C0">
        <w:rPr>
          <w:rFonts w:asciiTheme="minorHAnsi" w:hAnsiTheme="minorHAnsi"/>
          <w:spacing w:val="-4"/>
          <w:sz w:val="23"/>
          <w:szCs w:val="23"/>
        </w:rPr>
        <w:t xml:space="preserve"> </w:t>
      </w:r>
      <w:r w:rsidRPr="00FE52C0">
        <w:rPr>
          <w:rFonts w:asciiTheme="minorHAnsi" w:hAnsiTheme="minorHAnsi"/>
          <w:sz w:val="23"/>
          <w:szCs w:val="23"/>
        </w:rPr>
        <w:t>pupils</w:t>
      </w:r>
      <w:r w:rsidRPr="00FE52C0">
        <w:rPr>
          <w:rFonts w:asciiTheme="minorHAnsi" w:hAnsiTheme="minorHAnsi"/>
          <w:spacing w:val="-4"/>
          <w:sz w:val="23"/>
          <w:szCs w:val="23"/>
        </w:rPr>
        <w:t xml:space="preserve"> </w:t>
      </w:r>
      <w:r w:rsidRPr="00FE52C0">
        <w:rPr>
          <w:rFonts w:asciiTheme="minorHAnsi" w:hAnsiTheme="minorHAnsi"/>
          <w:sz w:val="23"/>
          <w:szCs w:val="23"/>
        </w:rPr>
        <w:t>engage</w:t>
      </w:r>
      <w:r w:rsidRPr="00FE52C0">
        <w:rPr>
          <w:rFonts w:asciiTheme="minorHAnsi" w:hAnsiTheme="minorHAnsi"/>
          <w:spacing w:val="-5"/>
          <w:sz w:val="23"/>
          <w:szCs w:val="23"/>
        </w:rPr>
        <w:t xml:space="preserve"> </w:t>
      </w:r>
      <w:r w:rsidRPr="00FE52C0">
        <w:rPr>
          <w:rFonts w:asciiTheme="minorHAnsi" w:hAnsiTheme="minorHAnsi"/>
          <w:sz w:val="23"/>
          <w:szCs w:val="23"/>
        </w:rPr>
        <w:t>differently</w:t>
      </w:r>
      <w:r w:rsidRPr="00FE52C0">
        <w:rPr>
          <w:rFonts w:asciiTheme="minorHAnsi" w:hAnsiTheme="minorHAnsi"/>
          <w:spacing w:val="-6"/>
          <w:sz w:val="23"/>
          <w:szCs w:val="23"/>
        </w:rPr>
        <w:t xml:space="preserve"> </w:t>
      </w:r>
      <w:r w:rsidRPr="00FE52C0">
        <w:rPr>
          <w:rFonts w:asciiTheme="minorHAnsi" w:hAnsiTheme="minorHAnsi"/>
          <w:sz w:val="23"/>
          <w:szCs w:val="23"/>
        </w:rPr>
        <w:t>with</w:t>
      </w:r>
      <w:r w:rsidRPr="00FE52C0">
        <w:rPr>
          <w:rFonts w:asciiTheme="minorHAnsi" w:hAnsiTheme="minorHAnsi"/>
          <w:spacing w:val="-2"/>
          <w:sz w:val="23"/>
          <w:szCs w:val="23"/>
        </w:rPr>
        <w:t xml:space="preserve"> </w:t>
      </w:r>
      <w:r w:rsidRPr="00FE52C0">
        <w:rPr>
          <w:rFonts w:asciiTheme="minorHAnsi" w:hAnsiTheme="minorHAnsi"/>
          <w:sz w:val="23"/>
          <w:szCs w:val="23"/>
        </w:rPr>
        <w:t>immediate</w:t>
      </w:r>
      <w:r w:rsidRPr="00FE52C0">
        <w:rPr>
          <w:rFonts w:asciiTheme="minorHAnsi" w:hAnsiTheme="minorHAnsi"/>
          <w:spacing w:val="-7"/>
          <w:sz w:val="23"/>
          <w:szCs w:val="23"/>
        </w:rPr>
        <w:t xml:space="preserve"> </w:t>
      </w:r>
      <w:r w:rsidRPr="00FE52C0">
        <w:rPr>
          <w:rFonts w:asciiTheme="minorHAnsi" w:hAnsiTheme="minorHAnsi"/>
          <w:sz w:val="23"/>
          <w:szCs w:val="23"/>
        </w:rPr>
        <w:t>feedback</w:t>
      </w:r>
      <w:r w:rsidRPr="00FE52C0">
        <w:rPr>
          <w:rFonts w:asciiTheme="minorHAnsi" w:hAnsiTheme="minorHAnsi"/>
          <w:spacing w:val="-4"/>
          <w:sz w:val="23"/>
          <w:szCs w:val="23"/>
        </w:rPr>
        <w:t xml:space="preserve"> </w:t>
      </w:r>
      <w:r w:rsidRPr="00FE52C0">
        <w:rPr>
          <w:rFonts w:asciiTheme="minorHAnsi" w:hAnsiTheme="minorHAnsi"/>
          <w:sz w:val="23"/>
          <w:szCs w:val="23"/>
        </w:rPr>
        <w:t>and</w:t>
      </w:r>
      <w:r w:rsidRPr="00FE52C0">
        <w:rPr>
          <w:rFonts w:asciiTheme="minorHAnsi" w:hAnsiTheme="minorHAnsi"/>
          <w:spacing w:val="-5"/>
          <w:sz w:val="23"/>
          <w:szCs w:val="23"/>
        </w:rPr>
        <w:t xml:space="preserve"> </w:t>
      </w:r>
      <w:r w:rsidRPr="00FE52C0">
        <w:rPr>
          <w:rFonts w:asciiTheme="minorHAnsi" w:hAnsiTheme="minorHAnsi"/>
          <w:sz w:val="23"/>
          <w:szCs w:val="23"/>
        </w:rPr>
        <w:t>delayed</w:t>
      </w:r>
      <w:r w:rsidRPr="00FE52C0">
        <w:rPr>
          <w:rFonts w:asciiTheme="minorHAnsi" w:hAnsiTheme="minorHAnsi"/>
          <w:spacing w:val="-6"/>
          <w:sz w:val="23"/>
          <w:szCs w:val="23"/>
        </w:rPr>
        <w:t xml:space="preserve"> </w:t>
      </w:r>
      <w:r w:rsidRPr="00FE52C0">
        <w:rPr>
          <w:rFonts w:asciiTheme="minorHAnsi" w:hAnsiTheme="minorHAnsi"/>
          <w:spacing w:val="-2"/>
          <w:sz w:val="23"/>
          <w:szCs w:val="23"/>
        </w:rPr>
        <w:t xml:space="preserve">feedback?’ two research tools were employed. A questionnaire was used to collect information about how much of the feedback the pupils could </w:t>
      </w:r>
      <w:proofErr w:type="gramStart"/>
      <w:r w:rsidRPr="00FE52C0">
        <w:rPr>
          <w:rFonts w:asciiTheme="minorHAnsi" w:hAnsiTheme="minorHAnsi"/>
          <w:spacing w:val="-2"/>
          <w:sz w:val="23"/>
          <w:szCs w:val="23"/>
        </w:rPr>
        <w:t>recall</w:t>
      </w:r>
      <w:proofErr w:type="gramEnd"/>
      <w:r w:rsidRPr="00FE52C0">
        <w:rPr>
          <w:rFonts w:asciiTheme="minorHAnsi" w:hAnsiTheme="minorHAnsi"/>
          <w:spacing w:val="-2"/>
          <w:sz w:val="23"/>
          <w:szCs w:val="23"/>
        </w:rPr>
        <w:t xml:space="preserve"> and a semi-structured group interview was carried out to explore their experiences of different types of feedback across their schooling. </w:t>
      </w:r>
      <w:r w:rsidRPr="00FE52C0">
        <w:rPr>
          <w:rFonts w:asciiTheme="minorHAnsi" w:hAnsiTheme="minorHAnsi"/>
          <w:sz w:val="23"/>
          <w:szCs w:val="23"/>
        </w:rPr>
        <w:t xml:space="preserve">The analysis of the data collected gives a clear picture that the participants valued delayed feedback over immediate feedback which goes against the expectation that immediate feedback would have a greater impact on participants. </w:t>
      </w:r>
    </w:p>
    <w:p w14:paraId="574ED8B7" w14:textId="77777777" w:rsidR="0057212C" w:rsidRPr="00FE52C0" w:rsidRDefault="0057212C" w:rsidP="00AF2154">
      <w:pPr>
        <w:pStyle w:val="TableParagraph"/>
        <w:spacing w:before="2" w:line="360" w:lineRule="auto"/>
        <w:rPr>
          <w:rFonts w:asciiTheme="minorHAnsi" w:hAnsiTheme="minorHAnsi"/>
          <w:sz w:val="23"/>
          <w:szCs w:val="23"/>
        </w:rPr>
      </w:pPr>
      <w:r w:rsidRPr="00FE52C0">
        <w:rPr>
          <w:rFonts w:asciiTheme="minorHAnsi" w:hAnsiTheme="minorHAnsi"/>
          <w:sz w:val="23"/>
          <w:szCs w:val="23"/>
        </w:rPr>
        <w:t xml:space="preserve">The first two questions on the questionnaire were asking the participants to recall the feedback they had received on two different occasions. The first occasion was immediate feedback on a take they had been completing and was delivered during a lesson. The second was delayed feedback given on a piece of work which had been completed on a previous day and comments written on the piece of work which was then handed back to the participants. In both instances there was a separation between them receiving the feedback and being asked to recall it. This was an area highlighted by Fyfe </w:t>
      </w:r>
      <w:r w:rsidRPr="00FE52C0">
        <w:rPr>
          <w:rFonts w:asciiTheme="minorHAnsi" w:hAnsiTheme="minorHAnsi"/>
          <w:i/>
          <w:iCs/>
          <w:sz w:val="23"/>
          <w:szCs w:val="23"/>
        </w:rPr>
        <w:t>et al.,</w:t>
      </w:r>
      <w:r w:rsidRPr="00FE52C0">
        <w:rPr>
          <w:rFonts w:asciiTheme="minorHAnsi" w:hAnsiTheme="minorHAnsi"/>
          <w:sz w:val="23"/>
          <w:szCs w:val="23"/>
        </w:rPr>
        <w:t xml:space="preserve"> (2021) who showed that many studies on the reactions to different feedback types did not keep the gap between the initial experience of the feedback and the recollection therefore making the studies inaccurate. The interval between receiving and recalling was between 7 and 10 minutes for both types of feedback.</w:t>
      </w:r>
    </w:p>
    <w:p w14:paraId="06DCB961" w14:textId="77777777" w:rsidR="0057212C" w:rsidRPr="00FE52C0" w:rsidRDefault="0057212C" w:rsidP="00AF2154">
      <w:pPr>
        <w:spacing w:line="360" w:lineRule="auto"/>
        <w:rPr>
          <w:sz w:val="23"/>
          <w:szCs w:val="23"/>
        </w:rPr>
      </w:pPr>
      <w:r w:rsidRPr="00FE52C0">
        <w:rPr>
          <w:sz w:val="23"/>
          <w:szCs w:val="23"/>
        </w:rPr>
        <w:t xml:space="preserve">When comparing the notes made of the feedback given to each participant and their recollection, there is a clear difference between the two types of feedback. The recollection </w:t>
      </w:r>
      <w:r w:rsidRPr="00FE52C0">
        <w:rPr>
          <w:sz w:val="23"/>
          <w:szCs w:val="23"/>
        </w:rPr>
        <w:lastRenderedPageBreak/>
        <w:t xml:space="preserve">rate for the immediate feedback across all participants was 75%. Several of the participants were able to recall all of the feedback given but the majority were only able to recall parts of their feedback. In contrast to this, the recollection rate for the delayed feedback was 100%. Most participants also articulated inferences about the reasoning behind the delayed feedback which was something no participant did when writing about the immediate feedback. </w:t>
      </w:r>
    </w:p>
    <w:p w14:paraId="5CC069FF" w14:textId="77777777" w:rsidR="0057212C" w:rsidRPr="00FE52C0" w:rsidRDefault="0057212C" w:rsidP="00AF2154">
      <w:pPr>
        <w:spacing w:line="360" w:lineRule="auto"/>
        <w:rPr>
          <w:sz w:val="23"/>
          <w:szCs w:val="23"/>
        </w:rPr>
      </w:pPr>
      <w:r w:rsidRPr="00FE52C0">
        <w:rPr>
          <w:sz w:val="23"/>
          <w:szCs w:val="23"/>
        </w:rPr>
        <w:t xml:space="preserve">The preference for delayed feedback was made clearer when all the participants answered delayed feedback when asked which of the two types of feedback had had a greater impact on them. Several participants chose to give a reason for their choice and cited the ability to refer back to the feedback in the future as the reason they preferred delayed feedback. This raises a potential future study into whether immediate feedback would be more impactful if written down at the point of delivery. The ability to use written feedback as a reference tool was also highlighted during the semi-structured group interview which took place after both types of feedback had been experienced. </w:t>
      </w:r>
    </w:p>
    <w:p w14:paraId="5CAF3879" w14:textId="77777777" w:rsidR="0057212C" w:rsidRPr="00FE52C0" w:rsidRDefault="0057212C" w:rsidP="00AF2154">
      <w:pPr>
        <w:spacing w:line="360" w:lineRule="auto"/>
        <w:rPr>
          <w:sz w:val="23"/>
          <w:szCs w:val="23"/>
        </w:rPr>
      </w:pPr>
      <w:r w:rsidRPr="00FE52C0">
        <w:rPr>
          <w:sz w:val="23"/>
          <w:szCs w:val="23"/>
        </w:rPr>
        <w:t xml:space="preserve">Question 5 on the questionnaire asked the participants what other forms of feedback they had experienced whilst at school. None of the participants could name another form of feedback and when asked further about this in the interview they answered that they do not receive a lot of feedback in their lessons. They were then asked if they felt they received enough feedback to improve their learning and the consensus of the group was that they did not. This point would be worthy of further investigation because the school in which the research took place changed their whole school marking policy for this academic year. Their new policy requires teachers to only give one piece of formal, written feedback per half term. This was done in order to tackle teacher workload and was also done with the aim of increasing the amount of immediate feedback and assessment for learning taking place within lessons. It would be worth eliciting the thoughts of pupils who had experienced the previous policy to compare their experiences. </w:t>
      </w:r>
    </w:p>
    <w:p w14:paraId="491655D2" w14:textId="77777777" w:rsidR="0057212C" w:rsidRPr="00FE52C0" w:rsidRDefault="0057212C" w:rsidP="00AF2154">
      <w:pPr>
        <w:spacing w:line="360" w:lineRule="auto"/>
        <w:rPr>
          <w:sz w:val="23"/>
          <w:szCs w:val="23"/>
        </w:rPr>
      </w:pPr>
      <w:r w:rsidRPr="00FE52C0">
        <w:rPr>
          <w:sz w:val="23"/>
          <w:szCs w:val="23"/>
        </w:rPr>
        <w:t xml:space="preserve">The participants were also asked about the quantity of homework they received from their teachers as homework can only offer delayed feedback. Their responses ranged from once a fortnight to once every three weeks and they agreed that the frequency of homework was very subject specific. They were also asked about the type of feedback they experienced most whilst at primary school in order to gage whether their preference for delayed feedback was due more to familiarity than an informed choice. All participants reported </w:t>
      </w:r>
      <w:r w:rsidRPr="00FE52C0">
        <w:rPr>
          <w:sz w:val="23"/>
          <w:szCs w:val="23"/>
        </w:rPr>
        <w:lastRenderedPageBreak/>
        <w:t xml:space="preserve">that they had experienced a mixture of immediate and delayed feedback whilst at primary school and none could say that they had experienced one type significantly more than the other. </w:t>
      </w:r>
    </w:p>
    <w:p w14:paraId="78E72749" w14:textId="77777777" w:rsidR="0057212C" w:rsidRPr="00FE52C0" w:rsidRDefault="0057212C" w:rsidP="00AF2154">
      <w:pPr>
        <w:spacing w:line="360" w:lineRule="auto"/>
        <w:rPr>
          <w:noProof/>
          <w:sz w:val="23"/>
          <w:szCs w:val="23"/>
        </w:rPr>
      </w:pPr>
      <w:r w:rsidRPr="00FE52C0">
        <w:rPr>
          <w:noProof/>
          <w:sz w:val="23"/>
          <w:szCs w:val="23"/>
        </w:rPr>
        <w:t xml:space="preserve"> </w:t>
      </w:r>
      <w:r w:rsidRPr="00FE52C0">
        <w:rPr>
          <w:sz w:val="23"/>
          <w:szCs w:val="23"/>
        </w:rPr>
        <w:t>The final question on the questionnaire asked the participants to rate how much the feedback had impacted their confidence to attempt further questions on the same topic using a Likert Scale where 1 represented no impact and 5 represented a significant impact. The results are displayed in a bar graph is Figure 1.</w:t>
      </w:r>
      <w:r w:rsidRPr="00FE52C0">
        <w:rPr>
          <w:noProof/>
          <w:sz w:val="23"/>
          <w:szCs w:val="23"/>
        </w:rPr>
        <w:t xml:space="preserve"> The chart shows that both forms of feedback had some impact on the pupils confidence to attempt further questions on a topic but 80% of the pupils believed that the delayed feedback had a greater impact on their confidence.</w:t>
      </w:r>
    </w:p>
    <w:p w14:paraId="56DB1F18" w14:textId="7E0C1407" w:rsidR="0057212C" w:rsidRPr="00FE52C0" w:rsidRDefault="0057212C" w:rsidP="00AF2154">
      <w:pPr>
        <w:spacing w:line="360" w:lineRule="auto"/>
        <w:rPr>
          <w:sz w:val="23"/>
          <w:szCs w:val="23"/>
        </w:rPr>
      </w:pPr>
      <w:r w:rsidRPr="00FE52C0">
        <w:rPr>
          <w:noProof/>
          <w:sz w:val="23"/>
          <w:szCs w:val="23"/>
        </w:rPr>
        <w:t>The data collected for this study came from a small sample group and therefore may not be representative of the views of all pupils in the class. Were this study to be performed again a larger sample size, potentially including pupils from other Year 7 classes in the school, would increase the validity of the results.</w:t>
      </w:r>
    </w:p>
    <w:p w14:paraId="17AD3269" w14:textId="6C2806D8" w:rsidR="009038A1" w:rsidRPr="00FE52C0" w:rsidRDefault="00AC5D96" w:rsidP="00AF2154">
      <w:pPr>
        <w:spacing w:line="360" w:lineRule="auto"/>
        <w:rPr>
          <w:sz w:val="23"/>
          <w:szCs w:val="23"/>
        </w:rPr>
      </w:pPr>
      <w:r w:rsidRPr="00FE52C0">
        <w:rPr>
          <w:noProof/>
          <w:sz w:val="23"/>
          <w:szCs w:val="23"/>
        </w:rPr>
        <w:drawing>
          <wp:anchor distT="0" distB="0" distL="114300" distR="114300" simplePos="0" relativeHeight="251659264" behindDoc="0" locked="0" layoutInCell="1" allowOverlap="1" wp14:anchorId="50026756" wp14:editId="22FCB49E">
            <wp:simplePos x="0" y="0"/>
            <wp:positionH relativeFrom="column">
              <wp:posOffset>-45720</wp:posOffset>
            </wp:positionH>
            <wp:positionV relativeFrom="paragraph">
              <wp:posOffset>7620</wp:posOffset>
            </wp:positionV>
            <wp:extent cx="5731510" cy="2929255"/>
            <wp:effectExtent l="0" t="0" r="2540" b="4445"/>
            <wp:wrapNone/>
            <wp:docPr id="1349997647" name="Chart 1">
              <a:extLst xmlns:a="http://schemas.openxmlformats.org/drawingml/2006/main">
                <a:ext uri="{FF2B5EF4-FFF2-40B4-BE49-F238E27FC236}">
                  <a16:creationId xmlns:a16="http://schemas.microsoft.com/office/drawing/2014/main" id="{6EB48B67-095B-6F82-59FC-56407C23D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r w:rsidRPr="00FE52C0">
        <w:rPr>
          <w:noProof/>
          <w:sz w:val="23"/>
          <w:szCs w:val="23"/>
        </w:rPr>
        <mc:AlternateContent>
          <mc:Choice Requires="wps">
            <w:drawing>
              <wp:anchor distT="45720" distB="45720" distL="114300" distR="114300" simplePos="0" relativeHeight="251660288" behindDoc="0" locked="0" layoutInCell="1" allowOverlap="1" wp14:anchorId="2F44B410" wp14:editId="66B1CB56">
                <wp:simplePos x="0" y="0"/>
                <wp:positionH relativeFrom="column">
                  <wp:posOffset>4776267</wp:posOffset>
                </wp:positionH>
                <wp:positionV relativeFrom="paragraph">
                  <wp:posOffset>2450693</wp:posOffset>
                </wp:positionV>
                <wp:extent cx="8661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404620"/>
                        </a:xfrm>
                        <a:prstGeom prst="rect">
                          <a:avLst/>
                        </a:prstGeom>
                        <a:solidFill>
                          <a:srgbClr val="FFFFFF"/>
                        </a:solidFill>
                        <a:ln w="9525">
                          <a:noFill/>
                          <a:miter lim="800000"/>
                          <a:headEnd/>
                          <a:tailEnd/>
                        </a:ln>
                      </wps:spPr>
                      <wps:txbx>
                        <w:txbxContent>
                          <w:p w14:paraId="702F3097" w14:textId="035E2387" w:rsidR="0057212C" w:rsidRPr="0057212C" w:rsidRDefault="0057212C" w:rsidP="0057212C">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44B410" id="_x0000_t202" coordsize="21600,21600" o:spt="202" path="m,l,21600r21600,l21600,xe">
                <v:stroke joinstyle="miter"/>
                <v:path gradientshapeok="t" o:connecttype="rect"/>
              </v:shapetype>
              <v:shape id="Text Box 2" o:spid="_x0000_s1026" type="#_x0000_t202" style="position:absolute;margin-left:376.1pt;margin-top:192.95pt;width:68.2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" stroked="f">
                <v:textbox style="mso-fit-shape-to-text:t">
                  <w:txbxContent>
                    <w:p w14:paraId="702F3097" w14:textId="035E2387" w:rsidR="0057212C" w:rsidRPr="0057212C" w:rsidRDefault="0057212C" w:rsidP="0057212C">
                      <w:r>
                        <w:t>Figure 1</w:t>
                      </w:r>
                    </w:p>
                  </w:txbxContent>
                </v:textbox>
                <w10:wrap type="square"/>
              </v:shape>
            </w:pict>
          </mc:Fallback>
        </mc:AlternateContent>
      </w:r>
    </w:p>
    <w:p w14:paraId="07AB76EE" w14:textId="77777777" w:rsidR="00D05221" w:rsidRPr="00FE52C0" w:rsidRDefault="00D05221" w:rsidP="00AF2154">
      <w:pPr>
        <w:spacing w:line="360" w:lineRule="auto"/>
        <w:rPr>
          <w:sz w:val="23"/>
          <w:szCs w:val="23"/>
        </w:rPr>
      </w:pPr>
    </w:p>
    <w:p w14:paraId="6939E2D0" w14:textId="77777777" w:rsidR="00D05221" w:rsidRPr="00FE52C0" w:rsidRDefault="00D05221" w:rsidP="00AF2154">
      <w:pPr>
        <w:spacing w:line="360" w:lineRule="auto"/>
        <w:rPr>
          <w:sz w:val="23"/>
          <w:szCs w:val="23"/>
        </w:rPr>
      </w:pPr>
    </w:p>
    <w:p w14:paraId="7DDF04A9" w14:textId="77777777" w:rsidR="00D05221" w:rsidRPr="00FE52C0" w:rsidRDefault="00D05221" w:rsidP="00AF2154">
      <w:pPr>
        <w:spacing w:line="360" w:lineRule="auto"/>
        <w:rPr>
          <w:sz w:val="23"/>
          <w:szCs w:val="23"/>
        </w:rPr>
      </w:pPr>
    </w:p>
    <w:p w14:paraId="1DC951D5" w14:textId="77777777" w:rsidR="00D05221" w:rsidRPr="00FE52C0" w:rsidRDefault="00D05221" w:rsidP="00AF2154">
      <w:pPr>
        <w:spacing w:line="360" w:lineRule="auto"/>
        <w:rPr>
          <w:sz w:val="23"/>
          <w:szCs w:val="23"/>
        </w:rPr>
      </w:pPr>
    </w:p>
    <w:p w14:paraId="0F04C798" w14:textId="77777777" w:rsidR="00D05221" w:rsidRPr="00FE52C0" w:rsidRDefault="00D05221" w:rsidP="00AF2154">
      <w:pPr>
        <w:spacing w:line="360" w:lineRule="auto"/>
        <w:rPr>
          <w:sz w:val="23"/>
          <w:szCs w:val="23"/>
        </w:rPr>
      </w:pPr>
    </w:p>
    <w:p w14:paraId="050318A7" w14:textId="77777777" w:rsidR="00D05221" w:rsidRPr="00FE52C0" w:rsidRDefault="00D05221" w:rsidP="00AF2154">
      <w:pPr>
        <w:spacing w:line="360" w:lineRule="auto"/>
        <w:rPr>
          <w:sz w:val="23"/>
          <w:szCs w:val="23"/>
        </w:rPr>
      </w:pPr>
    </w:p>
    <w:p w14:paraId="2FF0997B" w14:textId="77777777" w:rsidR="00D05221" w:rsidRPr="00FE52C0" w:rsidRDefault="00D05221" w:rsidP="00AF2154">
      <w:pPr>
        <w:spacing w:line="360" w:lineRule="auto"/>
        <w:rPr>
          <w:sz w:val="23"/>
          <w:szCs w:val="23"/>
        </w:rPr>
      </w:pPr>
    </w:p>
    <w:p w14:paraId="01AFE189" w14:textId="77777777" w:rsidR="00D05221" w:rsidRPr="00FE52C0" w:rsidRDefault="00D05221" w:rsidP="00AF2154">
      <w:pPr>
        <w:spacing w:line="360" w:lineRule="auto"/>
        <w:rPr>
          <w:sz w:val="23"/>
          <w:szCs w:val="23"/>
        </w:rPr>
      </w:pPr>
    </w:p>
    <w:p w14:paraId="6E36B08B" w14:textId="77777777" w:rsidR="00D05221" w:rsidRPr="00FE52C0" w:rsidRDefault="00D05221" w:rsidP="00AF2154">
      <w:pPr>
        <w:spacing w:line="360" w:lineRule="auto"/>
        <w:rPr>
          <w:sz w:val="23"/>
          <w:szCs w:val="23"/>
        </w:rPr>
      </w:pPr>
    </w:p>
    <w:p w14:paraId="33EC82CF" w14:textId="77777777" w:rsidR="00D05221" w:rsidRPr="00FE52C0" w:rsidRDefault="00D05221" w:rsidP="00AF2154">
      <w:pPr>
        <w:spacing w:line="360" w:lineRule="auto"/>
        <w:rPr>
          <w:sz w:val="23"/>
          <w:szCs w:val="23"/>
        </w:rPr>
      </w:pPr>
    </w:p>
    <w:p w14:paraId="757FC2D3" w14:textId="77777777" w:rsidR="00D05221" w:rsidRPr="00FE52C0" w:rsidRDefault="00D05221" w:rsidP="00AF2154">
      <w:pPr>
        <w:spacing w:line="360" w:lineRule="auto"/>
        <w:rPr>
          <w:b/>
          <w:bCs/>
          <w:sz w:val="23"/>
          <w:szCs w:val="23"/>
        </w:rPr>
      </w:pPr>
      <w:r w:rsidRPr="00FE52C0">
        <w:rPr>
          <w:b/>
          <w:bCs/>
          <w:sz w:val="23"/>
          <w:szCs w:val="23"/>
        </w:rPr>
        <w:t>Conclusion and Recommendations</w:t>
      </w:r>
    </w:p>
    <w:p w14:paraId="416211A9" w14:textId="77777777" w:rsidR="00D05221" w:rsidRPr="00FE52C0" w:rsidRDefault="00D05221" w:rsidP="00AF2154">
      <w:pPr>
        <w:spacing w:line="360" w:lineRule="auto"/>
        <w:rPr>
          <w:spacing w:val="-2"/>
          <w:sz w:val="23"/>
          <w:szCs w:val="23"/>
        </w:rPr>
      </w:pPr>
      <w:r w:rsidRPr="00FE52C0">
        <w:rPr>
          <w:sz w:val="23"/>
          <w:szCs w:val="23"/>
        </w:rPr>
        <w:lastRenderedPageBreak/>
        <w:t>In this assignment, a close to practice research study was carried out to investigate the question of how</w:t>
      </w:r>
      <w:r w:rsidRPr="00FE52C0">
        <w:rPr>
          <w:spacing w:val="-4"/>
          <w:sz w:val="23"/>
          <w:szCs w:val="23"/>
        </w:rPr>
        <w:t xml:space="preserve"> </w:t>
      </w:r>
      <w:r w:rsidRPr="00FE52C0">
        <w:rPr>
          <w:sz w:val="23"/>
          <w:szCs w:val="23"/>
        </w:rPr>
        <w:t>Year</w:t>
      </w:r>
      <w:r w:rsidRPr="00FE52C0">
        <w:rPr>
          <w:spacing w:val="-4"/>
          <w:sz w:val="23"/>
          <w:szCs w:val="23"/>
        </w:rPr>
        <w:t xml:space="preserve"> </w:t>
      </w:r>
      <w:r w:rsidRPr="00FE52C0">
        <w:rPr>
          <w:sz w:val="23"/>
          <w:szCs w:val="23"/>
        </w:rPr>
        <w:t>7</w:t>
      </w:r>
      <w:r w:rsidRPr="00FE52C0">
        <w:rPr>
          <w:spacing w:val="-3"/>
          <w:sz w:val="23"/>
          <w:szCs w:val="23"/>
        </w:rPr>
        <w:t xml:space="preserve"> </w:t>
      </w:r>
      <w:r w:rsidRPr="00FE52C0">
        <w:rPr>
          <w:sz w:val="23"/>
          <w:szCs w:val="23"/>
        </w:rPr>
        <w:t>pupils</w:t>
      </w:r>
      <w:r w:rsidRPr="00FE52C0">
        <w:rPr>
          <w:spacing w:val="-2"/>
          <w:sz w:val="23"/>
          <w:szCs w:val="23"/>
        </w:rPr>
        <w:t xml:space="preserve"> </w:t>
      </w:r>
      <w:r w:rsidRPr="00FE52C0">
        <w:rPr>
          <w:sz w:val="23"/>
          <w:szCs w:val="23"/>
        </w:rPr>
        <w:t>engage</w:t>
      </w:r>
      <w:r w:rsidRPr="00FE52C0">
        <w:rPr>
          <w:spacing w:val="-3"/>
          <w:sz w:val="23"/>
          <w:szCs w:val="23"/>
        </w:rPr>
        <w:t xml:space="preserve"> </w:t>
      </w:r>
      <w:r w:rsidRPr="00FE52C0">
        <w:rPr>
          <w:sz w:val="23"/>
          <w:szCs w:val="23"/>
        </w:rPr>
        <w:t>differently</w:t>
      </w:r>
      <w:r w:rsidRPr="00FE52C0">
        <w:rPr>
          <w:spacing w:val="-5"/>
          <w:sz w:val="23"/>
          <w:szCs w:val="23"/>
        </w:rPr>
        <w:t xml:space="preserve"> </w:t>
      </w:r>
      <w:r w:rsidRPr="00FE52C0">
        <w:rPr>
          <w:sz w:val="23"/>
          <w:szCs w:val="23"/>
        </w:rPr>
        <w:t>with immediate</w:t>
      </w:r>
      <w:r w:rsidRPr="00FE52C0">
        <w:rPr>
          <w:spacing w:val="-5"/>
          <w:sz w:val="23"/>
          <w:szCs w:val="23"/>
        </w:rPr>
        <w:t xml:space="preserve"> </w:t>
      </w:r>
      <w:r w:rsidRPr="00FE52C0">
        <w:rPr>
          <w:sz w:val="23"/>
          <w:szCs w:val="23"/>
        </w:rPr>
        <w:t>feedback</w:t>
      </w:r>
      <w:r w:rsidRPr="00FE52C0">
        <w:rPr>
          <w:spacing w:val="-3"/>
          <w:sz w:val="23"/>
          <w:szCs w:val="23"/>
        </w:rPr>
        <w:t xml:space="preserve"> </w:t>
      </w:r>
      <w:r w:rsidRPr="00FE52C0">
        <w:rPr>
          <w:sz w:val="23"/>
          <w:szCs w:val="23"/>
        </w:rPr>
        <w:t>and</w:t>
      </w:r>
      <w:r w:rsidRPr="00FE52C0">
        <w:rPr>
          <w:spacing w:val="-3"/>
          <w:sz w:val="23"/>
          <w:szCs w:val="23"/>
        </w:rPr>
        <w:t xml:space="preserve"> </w:t>
      </w:r>
      <w:r w:rsidRPr="00FE52C0">
        <w:rPr>
          <w:sz w:val="23"/>
          <w:szCs w:val="23"/>
        </w:rPr>
        <w:t xml:space="preserve">delayed </w:t>
      </w:r>
      <w:r w:rsidRPr="00FE52C0">
        <w:rPr>
          <w:spacing w:val="-2"/>
          <w:sz w:val="23"/>
          <w:szCs w:val="23"/>
        </w:rPr>
        <w:t>feedback. This question was chosen because the school in which the research was to take place had recently changed its marking policy to focus more on giving pupils immediate feedback during lessons and reducing the amount of written delayed feedback to once per half term. The literature which was examined prior to the research offered no conclusive evidence that one form of feedback had a greater impact on learning that the other.  The research involved 5 pupils in a Year 7 class completing a questionnaire to indicate how much of the feedback which had been given they could recall. They also took part in a group interview to discuss their thoughts around the forms of feedback they receive at school. There was a clear consensus from the pupils that they preferred receiving delayed feedback and the data collected around their ability to recall feedback given supported that view. Throughout the study steps were taking to ensure the trustworthiness of the data and the positionality of the researcher was stated. It was noted that the size of the sample group meant that the results may not have been representative of the whole class and were the study to be performed again a larger sample size would improve the validity of the results.</w:t>
      </w:r>
    </w:p>
    <w:p w14:paraId="6A4C67B8" w14:textId="77777777" w:rsidR="00D05221" w:rsidRPr="00FE52C0" w:rsidRDefault="00D05221" w:rsidP="00AF2154">
      <w:pPr>
        <w:spacing w:line="360" w:lineRule="auto"/>
        <w:rPr>
          <w:spacing w:val="-2"/>
          <w:sz w:val="23"/>
          <w:szCs w:val="23"/>
        </w:rPr>
      </w:pPr>
      <w:r w:rsidRPr="00FE52C0">
        <w:rPr>
          <w:spacing w:val="-2"/>
          <w:sz w:val="23"/>
          <w:szCs w:val="23"/>
        </w:rPr>
        <w:t xml:space="preserve">The purpose of the research performed in this assignment was to develop teaching practice to have a positive impact on learners. I will use the results of the research to inform my teaching practice to develop opportunities for more delayed feedback which pupils can use as a reference when completing similar work in the future. </w:t>
      </w:r>
      <w:proofErr w:type="spellStart"/>
      <w:r w:rsidRPr="00FE52C0">
        <w:rPr>
          <w:spacing w:val="-2"/>
          <w:sz w:val="23"/>
          <w:szCs w:val="23"/>
        </w:rPr>
        <w:t>Were</w:t>
      </w:r>
      <w:proofErr w:type="spellEnd"/>
      <w:r w:rsidRPr="00FE52C0">
        <w:rPr>
          <w:spacing w:val="-2"/>
          <w:sz w:val="23"/>
          <w:szCs w:val="23"/>
        </w:rPr>
        <w:t xml:space="preserve"> I to have the opportunity to do further research, I would aim to establish whether immediate feedback would be more impactful if written down at the point of delivery. </w:t>
      </w:r>
    </w:p>
    <w:p w14:paraId="79B44D02" w14:textId="77777777" w:rsidR="005E0B19" w:rsidRPr="00FE52C0" w:rsidRDefault="005E0B19" w:rsidP="00AF2154">
      <w:pPr>
        <w:spacing w:line="360" w:lineRule="auto"/>
        <w:rPr>
          <w:b/>
          <w:bCs/>
          <w:sz w:val="23"/>
          <w:szCs w:val="23"/>
        </w:rPr>
      </w:pPr>
    </w:p>
    <w:p w14:paraId="27F589AB" w14:textId="77777777" w:rsidR="00FE52C0" w:rsidRPr="00D92262" w:rsidRDefault="00FE52C0" w:rsidP="00FE52C0">
      <w:pPr>
        <w:rPr>
          <w:b/>
          <w:bCs/>
          <w:sz w:val="23"/>
          <w:szCs w:val="23"/>
        </w:rPr>
      </w:pPr>
      <w:r w:rsidRPr="00D92262">
        <w:rPr>
          <w:b/>
          <w:bCs/>
          <w:sz w:val="23"/>
          <w:szCs w:val="23"/>
        </w:rPr>
        <w:t>References</w:t>
      </w:r>
    </w:p>
    <w:p w14:paraId="11AF3A65" w14:textId="77777777" w:rsidR="00FE52C0" w:rsidRPr="00D92262" w:rsidRDefault="00FE52C0" w:rsidP="00FE52C0">
      <w:pPr>
        <w:shd w:val="clear" w:color="auto" w:fill="FFFFFF"/>
        <w:rPr>
          <w:rFonts w:eastAsia="Times New Roman" w:cs="Arial"/>
          <w:kern w:val="0"/>
          <w:sz w:val="23"/>
          <w:szCs w:val="23"/>
          <w:lang w:eastAsia="en-GB"/>
          <w14:ligatures w14:val="none"/>
        </w:rPr>
      </w:pPr>
      <w:r w:rsidRPr="00D92262">
        <w:rPr>
          <w:rFonts w:eastAsia="Times New Roman" w:cs="Arial"/>
          <w:kern w:val="0"/>
          <w:sz w:val="23"/>
          <w:szCs w:val="23"/>
          <w:lang w:eastAsia="en-GB"/>
          <w14:ligatures w14:val="none"/>
        </w:rPr>
        <w:t xml:space="preserve">Ahmed, S.K. (2024) ‘The Pillars of Trustworthiness in Qualitative Research’, </w:t>
      </w:r>
      <w:r w:rsidRPr="00D92262">
        <w:rPr>
          <w:rFonts w:eastAsia="Times New Roman" w:cs="Arial"/>
          <w:i/>
          <w:iCs/>
          <w:kern w:val="0"/>
          <w:sz w:val="23"/>
          <w:szCs w:val="23"/>
          <w:lang w:eastAsia="en-GB"/>
          <w14:ligatures w14:val="none"/>
        </w:rPr>
        <w:t>Journal of Medicine, Surgery, and Public Health</w:t>
      </w:r>
      <w:r w:rsidRPr="00D92262">
        <w:rPr>
          <w:rFonts w:eastAsia="Times New Roman" w:cs="Arial"/>
          <w:kern w:val="0"/>
          <w:sz w:val="23"/>
          <w:szCs w:val="23"/>
          <w:lang w:eastAsia="en-GB"/>
          <w14:ligatures w14:val="none"/>
        </w:rPr>
        <w:t xml:space="preserve">, 2(January) article 100051. Available at: </w:t>
      </w:r>
      <w:hyperlink r:id="rId5" w:history="1">
        <w:r w:rsidRPr="00D92262">
          <w:rPr>
            <w:rStyle w:val="Hyperlink"/>
            <w:rFonts w:eastAsia="Times New Roman" w:cs="Arial"/>
            <w:color w:val="auto"/>
            <w:kern w:val="0"/>
            <w:sz w:val="23"/>
            <w:szCs w:val="23"/>
            <w:lang w:eastAsia="en-GB"/>
            <w14:ligatures w14:val="none"/>
          </w:rPr>
          <w:t>https://doi.org/10.1016/j.glmedi.2024.100051</w:t>
        </w:r>
      </w:hyperlink>
      <w:r w:rsidRPr="00D92262">
        <w:rPr>
          <w:rFonts w:eastAsia="Times New Roman" w:cs="Arial"/>
          <w:kern w:val="0"/>
          <w:sz w:val="23"/>
          <w:szCs w:val="23"/>
          <w:lang w:eastAsia="en-GB"/>
          <w14:ligatures w14:val="none"/>
        </w:rPr>
        <w:t xml:space="preserve"> </w:t>
      </w:r>
    </w:p>
    <w:p w14:paraId="0A5FDCEE" w14:textId="77777777" w:rsidR="00FE52C0" w:rsidRPr="00D92262" w:rsidRDefault="00FE52C0" w:rsidP="00FE52C0">
      <w:pPr>
        <w:rPr>
          <w:sz w:val="23"/>
          <w:szCs w:val="23"/>
        </w:rPr>
      </w:pPr>
      <w:proofErr w:type="spellStart"/>
      <w:r w:rsidRPr="00D92262">
        <w:rPr>
          <w:sz w:val="23"/>
          <w:szCs w:val="23"/>
        </w:rPr>
        <w:t>Alhabsyi</w:t>
      </w:r>
      <w:proofErr w:type="spellEnd"/>
      <w:r w:rsidRPr="00D92262">
        <w:rPr>
          <w:sz w:val="23"/>
          <w:szCs w:val="23"/>
        </w:rPr>
        <w:t xml:space="preserve">, F., </w:t>
      </w:r>
      <w:proofErr w:type="spellStart"/>
      <w:r w:rsidRPr="00D92262">
        <w:rPr>
          <w:sz w:val="23"/>
          <w:szCs w:val="23"/>
        </w:rPr>
        <w:t>Mashuri</w:t>
      </w:r>
      <w:proofErr w:type="spellEnd"/>
      <w:r w:rsidRPr="00D92262">
        <w:rPr>
          <w:sz w:val="23"/>
          <w:szCs w:val="23"/>
        </w:rPr>
        <w:t xml:space="preserve">, S., Rasak, M.S.A., </w:t>
      </w:r>
      <w:proofErr w:type="spellStart"/>
      <w:r w:rsidRPr="00D92262">
        <w:rPr>
          <w:sz w:val="23"/>
          <w:szCs w:val="23"/>
        </w:rPr>
        <w:t>Ruslin</w:t>
      </w:r>
      <w:proofErr w:type="spellEnd"/>
      <w:r w:rsidRPr="00D92262">
        <w:rPr>
          <w:sz w:val="23"/>
          <w:szCs w:val="23"/>
        </w:rPr>
        <w:t xml:space="preserve">., Syam, H., (2022) ‘Semi-structured Interview: A Methodological Reflection on the Development of a Qualitative Research Instrument in Educational Studies.’, </w:t>
      </w:r>
      <w:r w:rsidRPr="00D92262">
        <w:rPr>
          <w:i/>
          <w:iCs/>
          <w:sz w:val="23"/>
          <w:szCs w:val="23"/>
        </w:rPr>
        <w:t>IOSR Journal of Research and Method in Education</w:t>
      </w:r>
      <w:r w:rsidRPr="00D92262">
        <w:rPr>
          <w:sz w:val="23"/>
          <w:szCs w:val="23"/>
        </w:rPr>
        <w:t xml:space="preserve">, 12(1) pp. 22-29. Available at: DOI: 10.9790/7388-1201052229 </w:t>
      </w:r>
    </w:p>
    <w:p w14:paraId="1AAB5EB2" w14:textId="77777777" w:rsidR="00FE52C0" w:rsidRPr="00D92262" w:rsidRDefault="00FE52C0" w:rsidP="00FE52C0">
      <w:pPr>
        <w:rPr>
          <w:sz w:val="23"/>
          <w:szCs w:val="23"/>
          <w:shd w:val="clear" w:color="auto" w:fill="FFFFFF"/>
        </w:rPr>
      </w:pPr>
      <w:r w:rsidRPr="00D92262">
        <w:rPr>
          <w:sz w:val="23"/>
          <w:szCs w:val="23"/>
        </w:rPr>
        <w:t xml:space="preserve">Baxter, M.A.J., Jones, T.L. and Khanduja. V. (2013) ‘A quick guide to survey research’, </w:t>
      </w:r>
      <w:r w:rsidRPr="00D92262">
        <w:rPr>
          <w:i/>
          <w:iCs/>
          <w:sz w:val="23"/>
          <w:szCs w:val="23"/>
        </w:rPr>
        <w:t xml:space="preserve">Ann R Coll </w:t>
      </w:r>
      <w:proofErr w:type="spellStart"/>
      <w:r w:rsidRPr="00D92262">
        <w:rPr>
          <w:i/>
          <w:iCs/>
          <w:sz w:val="23"/>
          <w:szCs w:val="23"/>
        </w:rPr>
        <w:t>Surg</w:t>
      </w:r>
      <w:proofErr w:type="spellEnd"/>
      <w:r w:rsidRPr="00D92262">
        <w:rPr>
          <w:i/>
          <w:iCs/>
          <w:sz w:val="23"/>
          <w:szCs w:val="23"/>
        </w:rPr>
        <w:t xml:space="preserve"> Engl</w:t>
      </w:r>
      <w:r w:rsidRPr="00D92262">
        <w:rPr>
          <w:sz w:val="23"/>
          <w:szCs w:val="23"/>
        </w:rPr>
        <w:t xml:space="preserve">, 95(1) pp. 5-7. Available at: </w:t>
      </w:r>
      <w:proofErr w:type="spellStart"/>
      <w:r w:rsidRPr="00D92262">
        <w:rPr>
          <w:sz w:val="23"/>
          <w:szCs w:val="23"/>
          <w:shd w:val="clear" w:color="auto" w:fill="FFFFFF"/>
        </w:rPr>
        <w:t>doi</w:t>
      </w:r>
      <w:proofErr w:type="spellEnd"/>
      <w:r w:rsidRPr="00D92262">
        <w:rPr>
          <w:sz w:val="23"/>
          <w:szCs w:val="23"/>
          <w:shd w:val="clear" w:color="auto" w:fill="FFFFFF"/>
        </w:rPr>
        <w:t>: 10.1308/003588413X13511609956372</w:t>
      </w:r>
    </w:p>
    <w:p w14:paraId="3B5C8A09" w14:textId="77777777" w:rsidR="00FE52C0" w:rsidRPr="00D92262" w:rsidRDefault="00FE52C0" w:rsidP="00FE52C0">
      <w:pPr>
        <w:rPr>
          <w:sz w:val="23"/>
          <w:szCs w:val="23"/>
        </w:rPr>
      </w:pPr>
      <w:r w:rsidRPr="00D92262">
        <w:rPr>
          <w:sz w:val="23"/>
          <w:szCs w:val="23"/>
        </w:rPr>
        <w:lastRenderedPageBreak/>
        <w:t xml:space="preserve">BERA (2018) </w:t>
      </w:r>
      <w:r w:rsidRPr="00D92262">
        <w:rPr>
          <w:i/>
          <w:iCs/>
          <w:sz w:val="23"/>
          <w:szCs w:val="23"/>
        </w:rPr>
        <w:t xml:space="preserve">Ethical Guidelines for Educational Research, fourth edition. </w:t>
      </w:r>
      <w:r w:rsidRPr="00D92262">
        <w:rPr>
          <w:sz w:val="23"/>
          <w:szCs w:val="23"/>
        </w:rPr>
        <w:t xml:space="preserve">Available at: </w:t>
      </w:r>
      <w:hyperlink r:id="rId6" w:history="1">
        <w:r w:rsidRPr="00D92262">
          <w:rPr>
            <w:rStyle w:val="Hyperlink"/>
            <w:color w:val="auto"/>
            <w:sz w:val="23"/>
            <w:szCs w:val="23"/>
          </w:rPr>
          <w:t>https://www.bera.ac.uk/publication/ethical-guidelines-for-educational-research-2018-online</w:t>
        </w:r>
      </w:hyperlink>
      <w:r w:rsidRPr="00D92262">
        <w:rPr>
          <w:sz w:val="23"/>
          <w:szCs w:val="23"/>
        </w:rPr>
        <w:t xml:space="preserve"> (Accessed: 20 April 2024).</w:t>
      </w:r>
    </w:p>
    <w:p w14:paraId="68285E06" w14:textId="77777777" w:rsidR="00FE52C0" w:rsidRPr="00D92262" w:rsidRDefault="00FE52C0" w:rsidP="00FE52C0">
      <w:pPr>
        <w:autoSpaceDE w:val="0"/>
        <w:autoSpaceDN w:val="0"/>
        <w:adjustRightInd w:val="0"/>
        <w:spacing w:after="0" w:line="240" w:lineRule="auto"/>
        <w:rPr>
          <w:sz w:val="23"/>
          <w:szCs w:val="23"/>
        </w:rPr>
      </w:pPr>
      <w:r w:rsidRPr="00D92262">
        <w:rPr>
          <w:sz w:val="23"/>
          <w:szCs w:val="23"/>
        </w:rPr>
        <w:t xml:space="preserve">Berger, R. (2015) ‘Now I see it, now I don’t: Researcher’s position and reflexivity in qualitative research’, </w:t>
      </w:r>
      <w:r w:rsidRPr="00D92262">
        <w:rPr>
          <w:i/>
          <w:iCs/>
          <w:sz w:val="23"/>
          <w:szCs w:val="23"/>
        </w:rPr>
        <w:t>Qualitative Research</w:t>
      </w:r>
      <w:r w:rsidRPr="00D92262">
        <w:rPr>
          <w:sz w:val="23"/>
          <w:szCs w:val="23"/>
        </w:rPr>
        <w:t xml:space="preserve">, 15(2), pp. 219–234. Available at: doi:10.1177/1468794112468475 </w:t>
      </w:r>
    </w:p>
    <w:p w14:paraId="6FABF574" w14:textId="77777777" w:rsidR="00FE52C0" w:rsidRPr="00D92262" w:rsidRDefault="00FE52C0" w:rsidP="00FE52C0">
      <w:pPr>
        <w:autoSpaceDE w:val="0"/>
        <w:autoSpaceDN w:val="0"/>
        <w:adjustRightInd w:val="0"/>
        <w:spacing w:after="0" w:line="240" w:lineRule="auto"/>
        <w:rPr>
          <w:sz w:val="23"/>
          <w:szCs w:val="23"/>
        </w:rPr>
      </w:pPr>
    </w:p>
    <w:p w14:paraId="32F444D9" w14:textId="77777777" w:rsidR="00FE52C0" w:rsidRPr="00D92262" w:rsidRDefault="00FE52C0" w:rsidP="00FE52C0">
      <w:pPr>
        <w:rPr>
          <w:sz w:val="23"/>
          <w:szCs w:val="23"/>
        </w:rPr>
      </w:pPr>
      <w:r w:rsidRPr="00D92262">
        <w:rPr>
          <w:sz w:val="23"/>
          <w:szCs w:val="23"/>
        </w:rPr>
        <w:t xml:space="preserve">Brace, I. (2008) </w:t>
      </w:r>
      <w:r w:rsidRPr="00D92262">
        <w:rPr>
          <w:i/>
          <w:iCs/>
          <w:sz w:val="23"/>
          <w:szCs w:val="23"/>
        </w:rPr>
        <w:t>Questionnaire Design.</w:t>
      </w:r>
      <w:r w:rsidRPr="00D92262">
        <w:rPr>
          <w:sz w:val="23"/>
          <w:szCs w:val="23"/>
        </w:rPr>
        <w:t xml:space="preserve"> 2</w:t>
      </w:r>
      <w:r w:rsidRPr="00D92262">
        <w:rPr>
          <w:sz w:val="23"/>
          <w:szCs w:val="23"/>
          <w:vertAlign w:val="superscript"/>
        </w:rPr>
        <w:t>nd</w:t>
      </w:r>
      <w:r w:rsidRPr="00D92262">
        <w:rPr>
          <w:sz w:val="23"/>
          <w:szCs w:val="23"/>
        </w:rPr>
        <w:t xml:space="preserve"> </w:t>
      </w:r>
      <w:proofErr w:type="spellStart"/>
      <w:r w:rsidRPr="00D92262">
        <w:rPr>
          <w:sz w:val="23"/>
          <w:szCs w:val="23"/>
        </w:rPr>
        <w:t>edn</w:t>
      </w:r>
      <w:proofErr w:type="spellEnd"/>
      <w:r w:rsidRPr="00D92262">
        <w:rPr>
          <w:sz w:val="23"/>
          <w:szCs w:val="23"/>
        </w:rPr>
        <w:t>. London: Kogan Page Limited</w:t>
      </w:r>
    </w:p>
    <w:p w14:paraId="60020D46" w14:textId="77777777" w:rsidR="00FE52C0" w:rsidRPr="00D92262" w:rsidRDefault="00FE52C0" w:rsidP="00FE52C0">
      <w:pPr>
        <w:autoSpaceDE w:val="0"/>
        <w:autoSpaceDN w:val="0"/>
        <w:adjustRightInd w:val="0"/>
        <w:spacing w:after="0" w:line="240" w:lineRule="auto"/>
        <w:rPr>
          <w:rFonts w:cs="ArialMT"/>
          <w:kern w:val="0"/>
          <w:sz w:val="23"/>
          <w:szCs w:val="23"/>
        </w:rPr>
      </w:pPr>
      <w:r w:rsidRPr="00D92262">
        <w:rPr>
          <w:rFonts w:cs="ArialMT"/>
          <w:kern w:val="0"/>
          <w:sz w:val="23"/>
          <w:szCs w:val="23"/>
        </w:rPr>
        <w:t xml:space="preserve">Braun, V. and Clarke, V. (2006). ‘Using thematic analysis in psychology’, </w:t>
      </w:r>
      <w:r w:rsidRPr="00D92262">
        <w:rPr>
          <w:rFonts w:cs="Arial-ItalicMT"/>
          <w:i/>
          <w:iCs/>
          <w:kern w:val="0"/>
          <w:sz w:val="23"/>
          <w:szCs w:val="23"/>
        </w:rPr>
        <w:t xml:space="preserve">Qualitative Research in Psychology, </w:t>
      </w:r>
      <w:r w:rsidRPr="00D92262">
        <w:rPr>
          <w:rFonts w:cs="ArialMT"/>
          <w:kern w:val="0"/>
          <w:sz w:val="23"/>
          <w:szCs w:val="23"/>
        </w:rPr>
        <w:t xml:space="preserve">3(2) pp. 77-101. Available at: </w:t>
      </w:r>
      <w:hyperlink r:id="rId7" w:history="1">
        <w:r w:rsidRPr="00D92262">
          <w:rPr>
            <w:rStyle w:val="Hyperlink"/>
            <w:rFonts w:cs="ArialMT"/>
            <w:color w:val="auto"/>
            <w:kern w:val="0"/>
            <w:sz w:val="23"/>
            <w:szCs w:val="23"/>
          </w:rPr>
          <w:t>https://doi.org/10.1191/14</w:t>
        </w:r>
        <w:r w:rsidRPr="00D92262">
          <w:rPr>
            <w:rStyle w:val="Hyperlink"/>
            <w:rFonts w:cs="ArialMT"/>
            <w:color w:val="auto"/>
            <w:kern w:val="0"/>
            <w:sz w:val="23"/>
            <w:szCs w:val="23"/>
          </w:rPr>
          <w:t>7</w:t>
        </w:r>
        <w:r w:rsidRPr="00D92262">
          <w:rPr>
            <w:rStyle w:val="Hyperlink"/>
            <w:rFonts w:cs="ArialMT"/>
            <w:color w:val="auto"/>
            <w:kern w:val="0"/>
            <w:sz w:val="23"/>
            <w:szCs w:val="23"/>
          </w:rPr>
          <w:t>8088706qp063oa</w:t>
        </w:r>
      </w:hyperlink>
    </w:p>
    <w:p w14:paraId="49C42B78" w14:textId="77777777" w:rsidR="00FE52C0" w:rsidRPr="00D92262" w:rsidRDefault="00FE52C0" w:rsidP="00FE52C0">
      <w:pPr>
        <w:autoSpaceDE w:val="0"/>
        <w:autoSpaceDN w:val="0"/>
        <w:adjustRightInd w:val="0"/>
        <w:spacing w:after="0" w:line="240" w:lineRule="auto"/>
        <w:rPr>
          <w:rFonts w:cs="ArialMT"/>
          <w:kern w:val="0"/>
          <w:sz w:val="23"/>
          <w:szCs w:val="23"/>
        </w:rPr>
      </w:pPr>
    </w:p>
    <w:p w14:paraId="05C469CC" w14:textId="77777777" w:rsidR="00FE52C0" w:rsidRPr="00D92262" w:rsidRDefault="00FE52C0" w:rsidP="00FE52C0">
      <w:pPr>
        <w:autoSpaceDE w:val="0"/>
        <w:autoSpaceDN w:val="0"/>
        <w:adjustRightInd w:val="0"/>
        <w:spacing w:after="0" w:line="240" w:lineRule="auto"/>
        <w:rPr>
          <w:rStyle w:val="Hyperlink"/>
          <w:rFonts w:cs="ITCGaramondStd-Lt"/>
          <w:color w:val="auto"/>
          <w:kern w:val="0"/>
          <w:sz w:val="23"/>
          <w:szCs w:val="23"/>
        </w:rPr>
      </w:pPr>
      <w:r w:rsidRPr="00D92262">
        <w:rPr>
          <w:rFonts w:cs="ITCGaramondStd-Lt"/>
          <w:kern w:val="0"/>
          <w:sz w:val="23"/>
          <w:szCs w:val="23"/>
        </w:rPr>
        <w:t xml:space="preserve">Butler, A. C., Marsh, E. J., Mullet, H. G., Verdin, B. and von Borries, R. (2014). ‘Delaying feedback promotes transfer of knowledge despite student preferences to receive feedback immediately’, </w:t>
      </w:r>
      <w:r w:rsidRPr="00D92262">
        <w:rPr>
          <w:rFonts w:cs="ITCGaramondStd-LtIta"/>
          <w:i/>
          <w:iCs/>
          <w:kern w:val="0"/>
          <w:sz w:val="23"/>
          <w:szCs w:val="23"/>
        </w:rPr>
        <w:t>Journal of Applied Research in Memory and Cognition</w:t>
      </w:r>
      <w:r w:rsidRPr="00D92262">
        <w:rPr>
          <w:rFonts w:cs="ITCGaramondStd-Lt"/>
          <w:kern w:val="0"/>
          <w:sz w:val="23"/>
          <w:szCs w:val="23"/>
        </w:rPr>
        <w:t xml:space="preserve">, </w:t>
      </w:r>
      <w:r w:rsidRPr="00D92262">
        <w:rPr>
          <w:rFonts w:cs="ITCGaramondStd-LtIta"/>
          <w:i/>
          <w:iCs/>
          <w:kern w:val="0"/>
          <w:sz w:val="23"/>
          <w:szCs w:val="23"/>
        </w:rPr>
        <w:t>3</w:t>
      </w:r>
      <w:r w:rsidRPr="00D92262">
        <w:rPr>
          <w:rFonts w:cs="ITCGaramondStd-Lt"/>
          <w:i/>
          <w:iCs/>
          <w:kern w:val="0"/>
          <w:sz w:val="23"/>
          <w:szCs w:val="23"/>
        </w:rPr>
        <w:t>,</w:t>
      </w:r>
      <w:r w:rsidRPr="00D92262">
        <w:rPr>
          <w:rFonts w:cs="ITCGaramondStd-Lt"/>
          <w:kern w:val="0"/>
          <w:sz w:val="23"/>
          <w:szCs w:val="23"/>
        </w:rPr>
        <w:t xml:space="preserve"> pp. 222–229. Available at: </w:t>
      </w:r>
      <w:hyperlink r:id="rId8" w:history="1">
        <w:r w:rsidRPr="00D92262">
          <w:rPr>
            <w:rStyle w:val="Hyperlink"/>
            <w:rFonts w:cs="ITCGaramondStd-Lt"/>
            <w:color w:val="auto"/>
            <w:kern w:val="0"/>
            <w:sz w:val="23"/>
            <w:szCs w:val="23"/>
          </w:rPr>
          <w:t>https://doi.org/10.1016/j.jarmac.2014.05.001</w:t>
        </w:r>
      </w:hyperlink>
    </w:p>
    <w:p w14:paraId="5B1B6A5C" w14:textId="77777777" w:rsidR="00FE52C0" w:rsidRPr="00D92262" w:rsidRDefault="00FE52C0" w:rsidP="00FE52C0">
      <w:pPr>
        <w:autoSpaceDE w:val="0"/>
        <w:autoSpaceDN w:val="0"/>
        <w:adjustRightInd w:val="0"/>
        <w:spacing w:after="0" w:line="240" w:lineRule="auto"/>
        <w:rPr>
          <w:rFonts w:cs="ITCGaramondStd-Lt"/>
          <w:kern w:val="0"/>
          <w:sz w:val="23"/>
          <w:szCs w:val="23"/>
        </w:rPr>
      </w:pPr>
    </w:p>
    <w:p w14:paraId="45CC2E8D" w14:textId="77777777" w:rsidR="00FE52C0" w:rsidRPr="00D92262" w:rsidRDefault="00FE52C0" w:rsidP="00FE52C0">
      <w:pPr>
        <w:autoSpaceDE w:val="0"/>
        <w:autoSpaceDN w:val="0"/>
        <w:adjustRightInd w:val="0"/>
        <w:spacing w:after="0" w:line="240" w:lineRule="auto"/>
        <w:rPr>
          <w:sz w:val="23"/>
          <w:szCs w:val="23"/>
        </w:rPr>
      </w:pPr>
      <w:r w:rsidRPr="00D92262">
        <w:rPr>
          <w:sz w:val="23"/>
          <w:szCs w:val="23"/>
        </w:rPr>
        <w:t xml:space="preserve">Coogle, C.G., Ottley, J.R., Storie, S., Rahn, N.L., and Kurowski-Burt, A. (2018) ‘Performance-Based Feedback to Enhance Preservice Teachers’ Practice and Preschool Children’s Expressive Communication’, </w:t>
      </w:r>
      <w:r w:rsidRPr="00D92262">
        <w:rPr>
          <w:i/>
          <w:iCs/>
          <w:sz w:val="23"/>
          <w:szCs w:val="23"/>
        </w:rPr>
        <w:t>Journal of Teacher Education</w:t>
      </w:r>
      <w:r w:rsidRPr="00D92262">
        <w:rPr>
          <w:sz w:val="23"/>
          <w:szCs w:val="23"/>
        </w:rPr>
        <w:t xml:space="preserve">, 71(2), pp. 188-202. Available at: </w:t>
      </w:r>
      <w:hyperlink r:id="rId9" w:history="1">
        <w:r w:rsidRPr="00D92262">
          <w:rPr>
            <w:rStyle w:val="Hyperlink"/>
            <w:color w:val="auto"/>
            <w:sz w:val="23"/>
            <w:szCs w:val="23"/>
          </w:rPr>
          <w:t>https://doi.org/10.1177/0022487118803583</w:t>
        </w:r>
      </w:hyperlink>
      <w:r w:rsidRPr="00D92262">
        <w:rPr>
          <w:sz w:val="23"/>
          <w:szCs w:val="23"/>
        </w:rPr>
        <w:t xml:space="preserve"> </w:t>
      </w:r>
    </w:p>
    <w:p w14:paraId="4522BCFA" w14:textId="77777777" w:rsidR="00FE52C0" w:rsidRPr="00D92262" w:rsidRDefault="00FE52C0" w:rsidP="00FE52C0">
      <w:pPr>
        <w:autoSpaceDE w:val="0"/>
        <w:autoSpaceDN w:val="0"/>
        <w:adjustRightInd w:val="0"/>
        <w:spacing w:after="0" w:line="240" w:lineRule="auto"/>
        <w:rPr>
          <w:sz w:val="23"/>
          <w:szCs w:val="23"/>
        </w:rPr>
      </w:pPr>
    </w:p>
    <w:p w14:paraId="60B88FEB"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r w:rsidRPr="00D92262">
        <w:rPr>
          <w:rFonts w:cs="Segoe UI"/>
          <w:sz w:val="23"/>
          <w:szCs w:val="23"/>
          <w:shd w:val="clear" w:color="auto" w:fill="FFFFFF"/>
        </w:rPr>
        <w:t xml:space="preserve">Cox, B. and Lefevre, D. (2017) ‘Delayed instructional feedback may be more effective, but is this contrary to learners’ preferences?’, </w:t>
      </w:r>
      <w:r w:rsidRPr="00D92262">
        <w:rPr>
          <w:rFonts w:cs="Segoe UI"/>
          <w:i/>
          <w:iCs/>
          <w:sz w:val="23"/>
          <w:szCs w:val="23"/>
          <w:shd w:val="clear" w:color="auto" w:fill="FFFFFF"/>
        </w:rPr>
        <w:t>British Journal of Educational Technology</w:t>
      </w:r>
      <w:r w:rsidRPr="00D92262">
        <w:rPr>
          <w:rFonts w:cs="Segoe UI"/>
          <w:sz w:val="23"/>
          <w:szCs w:val="23"/>
          <w:shd w:val="clear" w:color="auto" w:fill="FFFFFF"/>
        </w:rPr>
        <w:t xml:space="preserve">, 48(6), pp. 1189-1512. Available at: </w:t>
      </w:r>
      <w:hyperlink r:id="rId10" w:history="1">
        <w:r w:rsidRPr="00D92262">
          <w:rPr>
            <w:rStyle w:val="Hyperlink"/>
            <w:rFonts w:cs="Segoe UI"/>
            <w:color w:val="auto"/>
            <w:sz w:val="23"/>
            <w:szCs w:val="23"/>
            <w:shd w:val="clear" w:color="auto" w:fill="FFFFFF"/>
          </w:rPr>
          <w:t>https://doi.org/10.1111/bjet.12495</w:t>
        </w:r>
      </w:hyperlink>
      <w:r w:rsidRPr="00D92262">
        <w:rPr>
          <w:rFonts w:cs="Segoe UI"/>
          <w:sz w:val="23"/>
          <w:szCs w:val="23"/>
          <w:shd w:val="clear" w:color="auto" w:fill="FFFFFF"/>
        </w:rPr>
        <w:t xml:space="preserve"> </w:t>
      </w:r>
    </w:p>
    <w:p w14:paraId="2376270E"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p>
    <w:p w14:paraId="06C50128" w14:textId="77777777" w:rsidR="00FE52C0" w:rsidRPr="00D92262" w:rsidRDefault="00FE52C0" w:rsidP="00FE52C0">
      <w:pPr>
        <w:shd w:val="clear" w:color="auto" w:fill="FFFFFF"/>
        <w:rPr>
          <w:rFonts w:eastAsia="Times New Roman" w:cs="Arial"/>
          <w:kern w:val="0"/>
          <w:sz w:val="23"/>
          <w:szCs w:val="23"/>
          <w:lang w:eastAsia="en-GB"/>
          <w14:ligatures w14:val="none"/>
        </w:rPr>
      </w:pPr>
      <w:r w:rsidRPr="00D92262">
        <w:rPr>
          <w:sz w:val="23"/>
          <w:szCs w:val="23"/>
        </w:rPr>
        <w:t xml:space="preserve">Delahunt, B. and Maguire, M. (2017) ‘Doing a Thematic Analysis: A Practical, Step-by-step Guide for Learning and Teaching Scholars’, </w:t>
      </w:r>
      <w:r w:rsidRPr="00D92262">
        <w:rPr>
          <w:i/>
          <w:iCs/>
          <w:sz w:val="23"/>
          <w:szCs w:val="23"/>
        </w:rPr>
        <w:t>All Ireland Journal of Higher Education</w:t>
      </w:r>
      <w:r w:rsidRPr="00D92262">
        <w:rPr>
          <w:sz w:val="23"/>
          <w:szCs w:val="23"/>
        </w:rPr>
        <w:t xml:space="preserve">, 9(3) pp. 3351-33514. Available at: </w:t>
      </w:r>
      <w:hyperlink r:id="rId11" w:history="1">
        <w:r w:rsidRPr="00D92262">
          <w:rPr>
            <w:rStyle w:val="Hyperlink"/>
            <w:rFonts w:eastAsia="Times New Roman" w:cs="Arial"/>
            <w:color w:val="auto"/>
            <w:kern w:val="0"/>
            <w:sz w:val="23"/>
            <w:szCs w:val="23"/>
            <w:lang w:eastAsia="en-GB"/>
            <w14:ligatures w14:val="none"/>
          </w:rPr>
          <w:t>http://ojs.aishe.org/index.php/aishe-j/article/view/335</w:t>
        </w:r>
      </w:hyperlink>
      <w:r w:rsidRPr="00D92262">
        <w:rPr>
          <w:rFonts w:eastAsia="Times New Roman" w:cs="Arial"/>
          <w:kern w:val="0"/>
          <w:sz w:val="23"/>
          <w:szCs w:val="23"/>
          <w:lang w:eastAsia="en-GB"/>
          <w14:ligatures w14:val="none"/>
        </w:rPr>
        <w:t xml:space="preserve"> (Accessed on: 24 April 2024)</w:t>
      </w:r>
    </w:p>
    <w:p w14:paraId="4ECA106E" w14:textId="77777777" w:rsidR="00FE52C0" w:rsidRPr="00D92262" w:rsidRDefault="00FE52C0" w:rsidP="00FE52C0">
      <w:pPr>
        <w:rPr>
          <w:sz w:val="23"/>
          <w:szCs w:val="23"/>
        </w:rPr>
      </w:pPr>
      <w:r w:rsidRPr="00D92262">
        <w:rPr>
          <w:sz w:val="23"/>
          <w:szCs w:val="23"/>
        </w:rPr>
        <w:t xml:space="preserve">DiCicco-Bloom, B. and Crabtree, B.F. (2006) ‘The Qualitative Research Interview’, </w:t>
      </w:r>
      <w:r w:rsidRPr="00D92262">
        <w:rPr>
          <w:i/>
          <w:iCs/>
          <w:sz w:val="23"/>
          <w:szCs w:val="23"/>
        </w:rPr>
        <w:t>Medical Education</w:t>
      </w:r>
      <w:r w:rsidRPr="00D92262">
        <w:rPr>
          <w:sz w:val="23"/>
          <w:szCs w:val="23"/>
        </w:rPr>
        <w:t>, 40(4) pp. 314-321. Available at: doi:10.1111/j.1365-2929.</w:t>
      </w:r>
      <w:proofErr w:type="gramStart"/>
      <w:r w:rsidRPr="00D92262">
        <w:rPr>
          <w:sz w:val="23"/>
          <w:szCs w:val="23"/>
        </w:rPr>
        <w:t>2006.02418.x</w:t>
      </w:r>
      <w:proofErr w:type="gramEnd"/>
      <w:r w:rsidRPr="00D92262">
        <w:rPr>
          <w:sz w:val="23"/>
          <w:szCs w:val="23"/>
        </w:rPr>
        <w:t xml:space="preserve"> </w:t>
      </w:r>
    </w:p>
    <w:p w14:paraId="38E52EF1"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r w:rsidRPr="00D92262">
        <w:rPr>
          <w:rFonts w:cs="Segoe UI"/>
          <w:sz w:val="23"/>
          <w:szCs w:val="23"/>
          <w:shd w:val="clear" w:color="auto" w:fill="FFFFFF"/>
        </w:rPr>
        <w:t xml:space="preserve">Faulkner, M., Fudge, A., Iraj, H., </w:t>
      </w:r>
      <w:proofErr w:type="spellStart"/>
      <w:r w:rsidRPr="00D92262">
        <w:rPr>
          <w:sz w:val="23"/>
          <w:szCs w:val="23"/>
        </w:rPr>
        <w:t>Kovanovic</w:t>
      </w:r>
      <w:proofErr w:type="spellEnd"/>
      <w:r w:rsidRPr="00D92262">
        <w:rPr>
          <w:sz w:val="23"/>
          <w:szCs w:val="23"/>
        </w:rPr>
        <w:t xml:space="preserve">, V., Pardo, A. (2020) ‘Understanding student’s engagement with personalised feedback messages’, </w:t>
      </w:r>
      <w:r w:rsidRPr="00D92262">
        <w:rPr>
          <w:i/>
          <w:iCs/>
          <w:sz w:val="23"/>
          <w:szCs w:val="23"/>
        </w:rPr>
        <w:t>International Conference on Learning Analytics and Knowledge</w:t>
      </w:r>
      <w:r w:rsidRPr="00D92262">
        <w:rPr>
          <w:sz w:val="23"/>
          <w:szCs w:val="23"/>
        </w:rPr>
        <w:t xml:space="preserve">, (March), pp. 438-447. Available at: </w:t>
      </w:r>
      <w:hyperlink r:id="rId12" w:history="1">
        <w:r w:rsidRPr="00D92262">
          <w:rPr>
            <w:rStyle w:val="Hyperlink"/>
            <w:rFonts w:cs="Segoe UI"/>
            <w:color w:val="auto"/>
            <w:sz w:val="23"/>
            <w:szCs w:val="23"/>
            <w:shd w:val="clear" w:color="auto" w:fill="FFFFFF"/>
          </w:rPr>
          <w:t>https://doi.org/10.1145/3375462.3375527</w:t>
        </w:r>
      </w:hyperlink>
      <w:r w:rsidRPr="00D92262">
        <w:rPr>
          <w:rFonts w:cs="Segoe UI"/>
          <w:sz w:val="23"/>
          <w:szCs w:val="23"/>
          <w:shd w:val="clear" w:color="auto" w:fill="FFFFFF"/>
        </w:rPr>
        <w:t xml:space="preserve"> </w:t>
      </w:r>
    </w:p>
    <w:p w14:paraId="4B46AB5E" w14:textId="77777777" w:rsidR="00FE52C0" w:rsidRPr="00D92262" w:rsidRDefault="00FE52C0" w:rsidP="00FE52C0">
      <w:pPr>
        <w:rPr>
          <w:sz w:val="23"/>
          <w:szCs w:val="23"/>
        </w:rPr>
      </w:pPr>
      <w:r w:rsidRPr="00D92262">
        <w:rPr>
          <w:sz w:val="23"/>
          <w:szCs w:val="23"/>
        </w:rPr>
        <w:t xml:space="preserve">Flyvbjerg, B. (2006) ‘Five Misunderstanding s about Case-Study Research’, </w:t>
      </w:r>
      <w:r w:rsidRPr="00D92262">
        <w:rPr>
          <w:i/>
          <w:iCs/>
          <w:sz w:val="23"/>
          <w:szCs w:val="23"/>
        </w:rPr>
        <w:t>Qualitative Inquiry</w:t>
      </w:r>
      <w:r w:rsidRPr="00D92262">
        <w:rPr>
          <w:sz w:val="23"/>
          <w:szCs w:val="23"/>
        </w:rPr>
        <w:t xml:space="preserve">, 12(2) pp. 219-245. Available at: </w:t>
      </w:r>
      <w:hyperlink r:id="rId13" w:history="1">
        <w:r w:rsidRPr="00D92262">
          <w:rPr>
            <w:rStyle w:val="Hyperlink"/>
            <w:color w:val="auto"/>
            <w:sz w:val="23"/>
            <w:szCs w:val="23"/>
          </w:rPr>
          <w:t>https://doiorg.ezproxy.uwtsd.ac.uk/10.1177/1077800405284363</w:t>
        </w:r>
      </w:hyperlink>
      <w:r w:rsidRPr="00D92262">
        <w:rPr>
          <w:sz w:val="23"/>
          <w:szCs w:val="23"/>
        </w:rPr>
        <w:t xml:space="preserve"> </w:t>
      </w:r>
    </w:p>
    <w:p w14:paraId="71290A7D" w14:textId="77777777" w:rsidR="00FE52C0" w:rsidRPr="00D92262" w:rsidRDefault="00FE52C0" w:rsidP="00FE52C0">
      <w:pPr>
        <w:rPr>
          <w:sz w:val="23"/>
          <w:szCs w:val="23"/>
        </w:rPr>
      </w:pPr>
      <w:proofErr w:type="spellStart"/>
      <w:r w:rsidRPr="00D92262">
        <w:rPr>
          <w:sz w:val="23"/>
          <w:szCs w:val="23"/>
        </w:rPr>
        <w:t>Foddy</w:t>
      </w:r>
      <w:proofErr w:type="spellEnd"/>
      <w:r w:rsidRPr="00D92262">
        <w:rPr>
          <w:sz w:val="23"/>
          <w:szCs w:val="23"/>
        </w:rPr>
        <w:t xml:space="preserve">, W. (1993) </w:t>
      </w:r>
      <w:r w:rsidRPr="00D92262">
        <w:rPr>
          <w:i/>
          <w:iCs/>
          <w:sz w:val="23"/>
          <w:szCs w:val="23"/>
        </w:rPr>
        <w:t>Constructing Questions for Interviews and Questionnaires. Theory and Practice in Social Research</w:t>
      </w:r>
      <w:r w:rsidRPr="00D92262">
        <w:rPr>
          <w:sz w:val="23"/>
          <w:szCs w:val="23"/>
        </w:rPr>
        <w:t>. Cambridge, UK: Cambridge University Press</w:t>
      </w:r>
    </w:p>
    <w:p w14:paraId="4E845957" w14:textId="77777777" w:rsidR="00FE52C0" w:rsidRPr="00D92262" w:rsidRDefault="00FE52C0" w:rsidP="00FE52C0">
      <w:pPr>
        <w:autoSpaceDE w:val="0"/>
        <w:autoSpaceDN w:val="0"/>
        <w:adjustRightInd w:val="0"/>
        <w:spacing w:after="0" w:line="240" w:lineRule="auto"/>
        <w:rPr>
          <w:rFonts w:cs="ITCGaramondStd-Lt"/>
          <w:kern w:val="0"/>
          <w:sz w:val="23"/>
          <w:szCs w:val="23"/>
        </w:rPr>
      </w:pPr>
      <w:r w:rsidRPr="00D92262">
        <w:rPr>
          <w:sz w:val="23"/>
          <w:szCs w:val="23"/>
          <w:shd w:val="clear" w:color="auto" w:fill="FFFFFF"/>
        </w:rPr>
        <w:t xml:space="preserve">Fyfe, E.R., Leeuw, J.D., Carvalho, P.F., Goldstone, R.L., Sherman, J., Admiraal, D.M., Alford, L.K., Bonner, A., Brassil, C., Brooks, C.A., </w:t>
      </w:r>
      <w:proofErr w:type="spellStart"/>
      <w:r w:rsidRPr="00D92262">
        <w:rPr>
          <w:sz w:val="23"/>
          <w:szCs w:val="23"/>
          <w:shd w:val="clear" w:color="auto" w:fill="FFFFFF"/>
        </w:rPr>
        <w:t>Carbonetto</w:t>
      </w:r>
      <w:proofErr w:type="spellEnd"/>
      <w:r w:rsidRPr="00D92262">
        <w:rPr>
          <w:sz w:val="23"/>
          <w:szCs w:val="23"/>
          <w:shd w:val="clear" w:color="auto" w:fill="FFFFFF"/>
        </w:rPr>
        <w:t xml:space="preserve">, T., Chang, S.H., Cruz, L., </w:t>
      </w:r>
      <w:proofErr w:type="spellStart"/>
      <w:r w:rsidRPr="00D92262">
        <w:rPr>
          <w:sz w:val="23"/>
          <w:szCs w:val="23"/>
          <w:shd w:val="clear" w:color="auto" w:fill="FFFFFF"/>
        </w:rPr>
        <w:t>Czymoniewicz</w:t>
      </w:r>
      <w:proofErr w:type="spellEnd"/>
      <w:r w:rsidRPr="00D92262">
        <w:rPr>
          <w:sz w:val="23"/>
          <w:szCs w:val="23"/>
          <w:shd w:val="clear" w:color="auto" w:fill="FFFFFF"/>
        </w:rPr>
        <w:t xml:space="preserve">-Klippel, M.T., Daniel, F., Driessen, M., Habashy, N., Hanson-Bradley, C., Hirt, E.R., Carbonell, V.H., Jackson, D.K., Jones, S., Keagy, J.L., Keith, B., Malmquist, S.J., </w:t>
      </w:r>
      <w:r w:rsidRPr="00D92262">
        <w:rPr>
          <w:sz w:val="23"/>
          <w:szCs w:val="23"/>
          <w:shd w:val="clear" w:color="auto" w:fill="FFFFFF"/>
        </w:rPr>
        <w:lastRenderedPageBreak/>
        <w:t xml:space="preserve">McQuarrie, B.R., Metzger, K.J., Min, M., Patil, S., Patrick, R.S., </w:t>
      </w:r>
      <w:proofErr w:type="spellStart"/>
      <w:r w:rsidRPr="00D92262">
        <w:rPr>
          <w:sz w:val="23"/>
          <w:szCs w:val="23"/>
          <w:shd w:val="clear" w:color="auto" w:fill="FFFFFF"/>
        </w:rPr>
        <w:t>Pelaprat</w:t>
      </w:r>
      <w:proofErr w:type="spellEnd"/>
      <w:r w:rsidRPr="00D92262">
        <w:rPr>
          <w:sz w:val="23"/>
          <w:szCs w:val="23"/>
          <w:shd w:val="clear" w:color="auto" w:fill="FFFFFF"/>
        </w:rPr>
        <w:t xml:space="preserve">, E., Petrunich-Rutherford, M.L., Porter, M.R., Prescott, K.K., Reck, C., Renner, T., Robbins, E.J., Smith, A.R., Stuczynski, P., Thompson, J., </w:t>
      </w:r>
      <w:proofErr w:type="spellStart"/>
      <w:r w:rsidRPr="00D92262">
        <w:rPr>
          <w:sz w:val="23"/>
          <w:szCs w:val="23"/>
          <w:shd w:val="clear" w:color="auto" w:fill="FFFFFF"/>
        </w:rPr>
        <w:t>Tsotakos</w:t>
      </w:r>
      <w:proofErr w:type="spellEnd"/>
      <w:r w:rsidRPr="00D92262">
        <w:rPr>
          <w:sz w:val="23"/>
          <w:szCs w:val="23"/>
          <w:shd w:val="clear" w:color="auto" w:fill="FFFFFF"/>
        </w:rPr>
        <w:t>, N., Turk, J.K., Unruh, K., Webb, J., Whitehead, S.N., Wisniewski, E., Zhang, K.A., &amp; Motz, B.A. (2021) ‘</w:t>
      </w:r>
      <w:proofErr w:type="spellStart"/>
      <w:r w:rsidRPr="00D92262">
        <w:rPr>
          <w:sz w:val="23"/>
          <w:szCs w:val="23"/>
          <w:shd w:val="clear" w:color="auto" w:fill="FFFFFF"/>
        </w:rPr>
        <w:t>ManyClasses</w:t>
      </w:r>
      <w:proofErr w:type="spellEnd"/>
      <w:r w:rsidRPr="00D92262">
        <w:rPr>
          <w:sz w:val="23"/>
          <w:szCs w:val="23"/>
          <w:shd w:val="clear" w:color="auto" w:fill="FFFFFF"/>
        </w:rPr>
        <w:t xml:space="preserve"> 1: Assessing the Generalizable Effect of Immediate Feedback Versus Delayed Feedback Across Many College Classes’, </w:t>
      </w:r>
      <w:r w:rsidRPr="00D92262">
        <w:rPr>
          <w:rStyle w:val="Emphasis"/>
          <w:sz w:val="23"/>
          <w:szCs w:val="23"/>
        </w:rPr>
        <w:t>Advances in Methods and Practices in Psychological Science, 4</w:t>
      </w:r>
      <w:r w:rsidRPr="00D92262">
        <w:rPr>
          <w:sz w:val="23"/>
          <w:szCs w:val="23"/>
          <w:shd w:val="clear" w:color="auto" w:fill="FFFFFF"/>
        </w:rPr>
        <w:t xml:space="preserve">(3), pp. 1-24. Available at: </w:t>
      </w:r>
      <w:r w:rsidRPr="00D92262">
        <w:rPr>
          <w:rFonts w:cs="ITCGaramondStd-Lt"/>
          <w:kern w:val="0"/>
          <w:sz w:val="23"/>
          <w:szCs w:val="23"/>
        </w:rPr>
        <w:t xml:space="preserve">DOI: 10.1177/25152459211027575 </w:t>
      </w:r>
    </w:p>
    <w:p w14:paraId="4664493A" w14:textId="77777777" w:rsidR="00FE52C0" w:rsidRPr="00D92262" w:rsidRDefault="00FE52C0" w:rsidP="00FE52C0">
      <w:pPr>
        <w:rPr>
          <w:rFonts w:cstheme="minorHAnsi"/>
          <w:sz w:val="23"/>
          <w:szCs w:val="23"/>
        </w:rPr>
      </w:pPr>
      <w:r w:rsidRPr="00D92262">
        <w:rPr>
          <w:rFonts w:cstheme="minorHAnsi"/>
          <w:sz w:val="23"/>
          <w:szCs w:val="23"/>
        </w:rPr>
        <w:t>Gall, J.P., Gall, M. D., &amp; Borg, W. R. (eds.) (2005) Applying educational research: A practical guide. USA: Pearson Education, Inc.</w:t>
      </w:r>
    </w:p>
    <w:p w14:paraId="105A221F" w14:textId="77777777" w:rsidR="00FE52C0" w:rsidRPr="00D92262" w:rsidRDefault="00FE52C0" w:rsidP="00FE52C0">
      <w:pPr>
        <w:autoSpaceDE w:val="0"/>
        <w:autoSpaceDN w:val="0"/>
        <w:adjustRightInd w:val="0"/>
        <w:spacing w:after="0" w:line="240" w:lineRule="auto"/>
        <w:rPr>
          <w:sz w:val="23"/>
          <w:szCs w:val="23"/>
          <w:shd w:val="clear" w:color="auto" w:fill="FFFFFF"/>
        </w:rPr>
      </w:pPr>
      <w:r w:rsidRPr="00D92262">
        <w:rPr>
          <w:sz w:val="23"/>
          <w:szCs w:val="23"/>
          <w:shd w:val="clear" w:color="auto" w:fill="FFFFFF"/>
        </w:rPr>
        <w:t>Heffernan, N.T., Kehrer, P., and Kelly, K.M. (2013) ‘Does Immediate Feedback While Doing Homework Improve Learning?’, </w:t>
      </w:r>
      <w:r w:rsidRPr="00D92262">
        <w:rPr>
          <w:rStyle w:val="Emphasis"/>
          <w:sz w:val="23"/>
          <w:szCs w:val="23"/>
        </w:rPr>
        <w:t>The Florida AI Research Society</w:t>
      </w:r>
      <w:r w:rsidRPr="00D92262">
        <w:rPr>
          <w:sz w:val="23"/>
          <w:szCs w:val="23"/>
          <w:shd w:val="clear" w:color="auto" w:fill="FFFFFF"/>
        </w:rPr>
        <w:t xml:space="preserve">. pp. 542-545. Available at: </w:t>
      </w:r>
      <w:hyperlink r:id="rId14" w:history="1">
        <w:r w:rsidRPr="00D92262">
          <w:rPr>
            <w:rStyle w:val="Hyperlink"/>
            <w:color w:val="auto"/>
            <w:sz w:val="23"/>
            <w:szCs w:val="23"/>
            <w:shd w:val="clear" w:color="auto" w:fill="FFFFFF"/>
          </w:rPr>
          <w:t>https://www.semanticscholar.org/paper/Does-Immediate-Feedback-While-Doing-Homework-Kehrer-Kelly/d8dc0fb53b31e0e9f7c09b8845e2c22decedd0be</w:t>
        </w:r>
      </w:hyperlink>
      <w:r w:rsidRPr="00D92262">
        <w:rPr>
          <w:sz w:val="23"/>
          <w:szCs w:val="23"/>
          <w:shd w:val="clear" w:color="auto" w:fill="FFFFFF"/>
        </w:rPr>
        <w:t xml:space="preserve"> (Accessed: 1 May 2024)</w:t>
      </w:r>
    </w:p>
    <w:p w14:paraId="6CDBAFE3" w14:textId="77777777" w:rsidR="00FE52C0" w:rsidRPr="00D92262" w:rsidRDefault="00FE52C0" w:rsidP="00FE52C0">
      <w:pPr>
        <w:autoSpaceDE w:val="0"/>
        <w:autoSpaceDN w:val="0"/>
        <w:adjustRightInd w:val="0"/>
        <w:spacing w:after="0" w:line="240" w:lineRule="auto"/>
        <w:rPr>
          <w:rFonts w:cs="ArialMT"/>
          <w:kern w:val="0"/>
          <w:sz w:val="23"/>
          <w:szCs w:val="23"/>
        </w:rPr>
      </w:pPr>
    </w:p>
    <w:p w14:paraId="42F7933F"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r w:rsidRPr="00D92262">
        <w:rPr>
          <w:sz w:val="23"/>
          <w:szCs w:val="23"/>
        </w:rPr>
        <w:t xml:space="preserve">Johnson, M., Kallio, H., Kangasniemi, M. and Pietilä, A. (2016) ‘Systematic methodological review: developing a framework for a qualitative semi-structured interview guide’, </w:t>
      </w:r>
      <w:r w:rsidRPr="00D92262">
        <w:rPr>
          <w:i/>
          <w:iCs/>
          <w:sz w:val="23"/>
          <w:szCs w:val="23"/>
        </w:rPr>
        <w:t>Journal of Advanced Nursing</w:t>
      </w:r>
      <w:r w:rsidRPr="00D92262">
        <w:rPr>
          <w:sz w:val="23"/>
          <w:szCs w:val="23"/>
        </w:rPr>
        <w:t xml:space="preserve">, 72(12) pp. 2949-3217. Available at: </w:t>
      </w:r>
      <w:hyperlink r:id="rId15" w:history="1">
        <w:r w:rsidRPr="00D92262">
          <w:rPr>
            <w:rStyle w:val="Hyperlink"/>
            <w:color w:val="auto"/>
            <w:sz w:val="23"/>
            <w:szCs w:val="23"/>
          </w:rPr>
          <w:t>https://doi.org/10.1111/jan.13031</w:t>
        </w:r>
      </w:hyperlink>
    </w:p>
    <w:p w14:paraId="2ED8B46D" w14:textId="77777777" w:rsidR="00FE52C0" w:rsidRPr="00D92262" w:rsidRDefault="00FE52C0" w:rsidP="00FE52C0">
      <w:pPr>
        <w:rPr>
          <w:sz w:val="23"/>
          <w:szCs w:val="23"/>
        </w:rPr>
      </w:pPr>
      <w:r w:rsidRPr="00D92262">
        <w:rPr>
          <w:sz w:val="23"/>
          <w:szCs w:val="23"/>
        </w:rPr>
        <w:t xml:space="preserve">Jones, M.C. and Rattray, J. (2007) ‘Essential elements of questionnaire design and development’, </w:t>
      </w:r>
      <w:r w:rsidRPr="00D92262">
        <w:rPr>
          <w:i/>
          <w:iCs/>
          <w:sz w:val="23"/>
          <w:szCs w:val="23"/>
        </w:rPr>
        <w:t>Journal of Clinical Nursing</w:t>
      </w:r>
      <w:r w:rsidRPr="00D92262">
        <w:rPr>
          <w:sz w:val="23"/>
          <w:szCs w:val="23"/>
        </w:rPr>
        <w:t xml:space="preserve">, 16(2) pp. 234-243. Available at: </w:t>
      </w:r>
      <w:hyperlink r:id="rId16" w:history="1">
        <w:r w:rsidRPr="00D92262">
          <w:rPr>
            <w:rStyle w:val="Hyperlink"/>
            <w:color w:val="auto"/>
            <w:sz w:val="23"/>
            <w:szCs w:val="23"/>
          </w:rPr>
          <w:t>https://doi.org/10.1111/j.1365-2702.2006.01573.x</w:t>
        </w:r>
      </w:hyperlink>
      <w:r w:rsidRPr="00D92262">
        <w:rPr>
          <w:sz w:val="23"/>
          <w:szCs w:val="23"/>
        </w:rPr>
        <w:t xml:space="preserve"> </w:t>
      </w:r>
    </w:p>
    <w:p w14:paraId="4A8E7996"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r w:rsidRPr="00D92262">
        <w:rPr>
          <w:sz w:val="23"/>
          <w:szCs w:val="23"/>
        </w:rPr>
        <w:t>Jordan, S. (2011) ‘</w:t>
      </w:r>
      <w:r w:rsidRPr="00D92262">
        <w:rPr>
          <w:rFonts w:cs="AdvOT863180fb"/>
          <w:kern w:val="0"/>
          <w:sz w:val="23"/>
          <w:szCs w:val="23"/>
        </w:rPr>
        <w:t xml:space="preserve">Student engagement with assessment and feedback: Some lessons from short-answer free-text e-assessment questions’, </w:t>
      </w:r>
      <w:r w:rsidRPr="00D92262">
        <w:rPr>
          <w:rFonts w:cs="AdvOT863180fb"/>
          <w:i/>
          <w:iCs/>
          <w:kern w:val="0"/>
          <w:sz w:val="23"/>
          <w:szCs w:val="23"/>
        </w:rPr>
        <w:t>Computers &amp; Education</w:t>
      </w:r>
      <w:r w:rsidRPr="00D92262">
        <w:rPr>
          <w:rFonts w:cs="AdvOT863180fb"/>
          <w:kern w:val="0"/>
          <w:sz w:val="23"/>
          <w:szCs w:val="23"/>
        </w:rPr>
        <w:t xml:space="preserve">, 58, pp. 818-834. Available at: </w:t>
      </w:r>
      <w:r w:rsidRPr="00D92262">
        <w:rPr>
          <w:rFonts w:cs="Segoe UI"/>
          <w:sz w:val="23"/>
          <w:szCs w:val="23"/>
          <w:shd w:val="clear" w:color="auto" w:fill="FFFFFF"/>
        </w:rPr>
        <w:t xml:space="preserve">10.1016/j.compedu.2011.10.007 </w:t>
      </w:r>
    </w:p>
    <w:p w14:paraId="56DB4DFA"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p>
    <w:p w14:paraId="364B4B89" w14:textId="77777777" w:rsidR="00FE52C0" w:rsidRPr="00D92262" w:rsidRDefault="00FE52C0" w:rsidP="00FE52C0">
      <w:pPr>
        <w:rPr>
          <w:sz w:val="23"/>
          <w:szCs w:val="23"/>
        </w:rPr>
      </w:pPr>
      <w:r w:rsidRPr="00D92262">
        <w:rPr>
          <w:sz w:val="23"/>
          <w:szCs w:val="23"/>
        </w:rPr>
        <w:t xml:space="preserve">Kirby, P. (2020) </w:t>
      </w:r>
      <w:proofErr w:type="gramStart"/>
      <w:r w:rsidRPr="00D92262">
        <w:rPr>
          <w:sz w:val="23"/>
          <w:szCs w:val="23"/>
        </w:rPr>
        <w:t>‘ ‘</w:t>
      </w:r>
      <w:proofErr w:type="gramEnd"/>
      <w:r w:rsidRPr="00D92262">
        <w:rPr>
          <w:sz w:val="23"/>
          <w:szCs w:val="23"/>
        </w:rPr>
        <w:t xml:space="preserve">It’s never okay to say no to teachers’: Children’s research consent and dissent in conforming schools context’, </w:t>
      </w:r>
      <w:r w:rsidRPr="00D92262">
        <w:rPr>
          <w:i/>
          <w:iCs/>
          <w:sz w:val="23"/>
          <w:szCs w:val="23"/>
        </w:rPr>
        <w:t>British Educational Research Journal</w:t>
      </w:r>
      <w:r w:rsidRPr="00D92262">
        <w:rPr>
          <w:sz w:val="23"/>
          <w:szCs w:val="23"/>
        </w:rPr>
        <w:t xml:space="preserve">, 46(4) pp. 811-828. Available at: DOL: 10.1002/berj.3638 </w:t>
      </w:r>
    </w:p>
    <w:p w14:paraId="019D86D6" w14:textId="77777777" w:rsidR="00FE52C0" w:rsidRPr="00D92262" w:rsidRDefault="00FE52C0" w:rsidP="00FE52C0">
      <w:pPr>
        <w:autoSpaceDE w:val="0"/>
        <w:autoSpaceDN w:val="0"/>
        <w:adjustRightInd w:val="0"/>
        <w:spacing w:after="0" w:line="240" w:lineRule="auto"/>
        <w:rPr>
          <w:rStyle w:val="Hyperlink"/>
          <w:rFonts w:cs="Arial"/>
          <w:color w:val="auto"/>
          <w:sz w:val="23"/>
          <w:szCs w:val="23"/>
          <w:shd w:val="clear" w:color="auto" w:fill="FFFFFF"/>
        </w:rPr>
      </w:pPr>
      <w:r w:rsidRPr="00D92262">
        <w:rPr>
          <w:rFonts w:cs="Arial"/>
          <w:sz w:val="23"/>
          <w:szCs w:val="23"/>
          <w:shd w:val="clear" w:color="auto" w:fill="FFFFFF"/>
        </w:rPr>
        <w:t>Kluger, A.N., and DeNisi, A. (1996) ‘The effects of feedback interventions on performance: A historical review, a meta-analysis, and a preliminary feedback intervention theory’, </w:t>
      </w:r>
      <w:r w:rsidRPr="00D92262">
        <w:rPr>
          <w:rStyle w:val="Emphasis"/>
          <w:rFonts w:cs="Arial"/>
          <w:sz w:val="23"/>
          <w:szCs w:val="23"/>
          <w:shd w:val="clear" w:color="auto" w:fill="FFFFFF"/>
        </w:rPr>
        <w:t>Psychological Bulletin, 119</w:t>
      </w:r>
      <w:r w:rsidRPr="00D92262">
        <w:rPr>
          <w:rFonts w:cs="Arial"/>
          <w:sz w:val="23"/>
          <w:szCs w:val="23"/>
          <w:shd w:val="clear" w:color="auto" w:fill="FFFFFF"/>
        </w:rPr>
        <w:t>(2), pp. 254–284. Available at: </w:t>
      </w:r>
      <w:hyperlink r:id="rId17" w:tgtFrame="_blank" w:history="1">
        <w:r w:rsidRPr="00D92262">
          <w:rPr>
            <w:rStyle w:val="Hyperlink"/>
            <w:rFonts w:cs="Arial"/>
            <w:color w:val="auto"/>
            <w:sz w:val="23"/>
            <w:szCs w:val="23"/>
            <w:shd w:val="clear" w:color="auto" w:fill="FFFFFF"/>
          </w:rPr>
          <w:t>https://doi.org/10.1037/0033-2909.119.2.254</w:t>
        </w:r>
      </w:hyperlink>
    </w:p>
    <w:p w14:paraId="134A7ED6" w14:textId="77777777" w:rsidR="00FE52C0" w:rsidRPr="00D92262" w:rsidRDefault="00FE52C0" w:rsidP="00FE52C0">
      <w:pPr>
        <w:autoSpaceDE w:val="0"/>
        <w:autoSpaceDN w:val="0"/>
        <w:adjustRightInd w:val="0"/>
        <w:spacing w:after="0" w:line="240" w:lineRule="auto"/>
        <w:rPr>
          <w:sz w:val="23"/>
          <w:szCs w:val="23"/>
        </w:rPr>
      </w:pPr>
    </w:p>
    <w:p w14:paraId="2BF088F9" w14:textId="77777777" w:rsidR="00FE52C0" w:rsidRPr="00D92262" w:rsidRDefault="00FE52C0" w:rsidP="00FE52C0">
      <w:pPr>
        <w:rPr>
          <w:sz w:val="23"/>
          <w:szCs w:val="23"/>
          <w:shd w:val="clear" w:color="auto" w:fill="FFFFFF"/>
        </w:rPr>
      </w:pPr>
      <w:r w:rsidRPr="00D92262">
        <w:rPr>
          <w:sz w:val="23"/>
          <w:szCs w:val="23"/>
          <w:shd w:val="clear" w:color="auto" w:fill="FFFFFF"/>
        </w:rPr>
        <w:t xml:space="preserve">Lietz, P. (2010) ‘Research into questionnaire design’, </w:t>
      </w:r>
      <w:r w:rsidRPr="00D92262">
        <w:rPr>
          <w:i/>
          <w:iCs/>
          <w:sz w:val="23"/>
          <w:szCs w:val="23"/>
          <w:shd w:val="clear" w:color="auto" w:fill="FFFFFF"/>
        </w:rPr>
        <w:t>International Journal of Market Research</w:t>
      </w:r>
      <w:r w:rsidRPr="00D92262">
        <w:rPr>
          <w:sz w:val="23"/>
          <w:szCs w:val="23"/>
          <w:shd w:val="clear" w:color="auto" w:fill="FFFFFF"/>
        </w:rPr>
        <w:t xml:space="preserve">, 52(2) pp. 249-272. Available at: </w:t>
      </w:r>
      <w:hyperlink r:id="rId18" w:history="1">
        <w:r w:rsidRPr="00D92262">
          <w:rPr>
            <w:rStyle w:val="Hyperlink"/>
            <w:color w:val="auto"/>
            <w:sz w:val="23"/>
            <w:szCs w:val="23"/>
            <w:shd w:val="clear" w:color="auto" w:fill="FFFFFF"/>
          </w:rPr>
          <w:t>https://doiorg.ezproxy.uwtsd.ac.uk/10.2501/S147078530920120X</w:t>
        </w:r>
      </w:hyperlink>
    </w:p>
    <w:p w14:paraId="45C38466" w14:textId="77777777" w:rsidR="00FE52C0" w:rsidRPr="00D92262" w:rsidRDefault="00FE52C0" w:rsidP="00FE52C0">
      <w:pPr>
        <w:autoSpaceDE w:val="0"/>
        <w:autoSpaceDN w:val="0"/>
        <w:adjustRightInd w:val="0"/>
        <w:spacing w:after="0" w:line="240" w:lineRule="auto"/>
        <w:rPr>
          <w:rFonts w:cs="Segoe UI"/>
          <w:sz w:val="23"/>
          <w:szCs w:val="23"/>
          <w:shd w:val="clear" w:color="auto" w:fill="FFFFFF"/>
        </w:rPr>
      </w:pPr>
      <w:r w:rsidRPr="00D92262">
        <w:rPr>
          <w:rFonts w:cs="Segoe UI"/>
          <w:sz w:val="23"/>
          <w:szCs w:val="23"/>
          <w:shd w:val="clear" w:color="auto" w:fill="FFFFFF"/>
        </w:rPr>
        <w:t xml:space="preserve">Lizzio, A. and Wilson, K. (2008) ‘Feedback on assessment: students’ perceptions of quality and effectiveness’, </w:t>
      </w:r>
      <w:r w:rsidRPr="00D92262">
        <w:rPr>
          <w:rFonts w:cs="Segoe UI"/>
          <w:i/>
          <w:iCs/>
          <w:sz w:val="23"/>
          <w:szCs w:val="23"/>
          <w:shd w:val="clear" w:color="auto" w:fill="FFFFFF"/>
        </w:rPr>
        <w:t>Assessment &amp; Evaluation in Higher Education</w:t>
      </w:r>
      <w:r w:rsidRPr="00D92262">
        <w:rPr>
          <w:rFonts w:cs="Segoe UI"/>
          <w:sz w:val="23"/>
          <w:szCs w:val="23"/>
          <w:shd w:val="clear" w:color="auto" w:fill="FFFFFF"/>
        </w:rPr>
        <w:t xml:space="preserve">, 33(3), pp. 219-340. Available at: </w:t>
      </w:r>
      <w:hyperlink r:id="rId19" w:history="1">
        <w:r w:rsidRPr="00D92262">
          <w:rPr>
            <w:rStyle w:val="Hyperlink"/>
            <w:rFonts w:cs="Segoe UI"/>
            <w:color w:val="auto"/>
            <w:sz w:val="23"/>
            <w:szCs w:val="23"/>
            <w:shd w:val="clear" w:color="auto" w:fill="FFFFFF"/>
          </w:rPr>
          <w:t>https://doi.org/10.1080/02602930701292548</w:t>
        </w:r>
      </w:hyperlink>
    </w:p>
    <w:p w14:paraId="78BB0745" w14:textId="77777777" w:rsidR="00FE52C0" w:rsidRPr="00D92262" w:rsidRDefault="00FE52C0" w:rsidP="00FE52C0">
      <w:pPr>
        <w:rPr>
          <w:sz w:val="23"/>
          <w:szCs w:val="23"/>
        </w:rPr>
      </w:pPr>
      <w:r w:rsidRPr="00D92262">
        <w:rPr>
          <w:sz w:val="23"/>
          <w:szCs w:val="23"/>
        </w:rPr>
        <w:t xml:space="preserve">Oppenheim, A.N. (2005) </w:t>
      </w:r>
      <w:r w:rsidRPr="00D92262">
        <w:rPr>
          <w:i/>
          <w:iCs/>
          <w:sz w:val="23"/>
          <w:szCs w:val="23"/>
        </w:rPr>
        <w:t xml:space="preserve">Questionnaire Design, Interviewing and Attitude Measurement. </w:t>
      </w:r>
      <w:r w:rsidRPr="00D92262">
        <w:rPr>
          <w:sz w:val="23"/>
          <w:szCs w:val="23"/>
        </w:rPr>
        <w:t>2</w:t>
      </w:r>
      <w:r w:rsidRPr="00D92262">
        <w:rPr>
          <w:sz w:val="23"/>
          <w:szCs w:val="23"/>
          <w:vertAlign w:val="superscript"/>
        </w:rPr>
        <w:t>nd</w:t>
      </w:r>
      <w:r w:rsidRPr="00D92262">
        <w:rPr>
          <w:sz w:val="23"/>
          <w:szCs w:val="23"/>
        </w:rPr>
        <w:t xml:space="preserve"> </w:t>
      </w:r>
      <w:proofErr w:type="spellStart"/>
      <w:r w:rsidRPr="00D92262">
        <w:rPr>
          <w:sz w:val="23"/>
          <w:szCs w:val="23"/>
        </w:rPr>
        <w:t>edn</w:t>
      </w:r>
      <w:proofErr w:type="spellEnd"/>
      <w:r w:rsidRPr="00D92262">
        <w:rPr>
          <w:sz w:val="23"/>
          <w:szCs w:val="23"/>
        </w:rPr>
        <w:t>. London: Printer Publications</w:t>
      </w:r>
    </w:p>
    <w:p w14:paraId="3A12CBDE" w14:textId="77777777" w:rsidR="00FE52C0" w:rsidRPr="00D92262" w:rsidRDefault="00FE52C0" w:rsidP="00FE52C0">
      <w:pPr>
        <w:rPr>
          <w:sz w:val="23"/>
          <w:szCs w:val="23"/>
        </w:rPr>
      </w:pPr>
      <w:r w:rsidRPr="00D92262">
        <w:rPr>
          <w:sz w:val="23"/>
          <w:szCs w:val="23"/>
        </w:rPr>
        <w:t xml:space="preserve">Rivas, C. (2012) ‘Coding and </w:t>
      </w:r>
      <w:proofErr w:type="spellStart"/>
      <w:r w:rsidRPr="00D92262">
        <w:rPr>
          <w:sz w:val="23"/>
          <w:szCs w:val="23"/>
        </w:rPr>
        <w:t>Alalysing</w:t>
      </w:r>
      <w:proofErr w:type="spellEnd"/>
      <w:r w:rsidRPr="00D92262">
        <w:rPr>
          <w:sz w:val="23"/>
          <w:szCs w:val="23"/>
        </w:rPr>
        <w:t xml:space="preserve"> Qualitative Data’ in Seale, C. (ed) </w:t>
      </w:r>
      <w:r w:rsidRPr="00D92262">
        <w:rPr>
          <w:i/>
          <w:iCs/>
          <w:sz w:val="23"/>
          <w:szCs w:val="23"/>
        </w:rPr>
        <w:t xml:space="preserve">Researching Society and Culture </w:t>
      </w:r>
      <w:r w:rsidRPr="00D92262">
        <w:rPr>
          <w:sz w:val="23"/>
          <w:szCs w:val="23"/>
        </w:rPr>
        <w:t>3</w:t>
      </w:r>
      <w:r w:rsidRPr="00D92262">
        <w:rPr>
          <w:sz w:val="23"/>
          <w:szCs w:val="23"/>
          <w:vertAlign w:val="superscript"/>
        </w:rPr>
        <w:t>rd</w:t>
      </w:r>
      <w:r w:rsidRPr="00D92262">
        <w:rPr>
          <w:sz w:val="23"/>
          <w:szCs w:val="23"/>
        </w:rPr>
        <w:t xml:space="preserve"> edition. London: SAGE Publications Ltd, pp. 368-387</w:t>
      </w:r>
    </w:p>
    <w:p w14:paraId="7E23C967" w14:textId="77777777" w:rsidR="00FE52C0" w:rsidRPr="00D92262" w:rsidRDefault="00FE52C0" w:rsidP="00FE52C0">
      <w:pPr>
        <w:autoSpaceDE w:val="0"/>
        <w:autoSpaceDN w:val="0"/>
        <w:adjustRightInd w:val="0"/>
        <w:spacing w:after="0" w:line="240" w:lineRule="auto"/>
        <w:rPr>
          <w:rStyle w:val="Hyperlink"/>
          <w:color w:val="auto"/>
          <w:sz w:val="23"/>
          <w:szCs w:val="23"/>
          <w:shd w:val="clear" w:color="auto" w:fill="FFFFFF"/>
        </w:rPr>
      </w:pPr>
      <w:r w:rsidRPr="00D92262">
        <w:rPr>
          <w:rFonts w:cs="AdvOT863180fb"/>
          <w:kern w:val="0"/>
          <w:sz w:val="23"/>
          <w:szCs w:val="23"/>
        </w:rPr>
        <w:t xml:space="preserve">Sadler, D. R. (1989) ‘Formative assessment and the design of instructional systems’ </w:t>
      </w:r>
      <w:r w:rsidRPr="00D92262">
        <w:rPr>
          <w:rFonts w:cs="AdvOTb92eb7df.I"/>
          <w:i/>
          <w:iCs/>
          <w:kern w:val="0"/>
          <w:sz w:val="23"/>
          <w:szCs w:val="23"/>
        </w:rPr>
        <w:t>Instructional Science</w:t>
      </w:r>
      <w:r w:rsidRPr="00D92262">
        <w:rPr>
          <w:rFonts w:cs="AdvOTb92eb7df.I"/>
          <w:kern w:val="0"/>
          <w:sz w:val="23"/>
          <w:szCs w:val="23"/>
        </w:rPr>
        <w:t>, 18</w:t>
      </w:r>
      <w:r w:rsidRPr="00D92262">
        <w:rPr>
          <w:rFonts w:cs="AdvOT863180fb"/>
          <w:kern w:val="0"/>
          <w:sz w:val="23"/>
          <w:szCs w:val="23"/>
        </w:rPr>
        <w:t xml:space="preserve"> pp. 119</w:t>
      </w:r>
      <w:r w:rsidRPr="00D92262">
        <w:rPr>
          <w:rFonts w:cs="AdvOT863180fb+20"/>
          <w:kern w:val="0"/>
          <w:sz w:val="23"/>
          <w:szCs w:val="23"/>
        </w:rPr>
        <w:t>–</w:t>
      </w:r>
      <w:r w:rsidRPr="00D92262">
        <w:rPr>
          <w:rFonts w:cs="AdvOT863180fb"/>
          <w:kern w:val="0"/>
          <w:sz w:val="23"/>
          <w:szCs w:val="23"/>
        </w:rPr>
        <w:t xml:space="preserve">144. Available at: </w:t>
      </w:r>
      <w:hyperlink r:id="rId20" w:history="1">
        <w:r w:rsidRPr="00D92262">
          <w:rPr>
            <w:rStyle w:val="Hyperlink"/>
            <w:color w:val="auto"/>
            <w:sz w:val="23"/>
            <w:szCs w:val="23"/>
            <w:shd w:val="clear" w:color="auto" w:fill="FFFFFF"/>
          </w:rPr>
          <w:t>https://doi.org/10.1007/BF00117714</w:t>
        </w:r>
      </w:hyperlink>
    </w:p>
    <w:p w14:paraId="3DF278BE" w14:textId="77777777" w:rsidR="00FE52C0" w:rsidRPr="00D92262" w:rsidRDefault="00FE52C0" w:rsidP="00FE52C0">
      <w:pPr>
        <w:autoSpaceDE w:val="0"/>
        <w:autoSpaceDN w:val="0"/>
        <w:adjustRightInd w:val="0"/>
        <w:spacing w:after="0" w:line="240" w:lineRule="auto"/>
        <w:rPr>
          <w:sz w:val="23"/>
          <w:szCs w:val="23"/>
          <w:shd w:val="clear" w:color="auto" w:fill="FFFFFF"/>
        </w:rPr>
      </w:pPr>
    </w:p>
    <w:p w14:paraId="1A0EE279" w14:textId="77777777" w:rsidR="00FE52C0" w:rsidRPr="00D92262" w:rsidRDefault="00FE52C0" w:rsidP="00FE52C0">
      <w:pPr>
        <w:autoSpaceDE w:val="0"/>
        <w:autoSpaceDN w:val="0"/>
        <w:adjustRightInd w:val="0"/>
        <w:spacing w:after="0" w:line="240" w:lineRule="auto"/>
        <w:rPr>
          <w:rFonts w:cstheme="minorHAnsi"/>
          <w:sz w:val="23"/>
          <w:szCs w:val="23"/>
        </w:rPr>
      </w:pPr>
      <w:r w:rsidRPr="00D92262">
        <w:rPr>
          <w:rFonts w:cstheme="minorHAnsi"/>
          <w:sz w:val="23"/>
          <w:szCs w:val="23"/>
        </w:rPr>
        <w:t xml:space="preserve">Simons, H. (2009) </w:t>
      </w:r>
      <w:r w:rsidRPr="00D92262">
        <w:rPr>
          <w:rFonts w:cstheme="minorHAnsi"/>
          <w:i/>
          <w:iCs/>
          <w:sz w:val="23"/>
          <w:szCs w:val="23"/>
        </w:rPr>
        <w:t>Case Study Research in Practice</w:t>
      </w:r>
      <w:r w:rsidRPr="00D92262">
        <w:rPr>
          <w:rFonts w:cstheme="minorHAnsi"/>
          <w:sz w:val="23"/>
          <w:szCs w:val="23"/>
        </w:rPr>
        <w:t>. London: Sage.</w:t>
      </w:r>
    </w:p>
    <w:p w14:paraId="48130071" w14:textId="77777777" w:rsidR="00FE52C0" w:rsidRPr="00D92262" w:rsidRDefault="00FE52C0" w:rsidP="00FE52C0">
      <w:pPr>
        <w:autoSpaceDE w:val="0"/>
        <w:autoSpaceDN w:val="0"/>
        <w:adjustRightInd w:val="0"/>
        <w:spacing w:after="0" w:line="240" w:lineRule="auto"/>
        <w:rPr>
          <w:rFonts w:cstheme="minorHAnsi"/>
          <w:sz w:val="23"/>
          <w:szCs w:val="23"/>
        </w:rPr>
      </w:pPr>
    </w:p>
    <w:p w14:paraId="1C04C9A4" w14:textId="77777777" w:rsidR="00FE52C0" w:rsidRPr="00D92262" w:rsidRDefault="00FE52C0" w:rsidP="00FE52C0">
      <w:pPr>
        <w:rPr>
          <w:sz w:val="23"/>
          <w:szCs w:val="23"/>
        </w:rPr>
      </w:pPr>
      <w:r w:rsidRPr="00D92262">
        <w:rPr>
          <w:sz w:val="23"/>
          <w:szCs w:val="23"/>
        </w:rPr>
        <w:t xml:space="preserve">Starman, A.B, (2013) ‘The case study as a type of qualitative research’, </w:t>
      </w:r>
      <w:r w:rsidRPr="00D92262">
        <w:rPr>
          <w:i/>
          <w:iCs/>
          <w:sz w:val="23"/>
          <w:szCs w:val="23"/>
        </w:rPr>
        <w:t>Journal of Contemporary Educational Studies</w:t>
      </w:r>
      <w:r w:rsidRPr="00D92262">
        <w:rPr>
          <w:sz w:val="23"/>
          <w:szCs w:val="23"/>
        </w:rPr>
        <w:t xml:space="preserve">, 1, pp. 28-43. Available at: </w:t>
      </w:r>
      <w:hyperlink r:id="rId21" w:history="1">
        <w:r w:rsidRPr="00D92262">
          <w:rPr>
            <w:rStyle w:val="Hyperlink"/>
            <w:color w:val="auto"/>
            <w:sz w:val="23"/>
            <w:szCs w:val="23"/>
          </w:rPr>
          <w:t>https://www.researchgate.net/profile/A-Biba-Rebolj2/publication/265682891_The_case_study_as_a_type_of_qualitative_research/links/54183f560cf25ebee988104c/The-case-study-as-a-type-of-qualitative-research.pdf</w:t>
        </w:r>
      </w:hyperlink>
      <w:r w:rsidRPr="00D92262">
        <w:rPr>
          <w:sz w:val="23"/>
          <w:szCs w:val="23"/>
        </w:rPr>
        <w:t xml:space="preserve"> (Accessed: 1 May 2024)</w:t>
      </w:r>
    </w:p>
    <w:p w14:paraId="7EB86334" w14:textId="77777777" w:rsidR="00FE52C0" w:rsidRPr="00D92262" w:rsidRDefault="00FE52C0" w:rsidP="00FE52C0">
      <w:pPr>
        <w:autoSpaceDE w:val="0"/>
        <w:autoSpaceDN w:val="0"/>
        <w:adjustRightInd w:val="0"/>
        <w:spacing w:after="0" w:line="240" w:lineRule="auto"/>
        <w:rPr>
          <w:sz w:val="23"/>
          <w:szCs w:val="23"/>
        </w:rPr>
      </w:pPr>
      <w:r w:rsidRPr="00D92262">
        <w:rPr>
          <w:rFonts w:cs="ArialMT"/>
          <w:kern w:val="0"/>
          <w:sz w:val="23"/>
          <w:szCs w:val="23"/>
        </w:rPr>
        <w:t xml:space="preserve">Stuckey, H.L. (2015) ‘The second step in data analysis: Coding qualitative research data’, </w:t>
      </w:r>
      <w:r w:rsidRPr="00D92262">
        <w:rPr>
          <w:rFonts w:cs="ArialMT"/>
          <w:i/>
          <w:iCs/>
          <w:kern w:val="0"/>
          <w:sz w:val="23"/>
          <w:szCs w:val="23"/>
        </w:rPr>
        <w:t>Journal of Social Health and Diabetes</w:t>
      </w:r>
      <w:r w:rsidRPr="00D92262">
        <w:rPr>
          <w:rFonts w:cs="ArialMT"/>
          <w:kern w:val="0"/>
          <w:sz w:val="23"/>
          <w:szCs w:val="23"/>
        </w:rPr>
        <w:t xml:space="preserve">, 3(1) pp. 7-10. Available at: </w:t>
      </w:r>
      <w:r w:rsidRPr="00D92262">
        <w:rPr>
          <w:sz w:val="23"/>
          <w:szCs w:val="23"/>
        </w:rPr>
        <w:t xml:space="preserve">DOI: 10.4103/2321-0656.140875 </w:t>
      </w:r>
    </w:p>
    <w:p w14:paraId="02C2BECD" w14:textId="77777777" w:rsidR="00FE52C0" w:rsidRPr="00D92262" w:rsidRDefault="00FE52C0" w:rsidP="00FE52C0">
      <w:pPr>
        <w:pStyle w:val="dx-doi"/>
        <w:spacing w:before="0" w:after="0"/>
        <w:rPr>
          <w:rFonts w:asciiTheme="minorHAnsi" w:hAnsiTheme="minorHAnsi" w:cs="Open Sans"/>
          <w:sz w:val="23"/>
          <w:szCs w:val="23"/>
        </w:rPr>
      </w:pPr>
      <w:r w:rsidRPr="00D92262">
        <w:rPr>
          <w:rFonts w:asciiTheme="minorHAnsi" w:hAnsiTheme="minorHAnsi" w:cs="AdvOT863180fb"/>
          <w:sz w:val="23"/>
          <w:szCs w:val="23"/>
        </w:rPr>
        <w:t xml:space="preserve">Walker, M. (2009) ‘An investigation into written comments on assignments: do students </w:t>
      </w:r>
      <w:r w:rsidRPr="00D92262">
        <w:rPr>
          <w:rFonts w:asciiTheme="minorHAnsi" w:hAnsiTheme="minorHAnsi" w:cs="AdvOT863180fb+fb"/>
          <w:sz w:val="23"/>
          <w:szCs w:val="23"/>
        </w:rPr>
        <w:t>fi</w:t>
      </w:r>
      <w:r w:rsidRPr="00D92262">
        <w:rPr>
          <w:rFonts w:asciiTheme="minorHAnsi" w:hAnsiTheme="minorHAnsi" w:cs="AdvOT863180fb"/>
          <w:sz w:val="23"/>
          <w:szCs w:val="23"/>
        </w:rPr>
        <w:t xml:space="preserve">nd them usable?’, </w:t>
      </w:r>
      <w:r w:rsidRPr="00D92262">
        <w:rPr>
          <w:rFonts w:asciiTheme="minorHAnsi" w:hAnsiTheme="minorHAnsi" w:cs="AdvOTb92eb7df.I"/>
          <w:i/>
          <w:iCs/>
          <w:sz w:val="23"/>
          <w:szCs w:val="23"/>
        </w:rPr>
        <w:t>Assessment &amp; Evaluation in Higher Education</w:t>
      </w:r>
      <w:r w:rsidRPr="00D92262">
        <w:rPr>
          <w:rFonts w:asciiTheme="minorHAnsi" w:hAnsiTheme="minorHAnsi" w:cs="AdvOTb92eb7df.I"/>
          <w:sz w:val="23"/>
          <w:szCs w:val="23"/>
        </w:rPr>
        <w:t>, 34</w:t>
      </w:r>
      <w:r w:rsidRPr="00D92262">
        <w:rPr>
          <w:rFonts w:asciiTheme="minorHAnsi" w:hAnsiTheme="minorHAnsi" w:cs="AdvOT863180fb"/>
          <w:sz w:val="23"/>
          <w:szCs w:val="23"/>
        </w:rPr>
        <w:t>(1), pp. 67</w:t>
      </w:r>
      <w:r w:rsidRPr="00D92262">
        <w:rPr>
          <w:rFonts w:asciiTheme="minorHAnsi" w:hAnsiTheme="minorHAnsi" w:cs="AdvOT863180fb+20"/>
          <w:sz w:val="23"/>
          <w:szCs w:val="23"/>
        </w:rPr>
        <w:t>–</w:t>
      </w:r>
      <w:r w:rsidRPr="00D92262">
        <w:rPr>
          <w:rFonts w:asciiTheme="minorHAnsi" w:hAnsiTheme="minorHAnsi" w:cs="AdvOT863180fb"/>
          <w:sz w:val="23"/>
          <w:szCs w:val="23"/>
        </w:rPr>
        <w:t xml:space="preserve">78. Available at: </w:t>
      </w:r>
      <w:hyperlink r:id="rId22" w:history="1">
        <w:r w:rsidRPr="00D92262">
          <w:rPr>
            <w:rStyle w:val="Hyperlink"/>
            <w:rFonts w:asciiTheme="minorHAnsi" w:eastAsiaTheme="majorEastAsia" w:hAnsiTheme="minorHAnsi" w:cs="Open Sans"/>
            <w:color w:val="auto"/>
            <w:sz w:val="23"/>
            <w:szCs w:val="23"/>
          </w:rPr>
          <w:t>https://doi.org/10.1080/02602930801895752</w:t>
        </w:r>
      </w:hyperlink>
    </w:p>
    <w:p w14:paraId="041E6A29" w14:textId="77777777" w:rsidR="00FE52C0" w:rsidRPr="00D92262" w:rsidRDefault="00FE52C0" w:rsidP="00FE52C0">
      <w:pPr>
        <w:rPr>
          <w:rFonts w:cstheme="minorHAnsi"/>
          <w:sz w:val="23"/>
          <w:szCs w:val="23"/>
        </w:rPr>
      </w:pPr>
      <w:r w:rsidRPr="00D92262">
        <w:rPr>
          <w:rFonts w:cstheme="minorHAnsi"/>
          <w:sz w:val="23"/>
          <w:szCs w:val="23"/>
        </w:rPr>
        <w:t>Yin, R.K. (1994) Case study research: Design and methods. London: Sage.</w:t>
      </w:r>
    </w:p>
    <w:p w14:paraId="1DDB5667" w14:textId="77777777" w:rsidR="00FE52C0" w:rsidRPr="00D92262" w:rsidRDefault="00FE52C0" w:rsidP="00FE52C0">
      <w:pPr>
        <w:spacing w:after="0" w:line="240" w:lineRule="auto"/>
        <w:rPr>
          <w:rFonts w:eastAsia="Times New Roman" w:cs="Times New Roman"/>
          <w:kern w:val="0"/>
          <w:sz w:val="23"/>
          <w:szCs w:val="23"/>
          <w:lang w:eastAsia="en-GB"/>
          <w14:ligatures w14:val="none"/>
        </w:rPr>
      </w:pPr>
      <w:r w:rsidRPr="00D92262">
        <w:rPr>
          <w:rFonts w:eastAsia="Times New Roman" w:cs="Times New Roman"/>
          <w:kern w:val="0"/>
          <w:sz w:val="23"/>
          <w:szCs w:val="23"/>
          <w:lang w:eastAsia="en-GB"/>
          <w14:ligatures w14:val="none"/>
        </w:rPr>
        <w:t xml:space="preserve">Yin, R.K. (2014) </w:t>
      </w:r>
      <w:r w:rsidRPr="00D92262">
        <w:rPr>
          <w:rFonts w:eastAsia="Times New Roman" w:cs="Times New Roman"/>
          <w:i/>
          <w:iCs/>
          <w:kern w:val="0"/>
          <w:sz w:val="23"/>
          <w:szCs w:val="23"/>
          <w:lang w:eastAsia="en-GB"/>
          <w14:ligatures w14:val="none"/>
        </w:rPr>
        <w:t>Case study research: design and methods</w:t>
      </w:r>
      <w:r w:rsidRPr="00D92262">
        <w:rPr>
          <w:rFonts w:eastAsia="Times New Roman" w:cs="Times New Roman"/>
          <w:kern w:val="0"/>
          <w:sz w:val="23"/>
          <w:szCs w:val="23"/>
          <w:lang w:eastAsia="en-GB"/>
          <w14:ligatures w14:val="none"/>
        </w:rPr>
        <w:t>. Fifth edition. Los Angeles: SAGE.</w:t>
      </w:r>
    </w:p>
    <w:p w14:paraId="028E7E09" w14:textId="77777777" w:rsidR="00FE52C0" w:rsidRPr="00D92262" w:rsidRDefault="00FE52C0" w:rsidP="00FE52C0">
      <w:pPr>
        <w:rPr>
          <w:b/>
          <w:bCs/>
          <w:sz w:val="23"/>
          <w:szCs w:val="23"/>
        </w:rPr>
      </w:pPr>
    </w:p>
    <w:p w14:paraId="59999F43" w14:textId="77777777" w:rsidR="00D05221" w:rsidRPr="00FE52C0" w:rsidRDefault="00D05221" w:rsidP="00AF2154">
      <w:pPr>
        <w:spacing w:line="360" w:lineRule="auto"/>
        <w:rPr>
          <w:sz w:val="23"/>
          <w:szCs w:val="23"/>
        </w:rPr>
      </w:pPr>
    </w:p>
    <w:sectPr w:rsidR="00D05221" w:rsidRPr="00FE52C0" w:rsidSect="001D1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ITCGaramondStd-Lt">
    <w:altName w:val="Cambria"/>
    <w:panose1 w:val="00000000000000000000"/>
    <w:charset w:val="A1"/>
    <w:family w:val="roman"/>
    <w:notTrueType/>
    <w:pitch w:val="default"/>
    <w:sig w:usb0="00000081" w:usb1="00000000" w:usb2="00000000" w:usb3="00000000" w:csb0="00000008" w:csb1="00000000"/>
  </w:font>
  <w:font w:name="ITCGaramondStd-LtIt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dvOT863180fb">
    <w:altName w:val="Cambria"/>
    <w:panose1 w:val="00000000000000000000"/>
    <w:charset w:val="00"/>
    <w:family w:val="roman"/>
    <w:notTrueType/>
    <w:pitch w:val="default"/>
    <w:sig w:usb0="00000003" w:usb1="00000000" w:usb2="00000000" w:usb3="00000000" w:csb0="00000001" w:csb1="00000000"/>
  </w:font>
  <w:font w:name="AdvOTb92eb7df.I">
    <w:altName w:val="Cambria"/>
    <w:panose1 w:val="00000000000000000000"/>
    <w:charset w:val="00"/>
    <w:family w:val="roman"/>
    <w:notTrueType/>
    <w:pitch w:val="default"/>
    <w:sig w:usb0="00000003" w:usb1="00000000" w:usb2="00000000" w:usb3="00000000" w:csb0="00000001" w:csb1="00000000"/>
  </w:font>
  <w:font w:name="AdvOT863180fb+20">
    <w:altName w:val="Calibri"/>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AdvOT863180fb+fb">
    <w:altName w:val="Calibri"/>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5E"/>
    <w:rsid w:val="00027A47"/>
    <w:rsid w:val="0003702C"/>
    <w:rsid w:val="000E480C"/>
    <w:rsid w:val="00143873"/>
    <w:rsid w:val="001D18A6"/>
    <w:rsid w:val="001D688E"/>
    <w:rsid w:val="001E023E"/>
    <w:rsid w:val="002371BB"/>
    <w:rsid w:val="00534EA9"/>
    <w:rsid w:val="0057212C"/>
    <w:rsid w:val="00572490"/>
    <w:rsid w:val="005E0B19"/>
    <w:rsid w:val="00697729"/>
    <w:rsid w:val="007A5559"/>
    <w:rsid w:val="007E7EAC"/>
    <w:rsid w:val="007F6CE9"/>
    <w:rsid w:val="009038A1"/>
    <w:rsid w:val="00A675CB"/>
    <w:rsid w:val="00A7377A"/>
    <w:rsid w:val="00AC5D96"/>
    <w:rsid w:val="00AD4C5E"/>
    <w:rsid w:val="00AF2154"/>
    <w:rsid w:val="00C11E83"/>
    <w:rsid w:val="00C21C6A"/>
    <w:rsid w:val="00D05221"/>
    <w:rsid w:val="00D51A53"/>
    <w:rsid w:val="00D8529A"/>
    <w:rsid w:val="00DC3D4F"/>
    <w:rsid w:val="00FE52C0"/>
    <w:rsid w:val="00FE5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FA183"/>
  <w15:chartTrackingRefBased/>
  <w15:docId w15:val="{E99912B3-29F2-487A-9006-2D3487B5A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A6"/>
  </w:style>
  <w:style w:type="paragraph" w:styleId="Heading1">
    <w:name w:val="heading 1"/>
    <w:basedOn w:val="Normal"/>
    <w:next w:val="Normal"/>
    <w:link w:val="Heading1Char"/>
    <w:uiPriority w:val="9"/>
    <w:qFormat/>
    <w:rsid w:val="00AD4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C5E"/>
    <w:rPr>
      <w:rFonts w:eastAsiaTheme="majorEastAsia" w:cstheme="majorBidi"/>
      <w:color w:val="272727" w:themeColor="text1" w:themeTint="D8"/>
    </w:rPr>
  </w:style>
  <w:style w:type="paragraph" w:styleId="Title">
    <w:name w:val="Title"/>
    <w:basedOn w:val="Normal"/>
    <w:next w:val="Normal"/>
    <w:link w:val="TitleChar"/>
    <w:uiPriority w:val="10"/>
    <w:qFormat/>
    <w:rsid w:val="00AD4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C5E"/>
    <w:pPr>
      <w:spacing w:before="160"/>
      <w:jc w:val="center"/>
    </w:pPr>
    <w:rPr>
      <w:i/>
      <w:iCs/>
      <w:color w:val="404040" w:themeColor="text1" w:themeTint="BF"/>
    </w:rPr>
  </w:style>
  <w:style w:type="character" w:customStyle="1" w:styleId="QuoteChar">
    <w:name w:val="Quote Char"/>
    <w:basedOn w:val="DefaultParagraphFont"/>
    <w:link w:val="Quote"/>
    <w:uiPriority w:val="29"/>
    <w:rsid w:val="00AD4C5E"/>
    <w:rPr>
      <w:i/>
      <w:iCs/>
      <w:color w:val="404040" w:themeColor="text1" w:themeTint="BF"/>
    </w:rPr>
  </w:style>
  <w:style w:type="paragraph" w:styleId="ListParagraph">
    <w:name w:val="List Paragraph"/>
    <w:basedOn w:val="Normal"/>
    <w:uiPriority w:val="34"/>
    <w:qFormat/>
    <w:rsid w:val="00AD4C5E"/>
    <w:pPr>
      <w:ind w:left="720"/>
      <w:contextualSpacing/>
    </w:pPr>
  </w:style>
  <w:style w:type="character" w:styleId="IntenseEmphasis">
    <w:name w:val="Intense Emphasis"/>
    <w:basedOn w:val="DefaultParagraphFont"/>
    <w:uiPriority w:val="21"/>
    <w:qFormat/>
    <w:rsid w:val="00AD4C5E"/>
    <w:rPr>
      <w:i/>
      <w:iCs/>
      <w:color w:val="0F4761" w:themeColor="accent1" w:themeShade="BF"/>
    </w:rPr>
  </w:style>
  <w:style w:type="paragraph" w:styleId="IntenseQuote">
    <w:name w:val="Intense Quote"/>
    <w:basedOn w:val="Normal"/>
    <w:next w:val="Normal"/>
    <w:link w:val="IntenseQuoteChar"/>
    <w:uiPriority w:val="30"/>
    <w:qFormat/>
    <w:rsid w:val="00AD4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C5E"/>
    <w:rPr>
      <w:i/>
      <w:iCs/>
      <w:color w:val="0F4761" w:themeColor="accent1" w:themeShade="BF"/>
    </w:rPr>
  </w:style>
  <w:style w:type="character" w:styleId="IntenseReference">
    <w:name w:val="Intense Reference"/>
    <w:basedOn w:val="DefaultParagraphFont"/>
    <w:uiPriority w:val="32"/>
    <w:qFormat/>
    <w:rsid w:val="00AD4C5E"/>
    <w:rPr>
      <w:b/>
      <w:bCs/>
      <w:smallCaps/>
      <w:color w:val="0F4761" w:themeColor="accent1" w:themeShade="BF"/>
      <w:spacing w:val="5"/>
    </w:rPr>
  </w:style>
  <w:style w:type="paragraph" w:customStyle="1" w:styleId="TableParagraph">
    <w:name w:val="Table Paragraph"/>
    <w:basedOn w:val="Normal"/>
    <w:uiPriority w:val="1"/>
    <w:qFormat/>
    <w:rsid w:val="0057212C"/>
    <w:pPr>
      <w:widowControl w:val="0"/>
      <w:autoSpaceDE w:val="0"/>
      <w:autoSpaceDN w:val="0"/>
      <w:spacing w:after="0" w:line="240" w:lineRule="auto"/>
    </w:pPr>
    <w:rPr>
      <w:rFonts w:ascii="Arial" w:eastAsia="Arial" w:hAnsi="Arial" w:cs="Arial"/>
      <w:kern w:val="0"/>
      <w:lang w:val="en-US"/>
      <w14:ligatures w14:val="none"/>
    </w:rPr>
  </w:style>
  <w:style w:type="character" w:styleId="Hyperlink">
    <w:name w:val="Hyperlink"/>
    <w:basedOn w:val="DefaultParagraphFont"/>
    <w:uiPriority w:val="99"/>
    <w:unhideWhenUsed/>
    <w:rsid w:val="00FE52C0"/>
    <w:rPr>
      <w:color w:val="467886" w:themeColor="hyperlink"/>
      <w:u w:val="single"/>
    </w:rPr>
  </w:style>
  <w:style w:type="character" w:styleId="Emphasis">
    <w:name w:val="Emphasis"/>
    <w:basedOn w:val="DefaultParagraphFont"/>
    <w:uiPriority w:val="20"/>
    <w:qFormat/>
    <w:rsid w:val="00FE52C0"/>
    <w:rPr>
      <w:i/>
      <w:iCs/>
    </w:rPr>
  </w:style>
  <w:style w:type="paragraph" w:customStyle="1" w:styleId="dx-doi">
    <w:name w:val="dx-doi"/>
    <w:basedOn w:val="Normal"/>
    <w:rsid w:val="00FE52C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FollowedHyperlink">
    <w:name w:val="FollowedHyperlink"/>
    <w:basedOn w:val="DefaultParagraphFont"/>
    <w:uiPriority w:val="99"/>
    <w:semiHidden/>
    <w:unhideWhenUsed/>
    <w:rsid w:val="00FE52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rmac.2014.05.001" TargetMode="External"/><Relationship Id="rId13" Type="http://schemas.openxmlformats.org/officeDocument/2006/relationships/hyperlink" Target="https://doiorg.ezproxy.uwtsd.ac.uk/10.1177/1077800405284363" TargetMode="External"/><Relationship Id="rId18" Type="http://schemas.openxmlformats.org/officeDocument/2006/relationships/hyperlink" Target="https://doiorg.ezproxy.uwtsd.ac.uk/10.2501/S147078530920120X" TargetMode="External"/><Relationship Id="rId3" Type="http://schemas.openxmlformats.org/officeDocument/2006/relationships/webSettings" Target="webSettings.xml"/><Relationship Id="rId21" Type="http://schemas.openxmlformats.org/officeDocument/2006/relationships/hyperlink" Target="https://www.researchgate.net/profile/A-Biba-Rebolj2/publication/265682891_The_case_study_as_a_type_of_qualitative_research/links/54183f560cf25ebee988104c/The-case-study-as-a-type-of-qualitative-research.pdf" TargetMode="External"/><Relationship Id="rId7" Type="http://schemas.openxmlformats.org/officeDocument/2006/relationships/hyperlink" Target="https://doi.org/10.1191/1478088706qp063oa" TargetMode="External"/><Relationship Id="rId12" Type="http://schemas.openxmlformats.org/officeDocument/2006/relationships/hyperlink" Target="https://doi.org/10.1145/3375462.3375527" TargetMode="External"/><Relationship Id="rId17" Type="http://schemas.openxmlformats.org/officeDocument/2006/relationships/hyperlink" Target="https://psycnet.apa.org/doi/10.1037/0033-2909.119.2.254" TargetMode="External"/><Relationship Id="rId2" Type="http://schemas.openxmlformats.org/officeDocument/2006/relationships/settings" Target="settings.xml"/><Relationship Id="rId16" Type="http://schemas.openxmlformats.org/officeDocument/2006/relationships/hyperlink" Target="https://doi.org/10.1111/j.1365-2702.2006.01573.x" TargetMode="External"/><Relationship Id="rId20" Type="http://schemas.openxmlformats.org/officeDocument/2006/relationships/hyperlink" Target="https://doi.org/10.1007/BF00117714"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ojs.aishe.org/index.php/aishe-j/article/view/335" TargetMode="External"/><Relationship Id="rId24" Type="http://schemas.openxmlformats.org/officeDocument/2006/relationships/theme" Target="theme/theme1.xml"/><Relationship Id="rId5" Type="http://schemas.openxmlformats.org/officeDocument/2006/relationships/hyperlink" Target="https://doi.org/10.1016/j.glmedi.2024.100051" TargetMode="External"/><Relationship Id="rId15" Type="http://schemas.openxmlformats.org/officeDocument/2006/relationships/hyperlink" Target="https://doi.org/10.1111/jan.13031" TargetMode="External"/><Relationship Id="rId23" Type="http://schemas.openxmlformats.org/officeDocument/2006/relationships/fontTable" Target="fontTable.xml"/><Relationship Id="rId10" Type="http://schemas.openxmlformats.org/officeDocument/2006/relationships/hyperlink" Target="https://doi.org/10.1111/bjet.12495" TargetMode="External"/><Relationship Id="rId19" Type="http://schemas.openxmlformats.org/officeDocument/2006/relationships/hyperlink" Target="https://doi.org/10.1080/02602930701292548" TargetMode="External"/><Relationship Id="rId4" Type="http://schemas.openxmlformats.org/officeDocument/2006/relationships/chart" Target="charts/chart1.xml"/><Relationship Id="rId9" Type="http://schemas.openxmlformats.org/officeDocument/2006/relationships/hyperlink" Target="https://doi.org/10.1177/0022487118803583" TargetMode="External"/><Relationship Id="rId14" Type="http://schemas.openxmlformats.org/officeDocument/2006/relationships/hyperlink" Target="https://www.semanticscholar.org/paper/Does-Immediate-Feedback-While-Doing-Homework-Kehrer-Kelly/d8dc0fb53b31e0e9f7c09b8845e2c22decedd0be" TargetMode="External"/><Relationship Id="rId22" Type="http://schemas.openxmlformats.org/officeDocument/2006/relationships/hyperlink" Target="https://doi.org/10.1080/0260293080189575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en-GB" sz="1050"/>
              <a:t>A chart to show</a:t>
            </a:r>
            <a:r>
              <a:rPr lang="en-GB" sz="1050" baseline="0"/>
              <a:t> the impact different feedback types had on participants confidence to attempt further questions on a given topic</a:t>
            </a:r>
            <a:endParaRPr lang="en-GB" sz="1050"/>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c:f>
              <c:strCache>
                <c:ptCount val="1"/>
                <c:pt idx="0">
                  <c:v>Immediate Feedback</c:v>
                </c:pt>
              </c:strCache>
            </c:strRef>
          </c:tx>
          <c:spPr>
            <a:solidFill>
              <a:schemeClr val="accent6"/>
            </a:solidFill>
            <a:ln>
              <a:noFill/>
            </a:ln>
            <a:effectLst/>
          </c:spPr>
          <c:invertIfNegative val="0"/>
          <c:cat>
            <c:numRef>
              <c:f>Sheet1!$C$4:$G$4</c:f>
              <c:numCache>
                <c:formatCode>General</c:formatCode>
                <c:ptCount val="5"/>
                <c:pt idx="0">
                  <c:v>1</c:v>
                </c:pt>
                <c:pt idx="1">
                  <c:v>2</c:v>
                </c:pt>
                <c:pt idx="2">
                  <c:v>3</c:v>
                </c:pt>
                <c:pt idx="3">
                  <c:v>4</c:v>
                </c:pt>
                <c:pt idx="4">
                  <c:v>5</c:v>
                </c:pt>
              </c:numCache>
            </c:numRef>
          </c:cat>
          <c:val>
            <c:numRef>
              <c:f>Sheet1!$C$5:$G$5</c:f>
              <c:numCache>
                <c:formatCode>General</c:formatCode>
                <c:ptCount val="5"/>
                <c:pt idx="0">
                  <c:v>0</c:v>
                </c:pt>
                <c:pt idx="1">
                  <c:v>0</c:v>
                </c:pt>
                <c:pt idx="2">
                  <c:v>3</c:v>
                </c:pt>
                <c:pt idx="3">
                  <c:v>2</c:v>
                </c:pt>
                <c:pt idx="4">
                  <c:v>0</c:v>
                </c:pt>
              </c:numCache>
            </c:numRef>
          </c:val>
          <c:extLst>
            <c:ext xmlns:c16="http://schemas.microsoft.com/office/drawing/2014/chart" uri="{C3380CC4-5D6E-409C-BE32-E72D297353CC}">
              <c16:uniqueId val="{00000000-F83C-42CA-8428-F7BDD2FD551D}"/>
            </c:ext>
          </c:extLst>
        </c:ser>
        <c:ser>
          <c:idx val="1"/>
          <c:order val="1"/>
          <c:tx>
            <c:strRef>
              <c:f>Sheet1!$B$6</c:f>
              <c:strCache>
                <c:ptCount val="1"/>
                <c:pt idx="0">
                  <c:v>Delayed Feedback</c:v>
                </c:pt>
              </c:strCache>
            </c:strRef>
          </c:tx>
          <c:spPr>
            <a:solidFill>
              <a:schemeClr val="accent5"/>
            </a:solidFill>
            <a:ln>
              <a:noFill/>
            </a:ln>
            <a:effectLst/>
          </c:spPr>
          <c:invertIfNegative val="0"/>
          <c:cat>
            <c:numRef>
              <c:f>Sheet1!$C$4:$G$4</c:f>
              <c:numCache>
                <c:formatCode>General</c:formatCode>
                <c:ptCount val="5"/>
                <c:pt idx="0">
                  <c:v>1</c:v>
                </c:pt>
                <c:pt idx="1">
                  <c:v>2</c:v>
                </c:pt>
                <c:pt idx="2">
                  <c:v>3</c:v>
                </c:pt>
                <c:pt idx="3">
                  <c:v>4</c:v>
                </c:pt>
                <c:pt idx="4">
                  <c:v>5</c:v>
                </c:pt>
              </c:numCache>
            </c:numRef>
          </c:cat>
          <c:val>
            <c:numRef>
              <c:f>Sheet1!$C$6:$G$6</c:f>
              <c:numCache>
                <c:formatCode>General</c:formatCode>
                <c:ptCount val="5"/>
                <c:pt idx="2">
                  <c:v>1</c:v>
                </c:pt>
                <c:pt idx="3">
                  <c:v>2</c:v>
                </c:pt>
                <c:pt idx="4">
                  <c:v>2</c:v>
                </c:pt>
              </c:numCache>
            </c:numRef>
          </c:val>
          <c:extLst>
            <c:ext xmlns:c16="http://schemas.microsoft.com/office/drawing/2014/chart" uri="{C3380CC4-5D6E-409C-BE32-E72D297353CC}">
              <c16:uniqueId val="{00000001-F83C-42CA-8428-F7BDD2FD551D}"/>
            </c:ext>
          </c:extLst>
        </c:ser>
        <c:dLbls>
          <c:showLegendKey val="0"/>
          <c:showVal val="0"/>
          <c:showCatName val="0"/>
          <c:showSerName val="0"/>
          <c:showPercent val="0"/>
          <c:showBubbleSize val="0"/>
        </c:dLbls>
        <c:gapWidth val="300"/>
        <c:axId val="1733817919"/>
        <c:axId val="1733827999"/>
      </c:barChart>
      <c:catAx>
        <c:axId val="1733817919"/>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a:t>Impact Level </a:t>
                </a:r>
                <a:r>
                  <a:rPr lang="en-GB" sz="1050"/>
                  <a:t>(No impact - Significant Impact)</a:t>
                </a:r>
                <a:endParaRPr lang="en-GB"/>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733827999"/>
        <c:crosses val="autoZero"/>
        <c:auto val="1"/>
        <c:lblAlgn val="ctr"/>
        <c:lblOffset val="100"/>
        <c:noMultiLvlLbl val="0"/>
      </c:catAx>
      <c:valAx>
        <c:axId val="1733827999"/>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7338179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5427</Words>
  <Characters>30939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Miles (2307054)</dc:creator>
  <cp:keywords/>
  <dc:description/>
  <cp:lastModifiedBy>Freddie Miles (2307054)</cp:lastModifiedBy>
  <cp:revision>33</cp:revision>
  <dcterms:created xsi:type="dcterms:W3CDTF">2024-05-07T20:16:00Z</dcterms:created>
  <dcterms:modified xsi:type="dcterms:W3CDTF">2024-05-07T20:55:00Z</dcterms:modified>
</cp:coreProperties>
</file>