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E0312" w:rsidRDefault="00B8172C" w:rsidP="00B8172C">
      <w:pPr>
        <w:rPr>
          <w:rFonts w:asciiTheme="minorHAnsi" w:hAnsiTheme="minorHAnsi" w:cstheme="minorHAnsi"/>
        </w:rPr>
      </w:pPr>
      <w:r w:rsidRPr="006E0C30">
        <w:rPr>
          <w:rFonts w:asciiTheme="minorHAnsi" w:hAnsiTheme="minorHAnsi" w:cstheme="minorHAnsi"/>
        </w:rPr>
        <w:t xml:space="preserve">The purpose of this assignment is to </w:t>
      </w:r>
      <w:r w:rsidR="004A2B55">
        <w:rPr>
          <w:rFonts w:asciiTheme="minorHAnsi" w:hAnsiTheme="minorHAnsi" w:cstheme="minorHAnsi"/>
        </w:rPr>
        <w:t>explore three of Donaldson’s (2015) twelve pedagogical principles in depth</w:t>
      </w:r>
      <w:r w:rsidR="00FE0312">
        <w:rPr>
          <w:rFonts w:asciiTheme="minorHAnsi" w:hAnsiTheme="minorHAnsi" w:cstheme="minorHAnsi"/>
        </w:rPr>
        <w:t>,</w:t>
      </w:r>
      <w:r w:rsidR="004A2B55">
        <w:rPr>
          <w:rFonts w:asciiTheme="minorHAnsi" w:hAnsiTheme="minorHAnsi" w:cstheme="minorHAnsi"/>
        </w:rPr>
        <w:t xml:space="preserve"> with a critical reflection of my own progress made on the planning and implementation of the three principles within my professional teaching practice. </w:t>
      </w:r>
      <w:r w:rsidR="00F41AF6">
        <w:rPr>
          <w:rFonts w:asciiTheme="minorHAnsi" w:hAnsiTheme="minorHAnsi" w:cstheme="minorHAnsi"/>
        </w:rPr>
        <w:t>My professional teaching practise was conducted in a large, rural primary school in South Wales. I was based in the foundation phase, i</w:t>
      </w:r>
      <w:r w:rsidR="001A422C">
        <w:rPr>
          <w:rFonts w:asciiTheme="minorHAnsi" w:hAnsiTheme="minorHAnsi" w:cstheme="minorHAnsi"/>
        </w:rPr>
        <w:t>n a small year-two class with twenty-two</w:t>
      </w:r>
      <w:r w:rsidR="00F41AF6">
        <w:rPr>
          <w:rFonts w:asciiTheme="minorHAnsi" w:hAnsiTheme="minorHAnsi" w:cstheme="minorHAnsi"/>
        </w:rPr>
        <w:t xml:space="preserve"> pupils</w:t>
      </w:r>
      <w:r w:rsidR="000C0345">
        <w:rPr>
          <w:rFonts w:asciiTheme="minorHAnsi" w:hAnsiTheme="minorHAnsi" w:cstheme="minorHAnsi"/>
        </w:rPr>
        <w:t xml:space="preserve"> aged between six and seven</w:t>
      </w:r>
      <w:r w:rsidR="00F41AF6">
        <w:rPr>
          <w:rFonts w:asciiTheme="minorHAnsi" w:hAnsiTheme="minorHAnsi" w:cstheme="minorHAnsi"/>
        </w:rPr>
        <w:t xml:space="preserve">. This essay has been divided into three sections based on the pedagogical principles under consideration with a discussion of the implementation of the principles within my own professional teaching practise; “Good </w:t>
      </w:r>
      <w:r w:rsidR="00F41AF6" w:rsidRPr="006E0C30">
        <w:rPr>
          <w:rFonts w:asciiTheme="minorHAnsi" w:hAnsiTheme="minorHAnsi" w:cstheme="minorHAnsi"/>
        </w:rPr>
        <w:t>teaching and learning means employing asse</w:t>
      </w:r>
      <w:r w:rsidR="00F41AF6">
        <w:rPr>
          <w:rFonts w:asciiTheme="minorHAnsi" w:hAnsiTheme="minorHAnsi" w:cstheme="minorHAnsi"/>
        </w:rPr>
        <w:t>ssment for learning principles”, “</w:t>
      </w:r>
      <w:r w:rsidR="00F41AF6" w:rsidRPr="006E0C30">
        <w:rPr>
          <w:rFonts w:asciiTheme="minorHAnsi" w:hAnsiTheme="minorHAnsi" w:cstheme="minorHAnsi"/>
        </w:rPr>
        <w:t>Good teaching and learning regularly reinforces Cross-curriculum Responsibilities, including literacy, numeracy and digital competence, and provides</w:t>
      </w:r>
      <w:r w:rsidR="00F41AF6">
        <w:rPr>
          <w:rFonts w:asciiTheme="minorHAnsi" w:hAnsiTheme="minorHAnsi" w:cstheme="minorHAnsi"/>
        </w:rPr>
        <w:t xml:space="preserve"> opportunities to practise them” and finally </w:t>
      </w:r>
      <w:r w:rsidR="00F41AF6" w:rsidRPr="006E0C30">
        <w:rPr>
          <w:rFonts w:asciiTheme="minorHAnsi" w:hAnsiTheme="minorHAnsi" w:cstheme="minorHAnsi"/>
        </w:rPr>
        <w:t>“Good teaching and learning means employing a blend of approaches including direct teaching” (Donaldson, 2015, p.65</w:t>
      </w:r>
      <w:r w:rsidR="00F41AF6">
        <w:rPr>
          <w:rFonts w:asciiTheme="minorHAnsi" w:hAnsiTheme="minorHAnsi" w:cstheme="minorHAnsi"/>
        </w:rPr>
        <w:t xml:space="preserve">-67).   </w:t>
      </w:r>
    </w:p>
    <w:p w:rsidR="0004738D" w:rsidRPr="006E0C30" w:rsidRDefault="0004738D" w:rsidP="008674C7">
      <w:pPr>
        <w:rPr>
          <w:rFonts w:asciiTheme="minorHAnsi" w:hAnsiTheme="minorHAnsi" w:cstheme="minorHAnsi"/>
        </w:rPr>
      </w:pPr>
    </w:p>
    <w:p w:rsidR="005E7050" w:rsidRPr="006E0C30" w:rsidRDefault="00450027" w:rsidP="008674C7">
      <w:pPr>
        <w:rPr>
          <w:rFonts w:asciiTheme="minorHAnsi" w:hAnsiTheme="minorHAnsi" w:cstheme="minorHAnsi"/>
        </w:rPr>
      </w:pPr>
      <w:r w:rsidRPr="006E0C30">
        <w:rPr>
          <w:rFonts w:asciiTheme="minorHAnsi" w:hAnsiTheme="minorHAnsi" w:cstheme="minorHAnsi"/>
        </w:rPr>
        <w:t xml:space="preserve">The first pedagogical principle I will discuss is ‘Good teaching and learning means employing assessment for learning principles’ (Donaldson, 2015, p.67). </w:t>
      </w:r>
      <w:r w:rsidR="00900C0E" w:rsidRPr="006E0C30">
        <w:rPr>
          <w:rFonts w:asciiTheme="minorHAnsi" w:hAnsiTheme="minorHAnsi" w:cstheme="minorHAnsi"/>
        </w:rPr>
        <w:t xml:space="preserve">Assessment for learning </w:t>
      </w:r>
      <w:r w:rsidR="00674BAF" w:rsidRPr="006E0C30">
        <w:rPr>
          <w:rFonts w:asciiTheme="minorHAnsi" w:hAnsiTheme="minorHAnsi" w:cstheme="minorHAnsi"/>
        </w:rPr>
        <w:t xml:space="preserve">(AFL) </w:t>
      </w:r>
      <w:r w:rsidR="00900C0E" w:rsidRPr="006E0C30">
        <w:rPr>
          <w:rFonts w:asciiTheme="minorHAnsi" w:hAnsiTheme="minorHAnsi" w:cstheme="minorHAnsi"/>
        </w:rPr>
        <w:t xml:space="preserve">has be defined as </w:t>
      </w:r>
      <w:r w:rsidR="00044BD9" w:rsidRPr="006E0C30">
        <w:rPr>
          <w:rFonts w:asciiTheme="minorHAnsi" w:hAnsiTheme="minorHAnsi" w:cstheme="minorHAnsi"/>
        </w:rPr>
        <w:t xml:space="preserve">the method of gathering and interpreting evidence not only for teachers, but </w:t>
      </w:r>
      <w:r w:rsidR="008F3171" w:rsidRPr="006E0C30">
        <w:rPr>
          <w:rFonts w:asciiTheme="minorHAnsi" w:hAnsiTheme="minorHAnsi" w:cstheme="minorHAnsi"/>
        </w:rPr>
        <w:t xml:space="preserve">also </w:t>
      </w:r>
      <w:r w:rsidR="00044BD9" w:rsidRPr="006E0C30">
        <w:rPr>
          <w:rFonts w:asciiTheme="minorHAnsi" w:hAnsiTheme="minorHAnsi" w:cstheme="minorHAnsi"/>
        </w:rPr>
        <w:t>for learners to identify where they are in their learning, where they need to go and how best to get there (ARG, 2002</w:t>
      </w:r>
      <w:r w:rsidR="00867F0B" w:rsidRPr="006E0C30">
        <w:rPr>
          <w:rFonts w:asciiTheme="minorHAnsi" w:hAnsiTheme="minorHAnsi" w:cstheme="minorHAnsi"/>
        </w:rPr>
        <w:t>; Ausubel, 1968; Hattie 2012</w:t>
      </w:r>
      <w:r w:rsidR="005346EC">
        <w:rPr>
          <w:rFonts w:asciiTheme="minorHAnsi" w:hAnsiTheme="minorHAnsi" w:cstheme="minorHAnsi"/>
        </w:rPr>
        <w:t>). More recently, Wi</w:t>
      </w:r>
      <w:r w:rsidR="00044BD9" w:rsidRPr="006E0C30">
        <w:rPr>
          <w:rFonts w:asciiTheme="minorHAnsi" w:hAnsiTheme="minorHAnsi" w:cstheme="minorHAnsi"/>
        </w:rPr>
        <w:t xml:space="preserve">liam (2009) </w:t>
      </w:r>
      <w:r w:rsidR="00674BAF" w:rsidRPr="006E0C30">
        <w:rPr>
          <w:rFonts w:asciiTheme="minorHAnsi" w:hAnsiTheme="minorHAnsi" w:cstheme="minorHAnsi"/>
        </w:rPr>
        <w:t xml:space="preserve">has defined </w:t>
      </w:r>
      <w:r w:rsidR="00044BD9" w:rsidRPr="006E0C30">
        <w:rPr>
          <w:rFonts w:asciiTheme="minorHAnsi" w:hAnsiTheme="minorHAnsi" w:cstheme="minorHAnsi"/>
        </w:rPr>
        <w:t xml:space="preserve">formative assessment as a constant regulation </w:t>
      </w:r>
      <w:r w:rsidR="00674BAF" w:rsidRPr="006E0C30">
        <w:rPr>
          <w:rFonts w:asciiTheme="minorHAnsi" w:hAnsiTheme="minorHAnsi" w:cstheme="minorHAnsi"/>
        </w:rPr>
        <w:t xml:space="preserve">of the learning environment which </w:t>
      </w:r>
      <w:r w:rsidR="00044BD9" w:rsidRPr="006E0C30">
        <w:rPr>
          <w:rFonts w:asciiTheme="minorHAnsi" w:hAnsiTheme="minorHAnsi" w:cstheme="minorHAnsi"/>
        </w:rPr>
        <w:t xml:space="preserve">takes place all the time in classroom interaction. </w:t>
      </w:r>
      <w:r w:rsidR="008F3171" w:rsidRPr="006E0C30">
        <w:rPr>
          <w:rFonts w:asciiTheme="minorHAnsi" w:hAnsiTheme="minorHAnsi" w:cstheme="minorHAnsi"/>
        </w:rPr>
        <w:t xml:space="preserve">AFL is an important aspect of the twelve pedagogical principles </w:t>
      </w:r>
      <w:r w:rsidR="001A422C">
        <w:rPr>
          <w:rFonts w:asciiTheme="minorHAnsi" w:hAnsiTheme="minorHAnsi" w:cstheme="minorHAnsi"/>
        </w:rPr>
        <w:t>and has been</w:t>
      </w:r>
      <w:r w:rsidR="008F3171" w:rsidRPr="006E0C30">
        <w:rPr>
          <w:rFonts w:asciiTheme="minorHAnsi" w:hAnsiTheme="minorHAnsi" w:cstheme="minorHAnsi"/>
        </w:rPr>
        <w:t xml:space="preserve"> highlighted as being the key means of raising educational standards (Black and William, 1998). Out of this review came four crucial recommendations; more thinking time for pupils to answer questions, teachers to provide constructive comments rather than marks, encourage pupils to assess themselves and each other and to involve pupils in the design of assessment and mark schemes. </w:t>
      </w:r>
    </w:p>
    <w:p w:rsidR="00B328A0" w:rsidRPr="006E0C30" w:rsidRDefault="00B328A0" w:rsidP="00B328A0">
      <w:pPr>
        <w:ind w:left="357"/>
        <w:rPr>
          <w:rFonts w:asciiTheme="minorHAnsi" w:hAnsiTheme="minorHAnsi" w:cstheme="minorHAnsi"/>
        </w:rPr>
      </w:pPr>
    </w:p>
    <w:p w:rsidR="001A422C" w:rsidRDefault="008F3171" w:rsidP="008674C7">
      <w:pPr>
        <w:rPr>
          <w:rFonts w:asciiTheme="minorHAnsi" w:hAnsiTheme="minorHAnsi" w:cstheme="minorHAnsi"/>
        </w:rPr>
      </w:pPr>
      <w:r w:rsidRPr="006E0C30">
        <w:rPr>
          <w:rFonts w:asciiTheme="minorHAnsi" w:hAnsiTheme="minorHAnsi" w:cstheme="minorHAnsi"/>
        </w:rPr>
        <w:t xml:space="preserve">It is well established that </w:t>
      </w:r>
      <w:r w:rsidR="00674BAF" w:rsidRPr="006E0C30">
        <w:rPr>
          <w:rFonts w:asciiTheme="minorHAnsi" w:hAnsiTheme="minorHAnsi" w:cstheme="minorHAnsi"/>
        </w:rPr>
        <w:t xml:space="preserve">AFL is </w:t>
      </w:r>
      <w:r w:rsidR="00355248" w:rsidRPr="006E0C30">
        <w:rPr>
          <w:rFonts w:asciiTheme="minorHAnsi" w:hAnsiTheme="minorHAnsi" w:cstheme="minorHAnsi"/>
        </w:rPr>
        <w:t xml:space="preserve">a fundamental tool within the classroom as Black et al. (2002) revealed evidence that AFL strategies may improve attainment by half a level in KS2 and half a GCSE grade in KS3. This study not only highlights the significance of structured </w:t>
      </w:r>
      <w:r w:rsidR="005E7050" w:rsidRPr="006E0C30">
        <w:rPr>
          <w:rFonts w:asciiTheme="minorHAnsi" w:hAnsiTheme="minorHAnsi" w:cstheme="minorHAnsi"/>
        </w:rPr>
        <w:t xml:space="preserve">feedback within the classroom but additionally </w:t>
      </w:r>
      <w:r w:rsidR="001A422C" w:rsidRPr="006E0C30">
        <w:rPr>
          <w:rFonts w:asciiTheme="minorHAnsi" w:hAnsiTheme="minorHAnsi" w:cstheme="minorHAnsi"/>
        </w:rPr>
        <w:t>emphasises</w:t>
      </w:r>
      <w:r w:rsidR="005E7050" w:rsidRPr="006E0C30">
        <w:rPr>
          <w:rFonts w:asciiTheme="minorHAnsi" w:hAnsiTheme="minorHAnsi" w:cstheme="minorHAnsi"/>
        </w:rPr>
        <w:t xml:space="preserve"> the importance of providing pupils with a way to improve their work which improves their overall attainment. Within my </w:t>
      </w:r>
      <w:r w:rsidR="005D7C46">
        <w:rPr>
          <w:rFonts w:asciiTheme="minorHAnsi" w:hAnsiTheme="minorHAnsi" w:cstheme="minorHAnsi"/>
        </w:rPr>
        <w:t xml:space="preserve">own </w:t>
      </w:r>
      <w:r w:rsidR="005E7050" w:rsidRPr="006E0C30">
        <w:rPr>
          <w:rFonts w:asciiTheme="minorHAnsi" w:hAnsiTheme="minorHAnsi" w:cstheme="minorHAnsi"/>
        </w:rPr>
        <w:t xml:space="preserve">professional teaching experience I successfully implemented AFL strategies throughout </w:t>
      </w:r>
      <w:r w:rsidR="001A422C">
        <w:rPr>
          <w:rFonts w:asciiTheme="minorHAnsi" w:hAnsiTheme="minorHAnsi" w:cstheme="minorHAnsi"/>
        </w:rPr>
        <w:t xml:space="preserve">the majority </w:t>
      </w:r>
      <w:r w:rsidR="005E7050" w:rsidRPr="006E0C30">
        <w:rPr>
          <w:rFonts w:asciiTheme="minorHAnsi" w:hAnsiTheme="minorHAnsi" w:cstheme="minorHAnsi"/>
        </w:rPr>
        <w:t>of my lessons, through questioning,</w:t>
      </w:r>
      <w:r w:rsidR="008807D2" w:rsidRPr="006E0C30">
        <w:rPr>
          <w:rFonts w:asciiTheme="minorHAnsi" w:hAnsiTheme="minorHAnsi" w:cstheme="minorHAnsi"/>
        </w:rPr>
        <w:t xml:space="preserve"> verbal feedback,</w:t>
      </w:r>
      <w:r w:rsidR="005E7050" w:rsidRPr="006E0C30">
        <w:rPr>
          <w:rFonts w:asciiTheme="minorHAnsi" w:hAnsiTheme="minorHAnsi" w:cstheme="minorHAnsi"/>
        </w:rPr>
        <w:t xml:space="preserve"> pupil purple pen editing and using thumbs up and thumbs down to self-assess. </w:t>
      </w:r>
      <w:r w:rsidR="008807D2" w:rsidRPr="006E0C30">
        <w:rPr>
          <w:rFonts w:asciiTheme="minorHAnsi" w:hAnsiTheme="minorHAnsi" w:cstheme="minorHAnsi"/>
        </w:rPr>
        <w:t xml:space="preserve">I frequently used questioning as an AFL strategy within </w:t>
      </w:r>
      <w:r w:rsidR="005D7C46">
        <w:rPr>
          <w:rFonts w:asciiTheme="minorHAnsi" w:hAnsiTheme="minorHAnsi" w:cstheme="minorHAnsi"/>
        </w:rPr>
        <w:t>the majority</w:t>
      </w:r>
      <w:r w:rsidR="008807D2" w:rsidRPr="006E0C30">
        <w:rPr>
          <w:rFonts w:asciiTheme="minorHAnsi" w:hAnsiTheme="minorHAnsi" w:cstheme="minorHAnsi"/>
        </w:rPr>
        <w:t xml:space="preserve"> of my lessons, as I found this was </w:t>
      </w:r>
      <w:r w:rsidR="001A422C">
        <w:rPr>
          <w:rFonts w:asciiTheme="minorHAnsi" w:hAnsiTheme="minorHAnsi" w:cstheme="minorHAnsi"/>
        </w:rPr>
        <w:t>most effective to</w:t>
      </w:r>
      <w:r w:rsidR="001A422C" w:rsidRPr="006E0C30">
        <w:rPr>
          <w:rFonts w:asciiTheme="minorHAnsi" w:hAnsiTheme="minorHAnsi" w:cstheme="minorHAnsi"/>
        </w:rPr>
        <w:t xml:space="preserve"> pupils learning</w:t>
      </w:r>
      <w:r w:rsidR="001A422C">
        <w:rPr>
          <w:rFonts w:asciiTheme="minorHAnsi" w:hAnsiTheme="minorHAnsi" w:cstheme="minorHAnsi"/>
        </w:rPr>
        <w:t xml:space="preserve"> and </w:t>
      </w:r>
      <w:r w:rsidR="008807D2" w:rsidRPr="006E0C30">
        <w:rPr>
          <w:rFonts w:asciiTheme="minorHAnsi" w:hAnsiTheme="minorHAnsi" w:cstheme="minorHAnsi"/>
        </w:rPr>
        <w:t xml:space="preserve">the simplest to incorporate </w:t>
      </w:r>
      <w:r w:rsidR="001A422C">
        <w:rPr>
          <w:rFonts w:asciiTheme="minorHAnsi" w:hAnsiTheme="minorHAnsi" w:cstheme="minorHAnsi"/>
        </w:rPr>
        <w:t>into lessons</w:t>
      </w:r>
      <w:r w:rsidR="008807D2" w:rsidRPr="006E0C30">
        <w:rPr>
          <w:rFonts w:asciiTheme="minorHAnsi" w:hAnsiTheme="minorHAnsi" w:cstheme="minorHAnsi"/>
        </w:rPr>
        <w:t xml:space="preserve">. </w:t>
      </w:r>
      <w:r w:rsidR="00994250" w:rsidRPr="006E0C30">
        <w:rPr>
          <w:rFonts w:asciiTheme="minorHAnsi" w:hAnsiTheme="minorHAnsi" w:cstheme="minorHAnsi"/>
        </w:rPr>
        <w:t>Gardne</w:t>
      </w:r>
      <w:r w:rsidR="00867F0B" w:rsidRPr="006E0C30">
        <w:rPr>
          <w:rFonts w:asciiTheme="minorHAnsi" w:hAnsiTheme="minorHAnsi" w:cstheme="minorHAnsi"/>
        </w:rPr>
        <w:t>r (2012) n</w:t>
      </w:r>
      <w:r w:rsidR="00994250" w:rsidRPr="006E0C30">
        <w:rPr>
          <w:rFonts w:asciiTheme="minorHAnsi" w:hAnsiTheme="minorHAnsi" w:cstheme="minorHAnsi"/>
        </w:rPr>
        <w:t xml:space="preserve">otes that rich questioning is vital in classroom practice as part of AFL since responses to more open-ended questions may reveal learners level of understanding and can be used to plan the next learning stage. </w:t>
      </w:r>
      <w:r w:rsidR="005D7C46">
        <w:rPr>
          <w:rFonts w:asciiTheme="minorHAnsi" w:hAnsiTheme="minorHAnsi" w:cstheme="minorHAnsi"/>
        </w:rPr>
        <w:t>Consequently, q</w:t>
      </w:r>
      <w:r w:rsidR="00994250" w:rsidRPr="006E0C30">
        <w:rPr>
          <w:rFonts w:asciiTheme="minorHAnsi" w:hAnsiTheme="minorHAnsi" w:cstheme="minorHAnsi"/>
        </w:rPr>
        <w:t xml:space="preserve">uestioning was used at the beginning of the lesson, </w:t>
      </w:r>
      <w:r w:rsidR="00867F0B" w:rsidRPr="006E0C30">
        <w:rPr>
          <w:rFonts w:asciiTheme="minorHAnsi" w:hAnsiTheme="minorHAnsi" w:cstheme="minorHAnsi"/>
        </w:rPr>
        <w:t xml:space="preserve">so </w:t>
      </w:r>
      <w:r w:rsidR="00994250" w:rsidRPr="006E0C30">
        <w:rPr>
          <w:rFonts w:asciiTheme="minorHAnsi" w:hAnsiTheme="minorHAnsi" w:cstheme="minorHAnsi"/>
        </w:rPr>
        <w:t>I could identify where pupils were at</w:t>
      </w:r>
      <w:r w:rsidR="00867F0B" w:rsidRPr="006E0C30">
        <w:rPr>
          <w:rFonts w:asciiTheme="minorHAnsi" w:hAnsiTheme="minorHAnsi" w:cstheme="minorHAnsi"/>
        </w:rPr>
        <w:t xml:space="preserve"> or recall information from the previous lesson</w:t>
      </w:r>
      <w:r w:rsidR="00E878F5">
        <w:rPr>
          <w:rFonts w:asciiTheme="minorHAnsi" w:hAnsiTheme="minorHAnsi" w:cstheme="minorHAnsi"/>
        </w:rPr>
        <w:t>. Questioning was also used</w:t>
      </w:r>
      <w:r w:rsidR="00994250" w:rsidRPr="006E0C30">
        <w:rPr>
          <w:rFonts w:asciiTheme="minorHAnsi" w:hAnsiTheme="minorHAnsi" w:cstheme="minorHAnsi"/>
        </w:rPr>
        <w:t xml:space="preserve"> throughout the lesson so that pupils could </w:t>
      </w:r>
      <w:r w:rsidR="00867F0B" w:rsidRPr="006E0C30">
        <w:rPr>
          <w:rFonts w:asciiTheme="minorHAnsi" w:hAnsiTheme="minorHAnsi" w:cstheme="minorHAnsi"/>
        </w:rPr>
        <w:t>apply their knowledge to new situations</w:t>
      </w:r>
      <w:r w:rsidR="00994250" w:rsidRPr="006E0C30">
        <w:rPr>
          <w:rFonts w:asciiTheme="minorHAnsi" w:hAnsiTheme="minorHAnsi" w:cstheme="minorHAnsi"/>
        </w:rPr>
        <w:t xml:space="preserve">, and </w:t>
      </w:r>
      <w:r w:rsidR="00867F0B" w:rsidRPr="006E0C30">
        <w:rPr>
          <w:rFonts w:asciiTheme="minorHAnsi" w:hAnsiTheme="minorHAnsi" w:cstheme="minorHAnsi"/>
        </w:rPr>
        <w:t>during</w:t>
      </w:r>
      <w:r w:rsidR="00994250" w:rsidRPr="006E0C30">
        <w:rPr>
          <w:rFonts w:asciiTheme="minorHAnsi" w:hAnsiTheme="minorHAnsi" w:cstheme="minorHAnsi"/>
        </w:rPr>
        <w:t xml:space="preserve"> the plenary where I </w:t>
      </w:r>
      <w:r w:rsidR="00867F0B" w:rsidRPr="006E0C30">
        <w:rPr>
          <w:rFonts w:asciiTheme="minorHAnsi" w:hAnsiTheme="minorHAnsi" w:cstheme="minorHAnsi"/>
        </w:rPr>
        <w:t xml:space="preserve">could evaluate the </w:t>
      </w:r>
      <w:r w:rsidR="00E878F5">
        <w:rPr>
          <w:rFonts w:asciiTheme="minorHAnsi" w:hAnsiTheme="minorHAnsi" w:cstheme="minorHAnsi"/>
        </w:rPr>
        <w:t xml:space="preserve">overall </w:t>
      </w:r>
      <w:r w:rsidR="00867F0B" w:rsidRPr="006E0C30">
        <w:rPr>
          <w:rFonts w:asciiTheme="minorHAnsi" w:hAnsiTheme="minorHAnsi" w:cstheme="minorHAnsi"/>
        </w:rPr>
        <w:t xml:space="preserve">learning process. </w:t>
      </w:r>
      <w:r w:rsidR="00465794">
        <w:rPr>
          <w:rFonts w:asciiTheme="minorHAnsi" w:hAnsiTheme="minorHAnsi" w:cstheme="minorHAnsi"/>
        </w:rPr>
        <w:t>Learning seemed to be effective through using questioning</w:t>
      </w:r>
      <w:r w:rsidR="005D7C46">
        <w:rPr>
          <w:rFonts w:asciiTheme="minorHAnsi" w:hAnsiTheme="minorHAnsi" w:cstheme="minorHAnsi"/>
        </w:rPr>
        <w:t xml:space="preserve"> </w:t>
      </w:r>
      <w:r w:rsidR="00225E46">
        <w:rPr>
          <w:rFonts w:asciiTheme="minorHAnsi" w:hAnsiTheme="minorHAnsi" w:cstheme="minorHAnsi"/>
        </w:rPr>
        <w:t xml:space="preserve">because it allowed children to have active discussion as I could challenge different levels of knowledge which allowed me to see if children were ready to progress with their learning. A recommendation </w:t>
      </w:r>
      <w:r w:rsidR="00225E46">
        <w:rPr>
          <w:rFonts w:asciiTheme="minorHAnsi" w:hAnsiTheme="minorHAnsi" w:cstheme="minorHAnsi"/>
        </w:rPr>
        <w:lastRenderedPageBreak/>
        <w:t xml:space="preserve">for my future professional teaching practice is to implement </w:t>
      </w:r>
      <w:r w:rsidR="00CC44AB">
        <w:rPr>
          <w:rFonts w:asciiTheme="minorHAnsi" w:hAnsiTheme="minorHAnsi" w:cstheme="minorHAnsi"/>
        </w:rPr>
        <w:t>B</w:t>
      </w:r>
      <w:r w:rsidR="00465794">
        <w:rPr>
          <w:rFonts w:asciiTheme="minorHAnsi" w:hAnsiTheme="minorHAnsi" w:cstheme="minorHAnsi"/>
        </w:rPr>
        <w:t>loom</w:t>
      </w:r>
      <w:r w:rsidR="00CC44AB">
        <w:rPr>
          <w:rFonts w:asciiTheme="minorHAnsi" w:hAnsiTheme="minorHAnsi" w:cstheme="minorHAnsi"/>
        </w:rPr>
        <w:t>’</w:t>
      </w:r>
      <w:r w:rsidR="00465794">
        <w:rPr>
          <w:rFonts w:asciiTheme="minorHAnsi" w:hAnsiTheme="minorHAnsi" w:cstheme="minorHAnsi"/>
        </w:rPr>
        <w:t>s taxonomy</w:t>
      </w:r>
      <w:r w:rsidR="00CC44AB">
        <w:rPr>
          <w:rFonts w:asciiTheme="minorHAnsi" w:hAnsiTheme="minorHAnsi" w:cstheme="minorHAnsi"/>
        </w:rPr>
        <w:t xml:space="preserve"> (Bloom, 1956)</w:t>
      </w:r>
      <w:r w:rsidR="00225E46">
        <w:rPr>
          <w:rFonts w:asciiTheme="minorHAnsi" w:hAnsiTheme="minorHAnsi" w:cstheme="minorHAnsi"/>
        </w:rPr>
        <w:t>, not only to improve children’s learning but to improve my questioning skills</w:t>
      </w:r>
      <w:r w:rsidR="00CC44AB">
        <w:rPr>
          <w:rFonts w:asciiTheme="minorHAnsi" w:hAnsiTheme="minorHAnsi" w:cstheme="minorHAnsi"/>
        </w:rPr>
        <w:t xml:space="preserve">. </w:t>
      </w:r>
      <w:r w:rsidR="008D4279">
        <w:rPr>
          <w:rFonts w:asciiTheme="minorHAnsi" w:hAnsiTheme="minorHAnsi" w:cstheme="minorHAnsi"/>
        </w:rPr>
        <w:t>Bissell and Lemons (2006) suggested that Bloom’s taxonomy enhances student’s skills,</w:t>
      </w:r>
      <w:r w:rsidR="00225E46">
        <w:rPr>
          <w:rFonts w:asciiTheme="minorHAnsi" w:hAnsiTheme="minorHAnsi" w:cstheme="minorHAnsi"/>
        </w:rPr>
        <w:t xml:space="preserve"> concepts and critical thinking </w:t>
      </w:r>
      <w:r w:rsidR="00656FCB">
        <w:rPr>
          <w:rFonts w:asciiTheme="minorHAnsi" w:hAnsiTheme="minorHAnsi" w:cstheme="minorHAnsi"/>
        </w:rPr>
        <w:t>thus is an effective element of formative assessment (Black et al., 2003)</w:t>
      </w:r>
      <w:r w:rsidR="00225E46">
        <w:rPr>
          <w:rFonts w:asciiTheme="minorHAnsi" w:hAnsiTheme="minorHAnsi" w:cstheme="minorHAnsi"/>
        </w:rPr>
        <w:t>.</w:t>
      </w:r>
      <w:r w:rsidR="008D4279">
        <w:rPr>
          <w:rFonts w:asciiTheme="minorHAnsi" w:hAnsiTheme="minorHAnsi" w:cstheme="minorHAnsi"/>
        </w:rPr>
        <w:t xml:space="preserve"> </w:t>
      </w:r>
      <w:r w:rsidR="00225E46">
        <w:rPr>
          <w:rFonts w:asciiTheme="minorHAnsi" w:hAnsiTheme="minorHAnsi" w:cstheme="minorHAnsi"/>
        </w:rPr>
        <w:t>However,</w:t>
      </w:r>
      <w:r w:rsidR="008D4279">
        <w:rPr>
          <w:rFonts w:asciiTheme="minorHAnsi" w:hAnsiTheme="minorHAnsi" w:cstheme="minorHAnsi"/>
        </w:rPr>
        <w:t xml:space="preserve"> </w:t>
      </w:r>
      <w:r w:rsidR="00263455">
        <w:rPr>
          <w:rFonts w:asciiTheme="minorHAnsi" w:hAnsiTheme="minorHAnsi" w:cstheme="minorHAnsi"/>
        </w:rPr>
        <w:t>Eber and Parker (2007)</w:t>
      </w:r>
      <w:r w:rsidR="008B017C">
        <w:rPr>
          <w:rFonts w:asciiTheme="minorHAnsi" w:hAnsiTheme="minorHAnsi" w:cstheme="minorHAnsi"/>
        </w:rPr>
        <w:t xml:space="preserve"> note</w:t>
      </w:r>
      <w:r w:rsidR="008D4279">
        <w:rPr>
          <w:rFonts w:asciiTheme="minorHAnsi" w:hAnsiTheme="minorHAnsi" w:cstheme="minorHAnsi"/>
        </w:rPr>
        <w:t xml:space="preserve"> that </w:t>
      </w:r>
      <w:r w:rsidR="00656FCB">
        <w:rPr>
          <w:rFonts w:asciiTheme="minorHAnsi" w:hAnsiTheme="minorHAnsi" w:cstheme="minorHAnsi"/>
        </w:rPr>
        <w:t>despite being effective the implementation of Bloom’s taxonomy</w:t>
      </w:r>
      <w:r w:rsidR="0043695F">
        <w:rPr>
          <w:rFonts w:asciiTheme="minorHAnsi" w:hAnsiTheme="minorHAnsi" w:cstheme="minorHAnsi"/>
        </w:rPr>
        <w:t xml:space="preserve"> requires careful planning</w:t>
      </w:r>
      <w:r w:rsidR="00263455">
        <w:rPr>
          <w:rFonts w:asciiTheme="minorHAnsi" w:hAnsiTheme="minorHAnsi" w:cstheme="minorHAnsi"/>
        </w:rPr>
        <w:t xml:space="preserve"> and </w:t>
      </w:r>
      <w:r w:rsidR="00656FCB">
        <w:rPr>
          <w:rFonts w:asciiTheme="minorHAnsi" w:hAnsiTheme="minorHAnsi" w:cstheme="minorHAnsi"/>
        </w:rPr>
        <w:t xml:space="preserve">consistency </w:t>
      </w:r>
      <w:r w:rsidR="0043695F">
        <w:rPr>
          <w:rFonts w:asciiTheme="minorHAnsi" w:hAnsiTheme="minorHAnsi" w:cstheme="minorHAnsi"/>
        </w:rPr>
        <w:t xml:space="preserve">from the </w:t>
      </w:r>
      <w:r w:rsidR="00656FCB">
        <w:rPr>
          <w:rFonts w:asciiTheme="minorHAnsi" w:hAnsiTheme="minorHAnsi" w:cstheme="minorHAnsi"/>
        </w:rPr>
        <w:t>teacher to enhance learning</w:t>
      </w:r>
      <w:r w:rsidR="00225E46">
        <w:rPr>
          <w:rFonts w:asciiTheme="minorHAnsi" w:hAnsiTheme="minorHAnsi" w:cstheme="minorHAnsi"/>
        </w:rPr>
        <w:t xml:space="preserve">. </w:t>
      </w:r>
    </w:p>
    <w:p w:rsidR="00893519" w:rsidRPr="006E0C30" w:rsidRDefault="00893519" w:rsidP="00465794">
      <w:pPr>
        <w:rPr>
          <w:rFonts w:asciiTheme="minorHAnsi" w:hAnsiTheme="minorHAnsi" w:cstheme="minorHAnsi"/>
        </w:rPr>
      </w:pPr>
    </w:p>
    <w:p w:rsidR="00893519" w:rsidRPr="006E0C30" w:rsidRDefault="00656FCB" w:rsidP="008674C7">
      <w:pPr>
        <w:rPr>
          <w:rFonts w:asciiTheme="minorHAnsi" w:hAnsiTheme="minorHAnsi" w:cstheme="minorHAnsi"/>
        </w:rPr>
      </w:pPr>
      <w:r w:rsidRPr="006E0C30">
        <w:rPr>
          <w:rFonts w:asciiTheme="minorHAnsi" w:hAnsiTheme="minorHAnsi" w:cstheme="minorHAnsi"/>
        </w:rPr>
        <w:t>Nevertheless</w:t>
      </w:r>
      <w:r w:rsidR="00893519" w:rsidRPr="006E0C30">
        <w:rPr>
          <w:rFonts w:asciiTheme="minorHAnsi" w:hAnsiTheme="minorHAnsi" w:cstheme="minorHAnsi"/>
        </w:rPr>
        <w:t xml:space="preserve">, while the effectiveness of the use of AFL within the classroom is widely acknowledged, claims are not always well rounded which Bennett (2011) suggested </w:t>
      </w:r>
      <w:r>
        <w:rPr>
          <w:rFonts w:asciiTheme="minorHAnsi" w:hAnsiTheme="minorHAnsi" w:cstheme="minorHAnsi"/>
        </w:rPr>
        <w:t xml:space="preserve">may stem </w:t>
      </w:r>
      <w:r w:rsidR="00893519" w:rsidRPr="006E0C30">
        <w:rPr>
          <w:rFonts w:asciiTheme="minorHAnsi" w:hAnsiTheme="minorHAnsi" w:cstheme="minorHAnsi"/>
        </w:rPr>
        <w:t xml:space="preserve">from the lack of a definite definition of the concept. </w:t>
      </w:r>
      <w:r>
        <w:rPr>
          <w:rFonts w:asciiTheme="minorHAnsi" w:hAnsiTheme="minorHAnsi" w:cstheme="minorHAnsi"/>
        </w:rPr>
        <w:t>In addition t</w:t>
      </w:r>
      <w:r w:rsidR="00893519" w:rsidRPr="006E0C30">
        <w:rPr>
          <w:rFonts w:asciiTheme="minorHAnsi" w:hAnsiTheme="minorHAnsi" w:cstheme="minorHAnsi"/>
        </w:rPr>
        <w:t>his c</w:t>
      </w:r>
      <w:r w:rsidR="005346EC">
        <w:rPr>
          <w:rFonts w:asciiTheme="minorHAnsi" w:hAnsiTheme="minorHAnsi" w:cstheme="minorHAnsi"/>
        </w:rPr>
        <w:t>an be supported by Black and Wi</w:t>
      </w:r>
      <w:r w:rsidR="00893519" w:rsidRPr="006E0C30">
        <w:rPr>
          <w:rFonts w:asciiTheme="minorHAnsi" w:hAnsiTheme="minorHAnsi" w:cstheme="minorHAnsi"/>
        </w:rPr>
        <w:t>liam (1998), who originally reported a general difficulty in defining</w:t>
      </w:r>
      <w:r w:rsidR="00627739" w:rsidRPr="006E0C30">
        <w:rPr>
          <w:rFonts w:asciiTheme="minorHAnsi" w:hAnsiTheme="minorHAnsi" w:cstheme="minorHAnsi"/>
        </w:rPr>
        <w:t xml:space="preserve"> formative assessment and the </w:t>
      </w:r>
      <w:r w:rsidR="00331D71" w:rsidRPr="006E0C30">
        <w:rPr>
          <w:rFonts w:asciiTheme="minorHAnsi" w:hAnsiTheme="minorHAnsi" w:cstheme="minorHAnsi"/>
        </w:rPr>
        <w:t>means</w:t>
      </w:r>
      <w:r w:rsidR="00627739" w:rsidRPr="006E0C30">
        <w:rPr>
          <w:rFonts w:asciiTheme="minorHAnsi" w:hAnsiTheme="minorHAnsi" w:cstheme="minorHAnsi"/>
        </w:rPr>
        <w:t xml:space="preserve"> it was interpreted </w:t>
      </w:r>
      <w:r w:rsidR="00331D71" w:rsidRPr="006E0C30">
        <w:rPr>
          <w:rFonts w:asciiTheme="minorHAnsi" w:hAnsiTheme="minorHAnsi" w:cstheme="minorHAnsi"/>
        </w:rPr>
        <w:t xml:space="preserve">through many different reviews. </w:t>
      </w:r>
      <w:r w:rsidR="00893519" w:rsidRPr="006E0C30">
        <w:rPr>
          <w:rFonts w:asciiTheme="minorHAnsi" w:hAnsiTheme="minorHAnsi" w:cstheme="minorHAnsi"/>
        </w:rPr>
        <w:t xml:space="preserve"> Their review concluded that there cannot be any one optimum model in which policy for formative assessment can be based, but there are a set of guiding principles. These guiding principles are essential and are what Donaldson (2015) refers to as assessment for learning</w:t>
      </w:r>
      <w:r w:rsidR="000E7785" w:rsidRPr="006E0C30">
        <w:rPr>
          <w:rFonts w:asciiTheme="minorHAnsi" w:hAnsiTheme="minorHAnsi" w:cstheme="minorHAnsi"/>
        </w:rPr>
        <w:t xml:space="preserve">. </w:t>
      </w:r>
    </w:p>
    <w:p w:rsidR="008807D2" w:rsidRPr="006E0C30" w:rsidRDefault="008807D2" w:rsidP="00B328A0">
      <w:pPr>
        <w:rPr>
          <w:rFonts w:asciiTheme="minorHAnsi" w:hAnsiTheme="minorHAnsi" w:cstheme="minorHAnsi"/>
        </w:rPr>
      </w:pPr>
    </w:p>
    <w:p w:rsidR="006D1E5C" w:rsidRPr="001E7555" w:rsidRDefault="008807D2" w:rsidP="001E7555">
      <w:pPr>
        <w:rPr>
          <w:rFonts w:asciiTheme="minorHAnsi" w:hAnsiTheme="minorHAnsi" w:cstheme="minorHAnsi"/>
        </w:rPr>
      </w:pPr>
      <w:r w:rsidRPr="006E0C30">
        <w:rPr>
          <w:rFonts w:asciiTheme="minorHAnsi" w:hAnsiTheme="minorHAnsi" w:cstheme="minorHAnsi"/>
        </w:rPr>
        <w:t xml:space="preserve">During feedback from an observation conducted by my senior mentor, </w:t>
      </w:r>
      <w:r w:rsidR="00D33B69" w:rsidRPr="006E0C30">
        <w:rPr>
          <w:rFonts w:asciiTheme="minorHAnsi" w:hAnsiTheme="minorHAnsi" w:cstheme="minorHAnsi"/>
        </w:rPr>
        <w:t>a target for my development</w:t>
      </w:r>
      <w:r w:rsidRPr="006E0C30">
        <w:rPr>
          <w:rFonts w:asciiTheme="minorHAnsi" w:hAnsiTheme="minorHAnsi" w:cstheme="minorHAnsi"/>
        </w:rPr>
        <w:t xml:space="preserve"> was to </w:t>
      </w:r>
      <w:r w:rsidR="007F02B7" w:rsidRPr="006E0C30">
        <w:rPr>
          <w:rFonts w:asciiTheme="minorHAnsi" w:hAnsiTheme="minorHAnsi" w:cstheme="minorHAnsi"/>
        </w:rPr>
        <w:t xml:space="preserve">implement a </w:t>
      </w:r>
      <w:r w:rsidR="00D33B69" w:rsidRPr="006E0C30">
        <w:rPr>
          <w:rFonts w:asciiTheme="minorHAnsi" w:hAnsiTheme="minorHAnsi" w:cstheme="minorHAnsi"/>
        </w:rPr>
        <w:t xml:space="preserve">broader </w:t>
      </w:r>
      <w:r w:rsidR="007F02B7" w:rsidRPr="006E0C30">
        <w:rPr>
          <w:rFonts w:asciiTheme="minorHAnsi" w:hAnsiTheme="minorHAnsi" w:cstheme="minorHAnsi"/>
        </w:rPr>
        <w:t>range of AFL strategies</w:t>
      </w:r>
      <w:r w:rsidR="00D33B69" w:rsidRPr="006E0C30">
        <w:rPr>
          <w:rFonts w:asciiTheme="minorHAnsi" w:hAnsiTheme="minorHAnsi" w:cstheme="minorHAnsi"/>
        </w:rPr>
        <w:t>. During my last week of placement I tried different forms</w:t>
      </w:r>
      <w:r w:rsidR="00656FCB">
        <w:rPr>
          <w:rFonts w:asciiTheme="minorHAnsi" w:hAnsiTheme="minorHAnsi" w:cstheme="minorHAnsi"/>
        </w:rPr>
        <w:t xml:space="preserve"> of</w:t>
      </w:r>
      <w:r w:rsidR="00D33B69" w:rsidRPr="006E0C30">
        <w:rPr>
          <w:rFonts w:asciiTheme="minorHAnsi" w:hAnsiTheme="minorHAnsi" w:cstheme="minorHAnsi"/>
        </w:rPr>
        <w:t xml:space="preserve"> </w:t>
      </w:r>
      <w:r w:rsidR="00410685" w:rsidRPr="006E0C30">
        <w:rPr>
          <w:rFonts w:asciiTheme="minorHAnsi" w:hAnsiTheme="minorHAnsi" w:cstheme="minorHAnsi"/>
        </w:rPr>
        <w:t>peer</w:t>
      </w:r>
      <w:r w:rsidR="00D33B69" w:rsidRPr="006E0C30">
        <w:rPr>
          <w:rFonts w:asciiTheme="minorHAnsi" w:hAnsiTheme="minorHAnsi" w:cstheme="minorHAnsi"/>
        </w:rPr>
        <w:t xml:space="preserve">-assessment techniques and found that ‘thumbs up and thumbs down’ was effective. </w:t>
      </w:r>
      <w:r w:rsidR="00656FCB">
        <w:rPr>
          <w:rFonts w:asciiTheme="minorHAnsi" w:hAnsiTheme="minorHAnsi" w:cstheme="minorHAnsi"/>
        </w:rPr>
        <w:t>In</w:t>
      </w:r>
      <w:r w:rsidR="007A4B95" w:rsidRPr="006E0C30">
        <w:rPr>
          <w:rFonts w:asciiTheme="minorHAnsi" w:hAnsiTheme="minorHAnsi" w:cstheme="minorHAnsi"/>
        </w:rPr>
        <w:t xml:space="preserve"> my reflection I noted that this might have been most effective because of the age group I was </w:t>
      </w:r>
      <w:r w:rsidR="00410685" w:rsidRPr="006E0C30">
        <w:rPr>
          <w:rFonts w:asciiTheme="minorHAnsi" w:hAnsiTheme="minorHAnsi" w:cstheme="minorHAnsi"/>
        </w:rPr>
        <w:t>teaching;</w:t>
      </w:r>
      <w:r w:rsidR="007A4B95" w:rsidRPr="006E0C30">
        <w:rPr>
          <w:rFonts w:asciiTheme="minorHAnsi" w:hAnsiTheme="minorHAnsi" w:cstheme="minorHAnsi"/>
        </w:rPr>
        <w:t xml:space="preserve"> hence this approach was age appropriate and was</w:t>
      </w:r>
      <w:r w:rsidR="00656FCB">
        <w:rPr>
          <w:rFonts w:asciiTheme="minorHAnsi" w:hAnsiTheme="minorHAnsi" w:cstheme="minorHAnsi"/>
        </w:rPr>
        <w:t xml:space="preserve"> a potential</w:t>
      </w:r>
      <w:r w:rsidR="007A4B95" w:rsidRPr="006E0C30">
        <w:rPr>
          <w:rFonts w:asciiTheme="minorHAnsi" w:hAnsiTheme="minorHAnsi" w:cstheme="minorHAnsi"/>
        </w:rPr>
        <w:t xml:space="preserve"> reason as to why I had struggled to implement more self and peer assessment strategies. </w:t>
      </w:r>
      <w:r w:rsidR="001F55F3">
        <w:rPr>
          <w:rFonts w:asciiTheme="minorHAnsi" w:hAnsiTheme="minorHAnsi" w:cstheme="minorHAnsi"/>
        </w:rPr>
        <w:t xml:space="preserve">Black et al. (2004) described self-assessment as essential to learning in ensuring pupils understand their learning goal with peer-assessment as an important complement to self-assessment. Supporting this, </w:t>
      </w:r>
      <w:r w:rsidR="004714C6" w:rsidRPr="006E0C30">
        <w:rPr>
          <w:rFonts w:asciiTheme="minorHAnsi" w:hAnsiTheme="minorHAnsi" w:cstheme="minorHAnsi"/>
          <w:color w:val="000000" w:themeColor="text1"/>
        </w:rPr>
        <w:t xml:space="preserve">Deakin-Crick et al. (2005) suggested that as students become more familiar with peer assessing their work and discussing it with their peers the likelihood of pupils expressing opinions, asking questions and debating options increases. Consequently, I could develop the implementation of this principle </w:t>
      </w:r>
      <w:r w:rsidR="00F8752B">
        <w:rPr>
          <w:rFonts w:asciiTheme="minorHAnsi" w:hAnsiTheme="minorHAnsi" w:cstheme="minorHAnsi"/>
          <w:color w:val="000000" w:themeColor="text1"/>
        </w:rPr>
        <w:t xml:space="preserve">in example three </w:t>
      </w:r>
      <w:r w:rsidR="004714C6" w:rsidRPr="006E0C30">
        <w:rPr>
          <w:rFonts w:asciiTheme="minorHAnsi" w:hAnsiTheme="minorHAnsi" w:cstheme="minorHAnsi"/>
          <w:color w:val="000000" w:themeColor="text1"/>
        </w:rPr>
        <w:t xml:space="preserve">by extending the thumbs up thumbs down approach of their partners estimation to develop a star and wish. Gielen et al. (2010) found that asking students to justify their comments may lead to improvement, consequently, asking pupils to justify their thumbs up or thumbs down with the addition of a star and wish may give the other pupil a target of how to improve upon their original estimation.  </w:t>
      </w:r>
    </w:p>
    <w:p w:rsidR="006D1E5C" w:rsidRPr="006E0C30" w:rsidRDefault="006D1E5C" w:rsidP="006D1E5C">
      <w:pPr>
        <w:ind w:left="357"/>
        <w:rPr>
          <w:rFonts w:asciiTheme="minorHAnsi" w:hAnsiTheme="minorHAnsi" w:cstheme="minorHAnsi"/>
          <w:color w:val="000000" w:themeColor="text1"/>
        </w:rPr>
      </w:pPr>
    </w:p>
    <w:p w:rsidR="00465794" w:rsidRDefault="00450027" w:rsidP="008674C7">
      <w:pPr>
        <w:rPr>
          <w:rFonts w:asciiTheme="minorHAnsi" w:hAnsiTheme="minorHAnsi" w:cstheme="minorHAnsi"/>
        </w:rPr>
      </w:pPr>
      <w:r w:rsidRPr="006E0C30">
        <w:rPr>
          <w:rFonts w:asciiTheme="minorHAnsi" w:hAnsiTheme="minorHAnsi" w:cstheme="minorHAnsi"/>
        </w:rPr>
        <w:t>The second pedagogical principle I will discuss is ‘Good teaching and learning regularly reinforces Cross-curriculum Responsibilities, including literacy, numeracy and digital competence, and provides opportunities to practise them’</w:t>
      </w:r>
      <w:r w:rsidR="00F41AF6">
        <w:rPr>
          <w:rFonts w:asciiTheme="minorHAnsi" w:hAnsiTheme="minorHAnsi" w:cstheme="minorHAnsi"/>
        </w:rPr>
        <w:t xml:space="preserve"> (Donaldson, 2015)</w:t>
      </w:r>
      <w:r w:rsidRPr="006E0C30">
        <w:rPr>
          <w:rFonts w:asciiTheme="minorHAnsi" w:hAnsiTheme="minorHAnsi" w:cstheme="minorHAnsi"/>
        </w:rPr>
        <w:t>.</w:t>
      </w:r>
      <w:r w:rsidR="00180771" w:rsidRPr="006E0C30">
        <w:rPr>
          <w:rFonts w:asciiTheme="minorHAnsi" w:hAnsiTheme="minorHAnsi" w:cstheme="minorHAnsi"/>
        </w:rPr>
        <w:t xml:space="preserve"> Barnes (2015) defin</w:t>
      </w:r>
      <w:r w:rsidR="006F65D9" w:rsidRPr="006E0C30">
        <w:rPr>
          <w:rFonts w:asciiTheme="minorHAnsi" w:hAnsiTheme="minorHAnsi" w:cstheme="minorHAnsi"/>
        </w:rPr>
        <w:t>es c</w:t>
      </w:r>
      <w:r w:rsidR="00F8752B">
        <w:rPr>
          <w:rFonts w:asciiTheme="minorHAnsi" w:hAnsiTheme="minorHAnsi" w:cstheme="minorHAnsi"/>
        </w:rPr>
        <w:t>ross-curricular learning as using</w:t>
      </w:r>
      <w:r w:rsidR="006F65D9" w:rsidRPr="006E0C30">
        <w:rPr>
          <w:rFonts w:asciiTheme="minorHAnsi" w:hAnsiTheme="minorHAnsi" w:cstheme="minorHAnsi"/>
        </w:rPr>
        <w:t xml:space="preserve"> </w:t>
      </w:r>
      <w:r w:rsidR="00180771" w:rsidRPr="006E0C30">
        <w:rPr>
          <w:rFonts w:asciiTheme="minorHAnsi" w:hAnsiTheme="minorHAnsi" w:cstheme="minorHAnsi"/>
        </w:rPr>
        <w:t>the s</w:t>
      </w:r>
      <w:r w:rsidR="00F8752B">
        <w:rPr>
          <w:rFonts w:asciiTheme="minorHAnsi" w:hAnsiTheme="minorHAnsi" w:cstheme="minorHAnsi"/>
        </w:rPr>
        <w:t xml:space="preserve">kills, knowledge and attitudes </w:t>
      </w:r>
      <w:r w:rsidR="00180771" w:rsidRPr="006E0C30">
        <w:rPr>
          <w:rFonts w:asciiTheme="minorHAnsi" w:hAnsiTheme="minorHAnsi" w:cstheme="minorHAnsi"/>
        </w:rPr>
        <w:t>f</w:t>
      </w:r>
      <w:r w:rsidR="00F8752B">
        <w:rPr>
          <w:rFonts w:asciiTheme="minorHAnsi" w:hAnsiTheme="minorHAnsi" w:cstheme="minorHAnsi"/>
        </w:rPr>
        <w:t>rom</w:t>
      </w:r>
      <w:r w:rsidR="00180771" w:rsidRPr="006E0C30">
        <w:rPr>
          <w:rFonts w:asciiTheme="minorHAnsi" w:hAnsiTheme="minorHAnsi" w:cstheme="minorHAnsi"/>
        </w:rPr>
        <w:t xml:space="preserve"> </w:t>
      </w:r>
      <w:r w:rsidR="006F65D9" w:rsidRPr="006E0C30">
        <w:rPr>
          <w:rFonts w:asciiTheme="minorHAnsi" w:hAnsiTheme="minorHAnsi" w:cstheme="minorHAnsi"/>
        </w:rPr>
        <w:t xml:space="preserve">several </w:t>
      </w:r>
      <w:r w:rsidR="00F8752B">
        <w:rPr>
          <w:rFonts w:asciiTheme="minorHAnsi" w:hAnsiTheme="minorHAnsi" w:cstheme="minorHAnsi"/>
        </w:rPr>
        <w:t>different disciples and being able to apply them</w:t>
      </w:r>
      <w:r w:rsidR="00180771" w:rsidRPr="006E0C30">
        <w:rPr>
          <w:rFonts w:asciiTheme="minorHAnsi" w:hAnsiTheme="minorHAnsi" w:cstheme="minorHAnsi"/>
        </w:rPr>
        <w:t xml:space="preserve"> to a single experience</w:t>
      </w:r>
      <w:r w:rsidR="00F8752B">
        <w:rPr>
          <w:rFonts w:asciiTheme="minorHAnsi" w:hAnsiTheme="minorHAnsi" w:cstheme="minorHAnsi"/>
        </w:rPr>
        <w:t>, hence this experience can be</w:t>
      </w:r>
      <w:r w:rsidR="006F65D9" w:rsidRPr="006E0C30">
        <w:rPr>
          <w:rFonts w:asciiTheme="minorHAnsi" w:hAnsiTheme="minorHAnsi" w:cstheme="minorHAnsi"/>
        </w:rPr>
        <w:t xml:space="preserve"> considered on a macro level. </w:t>
      </w:r>
      <w:r w:rsidR="009046FA" w:rsidRPr="006E0C30">
        <w:rPr>
          <w:rFonts w:asciiTheme="minorHAnsi" w:hAnsiTheme="minorHAnsi" w:cstheme="minorHAnsi"/>
        </w:rPr>
        <w:t xml:space="preserve">There is a growing body of literature that recognises the importance of cross-curricular approaches within education, as Hayes (2017) notes the knowledge and skills that pupils learn in one area may be used to reinforce learning in further areas, consequently softening subject barriers to combine appropriate </w:t>
      </w:r>
      <w:r w:rsidR="00521150" w:rsidRPr="006E0C30">
        <w:rPr>
          <w:rFonts w:asciiTheme="minorHAnsi" w:hAnsiTheme="minorHAnsi" w:cstheme="minorHAnsi"/>
        </w:rPr>
        <w:t>areas</w:t>
      </w:r>
      <w:r w:rsidR="009046FA" w:rsidRPr="006E0C30">
        <w:rPr>
          <w:rFonts w:asciiTheme="minorHAnsi" w:hAnsiTheme="minorHAnsi" w:cstheme="minorHAnsi"/>
        </w:rPr>
        <w:t xml:space="preserve"> of subject</w:t>
      </w:r>
      <w:r w:rsidR="00521150" w:rsidRPr="006E0C30">
        <w:rPr>
          <w:rFonts w:asciiTheme="minorHAnsi" w:hAnsiTheme="minorHAnsi" w:cstheme="minorHAnsi"/>
        </w:rPr>
        <w:t>s</w:t>
      </w:r>
      <w:r w:rsidR="009046FA" w:rsidRPr="006E0C30">
        <w:rPr>
          <w:rFonts w:asciiTheme="minorHAnsi" w:hAnsiTheme="minorHAnsi" w:cstheme="minorHAnsi"/>
        </w:rPr>
        <w:t xml:space="preserve"> into a multifaceted whole.</w:t>
      </w:r>
      <w:r w:rsidR="00F8752B">
        <w:rPr>
          <w:rFonts w:asciiTheme="minorHAnsi" w:hAnsiTheme="minorHAnsi" w:cstheme="minorHAnsi"/>
        </w:rPr>
        <w:t xml:space="preserve"> </w:t>
      </w:r>
      <w:r w:rsidR="00117DDD" w:rsidRPr="006E0C30">
        <w:rPr>
          <w:rFonts w:asciiTheme="minorHAnsi" w:hAnsiTheme="minorHAnsi" w:cstheme="minorHAnsi"/>
        </w:rPr>
        <w:t xml:space="preserve">Wallace et al. (2009) proposed that scientific investigations </w:t>
      </w:r>
      <w:r w:rsidR="00F8752B">
        <w:rPr>
          <w:rFonts w:asciiTheme="minorHAnsi" w:hAnsiTheme="minorHAnsi" w:cstheme="minorHAnsi"/>
        </w:rPr>
        <w:t>can</w:t>
      </w:r>
      <w:r w:rsidR="00117DDD" w:rsidRPr="006E0C30">
        <w:rPr>
          <w:rFonts w:asciiTheme="minorHAnsi" w:hAnsiTheme="minorHAnsi" w:cstheme="minorHAnsi"/>
        </w:rPr>
        <w:t xml:space="preserve"> be located within literacy, geography, stories, history, maths, drama and role-play to create a multitude of cross-curricular projects. </w:t>
      </w:r>
      <w:r w:rsidR="00F8752B">
        <w:rPr>
          <w:rFonts w:asciiTheme="minorHAnsi" w:hAnsiTheme="minorHAnsi" w:cstheme="minorHAnsi"/>
        </w:rPr>
        <w:t>However</w:t>
      </w:r>
      <w:r w:rsidR="00117DDD" w:rsidRPr="006E0C30">
        <w:rPr>
          <w:rFonts w:asciiTheme="minorHAnsi" w:hAnsiTheme="minorHAnsi" w:cstheme="minorHAnsi"/>
        </w:rPr>
        <w:t xml:space="preserve">, an important </w:t>
      </w:r>
      <w:r w:rsidR="00117DDD" w:rsidRPr="006E0C30">
        <w:rPr>
          <w:rFonts w:asciiTheme="minorHAnsi" w:hAnsiTheme="minorHAnsi" w:cstheme="minorHAnsi"/>
        </w:rPr>
        <w:lastRenderedPageBreak/>
        <w:t xml:space="preserve">distinction should be made between making natural and unnatural cross curricular links. Hayes (2017) found that links between some subjects are more natural than between others, such as, connections between music and geography which are likely to be more difficult to create naturally than those between subjects such as science and design and technology. </w:t>
      </w:r>
    </w:p>
    <w:p w:rsidR="00F8752B" w:rsidRDefault="00F8752B" w:rsidP="008674C7">
      <w:pPr>
        <w:rPr>
          <w:rFonts w:asciiTheme="minorHAnsi" w:hAnsiTheme="minorHAnsi" w:cstheme="minorHAnsi"/>
        </w:rPr>
      </w:pPr>
    </w:p>
    <w:p w:rsidR="00117DDD" w:rsidRPr="006E0C30" w:rsidRDefault="00117DDD" w:rsidP="008674C7">
      <w:pPr>
        <w:rPr>
          <w:rFonts w:asciiTheme="minorHAnsi" w:hAnsiTheme="minorHAnsi" w:cstheme="minorHAnsi"/>
        </w:rPr>
      </w:pPr>
      <w:r w:rsidRPr="006E0C30">
        <w:rPr>
          <w:rFonts w:asciiTheme="minorHAnsi" w:hAnsiTheme="minorHAnsi" w:cstheme="minorHAnsi"/>
        </w:rPr>
        <w:t>Within my own professional teaching practise, I found it particularly difficult to incorporate cross-curricular links while teaching maths. Some of my maths lessons failed to include cross-curricular links and when I did include cross-curricular approaches they were often a small aspect of the lesson; hence maths was still the major focu</w:t>
      </w:r>
      <w:r w:rsidR="00F8752B">
        <w:rPr>
          <w:rFonts w:asciiTheme="minorHAnsi" w:hAnsiTheme="minorHAnsi" w:cstheme="minorHAnsi"/>
        </w:rPr>
        <w:t>s. In example three</w:t>
      </w:r>
      <w:r w:rsidRPr="006E0C30">
        <w:rPr>
          <w:rFonts w:asciiTheme="minorHAnsi" w:hAnsiTheme="minorHAnsi" w:cstheme="minorHAnsi"/>
        </w:rPr>
        <w:t xml:space="preserve"> under this principle in my portfolio, I </w:t>
      </w:r>
      <w:r w:rsidR="00371B67" w:rsidRPr="006E0C30">
        <w:rPr>
          <w:rFonts w:asciiTheme="minorHAnsi" w:hAnsiTheme="minorHAnsi" w:cstheme="minorHAnsi"/>
        </w:rPr>
        <w:t>have presented a maths lesson</w:t>
      </w:r>
      <w:r w:rsidR="00742F6D" w:rsidRPr="006E0C30">
        <w:rPr>
          <w:rFonts w:asciiTheme="minorHAnsi" w:hAnsiTheme="minorHAnsi" w:cstheme="minorHAnsi"/>
        </w:rPr>
        <w:t xml:space="preserve"> plan</w:t>
      </w:r>
      <w:r w:rsidR="00371B67" w:rsidRPr="006E0C30">
        <w:rPr>
          <w:rFonts w:asciiTheme="minorHAnsi" w:hAnsiTheme="minorHAnsi" w:cstheme="minorHAnsi"/>
        </w:rPr>
        <w:t xml:space="preserve"> on estimation, where pupils were asked to estimate how many star jumps they could do in 10 seconds and then check their estimation. </w:t>
      </w:r>
      <w:r w:rsidR="00742F6D" w:rsidRPr="006E0C30">
        <w:rPr>
          <w:rFonts w:asciiTheme="minorHAnsi" w:hAnsiTheme="minorHAnsi" w:cstheme="minorHAnsi"/>
        </w:rPr>
        <w:t>One potential reason for finding it difficult to incorporate cross curricular links within maths might be since the introduction of the numeracy hour, as since then many primary schools separated mathematics off from the rest of the curriculum to ensure they meet statutory requirements (</w:t>
      </w:r>
      <w:r w:rsidR="00742F6D" w:rsidRPr="006E0C30">
        <w:rPr>
          <w:rFonts w:asciiTheme="minorHAnsi" w:hAnsiTheme="minorHAnsi" w:cstheme="minorHAnsi"/>
          <w:color w:val="222222"/>
          <w:shd w:val="clear" w:color="auto" w:fill="FFFFFF"/>
        </w:rPr>
        <w:t>Ward-Penny,</w:t>
      </w:r>
      <w:r w:rsidR="00742F6D" w:rsidRPr="00742F6D">
        <w:rPr>
          <w:rFonts w:asciiTheme="minorHAnsi" w:hAnsiTheme="minorHAnsi" w:cstheme="minorHAnsi"/>
          <w:color w:val="222222"/>
          <w:shd w:val="clear" w:color="auto" w:fill="FFFFFF"/>
        </w:rPr>
        <w:t xml:space="preserve"> 2010</w:t>
      </w:r>
      <w:r w:rsidR="00742F6D" w:rsidRPr="006E0C30">
        <w:rPr>
          <w:rFonts w:asciiTheme="minorHAnsi" w:hAnsiTheme="minorHAnsi" w:cstheme="minorHAnsi"/>
          <w:color w:val="222222"/>
          <w:shd w:val="clear" w:color="auto" w:fill="FFFFFF"/>
        </w:rPr>
        <w:t xml:space="preserve">). Nonetheless, </w:t>
      </w:r>
      <w:r w:rsidR="006E0C30" w:rsidRPr="006E0C30">
        <w:rPr>
          <w:rFonts w:asciiTheme="minorHAnsi" w:hAnsiTheme="minorHAnsi" w:cstheme="minorHAnsi"/>
          <w:color w:val="222222"/>
          <w:shd w:val="clear" w:color="auto" w:fill="FFFFFF"/>
        </w:rPr>
        <w:t>teaching mathematics by cross-curricular means may help to familiarise pupils with the idea of applying maths in different contexts and building towards critically evaluating its use against authentic limitations (Hayes, 2017; Starcic, 2016; Ward-Penny, 2010).</w:t>
      </w:r>
      <w:r w:rsidR="006E0C30">
        <w:rPr>
          <w:rFonts w:asciiTheme="minorHAnsi" w:hAnsiTheme="minorHAnsi" w:cstheme="minorHAnsi"/>
          <w:color w:val="222222"/>
          <w:shd w:val="clear" w:color="auto" w:fill="FFFFFF"/>
        </w:rPr>
        <w:t xml:space="preserve"> </w:t>
      </w:r>
      <w:r w:rsidR="001736BA">
        <w:rPr>
          <w:rFonts w:asciiTheme="minorHAnsi" w:hAnsiTheme="minorHAnsi" w:cstheme="minorHAnsi"/>
          <w:color w:val="222222"/>
          <w:shd w:val="clear" w:color="auto" w:fill="FFFFFF"/>
        </w:rPr>
        <w:t xml:space="preserve">The small use of applying estimation to </w:t>
      </w:r>
      <w:r w:rsidR="00846D2C">
        <w:rPr>
          <w:rFonts w:asciiTheme="minorHAnsi" w:hAnsiTheme="minorHAnsi" w:cstheme="minorHAnsi"/>
          <w:color w:val="222222"/>
          <w:shd w:val="clear" w:color="auto" w:fill="FFFFFF"/>
        </w:rPr>
        <w:t>a physical activity</w:t>
      </w:r>
      <w:r w:rsidR="001736BA">
        <w:rPr>
          <w:rFonts w:asciiTheme="minorHAnsi" w:hAnsiTheme="minorHAnsi" w:cstheme="minorHAnsi"/>
          <w:color w:val="222222"/>
          <w:shd w:val="clear" w:color="auto" w:fill="FFFFFF"/>
        </w:rPr>
        <w:t xml:space="preserve"> helped some child</w:t>
      </w:r>
      <w:r w:rsidR="00846D2C">
        <w:rPr>
          <w:rFonts w:asciiTheme="minorHAnsi" w:hAnsiTheme="minorHAnsi" w:cstheme="minorHAnsi"/>
          <w:color w:val="222222"/>
          <w:shd w:val="clear" w:color="auto" w:fill="FFFFFF"/>
        </w:rPr>
        <w:t xml:space="preserve">ren to understand the otherwise </w:t>
      </w:r>
      <w:r w:rsidR="001736BA">
        <w:rPr>
          <w:rFonts w:asciiTheme="minorHAnsi" w:hAnsiTheme="minorHAnsi" w:cstheme="minorHAnsi"/>
          <w:color w:val="222222"/>
          <w:shd w:val="clear" w:color="auto" w:fill="FFFFFF"/>
        </w:rPr>
        <w:t>dif</w:t>
      </w:r>
      <w:r w:rsidR="00846D2C">
        <w:rPr>
          <w:rFonts w:asciiTheme="minorHAnsi" w:hAnsiTheme="minorHAnsi" w:cstheme="minorHAnsi"/>
          <w:color w:val="222222"/>
          <w:shd w:val="clear" w:color="auto" w:fill="FFFFFF"/>
        </w:rPr>
        <w:t>ficult concept, consequently in this situation</w:t>
      </w:r>
      <w:r w:rsidR="001736BA">
        <w:rPr>
          <w:rFonts w:asciiTheme="minorHAnsi" w:hAnsiTheme="minorHAnsi" w:cstheme="minorHAnsi"/>
          <w:color w:val="222222"/>
          <w:shd w:val="clear" w:color="auto" w:fill="FFFFFF"/>
        </w:rPr>
        <w:t xml:space="preserve"> learning through cross-curri</w:t>
      </w:r>
      <w:r w:rsidR="00846D2C">
        <w:rPr>
          <w:rFonts w:asciiTheme="minorHAnsi" w:hAnsiTheme="minorHAnsi" w:cstheme="minorHAnsi"/>
          <w:color w:val="222222"/>
          <w:shd w:val="clear" w:color="auto" w:fill="FFFFFF"/>
        </w:rPr>
        <w:t xml:space="preserve">cular approaches was effective. </w:t>
      </w:r>
      <w:r w:rsidR="001736BA">
        <w:rPr>
          <w:rFonts w:asciiTheme="minorHAnsi" w:hAnsiTheme="minorHAnsi" w:cstheme="minorHAnsi"/>
          <w:color w:val="222222"/>
          <w:shd w:val="clear" w:color="auto" w:fill="FFFFFF"/>
        </w:rPr>
        <w:t>This was evident through the use of questioning after the starter activity, where more children were able to give a more accurate definition of estimation</w:t>
      </w:r>
      <w:r w:rsidR="00F8752B">
        <w:rPr>
          <w:rFonts w:asciiTheme="minorHAnsi" w:hAnsiTheme="minorHAnsi" w:cstheme="minorHAnsi"/>
          <w:color w:val="222222"/>
          <w:shd w:val="clear" w:color="auto" w:fill="FFFFFF"/>
        </w:rPr>
        <w:t xml:space="preserve"> and some even came up with strategies to make a sensible estimation.</w:t>
      </w:r>
    </w:p>
    <w:p w:rsidR="009A5F3A" w:rsidRDefault="009A5F3A" w:rsidP="00117DDD">
      <w:pPr>
        <w:ind w:left="357"/>
        <w:rPr>
          <w:rFonts w:asciiTheme="minorHAnsi" w:hAnsiTheme="minorHAnsi" w:cstheme="minorHAnsi"/>
        </w:rPr>
      </w:pPr>
    </w:p>
    <w:p w:rsidR="0031466D" w:rsidRDefault="00BF70C9" w:rsidP="008674C7">
      <w:pPr>
        <w:rPr>
          <w:rFonts w:asciiTheme="minorHAnsi" w:hAnsiTheme="minorHAnsi" w:cstheme="minorHAnsi"/>
          <w:color w:val="000000" w:themeColor="text1"/>
        </w:rPr>
      </w:pPr>
      <w:r w:rsidRPr="0060622E">
        <w:rPr>
          <w:rFonts w:asciiTheme="minorHAnsi" w:hAnsiTheme="minorHAnsi" w:cstheme="minorHAnsi"/>
          <w:color w:val="000000" w:themeColor="text1"/>
        </w:rPr>
        <w:t>A more holistic reflection would have included literacy lessons where I implemented cross-curricular activities, however due to the literacy level of the class being extremely low, the majority of literacy</w:t>
      </w:r>
      <w:r w:rsidR="00F63509" w:rsidRPr="0060622E">
        <w:rPr>
          <w:rFonts w:asciiTheme="minorHAnsi" w:hAnsiTheme="minorHAnsi" w:cstheme="minorHAnsi"/>
          <w:color w:val="000000" w:themeColor="text1"/>
        </w:rPr>
        <w:t xml:space="preserve"> lessons were</w:t>
      </w:r>
      <w:r w:rsidRPr="0060622E">
        <w:rPr>
          <w:rFonts w:asciiTheme="minorHAnsi" w:hAnsiTheme="minorHAnsi" w:cstheme="minorHAnsi"/>
          <w:color w:val="000000" w:themeColor="text1"/>
        </w:rPr>
        <w:t xml:space="preserve"> spent teaching speed sounds and carrying out interventions</w:t>
      </w:r>
      <w:r w:rsidR="00F63509" w:rsidRPr="0060622E">
        <w:rPr>
          <w:rFonts w:asciiTheme="minorHAnsi" w:hAnsiTheme="minorHAnsi" w:cstheme="minorHAnsi"/>
          <w:color w:val="000000" w:themeColor="text1"/>
        </w:rPr>
        <w:t xml:space="preserve"> which meant implementing cross curricular approaches was difficult. Nevertheless, within</w:t>
      </w:r>
      <w:r w:rsidRPr="0060622E">
        <w:rPr>
          <w:rFonts w:asciiTheme="minorHAnsi" w:hAnsiTheme="minorHAnsi" w:cstheme="minorHAnsi"/>
          <w:color w:val="000000" w:themeColor="text1"/>
        </w:rPr>
        <w:t xml:space="preserve"> topic lessons I used cross curricular approaches to incorporate literacy as well as the digital competency framework and knowledge and understanding of the world. </w:t>
      </w:r>
      <w:r w:rsidR="00521CE0" w:rsidRPr="0060622E">
        <w:rPr>
          <w:rFonts w:asciiTheme="minorHAnsi" w:hAnsiTheme="minorHAnsi" w:cstheme="minorHAnsi"/>
          <w:color w:val="000000" w:themeColor="text1"/>
        </w:rPr>
        <w:t xml:space="preserve">Common </w:t>
      </w:r>
      <w:r w:rsidR="001E7555" w:rsidRPr="0060622E">
        <w:rPr>
          <w:rFonts w:asciiTheme="minorHAnsi" w:hAnsiTheme="minorHAnsi" w:cstheme="minorHAnsi"/>
          <w:color w:val="000000" w:themeColor="text1"/>
        </w:rPr>
        <w:t>features to</w:t>
      </w:r>
      <w:r w:rsidR="00521CE0" w:rsidRPr="0060622E">
        <w:rPr>
          <w:rFonts w:asciiTheme="minorHAnsi" w:hAnsiTheme="minorHAnsi" w:cstheme="minorHAnsi"/>
          <w:color w:val="000000" w:themeColor="text1"/>
        </w:rPr>
        <w:t xml:space="preserve"> success in </w:t>
      </w:r>
      <w:r w:rsidR="00474FDE" w:rsidRPr="0060622E">
        <w:rPr>
          <w:rFonts w:asciiTheme="minorHAnsi" w:hAnsiTheme="minorHAnsi" w:cstheme="minorHAnsi"/>
          <w:color w:val="000000" w:themeColor="text1"/>
        </w:rPr>
        <w:t>learning</w:t>
      </w:r>
      <w:r w:rsidR="00521CE0" w:rsidRPr="0060622E">
        <w:rPr>
          <w:rFonts w:asciiTheme="minorHAnsi" w:hAnsiTheme="minorHAnsi" w:cstheme="minorHAnsi"/>
          <w:color w:val="000000" w:themeColor="text1"/>
        </w:rPr>
        <w:t xml:space="preserve"> suggest that </w:t>
      </w:r>
      <w:r w:rsidR="001E7555" w:rsidRPr="0060622E">
        <w:rPr>
          <w:rFonts w:asciiTheme="minorHAnsi" w:hAnsiTheme="minorHAnsi" w:cstheme="minorHAnsi"/>
          <w:color w:val="000000" w:themeColor="text1"/>
        </w:rPr>
        <w:t>cross-curricular approaches involving literacy are key to improving overall literacy standards (Walker-Dalhouse and Risko, 2008; Langer, 2001).</w:t>
      </w:r>
      <w:r w:rsidR="00742A0F" w:rsidRPr="0060622E">
        <w:rPr>
          <w:rFonts w:asciiTheme="minorHAnsi" w:hAnsiTheme="minorHAnsi" w:cstheme="minorHAnsi"/>
          <w:color w:val="000000" w:themeColor="text1"/>
        </w:rPr>
        <w:t xml:space="preserve"> This </w:t>
      </w:r>
      <w:r w:rsidR="00846575" w:rsidRPr="0060622E">
        <w:rPr>
          <w:rFonts w:asciiTheme="minorHAnsi" w:hAnsiTheme="minorHAnsi" w:cstheme="minorHAnsi"/>
          <w:color w:val="000000" w:themeColor="text1"/>
        </w:rPr>
        <w:t>is supported by</w:t>
      </w:r>
      <w:r w:rsidR="0031466D">
        <w:rPr>
          <w:rFonts w:asciiTheme="minorHAnsi" w:hAnsiTheme="minorHAnsi" w:cstheme="minorHAnsi"/>
          <w:color w:val="000000" w:themeColor="text1"/>
        </w:rPr>
        <w:t xml:space="preserve"> Harris and Grenfell (2004</w:t>
      </w:r>
      <w:r w:rsidR="00846575" w:rsidRPr="0060622E">
        <w:rPr>
          <w:rFonts w:asciiTheme="minorHAnsi" w:hAnsiTheme="minorHAnsi" w:cstheme="minorHAnsi"/>
          <w:color w:val="000000" w:themeColor="text1"/>
        </w:rPr>
        <w:t xml:space="preserve">) who </w:t>
      </w:r>
      <w:r w:rsidR="00F8752B">
        <w:rPr>
          <w:rFonts w:asciiTheme="minorHAnsi" w:hAnsiTheme="minorHAnsi" w:cstheme="minorHAnsi"/>
          <w:color w:val="000000" w:themeColor="text1"/>
        </w:rPr>
        <w:t>noted</w:t>
      </w:r>
      <w:r w:rsidR="00474FDE" w:rsidRPr="0060622E">
        <w:rPr>
          <w:rFonts w:asciiTheme="minorHAnsi" w:hAnsiTheme="minorHAnsi" w:cstheme="minorHAnsi"/>
          <w:color w:val="000000" w:themeColor="text1"/>
        </w:rPr>
        <w:t xml:space="preserve"> that</w:t>
      </w:r>
      <w:r w:rsidR="00467656" w:rsidRPr="0060622E">
        <w:rPr>
          <w:rFonts w:asciiTheme="minorHAnsi" w:hAnsiTheme="minorHAnsi" w:cstheme="minorHAnsi"/>
          <w:color w:val="000000" w:themeColor="text1"/>
        </w:rPr>
        <w:t xml:space="preserve"> cross-curricular learning provides opportunities for core skills that can be transferred in different contexts. </w:t>
      </w:r>
      <w:r w:rsidR="00846575" w:rsidRPr="0060622E">
        <w:rPr>
          <w:rFonts w:asciiTheme="minorHAnsi" w:hAnsiTheme="minorHAnsi" w:cstheme="minorHAnsi"/>
          <w:color w:val="000000" w:themeColor="text1"/>
        </w:rPr>
        <w:t xml:space="preserve">Within </w:t>
      </w:r>
      <w:r w:rsidR="00F8752B">
        <w:rPr>
          <w:rFonts w:asciiTheme="minorHAnsi" w:hAnsiTheme="minorHAnsi" w:cstheme="minorHAnsi"/>
          <w:color w:val="000000" w:themeColor="text1"/>
        </w:rPr>
        <w:t>topic lessons p</w:t>
      </w:r>
      <w:r w:rsidR="0031466D">
        <w:rPr>
          <w:rFonts w:asciiTheme="minorHAnsi" w:hAnsiTheme="minorHAnsi" w:cstheme="minorHAnsi"/>
          <w:color w:val="000000" w:themeColor="text1"/>
        </w:rPr>
        <w:t xml:space="preserve">upils learning </w:t>
      </w:r>
      <w:r w:rsidR="00F8752B">
        <w:rPr>
          <w:rFonts w:asciiTheme="minorHAnsi" w:hAnsiTheme="minorHAnsi" w:cstheme="minorHAnsi"/>
          <w:color w:val="000000" w:themeColor="text1"/>
        </w:rPr>
        <w:t>appeared</w:t>
      </w:r>
      <w:r w:rsidR="0031466D">
        <w:rPr>
          <w:rFonts w:asciiTheme="minorHAnsi" w:hAnsiTheme="minorHAnsi" w:cstheme="minorHAnsi"/>
          <w:color w:val="000000" w:themeColor="text1"/>
        </w:rPr>
        <w:t xml:space="preserve"> to be effective</w:t>
      </w:r>
      <w:r w:rsidR="00B14D24">
        <w:rPr>
          <w:rFonts w:asciiTheme="minorHAnsi" w:hAnsiTheme="minorHAnsi" w:cstheme="minorHAnsi"/>
          <w:color w:val="000000" w:themeColor="text1"/>
        </w:rPr>
        <w:t xml:space="preserve"> as they were able to </w:t>
      </w:r>
      <w:r w:rsidR="00F8752B">
        <w:rPr>
          <w:rFonts w:asciiTheme="minorHAnsi" w:hAnsiTheme="minorHAnsi" w:cstheme="minorHAnsi"/>
          <w:color w:val="000000" w:themeColor="text1"/>
        </w:rPr>
        <w:t>produce</w:t>
      </w:r>
      <w:r w:rsidR="00B14D24">
        <w:rPr>
          <w:rFonts w:asciiTheme="minorHAnsi" w:hAnsiTheme="minorHAnsi" w:cstheme="minorHAnsi"/>
          <w:color w:val="000000" w:themeColor="text1"/>
        </w:rPr>
        <w:t xml:space="preserve"> t</w:t>
      </w:r>
      <w:r w:rsidR="0031466D">
        <w:rPr>
          <w:rFonts w:asciiTheme="minorHAnsi" w:hAnsiTheme="minorHAnsi" w:cstheme="minorHAnsi"/>
          <w:color w:val="000000" w:themeColor="text1"/>
        </w:rPr>
        <w:t>hree</w:t>
      </w:r>
      <w:r w:rsidR="00B14D24">
        <w:rPr>
          <w:rFonts w:asciiTheme="minorHAnsi" w:hAnsiTheme="minorHAnsi" w:cstheme="minorHAnsi"/>
          <w:color w:val="000000" w:themeColor="text1"/>
        </w:rPr>
        <w:t xml:space="preserve"> ideas as a whole class </w:t>
      </w:r>
      <w:r w:rsidR="0031466D">
        <w:rPr>
          <w:rFonts w:asciiTheme="minorHAnsi" w:hAnsiTheme="minorHAnsi" w:cstheme="minorHAnsi"/>
          <w:color w:val="000000" w:themeColor="text1"/>
        </w:rPr>
        <w:t>to</w:t>
      </w:r>
      <w:r w:rsidR="00B14D24">
        <w:rPr>
          <w:rFonts w:asciiTheme="minorHAnsi" w:hAnsiTheme="minorHAnsi" w:cstheme="minorHAnsi"/>
          <w:color w:val="000000" w:themeColor="text1"/>
        </w:rPr>
        <w:t xml:space="preserve"> reduce </w:t>
      </w:r>
      <w:r w:rsidR="008E7018">
        <w:rPr>
          <w:rFonts w:asciiTheme="minorHAnsi" w:hAnsiTheme="minorHAnsi" w:cstheme="minorHAnsi"/>
          <w:color w:val="000000" w:themeColor="text1"/>
        </w:rPr>
        <w:t xml:space="preserve">sea pollution which pupils </w:t>
      </w:r>
      <w:r w:rsidR="00F8752B">
        <w:rPr>
          <w:rFonts w:asciiTheme="minorHAnsi" w:hAnsiTheme="minorHAnsi" w:cstheme="minorHAnsi"/>
          <w:color w:val="000000" w:themeColor="text1"/>
        </w:rPr>
        <w:t xml:space="preserve">then </w:t>
      </w:r>
      <w:r w:rsidR="008E7018">
        <w:rPr>
          <w:rFonts w:asciiTheme="minorHAnsi" w:hAnsiTheme="minorHAnsi" w:cstheme="minorHAnsi"/>
          <w:color w:val="000000" w:themeColor="text1"/>
        </w:rPr>
        <w:t>applied to their own coffee filter papers</w:t>
      </w:r>
      <w:r w:rsidR="00F8752B">
        <w:rPr>
          <w:rFonts w:asciiTheme="minorHAnsi" w:hAnsiTheme="minorHAnsi" w:cstheme="minorHAnsi"/>
          <w:color w:val="000000" w:themeColor="text1"/>
        </w:rPr>
        <w:t xml:space="preserve"> combining literacy and expressive arts</w:t>
      </w:r>
      <w:r w:rsidR="008E7018">
        <w:rPr>
          <w:rFonts w:asciiTheme="minorHAnsi" w:hAnsiTheme="minorHAnsi" w:cstheme="minorHAnsi"/>
          <w:color w:val="000000" w:themeColor="text1"/>
        </w:rPr>
        <w:t xml:space="preserve"> </w:t>
      </w:r>
      <w:r w:rsidR="00F8752B">
        <w:rPr>
          <w:rFonts w:asciiTheme="minorHAnsi" w:hAnsiTheme="minorHAnsi" w:cstheme="minorHAnsi"/>
          <w:color w:val="000000" w:themeColor="text1"/>
        </w:rPr>
        <w:t>to create</w:t>
      </w:r>
      <w:r w:rsidR="008E7018">
        <w:rPr>
          <w:rFonts w:asciiTheme="minorHAnsi" w:hAnsiTheme="minorHAnsi" w:cstheme="minorHAnsi"/>
          <w:color w:val="000000" w:themeColor="text1"/>
        </w:rPr>
        <w:t xml:space="preserve"> their own slogan. </w:t>
      </w:r>
    </w:p>
    <w:p w:rsidR="00577C7D" w:rsidRDefault="00577C7D" w:rsidP="008E7018">
      <w:pPr>
        <w:rPr>
          <w:rFonts w:asciiTheme="minorHAnsi" w:hAnsiTheme="minorHAnsi" w:cstheme="minorHAnsi"/>
        </w:rPr>
      </w:pPr>
    </w:p>
    <w:p w:rsidR="00577C7D" w:rsidRPr="006E0C30" w:rsidRDefault="00AE4D74" w:rsidP="008674C7">
      <w:pPr>
        <w:rPr>
          <w:rFonts w:asciiTheme="minorHAnsi" w:hAnsiTheme="minorHAnsi" w:cstheme="minorHAnsi"/>
        </w:rPr>
      </w:pPr>
      <w:r>
        <w:rPr>
          <w:rFonts w:asciiTheme="minorHAnsi" w:hAnsiTheme="minorHAnsi" w:cstheme="minorHAnsi"/>
        </w:rPr>
        <w:t>One</w:t>
      </w:r>
      <w:r w:rsidR="00577C7D">
        <w:rPr>
          <w:rFonts w:asciiTheme="minorHAnsi" w:hAnsiTheme="minorHAnsi" w:cstheme="minorHAnsi"/>
        </w:rPr>
        <w:t xml:space="preserve"> key issue within this princi</w:t>
      </w:r>
      <w:r w:rsidR="00D33A9D">
        <w:rPr>
          <w:rFonts w:asciiTheme="minorHAnsi" w:hAnsiTheme="minorHAnsi" w:cstheme="minorHAnsi"/>
        </w:rPr>
        <w:t>ple is ensuring</w:t>
      </w:r>
      <w:r w:rsidR="00577C7D">
        <w:rPr>
          <w:rFonts w:asciiTheme="minorHAnsi" w:hAnsiTheme="minorHAnsi" w:cstheme="minorHAnsi"/>
        </w:rPr>
        <w:t xml:space="preserve"> that </w:t>
      </w:r>
      <w:r>
        <w:rPr>
          <w:rFonts w:asciiTheme="minorHAnsi" w:hAnsiTheme="minorHAnsi" w:cstheme="minorHAnsi"/>
        </w:rPr>
        <w:t>cross-curricular approaches are</w:t>
      </w:r>
      <w:r w:rsidR="00577C7D">
        <w:rPr>
          <w:rFonts w:asciiTheme="minorHAnsi" w:hAnsiTheme="minorHAnsi" w:cstheme="minorHAnsi"/>
        </w:rPr>
        <w:t xml:space="preserve"> natu</w:t>
      </w:r>
      <w:r w:rsidR="00D33A9D">
        <w:rPr>
          <w:rFonts w:asciiTheme="minorHAnsi" w:hAnsiTheme="minorHAnsi" w:cstheme="minorHAnsi"/>
        </w:rPr>
        <w:t>ral and authentic rather than becoming an</w:t>
      </w:r>
      <w:r w:rsidR="00577C7D">
        <w:rPr>
          <w:rFonts w:asciiTheme="minorHAnsi" w:hAnsiTheme="minorHAnsi" w:cstheme="minorHAnsi"/>
        </w:rPr>
        <w:t xml:space="preserve"> </w:t>
      </w:r>
      <w:r w:rsidR="00D33A9D">
        <w:rPr>
          <w:rFonts w:asciiTheme="minorHAnsi" w:hAnsiTheme="minorHAnsi" w:cstheme="minorHAnsi"/>
        </w:rPr>
        <w:t>attachment</w:t>
      </w:r>
      <w:r w:rsidR="00577C7D">
        <w:rPr>
          <w:rFonts w:asciiTheme="minorHAnsi" w:hAnsiTheme="minorHAnsi" w:cstheme="minorHAnsi"/>
        </w:rPr>
        <w:t xml:space="preserve"> </w:t>
      </w:r>
      <w:r w:rsidR="00D33A9D">
        <w:rPr>
          <w:rFonts w:asciiTheme="minorHAnsi" w:hAnsiTheme="minorHAnsi" w:cstheme="minorHAnsi"/>
        </w:rPr>
        <w:t>which links to the pedagogical principle “Good teaching and learning creates authentic contexts for learning” (Donaldson, 2015, 67). Within this principle Waters (2013) describes good teaching as ‘bringing the world into range’, therefore pupils need to view the relevance of their learning not only in an authentic context but also within cross-curricular approaches. I was successful in implementing these principles within topic lessons when teaching about sea pollution. Authentic co</w:t>
      </w:r>
      <w:r w:rsidR="00F3051A">
        <w:rPr>
          <w:rFonts w:asciiTheme="minorHAnsi" w:hAnsiTheme="minorHAnsi" w:cstheme="minorHAnsi"/>
        </w:rPr>
        <w:t xml:space="preserve">ntexts were </w:t>
      </w:r>
      <w:r w:rsidR="00F3051A">
        <w:rPr>
          <w:rFonts w:asciiTheme="minorHAnsi" w:hAnsiTheme="minorHAnsi" w:cstheme="minorHAnsi"/>
        </w:rPr>
        <w:lastRenderedPageBreak/>
        <w:t>created by using</w:t>
      </w:r>
      <w:r w:rsidR="00D33A9D">
        <w:rPr>
          <w:rFonts w:asciiTheme="minorHAnsi" w:hAnsiTheme="minorHAnsi" w:cstheme="minorHAnsi"/>
        </w:rPr>
        <w:t xml:space="preserve"> </w:t>
      </w:r>
      <w:r w:rsidR="00860103">
        <w:rPr>
          <w:rFonts w:asciiTheme="minorHAnsi" w:hAnsiTheme="minorHAnsi" w:cstheme="minorHAnsi"/>
        </w:rPr>
        <w:t>iPads</w:t>
      </w:r>
      <w:r w:rsidR="00D33A9D">
        <w:rPr>
          <w:rFonts w:asciiTheme="minorHAnsi" w:hAnsiTheme="minorHAnsi" w:cstheme="minorHAnsi"/>
        </w:rPr>
        <w:t xml:space="preserve"> to show short videos and images o</w:t>
      </w:r>
      <w:r w:rsidR="00EE0A5D">
        <w:rPr>
          <w:rFonts w:asciiTheme="minorHAnsi" w:hAnsiTheme="minorHAnsi" w:cstheme="minorHAnsi"/>
        </w:rPr>
        <w:t xml:space="preserve">f what sea pollution looks like, learning was effective as pupils were able to </w:t>
      </w:r>
      <w:r w:rsidR="00F3051A">
        <w:rPr>
          <w:rFonts w:asciiTheme="minorHAnsi" w:hAnsiTheme="minorHAnsi" w:cstheme="minorHAnsi"/>
        </w:rPr>
        <w:t xml:space="preserve">describe what they saw, how they felt and what they could do to reduce sea pollution. </w:t>
      </w:r>
      <w:r w:rsidR="00860103">
        <w:rPr>
          <w:rFonts w:asciiTheme="minorHAnsi" w:hAnsiTheme="minorHAnsi" w:cstheme="minorHAnsi"/>
        </w:rPr>
        <w:t>It has been consistently found that the use of digital technology within the classroom is related to learning developments on average of a further four months progres</w:t>
      </w:r>
      <w:r w:rsidR="00860103" w:rsidRPr="00860103">
        <w:rPr>
          <w:rFonts w:asciiTheme="minorHAnsi" w:hAnsiTheme="minorHAnsi" w:cstheme="minorHAnsi"/>
        </w:rPr>
        <w:t xml:space="preserve">s </w:t>
      </w:r>
      <w:r w:rsidR="007F52D3">
        <w:rPr>
          <w:rFonts w:asciiTheme="minorHAnsi" w:hAnsiTheme="minorHAnsi" w:cstheme="minorHAnsi"/>
        </w:rPr>
        <w:t>(Education Endowment F</w:t>
      </w:r>
      <w:r w:rsidR="00860103" w:rsidRPr="00860103">
        <w:rPr>
          <w:rFonts w:asciiTheme="minorHAnsi" w:hAnsiTheme="minorHAnsi" w:cstheme="minorHAnsi"/>
        </w:rPr>
        <w:t>oundation, 2019</w:t>
      </w:r>
      <w:r w:rsidR="00860103">
        <w:rPr>
          <w:rFonts w:asciiTheme="minorHAnsi" w:hAnsiTheme="minorHAnsi" w:cstheme="minorHAnsi"/>
        </w:rPr>
        <w:t>)</w:t>
      </w:r>
      <w:r w:rsidR="007F52D3">
        <w:rPr>
          <w:rFonts w:asciiTheme="minorHAnsi" w:hAnsiTheme="minorHAnsi" w:cstheme="minorHAnsi"/>
        </w:rPr>
        <w:t>. Non</w:t>
      </w:r>
      <w:r>
        <w:rPr>
          <w:rFonts w:asciiTheme="minorHAnsi" w:hAnsiTheme="minorHAnsi" w:cstheme="minorHAnsi"/>
        </w:rPr>
        <w:t xml:space="preserve">etheless, the mere presence of </w:t>
      </w:r>
      <w:r w:rsidR="007F52D3">
        <w:rPr>
          <w:rFonts w:asciiTheme="minorHAnsi" w:hAnsiTheme="minorHAnsi" w:cstheme="minorHAnsi"/>
        </w:rPr>
        <w:t xml:space="preserve">technology in the classroom will not improve </w:t>
      </w:r>
      <w:r>
        <w:rPr>
          <w:rFonts w:asciiTheme="minorHAnsi" w:hAnsiTheme="minorHAnsi" w:cstheme="minorHAnsi"/>
        </w:rPr>
        <w:t>pupil’s</w:t>
      </w:r>
      <w:r w:rsidR="007F52D3">
        <w:rPr>
          <w:rFonts w:asciiTheme="minorHAnsi" w:hAnsiTheme="minorHAnsi" w:cstheme="minorHAnsi"/>
        </w:rPr>
        <w:t xml:space="preserve"> attainment, as to be effective it must be embedded and driven by learning goals rather than driven by technology (Roschelle et al. 2000; Muir-Herzig, 2004). Consequently, technology should only be used if it will improve learning interactions, such as through </w:t>
      </w:r>
      <w:r w:rsidR="00B07C6F">
        <w:rPr>
          <w:rFonts w:asciiTheme="minorHAnsi" w:hAnsiTheme="minorHAnsi" w:cstheme="minorHAnsi"/>
        </w:rPr>
        <w:t xml:space="preserve">creating authentic contexts of sea pollution inside the classroom. </w:t>
      </w:r>
    </w:p>
    <w:p w:rsidR="00F97AEA" w:rsidRPr="006E0C30" w:rsidRDefault="00F97AEA" w:rsidP="008674C7">
      <w:pPr>
        <w:rPr>
          <w:rFonts w:asciiTheme="minorHAnsi" w:hAnsiTheme="minorHAnsi" w:cstheme="minorHAnsi"/>
        </w:rPr>
      </w:pPr>
    </w:p>
    <w:p w:rsidR="00FB2881" w:rsidRPr="006E0C30" w:rsidRDefault="00F97AEA" w:rsidP="00AA3950">
      <w:pPr>
        <w:rPr>
          <w:rFonts w:asciiTheme="minorHAnsi" w:hAnsiTheme="minorHAnsi" w:cstheme="minorHAnsi"/>
        </w:rPr>
      </w:pPr>
      <w:r w:rsidRPr="006E0C30">
        <w:rPr>
          <w:rFonts w:asciiTheme="minorHAnsi" w:hAnsiTheme="minorHAnsi" w:cstheme="minorHAnsi"/>
        </w:rPr>
        <w:t>Finally, the last pedagogical principle I have chosen to discuss is “Good teaching and learning means employing a blend of approaches including direct teaching” (Donaldson, 2015, p.65)</w:t>
      </w:r>
      <w:r w:rsidR="00115AF0" w:rsidRPr="006E0C30">
        <w:rPr>
          <w:rFonts w:asciiTheme="minorHAnsi" w:hAnsiTheme="minorHAnsi" w:cstheme="minorHAnsi"/>
        </w:rPr>
        <w:t>.</w:t>
      </w:r>
      <w:r w:rsidR="003E46E5" w:rsidRPr="006E0C30">
        <w:rPr>
          <w:rFonts w:asciiTheme="minorHAnsi" w:hAnsiTheme="minorHAnsi" w:cstheme="minorHAnsi"/>
        </w:rPr>
        <w:t xml:space="preserve"> Flanders (1970) observed direct teaching </w:t>
      </w:r>
      <w:r w:rsidR="00F91172" w:rsidRPr="006E0C30">
        <w:rPr>
          <w:rFonts w:asciiTheme="minorHAnsi" w:hAnsiTheme="minorHAnsi" w:cstheme="minorHAnsi"/>
        </w:rPr>
        <w:t xml:space="preserve">as led by the teacher with dependence on authority, lecture and the giving of instruction. </w:t>
      </w:r>
      <w:r w:rsidR="00BF6CE7" w:rsidRPr="006E0C30">
        <w:rPr>
          <w:rFonts w:asciiTheme="minorHAnsi" w:hAnsiTheme="minorHAnsi" w:cstheme="minorHAnsi"/>
        </w:rPr>
        <w:t xml:space="preserve">On the other hand, there is also indirect teaching from the constructivist approach, in which students are encouraged to contribute in an active learning environment which involves personal understanding and collaboration (Metzler, 2011; Morgan, 2007). </w:t>
      </w:r>
      <w:r w:rsidR="00F91172" w:rsidRPr="006E0C30">
        <w:rPr>
          <w:rFonts w:asciiTheme="minorHAnsi" w:hAnsiTheme="minorHAnsi" w:cstheme="minorHAnsi"/>
        </w:rPr>
        <w:t xml:space="preserve">However, Donaldson (2015) implies a move away from traditional, didactic direct teaching </w:t>
      </w:r>
      <w:r w:rsidR="00BF6CE7" w:rsidRPr="006E0C30">
        <w:rPr>
          <w:rFonts w:asciiTheme="minorHAnsi" w:hAnsiTheme="minorHAnsi" w:cstheme="minorHAnsi"/>
        </w:rPr>
        <w:t xml:space="preserve">or favouring constructivist </w:t>
      </w:r>
      <w:r w:rsidR="00F91172" w:rsidRPr="006E0C30">
        <w:rPr>
          <w:rFonts w:asciiTheme="minorHAnsi" w:hAnsiTheme="minorHAnsi" w:cstheme="minorHAnsi"/>
        </w:rPr>
        <w:t>approaches and uses Hattie’s (2009) description of direct teaching by making the learning transparent and modelling and evaluating students work to check for understanding.</w:t>
      </w:r>
      <w:r w:rsidR="00BF6CE7" w:rsidRPr="006E0C30">
        <w:rPr>
          <w:rFonts w:asciiTheme="minorHAnsi" w:hAnsiTheme="minorHAnsi" w:cstheme="minorHAnsi"/>
        </w:rPr>
        <w:t xml:space="preserve"> </w:t>
      </w:r>
      <w:r w:rsidR="005C309D" w:rsidRPr="006E0C30">
        <w:rPr>
          <w:rFonts w:asciiTheme="minorHAnsi" w:hAnsiTheme="minorHAnsi" w:cstheme="minorHAnsi"/>
        </w:rPr>
        <w:t xml:space="preserve">This definition might be argued as subjective as it neither </w:t>
      </w:r>
      <w:r w:rsidR="00977081" w:rsidRPr="006E0C30">
        <w:rPr>
          <w:rFonts w:asciiTheme="minorHAnsi" w:hAnsiTheme="minorHAnsi" w:cstheme="minorHAnsi"/>
        </w:rPr>
        <w:t>favours</w:t>
      </w:r>
      <w:r w:rsidR="005C309D" w:rsidRPr="006E0C30">
        <w:rPr>
          <w:rFonts w:asciiTheme="minorHAnsi" w:hAnsiTheme="minorHAnsi" w:cstheme="minorHAnsi"/>
        </w:rPr>
        <w:t xml:space="preserve"> one</w:t>
      </w:r>
      <w:r w:rsidR="00977081" w:rsidRPr="006E0C30">
        <w:rPr>
          <w:rFonts w:asciiTheme="minorHAnsi" w:hAnsiTheme="minorHAnsi" w:cstheme="minorHAnsi"/>
        </w:rPr>
        <w:t xml:space="preserve"> approach or another</w:t>
      </w:r>
      <w:r w:rsidR="005C309D" w:rsidRPr="006E0C30">
        <w:rPr>
          <w:rFonts w:asciiTheme="minorHAnsi" w:hAnsiTheme="minorHAnsi" w:cstheme="minorHAnsi"/>
        </w:rPr>
        <w:t xml:space="preserve">, however </w:t>
      </w:r>
      <w:r w:rsidR="00977081" w:rsidRPr="006E0C30">
        <w:rPr>
          <w:rFonts w:asciiTheme="minorHAnsi" w:hAnsiTheme="minorHAnsi" w:cstheme="minorHAnsi"/>
        </w:rPr>
        <w:t xml:space="preserve">its popularity might also lie within this as a focus of one approach would fail to reflect the complexity of pedagogical approaches within education. </w:t>
      </w:r>
    </w:p>
    <w:p w:rsidR="00FB2881" w:rsidRPr="006E0C30" w:rsidRDefault="00FB2881" w:rsidP="00AA3950">
      <w:pPr>
        <w:rPr>
          <w:rFonts w:asciiTheme="minorHAnsi" w:hAnsiTheme="minorHAnsi" w:cstheme="minorHAnsi"/>
        </w:rPr>
      </w:pPr>
    </w:p>
    <w:p w:rsidR="00FB2881" w:rsidRPr="006E0C30" w:rsidRDefault="008F5297" w:rsidP="00AA3950">
      <w:pPr>
        <w:rPr>
          <w:rFonts w:asciiTheme="minorHAnsi" w:hAnsiTheme="minorHAnsi" w:cstheme="minorHAnsi"/>
        </w:rPr>
      </w:pPr>
      <w:r w:rsidRPr="006E0C30">
        <w:rPr>
          <w:rFonts w:asciiTheme="minorHAnsi" w:hAnsiTheme="minorHAnsi" w:cstheme="minorHAnsi"/>
        </w:rPr>
        <w:t xml:space="preserve">I was able to successfully implement the ‘direct teaching’ aspect of this principle in most of my lessons. Despite being in the foundation phase where typically the focus of teaching is on developing learning actively rather than merely transferring facts </w:t>
      </w:r>
      <w:r w:rsidR="00553924" w:rsidRPr="006E0C30">
        <w:rPr>
          <w:rFonts w:asciiTheme="minorHAnsi" w:hAnsiTheme="minorHAnsi" w:cstheme="minorHAnsi"/>
        </w:rPr>
        <w:t xml:space="preserve">(Estyn, 2011), with being in </w:t>
      </w:r>
      <w:r w:rsidR="00450027" w:rsidRPr="006E0C30">
        <w:rPr>
          <w:rFonts w:asciiTheme="minorHAnsi" w:hAnsiTheme="minorHAnsi" w:cstheme="minorHAnsi"/>
        </w:rPr>
        <w:t>the last stage</w:t>
      </w:r>
      <w:r w:rsidR="00553924" w:rsidRPr="006E0C30">
        <w:rPr>
          <w:rFonts w:asciiTheme="minorHAnsi" w:hAnsiTheme="minorHAnsi" w:cstheme="minorHAnsi"/>
        </w:rPr>
        <w:t xml:space="preserve"> of the foundation phase of year-two</w:t>
      </w:r>
      <w:r w:rsidR="00450027" w:rsidRPr="006E0C30">
        <w:rPr>
          <w:rFonts w:asciiTheme="minorHAnsi" w:hAnsiTheme="minorHAnsi" w:cstheme="minorHAnsi"/>
        </w:rPr>
        <w:t>,</w:t>
      </w:r>
      <w:r w:rsidR="00553924" w:rsidRPr="006E0C30">
        <w:rPr>
          <w:rFonts w:asciiTheme="minorHAnsi" w:hAnsiTheme="minorHAnsi" w:cstheme="minorHAnsi"/>
        </w:rPr>
        <w:t xml:space="preserve"> I was able to implement direct teaching in the opening phases of my lessons. The learning during this time was usually effective as pupils were engaged, listened well and interacted with questioning well. It is important to note here, that the direct teaching approach adopted was based on Hattie’s (2009) description where the learning was not only made </w:t>
      </w:r>
      <w:r w:rsidR="00CF14B9" w:rsidRPr="006E0C30">
        <w:rPr>
          <w:rFonts w:asciiTheme="minorHAnsi" w:hAnsiTheme="minorHAnsi" w:cstheme="minorHAnsi"/>
        </w:rPr>
        <w:t>transparent but</w:t>
      </w:r>
      <w:r w:rsidR="00553924" w:rsidRPr="006E0C30">
        <w:rPr>
          <w:rFonts w:asciiTheme="minorHAnsi" w:hAnsiTheme="minorHAnsi" w:cstheme="minorHAnsi"/>
        </w:rPr>
        <w:t xml:space="preserve"> was often modelled and </w:t>
      </w:r>
      <w:r w:rsidR="00CF14B9" w:rsidRPr="006E0C30">
        <w:rPr>
          <w:rFonts w:asciiTheme="minorHAnsi" w:hAnsiTheme="minorHAnsi" w:cstheme="minorHAnsi"/>
        </w:rPr>
        <w:t>used with a success criteria. After the direct teaching approach pupils worked in focus groups with a member of staff to appl</w:t>
      </w:r>
      <w:r w:rsidR="002F58D0">
        <w:rPr>
          <w:rFonts w:asciiTheme="minorHAnsi" w:hAnsiTheme="minorHAnsi" w:cstheme="minorHAnsi"/>
        </w:rPr>
        <w:t>y their new knowledge and giving pupils access to the</w:t>
      </w:r>
      <w:r w:rsidR="00CF14B9" w:rsidRPr="006E0C30">
        <w:rPr>
          <w:rFonts w:asciiTheme="minorHAnsi" w:hAnsiTheme="minorHAnsi" w:cstheme="minorHAnsi"/>
        </w:rPr>
        <w:t xml:space="preserve"> success criteria not only meant that I could check if they were successful but </w:t>
      </w:r>
      <w:r w:rsidR="002F58D0">
        <w:rPr>
          <w:rFonts w:asciiTheme="minorHAnsi" w:hAnsiTheme="minorHAnsi" w:cstheme="minorHAnsi"/>
        </w:rPr>
        <w:t>ensured</w:t>
      </w:r>
      <w:r w:rsidR="00CF14B9" w:rsidRPr="006E0C30">
        <w:rPr>
          <w:rFonts w:asciiTheme="minorHAnsi" w:hAnsiTheme="minorHAnsi" w:cstheme="minorHAnsi"/>
        </w:rPr>
        <w:t xml:space="preserve"> they knew how to be successful. </w:t>
      </w:r>
      <w:r w:rsidR="00450027" w:rsidRPr="006E0C30">
        <w:rPr>
          <w:rFonts w:asciiTheme="minorHAnsi" w:hAnsiTheme="minorHAnsi" w:cstheme="minorHAnsi"/>
        </w:rPr>
        <w:t>To further progress within this principle I aim to improve my planning of direct teaching methods by modelling work more often and trying new approaches rather than simply sharing learning objectives and the success criteria.</w:t>
      </w:r>
    </w:p>
    <w:p w:rsidR="00977081" w:rsidRPr="006E0C30" w:rsidRDefault="00977081" w:rsidP="00AA3950">
      <w:pPr>
        <w:rPr>
          <w:rFonts w:asciiTheme="minorHAnsi" w:hAnsiTheme="minorHAnsi" w:cstheme="minorHAnsi"/>
        </w:rPr>
      </w:pPr>
    </w:p>
    <w:p w:rsidR="00977081" w:rsidRPr="006E0C30" w:rsidRDefault="00977081" w:rsidP="00AA3950">
      <w:pPr>
        <w:rPr>
          <w:rFonts w:asciiTheme="minorHAnsi" w:hAnsiTheme="minorHAnsi" w:cstheme="minorHAnsi"/>
        </w:rPr>
      </w:pPr>
      <w:r w:rsidRPr="006E0C30">
        <w:rPr>
          <w:rFonts w:asciiTheme="minorHAnsi" w:hAnsiTheme="minorHAnsi" w:cstheme="minorHAnsi"/>
        </w:rPr>
        <w:t>The key phrasing within this pedagogical principle is ‘a blend of approaches’ since what works in one educational setting with one teacher may not necessarily work in another. For example, Pell et al. (2007) were strong advocates for the use of grou</w:t>
      </w:r>
      <w:r w:rsidR="002F58D0">
        <w:rPr>
          <w:rFonts w:asciiTheme="minorHAnsi" w:hAnsiTheme="minorHAnsi" w:cstheme="minorHAnsi"/>
        </w:rPr>
        <w:t>p work within the context of key stage three (KS3)</w:t>
      </w:r>
      <w:r w:rsidRPr="006E0C30">
        <w:rPr>
          <w:rFonts w:asciiTheme="minorHAnsi" w:hAnsiTheme="minorHAnsi" w:cstheme="minorHAnsi"/>
        </w:rPr>
        <w:t xml:space="preserve">. However, despite the supporting research for the effectiveness of collaborative learning amongst pupils (Galton and Hargreaves, 2009; Galton et al. 2009), there is also equal evidence surrounding the unsuccessful use of collaborative learning from the result of poor planning or enforced collaborative learning. It is not that </w:t>
      </w:r>
      <w:r w:rsidRPr="006E0C30">
        <w:rPr>
          <w:rFonts w:asciiTheme="minorHAnsi" w:hAnsiTheme="minorHAnsi" w:cstheme="minorHAnsi"/>
        </w:rPr>
        <w:lastRenderedPageBreak/>
        <w:t xml:space="preserve">group learning is effective or not effective, as strong claims could be made about direct teaching or focus groups. What is essential here, is that it is the combination of pedagogic approaches and their implementation that is successful, whilst in addition ensuring the approach is appropriately suited to the activity for purposeful learning. This </w:t>
      </w:r>
      <w:r w:rsidR="002F58D0">
        <w:rPr>
          <w:rFonts w:asciiTheme="minorHAnsi" w:hAnsiTheme="minorHAnsi" w:cstheme="minorHAnsi"/>
        </w:rPr>
        <w:t>is</w:t>
      </w:r>
      <w:r w:rsidRPr="006E0C30">
        <w:rPr>
          <w:rFonts w:asciiTheme="minorHAnsi" w:hAnsiTheme="minorHAnsi" w:cstheme="minorHAnsi"/>
        </w:rPr>
        <w:t xml:space="preserve"> supported by Stronge et al. (2007), who concluded that it is not that certain approaches are more effective, but rather that with careful implementation, and a fair amount of planning and organisation these approaches can be used as a blend of successful techniques. </w:t>
      </w:r>
    </w:p>
    <w:p w:rsidR="00977081" w:rsidRPr="006E0C30" w:rsidRDefault="00977081" w:rsidP="00AA3950">
      <w:pPr>
        <w:rPr>
          <w:rFonts w:asciiTheme="minorHAnsi" w:hAnsiTheme="minorHAnsi" w:cstheme="minorHAnsi"/>
        </w:rPr>
      </w:pPr>
    </w:p>
    <w:p w:rsidR="0018363C" w:rsidRPr="006E0C30" w:rsidRDefault="00977081" w:rsidP="00AA3950">
      <w:pPr>
        <w:rPr>
          <w:rFonts w:asciiTheme="minorHAnsi" w:hAnsiTheme="minorHAnsi" w:cstheme="minorHAnsi"/>
        </w:rPr>
      </w:pPr>
      <w:r w:rsidRPr="006E0C30">
        <w:rPr>
          <w:rFonts w:asciiTheme="minorHAnsi" w:hAnsiTheme="minorHAnsi" w:cstheme="minorHAnsi"/>
        </w:rPr>
        <w:t>Within my own professional teaching experience I was able to implement this pedagogical principle well</w:t>
      </w:r>
      <w:r w:rsidR="00FB2881" w:rsidRPr="006E0C30">
        <w:rPr>
          <w:rFonts w:asciiTheme="minorHAnsi" w:hAnsiTheme="minorHAnsi" w:cstheme="minorHAnsi"/>
        </w:rPr>
        <w:t xml:space="preserve"> when focusing on ‘a blend of approaches’</w:t>
      </w:r>
      <w:r w:rsidRPr="006E0C30">
        <w:rPr>
          <w:rFonts w:asciiTheme="minorHAnsi" w:hAnsiTheme="minorHAnsi" w:cstheme="minorHAnsi"/>
        </w:rPr>
        <w:t xml:space="preserve">. </w:t>
      </w:r>
      <w:r w:rsidR="00876FFD" w:rsidRPr="006E0C30">
        <w:rPr>
          <w:rFonts w:asciiTheme="minorHAnsi" w:hAnsiTheme="minorHAnsi" w:cstheme="minorHAnsi"/>
        </w:rPr>
        <w:t xml:space="preserve">Working in a </w:t>
      </w:r>
      <w:r w:rsidR="00F667E0" w:rsidRPr="006E0C30">
        <w:rPr>
          <w:rFonts w:asciiTheme="minorHAnsi" w:hAnsiTheme="minorHAnsi" w:cstheme="minorHAnsi"/>
        </w:rPr>
        <w:t>foundation phase setting meant that employing a blend of different approaches was imperative to keep the children engaged, on-task and to ensure purposeful learning was occurring</w:t>
      </w:r>
      <w:r w:rsidR="002A74D0" w:rsidRPr="006E0C30">
        <w:rPr>
          <w:rFonts w:asciiTheme="minorHAnsi" w:hAnsiTheme="minorHAnsi" w:cstheme="minorHAnsi"/>
        </w:rPr>
        <w:t>. Continuous provision is an aspect of most fo</w:t>
      </w:r>
      <w:r w:rsidR="00142EAA" w:rsidRPr="006E0C30">
        <w:rPr>
          <w:rFonts w:asciiTheme="minorHAnsi" w:hAnsiTheme="minorHAnsi" w:cstheme="minorHAnsi"/>
        </w:rPr>
        <w:t>undation phase classrooms which provides exciting, meaningful, play-based ways to promote learning with the aim of continuing a child’s learning in the absence of an</w:t>
      </w:r>
      <w:r w:rsidR="003C76CA" w:rsidRPr="006E0C30">
        <w:rPr>
          <w:rFonts w:asciiTheme="minorHAnsi" w:hAnsiTheme="minorHAnsi" w:cstheme="minorHAnsi"/>
        </w:rPr>
        <w:t xml:space="preserve"> adult (Bryce-Cle</w:t>
      </w:r>
      <w:r w:rsidR="00142EAA" w:rsidRPr="006E0C30">
        <w:rPr>
          <w:rFonts w:asciiTheme="minorHAnsi" w:hAnsiTheme="minorHAnsi" w:cstheme="minorHAnsi"/>
        </w:rPr>
        <w:t>gg, 2013; Bennett</w:t>
      </w:r>
      <w:r w:rsidR="00FF1BFB" w:rsidRPr="006E0C30">
        <w:rPr>
          <w:rFonts w:asciiTheme="minorHAnsi" w:hAnsiTheme="minorHAnsi" w:cstheme="minorHAnsi"/>
        </w:rPr>
        <w:t xml:space="preserve"> and Weidner 2012). </w:t>
      </w:r>
      <w:r w:rsidR="002B19FC" w:rsidRPr="006E0C30">
        <w:rPr>
          <w:rFonts w:asciiTheme="minorHAnsi" w:hAnsiTheme="minorHAnsi" w:cstheme="minorHAnsi"/>
        </w:rPr>
        <w:t>McEvoy (2019)</w:t>
      </w:r>
      <w:r w:rsidR="00D63992" w:rsidRPr="006E0C30">
        <w:rPr>
          <w:rFonts w:asciiTheme="minorHAnsi" w:hAnsiTheme="minorHAnsi" w:cstheme="minorHAnsi"/>
        </w:rPr>
        <w:t xml:space="preserve"> points out that continuous provision </w:t>
      </w:r>
      <w:r w:rsidR="002B19FC" w:rsidRPr="006E0C30">
        <w:rPr>
          <w:rFonts w:asciiTheme="minorHAnsi" w:hAnsiTheme="minorHAnsi" w:cstheme="minorHAnsi"/>
        </w:rPr>
        <w:t>may</w:t>
      </w:r>
      <w:r w:rsidR="00D63992" w:rsidRPr="006E0C30">
        <w:rPr>
          <w:rFonts w:asciiTheme="minorHAnsi" w:hAnsiTheme="minorHAnsi" w:cstheme="minorHAnsi"/>
        </w:rPr>
        <w:t xml:space="preserve"> </w:t>
      </w:r>
      <w:r w:rsidR="005F5B90" w:rsidRPr="006E0C30">
        <w:rPr>
          <w:rFonts w:asciiTheme="minorHAnsi" w:hAnsiTheme="minorHAnsi" w:cstheme="minorHAnsi"/>
        </w:rPr>
        <w:t>encourage a child to develop certain dispositions dependent on</w:t>
      </w:r>
      <w:r w:rsidR="002B19FC" w:rsidRPr="006E0C30">
        <w:rPr>
          <w:rFonts w:asciiTheme="minorHAnsi" w:hAnsiTheme="minorHAnsi" w:cstheme="minorHAnsi"/>
        </w:rPr>
        <w:t xml:space="preserve"> the teachers planned activities</w:t>
      </w:r>
      <w:r w:rsidR="005F5B90" w:rsidRPr="006E0C30">
        <w:rPr>
          <w:rFonts w:asciiTheme="minorHAnsi" w:hAnsiTheme="minorHAnsi" w:cstheme="minorHAnsi"/>
        </w:rPr>
        <w:t>. This is evident with</w:t>
      </w:r>
      <w:r w:rsidR="00166F02">
        <w:rPr>
          <w:rFonts w:asciiTheme="minorHAnsi" w:hAnsiTheme="minorHAnsi" w:cstheme="minorHAnsi"/>
        </w:rPr>
        <w:t xml:space="preserve">in my own practice as example three </w:t>
      </w:r>
      <w:r w:rsidR="005F5B90" w:rsidRPr="006E0C30">
        <w:rPr>
          <w:rFonts w:asciiTheme="minorHAnsi" w:hAnsiTheme="minorHAnsi" w:cstheme="minorHAnsi"/>
        </w:rPr>
        <w:t>within this pedagogical principle shows how I planned</w:t>
      </w:r>
      <w:r w:rsidR="00166F02">
        <w:rPr>
          <w:rFonts w:asciiTheme="minorHAnsi" w:hAnsiTheme="minorHAnsi" w:cstheme="minorHAnsi"/>
        </w:rPr>
        <w:t xml:space="preserve"> for children to problem solve how they could</w:t>
      </w:r>
      <w:r w:rsidR="005F5B90" w:rsidRPr="006E0C30">
        <w:rPr>
          <w:rFonts w:asciiTheme="minorHAnsi" w:hAnsiTheme="minorHAnsi" w:cstheme="minorHAnsi"/>
        </w:rPr>
        <w:t xml:space="preserve"> build a bridge for the gingerbread man to cross the river. Hence, </w:t>
      </w:r>
      <w:r w:rsidR="00166F02">
        <w:rPr>
          <w:rFonts w:asciiTheme="minorHAnsi" w:hAnsiTheme="minorHAnsi" w:cstheme="minorHAnsi"/>
        </w:rPr>
        <w:t>the planning of</w:t>
      </w:r>
      <w:r w:rsidR="00E11AAA" w:rsidRPr="006E0C30">
        <w:rPr>
          <w:rFonts w:asciiTheme="minorHAnsi" w:hAnsiTheme="minorHAnsi" w:cstheme="minorHAnsi"/>
        </w:rPr>
        <w:t xml:space="preserve"> enhanced provision</w:t>
      </w:r>
      <w:r w:rsidR="005F5B90" w:rsidRPr="006E0C30">
        <w:rPr>
          <w:rFonts w:asciiTheme="minorHAnsi" w:hAnsiTheme="minorHAnsi" w:cstheme="minorHAnsi"/>
        </w:rPr>
        <w:t xml:space="preserve"> </w:t>
      </w:r>
      <w:r w:rsidR="00166F02">
        <w:rPr>
          <w:rFonts w:asciiTheme="minorHAnsi" w:hAnsiTheme="minorHAnsi" w:cstheme="minorHAnsi"/>
        </w:rPr>
        <w:t>seems dictate</w:t>
      </w:r>
      <w:r w:rsidR="005F5B90" w:rsidRPr="006E0C30">
        <w:rPr>
          <w:rFonts w:asciiTheme="minorHAnsi" w:hAnsiTheme="minorHAnsi" w:cstheme="minorHAnsi"/>
        </w:rPr>
        <w:t xml:space="preserve"> the skills that the children develop during the week</w:t>
      </w:r>
      <w:r w:rsidR="00E11AAA" w:rsidRPr="006E0C30">
        <w:rPr>
          <w:rFonts w:asciiTheme="minorHAnsi" w:hAnsiTheme="minorHAnsi" w:cstheme="minorHAnsi"/>
        </w:rPr>
        <w:t>, such as problem solving used in my example.</w:t>
      </w:r>
      <w:r w:rsidR="005F5B90" w:rsidRPr="006E0C30">
        <w:rPr>
          <w:rFonts w:asciiTheme="minorHAnsi" w:hAnsiTheme="minorHAnsi" w:cstheme="minorHAnsi"/>
        </w:rPr>
        <w:t xml:space="preserve"> </w:t>
      </w:r>
      <w:r w:rsidR="00E11AAA" w:rsidRPr="006E0C30">
        <w:rPr>
          <w:rFonts w:asciiTheme="minorHAnsi" w:hAnsiTheme="minorHAnsi" w:cstheme="minorHAnsi"/>
        </w:rPr>
        <w:t xml:space="preserve">However, Bottrill (2018) suggests that teachers should step away from the areas of continuous provision because </w:t>
      </w:r>
      <w:r w:rsidR="008C6863" w:rsidRPr="006E0C30">
        <w:rPr>
          <w:rFonts w:asciiTheme="minorHAnsi" w:hAnsiTheme="minorHAnsi" w:cstheme="minorHAnsi"/>
        </w:rPr>
        <w:t>essentially,</w:t>
      </w:r>
      <w:r w:rsidR="00E11AAA" w:rsidRPr="006E0C30">
        <w:rPr>
          <w:rFonts w:asciiTheme="minorHAnsi" w:hAnsiTheme="minorHAnsi" w:cstheme="minorHAnsi"/>
        </w:rPr>
        <w:t xml:space="preserve"> we are limiting children to our own choices</w:t>
      </w:r>
      <w:r w:rsidR="008C6863" w:rsidRPr="006E0C30">
        <w:rPr>
          <w:rFonts w:asciiTheme="minorHAnsi" w:hAnsiTheme="minorHAnsi" w:cstheme="minorHAnsi"/>
        </w:rPr>
        <w:t xml:space="preserve"> rather than their own which subsequently puts</w:t>
      </w:r>
      <w:r w:rsidR="00E11AAA" w:rsidRPr="006E0C30">
        <w:rPr>
          <w:rFonts w:asciiTheme="minorHAnsi" w:hAnsiTheme="minorHAnsi" w:cstheme="minorHAnsi"/>
        </w:rPr>
        <w:t xml:space="preserve"> a ‘cap’ on their learning (p.22). </w:t>
      </w:r>
      <w:r w:rsidR="008C6863" w:rsidRPr="006E0C30">
        <w:rPr>
          <w:rFonts w:asciiTheme="minorHAnsi" w:hAnsiTheme="minorHAnsi" w:cstheme="minorHAnsi"/>
        </w:rPr>
        <w:t>Considering Bottrill’s viewpoint in my own implementation of enhanced provision, it would have been interesting to see what would have happened if the enhanced provision wasn’t so rigidly planned that the children were able to construct their own learning. For example, if I had set up the enhanced provision dis</w:t>
      </w:r>
      <w:r w:rsidR="00166F02">
        <w:rPr>
          <w:rFonts w:asciiTheme="minorHAnsi" w:hAnsiTheme="minorHAnsi" w:cstheme="minorHAnsi"/>
        </w:rPr>
        <w:t>cussed in example three</w:t>
      </w:r>
      <w:r w:rsidR="008C6863" w:rsidRPr="006E0C30">
        <w:rPr>
          <w:rFonts w:asciiTheme="minorHAnsi" w:hAnsiTheme="minorHAnsi" w:cstheme="minorHAnsi"/>
        </w:rPr>
        <w:t xml:space="preserve"> with </w:t>
      </w:r>
      <w:r w:rsidR="005D0794" w:rsidRPr="006E0C30">
        <w:rPr>
          <w:rFonts w:asciiTheme="minorHAnsi" w:hAnsiTheme="minorHAnsi" w:cstheme="minorHAnsi"/>
        </w:rPr>
        <w:t xml:space="preserve">a range of resources and not modelled the activity, the activity may have been more open-ended, and the learning more effective because children may have applied their own imagination to construct a very different activity. </w:t>
      </w:r>
    </w:p>
    <w:p w:rsidR="0018363C" w:rsidRPr="006E0C30" w:rsidRDefault="0018363C" w:rsidP="00AA3950">
      <w:pPr>
        <w:rPr>
          <w:rFonts w:asciiTheme="minorHAnsi" w:hAnsiTheme="minorHAnsi" w:cstheme="minorHAnsi"/>
        </w:rPr>
      </w:pPr>
    </w:p>
    <w:p w:rsidR="005D0794" w:rsidRPr="006E0C30" w:rsidRDefault="005D0794" w:rsidP="00AA3950">
      <w:pPr>
        <w:rPr>
          <w:rFonts w:asciiTheme="minorHAnsi" w:hAnsiTheme="minorHAnsi" w:cstheme="minorHAnsi"/>
        </w:rPr>
      </w:pPr>
      <w:r w:rsidRPr="006E0C30">
        <w:rPr>
          <w:rFonts w:asciiTheme="minorHAnsi" w:hAnsiTheme="minorHAnsi" w:cstheme="minorHAnsi"/>
        </w:rPr>
        <w:t xml:space="preserve">A way of improving my own enhanced provision planning </w:t>
      </w:r>
      <w:r w:rsidR="002B19FC" w:rsidRPr="006E0C30">
        <w:rPr>
          <w:rFonts w:asciiTheme="minorHAnsi" w:hAnsiTheme="minorHAnsi" w:cstheme="minorHAnsi"/>
        </w:rPr>
        <w:t>might be</w:t>
      </w:r>
      <w:r w:rsidR="008F5297" w:rsidRPr="006E0C30">
        <w:rPr>
          <w:rFonts w:asciiTheme="minorHAnsi" w:hAnsiTheme="minorHAnsi" w:cstheme="minorHAnsi"/>
        </w:rPr>
        <w:t xml:space="preserve"> to use a pupil voice session where the class</w:t>
      </w:r>
      <w:r w:rsidR="002B19FC" w:rsidRPr="006E0C30">
        <w:rPr>
          <w:rFonts w:asciiTheme="minorHAnsi" w:hAnsiTheme="minorHAnsi" w:cstheme="minorHAnsi"/>
        </w:rPr>
        <w:t xml:space="preserve"> plan their own enhanced provision for the week ahead. This will not only give them ownership of their learning but also allow them to apply their own imagination to tasks. Similarly, Davies et al. (2013) asserts that when pupils have a high level of control over their learning and </w:t>
      </w:r>
      <w:r w:rsidR="00123F70" w:rsidRPr="006E0C30">
        <w:rPr>
          <w:rFonts w:asciiTheme="minorHAnsi" w:hAnsiTheme="minorHAnsi" w:cstheme="minorHAnsi"/>
        </w:rPr>
        <w:t>activities within the classroom a creative environment in education can be established. This highlights that</w:t>
      </w:r>
      <w:r w:rsidR="008F5297" w:rsidRPr="006E0C30">
        <w:rPr>
          <w:rFonts w:asciiTheme="minorHAnsi" w:hAnsiTheme="minorHAnsi" w:cstheme="minorHAnsi"/>
        </w:rPr>
        <w:t xml:space="preserve"> the skill of</w:t>
      </w:r>
      <w:r w:rsidR="00123F70" w:rsidRPr="006E0C30">
        <w:rPr>
          <w:rFonts w:asciiTheme="minorHAnsi" w:hAnsiTheme="minorHAnsi" w:cstheme="minorHAnsi"/>
        </w:rPr>
        <w:t xml:space="preserve"> creativity can be increased when pupils are encouraged to take risks and make their learning relevant to them within a flexible environment. </w:t>
      </w:r>
      <w:r w:rsidR="008F5297" w:rsidRPr="006E0C30">
        <w:rPr>
          <w:rFonts w:asciiTheme="minorHAnsi" w:hAnsiTheme="minorHAnsi" w:cstheme="minorHAnsi"/>
        </w:rPr>
        <w:t>In addition, t</w:t>
      </w:r>
      <w:r w:rsidR="00123F70" w:rsidRPr="006E0C30">
        <w:rPr>
          <w:rFonts w:asciiTheme="minorHAnsi" w:hAnsiTheme="minorHAnsi" w:cstheme="minorHAnsi"/>
        </w:rPr>
        <w:t xml:space="preserve">his links to the pedagogical principle ‘Good teaching and learning means employing a blend of approaches including those that promote problem solving, creative and critical thinking’, despite not discussing this principle, the use of a blend of approaches within teaching is fundamental as </w:t>
      </w:r>
      <w:r w:rsidR="008F5297" w:rsidRPr="006E0C30">
        <w:rPr>
          <w:rFonts w:asciiTheme="minorHAnsi" w:hAnsiTheme="minorHAnsi" w:cstheme="minorHAnsi"/>
        </w:rPr>
        <w:t>presented by Donaldson (2015)</w:t>
      </w:r>
      <w:r w:rsidR="00123F70" w:rsidRPr="006E0C30">
        <w:rPr>
          <w:rFonts w:asciiTheme="minorHAnsi" w:hAnsiTheme="minorHAnsi" w:cstheme="minorHAnsi"/>
        </w:rPr>
        <w:t xml:space="preserve"> across two of the twelve pedagogical principles.  </w:t>
      </w:r>
    </w:p>
    <w:p w:rsidR="006C4FBF" w:rsidRDefault="006C4FBF" w:rsidP="006C4FBF">
      <w:pPr>
        <w:rPr>
          <w:rFonts w:asciiTheme="minorHAnsi" w:hAnsiTheme="minorHAnsi" w:cstheme="minorHAnsi"/>
        </w:rPr>
      </w:pPr>
    </w:p>
    <w:p w:rsidR="00D738A6" w:rsidRDefault="008674C7" w:rsidP="006C4FBF">
      <w:pPr>
        <w:rPr>
          <w:rFonts w:asciiTheme="minorHAnsi" w:hAnsiTheme="minorHAnsi" w:cstheme="minorHAnsi"/>
        </w:rPr>
      </w:pPr>
      <w:r>
        <w:rPr>
          <w:rFonts w:asciiTheme="minorHAnsi" w:hAnsiTheme="minorHAnsi" w:cstheme="minorHAnsi"/>
        </w:rPr>
        <w:t>In conclusion, to</w:t>
      </w:r>
      <w:r w:rsidR="006C4FBF">
        <w:rPr>
          <w:rFonts w:asciiTheme="minorHAnsi" w:hAnsiTheme="minorHAnsi" w:cstheme="minorHAnsi"/>
        </w:rPr>
        <w:t xml:space="preserve"> develop my own professional practice and students learning in the classroom, several recommendations can be made </w:t>
      </w:r>
      <w:r w:rsidR="004F116E">
        <w:rPr>
          <w:rFonts w:asciiTheme="minorHAnsi" w:hAnsiTheme="minorHAnsi" w:cstheme="minorHAnsi"/>
        </w:rPr>
        <w:t xml:space="preserve">from my critical reflection </w:t>
      </w:r>
      <w:r w:rsidR="006C4FBF">
        <w:rPr>
          <w:rFonts w:asciiTheme="minorHAnsi" w:hAnsiTheme="minorHAnsi" w:cstheme="minorHAnsi"/>
        </w:rPr>
        <w:t xml:space="preserve">for future </w:t>
      </w:r>
      <w:r w:rsidR="00AC0393">
        <w:rPr>
          <w:rFonts w:asciiTheme="minorHAnsi" w:hAnsiTheme="minorHAnsi" w:cstheme="minorHAnsi"/>
        </w:rPr>
        <w:t>improvement</w:t>
      </w:r>
      <w:r w:rsidR="006C4FBF">
        <w:rPr>
          <w:rFonts w:asciiTheme="minorHAnsi" w:hAnsiTheme="minorHAnsi" w:cstheme="minorHAnsi"/>
        </w:rPr>
        <w:t xml:space="preserve">. Firstly, </w:t>
      </w:r>
      <w:r w:rsidR="00AC0393">
        <w:rPr>
          <w:rFonts w:asciiTheme="minorHAnsi" w:hAnsiTheme="minorHAnsi" w:cstheme="minorHAnsi"/>
        </w:rPr>
        <w:t xml:space="preserve">I aim </w:t>
      </w:r>
      <w:r w:rsidR="006C4FBF">
        <w:rPr>
          <w:rFonts w:asciiTheme="minorHAnsi" w:hAnsiTheme="minorHAnsi" w:cstheme="minorHAnsi"/>
        </w:rPr>
        <w:t xml:space="preserve">to include a range </w:t>
      </w:r>
      <w:r w:rsidR="004F116E">
        <w:rPr>
          <w:rFonts w:asciiTheme="minorHAnsi" w:hAnsiTheme="minorHAnsi" w:cstheme="minorHAnsi"/>
        </w:rPr>
        <w:t xml:space="preserve">of assessment for learning strategies within </w:t>
      </w:r>
      <w:r w:rsidR="004F116E">
        <w:rPr>
          <w:rFonts w:asciiTheme="minorHAnsi" w:hAnsiTheme="minorHAnsi" w:cstheme="minorHAnsi"/>
        </w:rPr>
        <w:lastRenderedPageBreak/>
        <w:t>my planni</w:t>
      </w:r>
      <w:r w:rsidR="0021621B">
        <w:rPr>
          <w:rFonts w:asciiTheme="minorHAnsi" w:hAnsiTheme="minorHAnsi" w:cstheme="minorHAnsi"/>
        </w:rPr>
        <w:t>ng and be able to implement these</w:t>
      </w:r>
      <w:r w:rsidR="004F116E">
        <w:rPr>
          <w:rFonts w:asciiTheme="minorHAnsi" w:hAnsiTheme="minorHAnsi" w:cstheme="minorHAnsi"/>
        </w:rPr>
        <w:t xml:space="preserve"> in the classroom, </w:t>
      </w:r>
      <w:r w:rsidR="00D07006">
        <w:rPr>
          <w:rFonts w:asciiTheme="minorHAnsi" w:hAnsiTheme="minorHAnsi" w:cstheme="minorHAnsi"/>
        </w:rPr>
        <w:t>which could be through using more self and peer assessment strategies</w:t>
      </w:r>
      <w:r w:rsidR="0021621B">
        <w:rPr>
          <w:rFonts w:asciiTheme="minorHAnsi" w:hAnsiTheme="minorHAnsi" w:cstheme="minorHAnsi"/>
        </w:rPr>
        <w:t xml:space="preserve"> to ensure pupils understand their learning goals (Black et al. 2004</w:t>
      </w:r>
      <w:r w:rsidR="00AC0393">
        <w:rPr>
          <w:rFonts w:asciiTheme="minorHAnsi" w:hAnsiTheme="minorHAnsi" w:cstheme="minorHAnsi"/>
        </w:rPr>
        <w:t xml:space="preserve">; </w:t>
      </w:r>
      <w:r w:rsidR="00AC0393">
        <w:rPr>
          <w:rFonts w:asciiTheme="minorHAnsi" w:hAnsiTheme="minorHAnsi" w:cstheme="minorHAnsi"/>
          <w:color w:val="000000" w:themeColor="text1"/>
        </w:rPr>
        <w:t xml:space="preserve">Gielen et al. </w:t>
      </w:r>
      <w:r w:rsidR="00AC0393" w:rsidRPr="006E0C30">
        <w:rPr>
          <w:rFonts w:asciiTheme="minorHAnsi" w:hAnsiTheme="minorHAnsi" w:cstheme="minorHAnsi"/>
          <w:color w:val="000000" w:themeColor="text1"/>
        </w:rPr>
        <w:t>2010</w:t>
      </w:r>
      <w:r w:rsidR="0021621B">
        <w:rPr>
          <w:rFonts w:asciiTheme="minorHAnsi" w:hAnsiTheme="minorHAnsi" w:cstheme="minorHAnsi"/>
        </w:rPr>
        <w:t>)</w:t>
      </w:r>
      <w:r w:rsidR="00D07006">
        <w:rPr>
          <w:rFonts w:asciiTheme="minorHAnsi" w:hAnsiTheme="minorHAnsi" w:cstheme="minorHAnsi"/>
        </w:rPr>
        <w:t xml:space="preserve">. </w:t>
      </w:r>
      <w:r w:rsidR="00D07006">
        <w:rPr>
          <w:rFonts w:asciiTheme="minorHAnsi" w:hAnsiTheme="minorHAnsi" w:cstheme="minorHAnsi"/>
          <w:color w:val="FF0000"/>
        </w:rPr>
        <w:t xml:space="preserve"> </w:t>
      </w:r>
      <w:r w:rsidR="004F116E">
        <w:rPr>
          <w:rFonts w:asciiTheme="minorHAnsi" w:hAnsiTheme="minorHAnsi" w:cstheme="minorHAnsi"/>
        </w:rPr>
        <w:t xml:space="preserve">Furthermore, I aim to develop more cross-curricular opportunities in maths, in addition to becoming familiar with leading whole-class literacy lessons to be able to embed cross curricular links. </w:t>
      </w:r>
      <w:r w:rsidR="00D07006">
        <w:rPr>
          <w:rFonts w:asciiTheme="minorHAnsi" w:hAnsiTheme="minorHAnsi" w:cstheme="minorHAnsi"/>
        </w:rPr>
        <w:t>Finally, I ai</w:t>
      </w:r>
      <w:r w:rsidR="00D738A6">
        <w:rPr>
          <w:rFonts w:asciiTheme="minorHAnsi" w:hAnsiTheme="minorHAnsi" w:cstheme="minorHAnsi"/>
        </w:rPr>
        <w:t xml:space="preserve">m to consider </w:t>
      </w:r>
      <w:r w:rsidR="00E8151D">
        <w:rPr>
          <w:rFonts w:asciiTheme="minorHAnsi" w:hAnsiTheme="minorHAnsi" w:cstheme="minorHAnsi"/>
        </w:rPr>
        <w:t xml:space="preserve">alternative teaching </w:t>
      </w:r>
      <w:r w:rsidR="00B66DE8">
        <w:rPr>
          <w:rFonts w:asciiTheme="minorHAnsi" w:hAnsiTheme="minorHAnsi" w:cstheme="minorHAnsi"/>
        </w:rPr>
        <w:t>approaches</w:t>
      </w:r>
      <w:r w:rsidR="00E8151D">
        <w:rPr>
          <w:rFonts w:asciiTheme="minorHAnsi" w:hAnsiTheme="minorHAnsi" w:cstheme="minorHAnsi"/>
        </w:rPr>
        <w:t xml:space="preserve"> to </w:t>
      </w:r>
      <w:r w:rsidR="00D738A6">
        <w:rPr>
          <w:rFonts w:asciiTheme="minorHAnsi" w:hAnsiTheme="minorHAnsi" w:cstheme="minorHAnsi"/>
        </w:rPr>
        <w:t>enhanced</w:t>
      </w:r>
      <w:r w:rsidR="00D07006">
        <w:rPr>
          <w:rFonts w:asciiTheme="minorHAnsi" w:hAnsiTheme="minorHAnsi" w:cstheme="minorHAnsi"/>
        </w:rPr>
        <w:t xml:space="preserve"> provision as I move from foundation phase </w:t>
      </w:r>
      <w:r w:rsidR="00EB54A4">
        <w:rPr>
          <w:rFonts w:asciiTheme="minorHAnsi" w:hAnsiTheme="minorHAnsi" w:cstheme="minorHAnsi"/>
        </w:rPr>
        <w:t>in</w:t>
      </w:r>
      <w:r w:rsidR="00D07006">
        <w:rPr>
          <w:rFonts w:asciiTheme="minorHAnsi" w:hAnsiTheme="minorHAnsi" w:cstheme="minorHAnsi"/>
        </w:rPr>
        <w:t>to key stage two</w:t>
      </w:r>
      <w:r w:rsidR="00EB54A4">
        <w:rPr>
          <w:rFonts w:asciiTheme="minorHAnsi" w:hAnsiTheme="minorHAnsi" w:cstheme="minorHAnsi"/>
        </w:rPr>
        <w:t>,</w:t>
      </w:r>
      <w:r w:rsidR="00D07006">
        <w:rPr>
          <w:rFonts w:asciiTheme="minorHAnsi" w:hAnsiTheme="minorHAnsi" w:cstheme="minorHAnsi"/>
        </w:rPr>
        <w:t xml:space="preserve"> to ensure that a blend of </w:t>
      </w:r>
      <w:r w:rsidR="00E8151D">
        <w:rPr>
          <w:rFonts w:asciiTheme="minorHAnsi" w:hAnsiTheme="minorHAnsi" w:cstheme="minorHAnsi"/>
        </w:rPr>
        <w:t xml:space="preserve">teaching </w:t>
      </w:r>
      <w:r w:rsidR="00D07006">
        <w:rPr>
          <w:rFonts w:asciiTheme="minorHAnsi" w:hAnsiTheme="minorHAnsi" w:cstheme="minorHAnsi"/>
        </w:rPr>
        <w:t>approaches continue</w:t>
      </w:r>
      <w:r w:rsidR="00E8151D">
        <w:rPr>
          <w:rFonts w:asciiTheme="minorHAnsi" w:hAnsiTheme="minorHAnsi" w:cstheme="minorHAnsi"/>
        </w:rPr>
        <w:t xml:space="preserve">s. </w:t>
      </w:r>
      <w:r w:rsidR="00EB54A4">
        <w:rPr>
          <w:rFonts w:asciiTheme="minorHAnsi" w:hAnsiTheme="minorHAnsi" w:cstheme="minorHAnsi"/>
        </w:rPr>
        <w:t>This is support</w:t>
      </w:r>
      <w:r w:rsidR="00AC0393">
        <w:rPr>
          <w:rFonts w:asciiTheme="minorHAnsi" w:hAnsiTheme="minorHAnsi" w:cstheme="minorHAnsi"/>
        </w:rPr>
        <w:t xml:space="preserve">ed by Donaldson’s (2015) aim </w:t>
      </w:r>
      <w:r w:rsidR="00EB54A4">
        <w:rPr>
          <w:rFonts w:asciiTheme="minorHAnsi" w:hAnsiTheme="minorHAnsi" w:cstheme="minorHAnsi"/>
        </w:rPr>
        <w:t>to continue creative, play-based and emergent learning approaches into</w:t>
      </w:r>
      <w:r w:rsidR="00AC0393">
        <w:rPr>
          <w:rFonts w:asciiTheme="minorHAnsi" w:hAnsiTheme="minorHAnsi" w:cstheme="minorHAnsi"/>
        </w:rPr>
        <w:t xml:space="preserve"> the</w:t>
      </w:r>
      <w:r w:rsidR="00EB54A4">
        <w:rPr>
          <w:rFonts w:asciiTheme="minorHAnsi" w:hAnsiTheme="minorHAnsi" w:cstheme="minorHAnsi"/>
        </w:rPr>
        <w:t xml:space="preserve"> key stage two environment. </w:t>
      </w:r>
    </w:p>
    <w:p w:rsidR="00D738A6" w:rsidRDefault="00D738A6" w:rsidP="006C4FBF">
      <w:pPr>
        <w:rPr>
          <w:rFonts w:asciiTheme="minorHAnsi" w:hAnsiTheme="minorHAnsi" w:cstheme="minorHAnsi"/>
        </w:rPr>
      </w:pPr>
    </w:p>
    <w:p w:rsidR="008F5297" w:rsidRPr="006E0C30" w:rsidRDefault="008F5297" w:rsidP="008F5297">
      <w:pPr>
        <w:rPr>
          <w:rFonts w:asciiTheme="minorHAnsi" w:hAnsiTheme="minorHAnsi" w:cstheme="minorHAnsi"/>
        </w:rPr>
      </w:pPr>
    </w:p>
    <w:p w:rsidR="00F82893" w:rsidRPr="00F82893" w:rsidRDefault="00F82893" w:rsidP="00F82893">
      <w:pPr>
        <w:pStyle w:val="ListParagraph"/>
        <w:rPr>
          <w:rFonts w:cstheme="minorHAnsi"/>
        </w:rPr>
      </w:pPr>
    </w:p>
    <w:p w:rsidR="006C4FBF" w:rsidRPr="006C4FBF" w:rsidRDefault="006C4FBF" w:rsidP="006C4FBF">
      <w:pPr>
        <w:pStyle w:val="ListParagraph"/>
        <w:rPr>
          <w:rFonts w:cstheme="minorHAnsi"/>
        </w:rPr>
      </w:pPr>
    </w:p>
    <w:p w:rsidR="00C1541B" w:rsidRDefault="00C1541B" w:rsidP="00C1541B">
      <w:pPr>
        <w:rPr>
          <w:rFonts w:asciiTheme="minorHAnsi" w:hAnsiTheme="minorHAnsi" w:cstheme="minorHAnsi"/>
        </w:rPr>
      </w:pPr>
    </w:p>
    <w:p w:rsidR="008674C7" w:rsidRDefault="008674C7" w:rsidP="00C1541B">
      <w:pPr>
        <w:rPr>
          <w:rFonts w:asciiTheme="minorHAnsi" w:hAnsiTheme="minorHAnsi" w:cstheme="minorHAnsi"/>
        </w:rPr>
      </w:pPr>
    </w:p>
    <w:p w:rsidR="002762B1" w:rsidRDefault="002762B1" w:rsidP="00C1541B">
      <w:pPr>
        <w:rPr>
          <w:rFonts w:asciiTheme="minorHAnsi" w:hAnsiTheme="minorHAnsi" w:cstheme="minorHAnsi"/>
        </w:rPr>
      </w:pPr>
    </w:p>
    <w:p w:rsidR="002762B1" w:rsidRDefault="002762B1" w:rsidP="00C1541B">
      <w:pPr>
        <w:rPr>
          <w:rFonts w:asciiTheme="minorHAnsi" w:hAnsiTheme="minorHAnsi" w:cstheme="minorHAnsi"/>
        </w:rPr>
      </w:pPr>
    </w:p>
    <w:p w:rsidR="002762B1" w:rsidRDefault="002762B1" w:rsidP="00C1541B">
      <w:pPr>
        <w:rPr>
          <w:rFonts w:asciiTheme="minorHAnsi" w:hAnsiTheme="minorHAnsi" w:cstheme="minorHAnsi"/>
        </w:rPr>
      </w:pPr>
    </w:p>
    <w:p w:rsidR="002762B1" w:rsidRDefault="002762B1" w:rsidP="00C1541B">
      <w:pPr>
        <w:rPr>
          <w:rFonts w:asciiTheme="minorHAnsi" w:hAnsiTheme="minorHAnsi" w:cstheme="minorHAnsi"/>
        </w:rPr>
      </w:pPr>
    </w:p>
    <w:p w:rsidR="002762B1" w:rsidRDefault="002762B1" w:rsidP="00C1541B">
      <w:pPr>
        <w:rPr>
          <w:rFonts w:asciiTheme="minorHAnsi" w:hAnsiTheme="minorHAnsi" w:cstheme="minorHAnsi"/>
        </w:rPr>
      </w:pPr>
    </w:p>
    <w:p w:rsidR="002762B1" w:rsidRDefault="002762B1" w:rsidP="00C1541B">
      <w:pPr>
        <w:rPr>
          <w:rFonts w:asciiTheme="minorHAnsi" w:hAnsiTheme="minorHAnsi" w:cstheme="minorHAnsi"/>
        </w:rPr>
      </w:pPr>
    </w:p>
    <w:p w:rsidR="002762B1" w:rsidRDefault="002762B1" w:rsidP="00C1541B">
      <w:pPr>
        <w:rPr>
          <w:rFonts w:asciiTheme="minorHAnsi" w:hAnsiTheme="minorHAnsi" w:cstheme="minorHAnsi"/>
        </w:rPr>
      </w:pPr>
    </w:p>
    <w:p w:rsidR="002762B1" w:rsidRDefault="002762B1" w:rsidP="00C1541B">
      <w:pPr>
        <w:rPr>
          <w:rFonts w:asciiTheme="minorHAnsi" w:hAnsiTheme="minorHAnsi" w:cstheme="minorHAnsi"/>
        </w:rPr>
      </w:pPr>
    </w:p>
    <w:p w:rsidR="002762B1" w:rsidRDefault="002762B1" w:rsidP="00C1541B">
      <w:pPr>
        <w:rPr>
          <w:rFonts w:asciiTheme="minorHAnsi" w:hAnsiTheme="minorHAnsi" w:cstheme="minorHAnsi"/>
        </w:rPr>
      </w:pPr>
    </w:p>
    <w:p w:rsidR="002762B1" w:rsidRDefault="002762B1" w:rsidP="00C1541B">
      <w:pPr>
        <w:rPr>
          <w:rFonts w:asciiTheme="minorHAnsi" w:hAnsiTheme="minorHAnsi" w:cstheme="minorHAnsi"/>
        </w:rPr>
      </w:pPr>
    </w:p>
    <w:p w:rsidR="002762B1" w:rsidRDefault="002762B1" w:rsidP="00C1541B">
      <w:pPr>
        <w:rPr>
          <w:rFonts w:asciiTheme="minorHAnsi" w:hAnsiTheme="minorHAnsi" w:cstheme="minorHAnsi"/>
        </w:rPr>
      </w:pPr>
    </w:p>
    <w:p w:rsidR="002762B1" w:rsidRDefault="002762B1" w:rsidP="00C1541B">
      <w:pPr>
        <w:rPr>
          <w:rFonts w:asciiTheme="minorHAnsi" w:hAnsiTheme="minorHAnsi" w:cstheme="minorHAnsi"/>
        </w:rPr>
      </w:pPr>
    </w:p>
    <w:p w:rsidR="002762B1" w:rsidRDefault="002762B1" w:rsidP="00C1541B">
      <w:pPr>
        <w:rPr>
          <w:rFonts w:asciiTheme="minorHAnsi" w:hAnsiTheme="minorHAnsi" w:cstheme="minorHAnsi"/>
        </w:rPr>
      </w:pPr>
    </w:p>
    <w:p w:rsidR="002762B1" w:rsidRDefault="002762B1" w:rsidP="00C1541B">
      <w:pPr>
        <w:rPr>
          <w:rFonts w:asciiTheme="minorHAnsi" w:hAnsiTheme="minorHAnsi" w:cstheme="minorHAnsi"/>
        </w:rPr>
      </w:pPr>
    </w:p>
    <w:p w:rsidR="002762B1" w:rsidRDefault="002762B1" w:rsidP="00C1541B">
      <w:pPr>
        <w:rPr>
          <w:rFonts w:asciiTheme="minorHAnsi" w:hAnsiTheme="minorHAnsi" w:cstheme="minorHAnsi"/>
        </w:rPr>
      </w:pPr>
    </w:p>
    <w:p w:rsidR="002762B1" w:rsidRDefault="002762B1" w:rsidP="00C1541B">
      <w:pPr>
        <w:rPr>
          <w:rFonts w:asciiTheme="minorHAnsi" w:hAnsiTheme="minorHAnsi" w:cstheme="minorHAnsi"/>
        </w:rPr>
      </w:pPr>
    </w:p>
    <w:p w:rsidR="002762B1" w:rsidRDefault="002762B1" w:rsidP="00C1541B">
      <w:pPr>
        <w:rPr>
          <w:rFonts w:asciiTheme="minorHAnsi" w:hAnsiTheme="minorHAnsi" w:cstheme="minorHAnsi"/>
        </w:rPr>
      </w:pPr>
    </w:p>
    <w:p w:rsidR="002762B1" w:rsidRDefault="002762B1" w:rsidP="00C1541B">
      <w:pPr>
        <w:rPr>
          <w:rFonts w:asciiTheme="minorHAnsi" w:hAnsiTheme="minorHAnsi" w:cstheme="minorHAnsi"/>
        </w:rPr>
      </w:pPr>
    </w:p>
    <w:p w:rsidR="002762B1" w:rsidRDefault="002762B1" w:rsidP="00C1541B">
      <w:pPr>
        <w:rPr>
          <w:rFonts w:asciiTheme="minorHAnsi" w:hAnsiTheme="minorHAnsi" w:cstheme="minorHAnsi"/>
        </w:rPr>
      </w:pPr>
    </w:p>
    <w:p w:rsidR="002762B1" w:rsidRDefault="002762B1" w:rsidP="00C1541B">
      <w:pPr>
        <w:rPr>
          <w:rFonts w:asciiTheme="minorHAnsi" w:hAnsiTheme="minorHAnsi" w:cstheme="minorHAnsi"/>
        </w:rPr>
      </w:pPr>
    </w:p>
    <w:p w:rsidR="002762B1" w:rsidRDefault="002762B1" w:rsidP="00C1541B">
      <w:pPr>
        <w:rPr>
          <w:rFonts w:asciiTheme="minorHAnsi" w:hAnsiTheme="minorHAnsi" w:cstheme="minorHAnsi"/>
        </w:rPr>
      </w:pPr>
    </w:p>
    <w:p w:rsidR="002762B1" w:rsidRDefault="002762B1" w:rsidP="00C1541B">
      <w:pPr>
        <w:rPr>
          <w:rFonts w:asciiTheme="minorHAnsi" w:hAnsiTheme="minorHAnsi" w:cstheme="minorHAnsi"/>
        </w:rPr>
      </w:pPr>
    </w:p>
    <w:p w:rsidR="002762B1" w:rsidRDefault="002762B1" w:rsidP="00C1541B">
      <w:pPr>
        <w:rPr>
          <w:rFonts w:asciiTheme="minorHAnsi" w:hAnsiTheme="minorHAnsi" w:cstheme="minorHAnsi"/>
        </w:rPr>
      </w:pPr>
    </w:p>
    <w:p w:rsidR="002762B1" w:rsidRDefault="002762B1" w:rsidP="00C1541B">
      <w:pPr>
        <w:rPr>
          <w:rFonts w:asciiTheme="minorHAnsi" w:hAnsiTheme="minorHAnsi" w:cstheme="minorHAnsi"/>
        </w:rPr>
      </w:pPr>
    </w:p>
    <w:p w:rsidR="002762B1" w:rsidRDefault="002762B1" w:rsidP="00C1541B">
      <w:pPr>
        <w:rPr>
          <w:rFonts w:asciiTheme="minorHAnsi" w:hAnsiTheme="minorHAnsi" w:cstheme="minorHAnsi"/>
        </w:rPr>
      </w:pPr>
    </w:p>
    <w:p w:rsidR="002762B1" w:rsidRDefault="002762B1" w:rsidP="00C1541B">
      <w:pPr>
        <w:rPr>
          <w:rFonts w:asciiTheme="minorHAnsi" w:hAnsiTheme="minorHAnsi" w:cstheme="minorHAnsi"/>
        </w:rPr>
      </w:pPr>
    </w:p>
    <w:p w:rsidR="002762B1" w:rsidRDefault="002762B1" w:rsidP="00C1541B">
      <w:pPr>
        <w:rPr>
          <w:rFonts w:asciiTheme="minorHAnsi" w:hAnsiTheme="minorHAnsi" w:cstheme="minorHAnsi"/>
        </w:rPr>
      </w:pPr>
    </w:p>
    <w:p w:rsidR="002762B1" w:rsidRDefault="002762B1" w:rsidP="00C1541B">
      <w:pPr>
        <w:rPr>
          <w:rFonts w:asciiTheme="minorHAnsi" w:hAnsiTheme="minorHAnsi" w:cstheme="minorHAnsi"/>
        </w:rPr>
      </w:pPr>
    </w:p>
    <w:p w:rsidR="002762B1" w:rsidRDefault="002762B1" w:rsidP="00C1541B">
      <w:pPr>
        <w:rPr>
          <w:rFonts w:asciiTheme="minorHAnsi" w:hAnsiTheme="minorHAnsi" w:cstheme="minorHAnsi"/>
        </w:rPr>
      </w:pPr>
    </w:p>
    <w:p w:rsidR="002762B1" w:rsidRDefault="002762B1" w:rsidP="00C1541B">
      <w:pPr>
        <w:rPr>
          <w:rFonts w:asciiTheme="minorHAnsi" w:hAnsiTheme="minorHAnsi" w:cstheme="minorHAnsi"/>
        </w:rPr>
      </w:pPr>
    </w:p>
    <w:p w:rsidR="002762B1" w:rsidRDefault="002762B1" w:rsidP="00C1541B">
      <w:pPr>
        <w:rPr>
          <w:rFonts w:asciiTheme="minorHAnsi" w:hAnsiTheme="minorHAnsi" w:cstheme="minorHAnsi"/>
        </w:rPr>
      </w:pPr>
    </w:p>
    <w:p w:rsidR="00C1541B" w:rsidRPr="008674C7" w:rsidRDefault="00C1541B" w:rsidP="00C1541B">
      <w:pPr>
        <w:rPr>
          <w:rFonts w:asciiTheme="minorHAnsi" w:hAnsiTheme="minorHAnsi" w:cstheme="minorHAnsi"/>
          <w:b/>
        </w:rPr>
      </w:pPr>
      <w:r w:rsidRPr="008674C7">
        <w:rPr>
          <w:rFonts w:asciiTheme="minorHAnsi" w:hAnsiTheme="minorHAnsi" w:cstheme="minorHAnsi"/>
          <w:b/>
        </w:rPr>
        <w:lastRenderedPageBreak/>
        <w:t xml:space="preserve">References </w:t>
      </w:r>
    </w:p>
    <w:p w:rsidR="002762B1" w:rsidRDefault="002762B1" w:rsidP="001F55F3"/>
    <w:p w:rsidR="002762B1" w:rsidRPr="00BD4852" w:rsidRDefault="002762B1" w:rsidP="00BD4852">
      <w:pPr>
        <w:pStyle w:val="paragraph"/>
        <w:spacing w:before="0" w:beforeAutospacing="0" w:after="0" w:afterAutospacing="0"/>
        <w:textAlignment w:val="baseline"/>
        <w:rPr>
          <w:rFonts w:ascii="Calibri" w:hAnsi="Calibri" w:cs="Calibri"/>
        </w:rPr>
      </w:pPr>
      <w:r w:rsidRPr="00BD4852">
        <w:rPr>
          <w:rStyle w:val="normaltextrun"/>
          <w:rFonts w:ascii="Calibri" w:hAnsi="Calibri" w:cs="Calibri"/>
        </w:rPr>
        <w:t>Andrade, H. and</w:t>
      </w:r>
      <w:r w:rsidRPr="00BD4852">
        <w:rPr>
          <w:rStyle w:val="apple-converted-space"/>
          <w:rFonts w:ascii="Calibri" w:hAnsi="Calibri" w:cs="Calibri"/>
        </w:rPr>
        <w:t> </w:t>
      </w:r>
      <w:proofErr w:type="spellStart"/>
      <w:r w:rsidRPr="00BD4852">
        <w:rPr>
          <w:rStyle w:val="spellingerror"/>
          <w:rFonts w:ascii="Calibri" w:hAnsi="Calibri" w:cs="Calibri"/>
        </w:rPr>
        <w:t>Valtcheva</w:t>
      </w:r>
      <w:proofErr w:type="spellEnd"/>
      <w:r w:rsidRPr="00BD4852">
        <w:rPr>
          <w:rStyle w:val="normaltextrun"/>
          <w:rFonts w:ascii="Calibri" w:hAnsi="Calibri" w:cs="Calibri"/>
        </w:rPr>
        <w:t>, A. (2009). Promoting learning and achievement through self-assessment.</w:t>
      </w:r>
      <w:r w:rsidRPr="00BD4852">
        <w:rPr>
          <w:rStyle w:val="apple-converted-space"/>
          <w:rFonts w:ascii="Calibri" w:hAnsi="Calibri" w:cs="Calibri"/>
        </w:rPr>
        <w:t> </w:t>
      </w:r>
      <w:r w:rsidRPr="00BD4852">
        <w:rPr>
          <w:rStyle w:val="normaltextrun"/>
          <w:rFonts w:ascii="Calibri" w:hAnsi="Calibri" w:cs="Calibri"/>
          <w:i/>
          <w:iCs/>
        </w:rPr>
        <w:t>Theory into practice. Vol 48. Pp. 12-19. </w:t>
      </w:r>
      <w:r w:rsidRPr="00BD4852">
        <w:rPr>
          <w:rStyle w:val="eop"/>
          <w:rFonts w:ascii="Calibri" w:hAnsi="Calibri" w:cs="Calibri"/>
        </w:rPr>
        <w:t> </w:t>
      </w:r>
    </w:p>
    <w:p w:rsidR="002762B1" w:rsidRDefault="002762B1" w:rsidP="00E11AAA">
      <w:pPr>
        <w:rPr>
          <w:rFonts w:ascii="Calibri" w:hAnsi="Calibri" w:cs="Calibri"/>
        </w:rPr>
      </w:pPr>
    </w:p>
    <w:p w:rsidR="002762B1" w:rsidRPr="00BD4852" w:rsidRDefault="002762B1" w:rsidP="00E11AAA">
      <w:pPr>
        <w:rPr>
          <w:rFonts w:ascii="Calibri" w:hAnsi="Calibri" w:cs="Calibri"/>
          <w:color w:val="222222"/>
          <w:shd w:val="clear" w:color="auto" w:fill="FFFFFF"/>
        </w:rPr>
      </w:pPr>
      <w:r w:rsidRPr="00BD4852">
        <w:rPr>
          <w:rFonts w:ascii="Calibri" w:hAnsi="Calibri" w:cs="Calibri"/>
        </w:rPr>
        <w:t>Assessment Reform Group.</w:t>
      </w:r>
      <w:r w:rsidRPr="00BD4852">
        <w:rPr>
          <w:rFonts w:ascii="Calibri" w:hAnsi="Calibri" w:cs="Calibri"/>
          <w:color w:val="222222"/>
          <w:shd w:val="clear" w:color="auto" w:fill="FFFFFF"/>
        </w:rPr>
        <w:t xml:space="preserve"> (2002). Assessment for learning: 10 principles. Available at: </w:t>
      </w:r>
      <w:hyperlink r:id="rId5" w:history="1">
        <w:r w:rsidRPr="00BD4852">
          <w:rPr>
            <w:rStyle w:val="Hyperlink"/>
            <w:rFonts w:ascii="Calibri" w:hAnsi="Calibri" w:cs="Calibri"/>
            <w:shd w:val="clear" w:color="auto" w:fill="FFFFFF"/>
          </w:rPr>
          <w:t>http://www.hkeaa.edu.hk/DocLibrary/SBA/HKDSE/Eng_DVD/doc/Afl_principles.pdf</w:t>
        </w:r>
      </w:hyperlink>
      <w:r w:rsidRPr="00BD4852">
        <w:rPr>
          <w:rFonts w:ascii="Calibri" w:hAnsi="Calibri" w:cs="Calibri"/>
          <w:color w:val="222222"/>
          <w:shd w:val="clear" w:color="auto" w:fill="FFFFFF"/>
        </w:rPr>
        <w:t xml:space="preserve"> [Accessed 18/12/19]. </w:t>
      </w:r>
    </w:p>
    <w:p w:rsidR="002762B1" w:rsidRPr="00BD4852" w:rsidRDefault="002762B1" w:rsidP="00521150">
      <w:pPr>
        <w:pStyle w:val="NormalWeb"/>
        <w:rPr>
          <w:rFonts w:ascii="Calibri" w:hAnsi="Calibri" w:cs="Calibri"/>
        </w:rPr>
      </w:pPr>
      <w:r w:rsidRPr="00BD4852">
        <w:rPr>
          <w:rFonts w:ascii="Calibri" w:hAnsi="Calibri" w:cs="Calibri"/>
        </w:rPr>
        <w:t xml:space="preserve">Ausubel, D. </w:t>
      </w:r>
      <w:r>
        <w:rPr>
          <w:rFonts w:ascii="Calibri" w:hAnsi="Calibri" w:cs="Calibri"/>
        </w:rPr>
        <w:t>(</w:t>
      </w:r>
      <w:r w:rsidRPr="00BD4852">
        <w:rPr>
          <w:rFonts w:ascii="Calibri" w:hAnsi="Calibri" w:cs="Calibri"/>
        </w:rPr>
        <w:t>1968</w:t>
      </w:r>
      <w:r>
        <w:rPr>
          <w:rFonts w:ascii="Calibri" w:hAnsi="Calibri" w:cs="Calibri"/>
        </w:rPr>
        <w:t>)</w:t>
      </w:r>
      <w:r w:rsidRPr="00BD4852">
        <w:rPr>
          <w:rFonts w:ascii="Calibri" w:hAnsi="Calibri" w:cs="Calibri"/>
        </w:rPr>
        <w:t xml:space="preserve">. </w:t>
      </w:r>
      <w:r w:rsidRPr="00BD4852">
        <w:rPr>
          <w:rFonts w:ascii="Calibri" w:hAnsi="Calibri" w:cs="Calibri"/>
          <w:i/>
          <w:iCs/>
        </w:rPr>
        <w:t>Educational psychology: A cognitive view</w:t>
      </w:r>
      <w:r w:rsidRPr="00BD4852">
        <w:rPr>
          <w:rFonts w:ascii="Calibri" w:hAnsi="Calibri" w:cs="Calibri"/>
        </w:rPr>
        <w:t xml:space="preserve">. Toronto: Holt, Rinehart and Winston. </w:t>
      </w:r>
    </w:p>
    <w:p w:rsidR="002762B1" w:rsidRPr="00BD4852" w:rsidRDefault="002762B1" w:rsidP="00142EAA">
      <w:pPr>
        <w:rPr>
          <w:rFonts w:ascii="Calibri" w:hAnsi="Calibri" w:cs="Calibri"/>
          <w:color w:val="222222"/>
          <w:shd w:val="clear" w:color="auto" w:fill="FFFFFF"/>
        </w:rPr>
      </w:pPr>
      <w:r>
        <w:rPr>
          <w:rFonts w:ascii="Calibri" w:hAnsi="Calibri" w:cs="Calibri"/>
          <w:color w:val="222222"/>
          <w:shd w:val="clear" w:color="auto" w:fill="FFFFFF"/>
        </w:rPr>
        <w:t>Bennett, E. and Weidner, J. (</w:t>
      </w:r>
      <w:r w:rsidRPr="00BD4852">
        <w:rPr>
          <w:rFonts w:ascii="Calibri" w:hAnsi="Calibri" w:cs="Calibri"/>
          <w:color w:val="222222"/>
          <w:shd w:val="clear" w:color="auto" w:fill="FFFFFF"/>
        </w:rPr>
        <w:t>2012</w:t>
      </w:r>
      <w:r>
        <w:rPr>
          <w:rFonts w:ascii="Calibri" w:hAnsi="Calibri" w:cs="Calibri"/>
          <w:color w:val="222222"/>
          <w:shd w:val="clear" w:color="auto" w:fill="FFFFFF"/>
        </w:rPr>
        <w:t>)</w:t>
      </w:r>
      <w:r w:rsidRPr="00BD4852">
        <w:rPr>
          <w:rFonts w:ascii="Calibri" w:hAnsi="Calibri" w:cs="Calibri"/>
          <w:color w:val="222222"/>
          <w:shd w:val="clear" w:color="auto" w:fill="FFFFFF"/>
        </w:rPr>
        <w:t>. </w:t>
      </w:r>
      <w:r w:rsidRPr="00BD4852">
        <w:rPr>
          <w:rFonts w:ascii="Calibri" w:hAnsi="Calibri" w:cs="Calibri"/>
          <w:i/>
          <w:iCs/>
          <w:color w:val="222222"/>
        </w:rPr>
        <w:t>Everyday maths through everyday provision: developing opportunities for mathematics in the early years</w:t>
      </w:r>
      <w:r w:rsidRPr="00BD4852">
        <w:rPr>
          <w:rFonts w:ascii="Calibri" w:hAnsi="Calibri" w:cs="Calibri"/>
          <w:color w:val="222222"/>
          <w:shd w:val="clear" w:color="auto" w:fill="FFFFFF"/>
        </w:rPr>
        <w:t>. Routledge.</w:t>
      </w:r>
    </w:p>
    <w:p w:rsidR="002762B1" w:rsidRDefault="002762B1" w:rsidP="001F55F3">
      <w:pPr>
        <w:rPr>
          <w:rFonts w:ascii="Calibri" w:hAnsi="Calibri" w:cs="Calibri"/>
          <w:color w:val="222222"/>
          <w:shd w:val="clear" w:color="auto" w:fill="FFFFFF"/>
        </w:rPr>
      </w:pPr>
    </w:p>
    <w:p w:rsidR="002762B1" w:rsidRPr="00BD4852" w:rsidRDefault="002762B1" w:rsidP="001F55F3">
      <w:pPr>
        <w:rPr>
          <w:rFonts w:ascii="Calibri" w:hAnsi="Calibri" w:cs="Calibri"/>
          <w:color w:val="222222"/>
          <w:shd w:val="clear" w:color="auto" w:fill="FFFFFF"/>
        </w:rPr>
      </w:pPr>
      <w:r w:rsidRPr="00BD4852">
        <w:rPr>
          <w:rFonts w:ascii="Calibri" w:hAnsi="Calibri" w:cs="Calibri"/>
          <w:color w:val="222222"/>
          <w:shd w:val="clear" w:color="auto" w:fill="FFFFFF"/>
        </w:rPr>
        <w:t>Black, P., Harrison, C., Lee, C</w:t>
      </w:r>
      <w:r>
        <w:rPr>
          <w:rFonts w:ascii="Calibri" w:hAnsi="Calibri" w:cs="Calibri"/>
          <w:color w:val="222222"/>
          <w:shd w:val="clear" w:color="auto" w:fill="FFFFFF"/>
        </w:rPr>
        <w:t>., Marshall, B. and Wiliam, D. (</w:t>
      </w:r>
      <w:r w:rsidRPr="00BD4852">
        <w:rPr>
          <w:rFonts w:ascii="Calibri" w:hAnsi="Calibri" w:cs="Calibri"/>
          <w:color w:val="222222"/>
          <w:shd w:val="clear" w:color="auto" w:fill="FFFFFF"/>
        </w:rPr>
        <w:t>2004</w:t>
      </w:r>
      <w:r>
        <w:rPr>
          <w:rFonts w:ascii="Calibri" w:hAnsi="Calibri" w:cs="Calibri"/>
          <w:color w:val="222222"/>
          <w:shd w:val="clear" w:color="auto" w:fill="FFFFFF"/>
        </w:rPr>
        <w:t>)</w:t>
      </w:r>
      <w:r w:rsidRPr="00BD4852">
        <w:rPr>
          <w:rFonts w:ascii="Calibri" w:hAnsi="Calibri" w:cs="Calibri"/>
          <w:color w:val="222222"/>
          <w:shd w:val="clear" w:color="auto" w:fill="FFFFFF"/>
        </w:rPr>
        <w:t>. Working inside the black box: Assessment for learning in the classroom. </w:t>
      </w:r>
      <w:r w:rsidRPr="00BD4852">
        <w:rPr>
          <w:rFonts w:ascii="Calibri" w:hAnsi="Calibri" w:cs="Calibri"/>
          <w:i/>
          <w:iCs/>
          <w:color w:val="222222"/>
        </w:rPr>
        <w:t>Phi delta kappan</w:t>
      </w:r>
      <w:r w:rsidRPr="00BD4852">
        <w:rPr>
          <w:rFonts w:ascii="Calibri" w:hAnsi="Calibri" w:cs="Calibri"/>
          <w:color w:val="222222"/>
          <w:shd w:val="clear" w:color="auto" w:fill="FFFFFF"/>
        </w:rPr>
        <w:t>, </w:t>
      </w:r>
      <w:r w:rsidRPr="00BD4852">
        <w:rPr>
          <w:rFonts w:ascii="Calibri" w:hAnsi="Calibri" w:cs="Calibri"/>
          <w:i/>
          <w:iCs/>
          <w:color w:val="222222"/>
        </w:rPr>
        <w:t>86</w:t>
      </w:r>
      <w:r>
        <w:rPr>
          <w:rFonts w:ascii="Calibri" w:hAnsi="Calibri" w:cs="Calibri"/>
          <w:color w:val="222222"/>
          <w:shd w:val="clear" w:color="auto" w:fill="FFFFFF"/>
        </w:rPr>
        <w:t>(1). P</w:t>
      </w:r>
      <w:r w:rsidRPr="00BD4852">
        <w:rPr>
          <w:rFonts w:ascii="Calibri" w:hAnsi="Calibri" w:cs="Calibri"/>
          <w:color w:val="222222"/>
          <w:shd w:val="clear" w:color="auto" w:fill="FFFFFF"/>
        </w:rPr>
        <w:t>p.8-21.</w:t>
      </w:r>
    </w:p>
    <w:p w:rsidR="002762B1" w:rsidRDefault="002762B1" w:rsidP="00BF6CE7">
      <w:pPr>
        <w:rPr>
          <w:rFonts w:ascii="Calibri" w:hAnsi="Calibri" w:cs="Calibri"/>
          <w:color w:val="262626"/>
          <w:lang w:bidi="en-US"/>
        </w:rPr>
      </w:pPr>
    </w:p>
    <w:p w:rsidR="002762B1" w:rsidRPr="00BD4852" w:rsidRDefault="002762B1" w:rsidP="00BF6CE7">
      <w:pPr>
        <w:rPr>
          <w:rFonts w:ascii="Calibri" w:hAnsi="Calibri" w:cs="Calibri"/>
          <w:color w:val="262626"/>
          <w:lang w:bidi="en-US"/>
        </w:rPr>
      </w:pPr>
      <w:r w:rsidRPr="00BD4852">
        <w:rPr>
          <w:rFonts w:ascii="Calibri" w:hAnsi="Calibri" w:cs="Calibri"/>
          <w:color w:val="262626"/>
          <w:lang w:bidi="en-US"/>
        </w:rPr>
        <w:t xml:space="preserve">Bloom, B. S. </w:t>
      </w:r>
      <w:r>
        <w:rPr>
          <w:rFonts w:ascii="Calibri" w:hAnsi="Calibri" w:cs="Calibri"/>
          <w:color w:val="262626"/>
          <w:lang w:bidi="en-US"/>
        </w:rPr>
        <w:t>(</w:t>
      </w:r>
      <w:r w:rsidRPr="00BD4852">
        <w:rPr>
          <w:rFonts w:ascii="Calibri" w:hAnsi="Calibri" w:cs="Calibri"/>
          <w:color w:val="262626"/>
          <w:lang w:bidi="en-US"/>
        </w:rPr>
        <w:t>1956</w:t>
      </w:r>
      <w:r>
        <w:rPr>
          <w:rFonts w:ascii="Calibri" w:hAnsi="Calibri" w:cs="Calibri"/>
          <w:color w:val="262626"/>
          <w:lang w:bidi="en-US"/>
        </w:rPr>
        <w:t>)</w:t>
      </w:r>
      <w:r w:rsidRPr="00BD4852">
        <w:rPr>
          <w:rFonts w:ascii="Calibri" w:hAnsi="Calibri" w:cs="Calibri"/>
          <w:color w:val="262626"/>
          <w:lang w:bidi="en-US"/>
        </w:rPr>
        <w:t xml:space="preserve">. </w:t>
      </w:r>
      <w:r w:rsidRPr="00BD4852">
        <w:rPr>
          <w:rFonts w:ascii="Calibri" w:hAnsi="Calibri" w:cs="Calibri"/>
          <w:i/>
          <w:iCs/>
          <w:color w:val="262626"/>
          <w:lang w:bidi="en-US"/>
        </w:rPr>
        <w:t>Taxonomy of Educational Objectives. Vol. 1: Cognitive Domain.</w:t>
      </w:r>
      <w:r>
        <w:rPr>
          <w:rFonts w:ascii="Calibri" w:hAnsi="Calibri" w:cs="Calibri"/>
          <w:color w:val="262626"/>
          <w:lang w:bidi="en-US"/>
        </w:rPr>
        <w:t xml:space="preserve"> New York: McKay</w:t>
      </w:r>
      <w:r w:rsidRPr="00BD4852">
        <w:rPr>
          <w:rFonts w:ascii="Calibri" w:hAnsi="Calibri" w:cs="Calibri"/>
          <w:color w:val="262626"/>
          <w:lang w:bidi="en-US"/>
        </w:rPr>
        <w:t>.</w:t>
      </w:r>
    </w:p>
    <w:p w:rsidR="002762B1" w:rsidRPr="00BD4852" w:rsidRDefault="002762B1" w:rsidP="00CC44AB">
      <w:pPr>
        <w:spacing w:before="100" w:beforeAutospacing="1" w:after="100" w:afterAutospacing="1"/>
        <w:rPr>
          <w:rFonts w:ascii="Calibri" w:hAnsi="Calibri" w:cs="Calibri"/>
        </w:rPr>
      </w:pPr>
      <w:r w:rsidRPr="00BD4852">
        <w:rPr>
          <w:rFonts w:ascii="Calibri" w:hAnsi="Calibri" w:cs="Calibri"/>
        </w:rPr>
        <w:t xml:space="preserve">Bloom, B., Engelhart, M., Furst, E., </w:t>
      </w:r>
      <w:r>
        <w:rPr>
          <w:rFonts w:ascii="Calibri" w:hAnsi="Calibri" w:cs="Calibri"/>
        </w:rPr>
        <w:t>Hill, W., &amp; Krathwohl, D.</w:t>
      </w:r>
      <w:r w:rsidRPr="00BD4852">
        <w:rPr>
          <w:rFonts w:ascii="Calibri" w:hAnsi="Calibri" w:cs="Calibri"/>
        </w:rPr>
        <w:t xml:space="preserve"> (1956). Taxonomy of Educational Objectives: The Classification of Educational Goals, Handbook I: Cognitive Domain. New York: David McKay. </w:t>
      </w:r>
    </w:p>
    <w:p w:rsidR="002762B1" w:rsidRPr="00BD4852" w:rsidRDefault="002762B1" w:rsidP="00E11AAA">
      <w:pPr>
        <w:rPr>
          <w:rFonts w:ascii="Calibri" w:hAnsi="Calibri" w:cs="Calibri"/>
          <w:color w:val="222222"/>
          <w:shd w:val="clear" w:color="auto" w:fill="FFFFFF"/>
        </w:rPr>
      </w:pPr>
      <w:r w:rsidRPr="00BD4852">
        <w:rPr>
          <w:rFonts w:ascii="Calibri" w:hAnsi="Calibri" w:cs="Calibri"/>
        </w:rPr>
        <w:t xml:space="preserve">Bottrill, G. (2018) . Can I go &amp; play now? : rethinking the early years. </w:t>
      </w:r>
      <w:r w:rsidRPr="00BD4852">
        <w:rPr>
          <w:rFonts w:ascii="Calibri" w:hAnsi="Calibri" w:cs="Calibri"/>
          <w:color w:val="222222"/>
          <w:shd w:val="clear" w:color="auto" w:fill="FFFFFF"/>
        </w:rPr>
        <w:t xml:space="preserve">SAGE. Part two: getting continuous provision right. </w:t>
      </w:r>
    </w:p>
    <w:p w:rsidR="002762B1" w:rsidRDefault="002762B1" w:rsidP="00BF6CE7">
      <w:pPr>
        <w:rPr>
          <w:rFonts w:ascii="Calibri" w:hAnsi="Calibri" w:cs="Calibri"/>
          <w:color w:val="000000"/>
          <w:shd w:val="clear" w:color="auto" w:fill="FFFFFF"/>
        </w:rPr>
      </w:pPr>
    </w:p>
    <w:p w:rsidR="002762B1" w:rsidRDefault="002762B1" w:rsidP="00BF6CE7">
      <w:pPr>
        <w:rPr>
          <w:rFonts w:ascii="Calibri" w:hAnsi="Calibri" w:cs="Calibri"/>
          <w:color w:val="000000"/>
          <w:shd w:val="clear" w:color="auto" w:fill="FFFFFF"/>
        </w:rPr>
      </w:pPr>
      <w:r w:rsidRPr="00BD4852">
        <w:rPr>
          <w:rFonts w:ascii="Calibri" w:hAnsi="Calibri" w:cs="Calibri"/>
          <w:color w:val="000000"/>
          <w:shd w:val="clear" w:color="auto" w:fill="FFFFFF"/>
        </w:rPr>
        <w:t xml:space="preserve">Bryce-Clegg, A. (2013). Continuous provision in the early years. London: Featherstone Education. </w:t>
      </w:r>
    </w:p>
    <w:p w:rsidR="002762B1" w:rsidRPr="00BD4852" w:rsidRDefault="002762B1" w:rsidP="00BF6CE7">
      <w:pPr>
        <w:rPr>
          <w:rFonts w:ascii="Calibri" w:hAnsi="Calibri" w:cs="Calibri"/>
          <w:color w:val="000000"/>
          <w:shd w:val="clear" w:color="auto" w:fill="FFFFFF"/>
        </w:rPr>
      </w:pPr>
    </w:p>
    <w:p w:rsidR="002762B1" w:rsidRPr="00BD4852" w:rsidRDefault="002762B1" w:rsidP="00C1541B">
      <w:pPr>
        <w:rPr>
          <w:rFonts w:ascii="Calibri" w:hAnsi="Calibri" w:cs="Calibri"/>
        </w:rPr>
      </w:pPr>
      <w:r w:rsidRPr="00BD4852">
        <w:rPr>
          <w:rFonts w:ascii="Calibri" w:hAnsi="Calibri" w:cs="Calibri"/>
        </w:rPr>
        <w:t xml:space="preserve">Davies, D., D Jindal-Snape, C. Collier, R. Digby, P. Hay, and A. Howe. (2013). Creative learning environments in education- A systemic literature review. </w:t>
      </w:r>
      <w:r w:rsidRPr="00BD4852">
        <w:rPr>
          <w:rFonts w:ascii="Calibri" w:hAnsi="Calibri" w:cs="Calibri"/>
          <w:i/>
        </w:rPr>
        <w:t xml:space="preserve">Thinking Skills and Creativity. </w:t>
      </w:r>
      <w:r w:rsidRPr="00BD4852">
        <w:rPr>
          <w:rFonts w:ascii="Calibri" w:hAnsi="Calibri" w:cs="Calibri"/>
        </w:rPr>
        <w:t xml:space="preserve">Vol. 8, pp. 80-91. </w:t>
      </w:r>
    </w:p>
    <w:p w:rsidR="002762B1" w:rsidRDefault="002762B1" w:rsidP="00BD4852">
      <w:pPr>
        <w:pStyle w:val="paragraph"/>
        <w:spacing w:before="0" w:beforeAutospacing="0" w:after="0" w:afterAutospacing="0"/>
        <w:textAlignment w:val="baseline"/>
        <w:rPr>
          <w:rStyle w:val="normaltextrun"/>
          <w:rFonts w:ascii="Calibri" w:hAnsi="Calibri" w:cs="Calibri"/>
          <w:lang w:val="en-US"/>
        </w:rPr>
      </w:pPr>
    </w:p>
    <w:p w:rsidR="002762B1" w:rsidRPr="00BD4852" w:rsidRDefault="002762B1" w:rsidP="00BD4852">
      <w:pPr>
        <w:pStyle w:val="paragraph"/>
        <w:spacing w:before="0" w:beforeAutospacing="0" w:after="0" w:afterAutospacing="0"/>
        <w:textAlignment w:val="baseline"/>
        <w:rPr>
          <w:rFonts w:ascii="Calibri" w:hAnsi="Calibri" w:cs="Calibri"/>
        </w:rPr>
      </w:pPr>
      <w:r w:rsidRPr="00BD4852">
        <w:rPr>
          <w:rStyle w:val="normaltextrun"/>
          <w:rFonts w:ascii="Calibri" w:hAnsi="Calibri" w:cs="Calibri"/>
          <w:lang w:val="en-US"/>
        </w:rPr>
        <w:t>Donaldson, G. (2015). Successful futures: An independent review of curriculum and assessment arrangements in Wales. </w:t>
      </w:r>
      <w:r w:rsidRPr="00BD4852">
        <w:rPr>
          <w:rStyle w:val="eop"/>
          <w:rFonts w:ascii="Calibri" w:hAnsi="Calibri" w:cs="Calibri"/>
        </w:rPr>
        <w:t> </w:t>
      </w:r>
    </w:p>
    <w:p w:rsidR="002762B1" w:rsidRDefault="002762B1" w:rsidP="00263455">
      <w:pPr>
        <w:rPr>
          <w:rFonts w:ascii="Calibri" w:hAnsi="Calibri" w:cs="Calibri"/>
          <w:color w:val="222222"/>
          <w:shd w:val="clear" w:color="auto" w:fill="FFFFFF"/>
        </w:rPr>
      </w:pPr>
    </w:p>
    <w:p w:rsidR="002762B1" w:rsidRPr="00BD4852" w:rsidRDefault="002762B1" w:rsidP="00263455">
      <w:pPr>
        <w:rPr>
          <w:rFonts w:ascii="Calibri" w:hAnsi="Calibri" w:cs="Calibri"/>
        </w:rPr>
      </w:pPr>
      <w:r>
        <w:rPr>
          <w:rFonts w:ascii="Calibri" w:hAnsi="Calibri" w:cs="Calibri"/>
          <w:color w:val="222222"/>
          <w:shd w:val="clear" w:color="auto" w:fill="FFFFFF"/>
        </w:rPr>
        <w:t>Eber, P.A. and Parker, T.S. (</w:t>
      </w:r>
      <w:r w:rsidRPr="00BD4852">
        <w:rPr>
          <w:rFonts w:ascii="Calibri" w:hAnsi="Calibri" w:cs="Calibri"/>
          <w:color w:val="222222"/>
          <w:shd w:val="clear" w:color="auto" w:fill="FFFFFF"/>
        </w:rPr>
        <w:t>2007</w:t>
      </w:r>
      <w:r>
        <w:rPr>
          <w:rFonts w:ascii="Calibri" w:hAnsi="Calibri" w:cs="Calibri"/>
          <w:color w:val="222222"/>
          <w:shd w:val="clear" w:color="auto" w:fill="FFFFFF"/>
        </w:rPr>
        <w:t>)</w:t>
      </w:r>
      <w:r w:rsidRPr="00BD4852">
        <w:rPr>
          <w:rFonts w:ascii="Calibri" w:hAnsi="Calibri" w:cs="Calibri"/>
          <w:color w:val="222222"/>
          <w:shd w:val="clear" w:color="auto" w:fill="FFFFFF"/>
        </w:rPr>
        <w:t>. Assessing Student Learning: Applying Bloom's Taxonomy. </w:t>
      </w:r>
      <w:r w:rsidRPr="00BD4852">
        <w:rPr>
          <w:rFonts w:ascii="Calibri" w:hAnsi="Calibri" w:cs="Calibri"/>
          <w:i/>
          <w:iCs/>
          <w:color w:val="222222"/>
        </w:rPr>
        <w:t>Human Service Education</w:t>
      </w:r>
      <w:r w:rsidRPr="00BD4852">
        <w:rPr>
          <w:rFonts w:ascii="Calibri" w:hAnsi="Calibri" w:cs="Calibri"/>
          <w:color w:val="222222"/>
          <w:shd w:val="clear" w:color="auto" w:fill="FFFFFF"/>
        </w:rPr>
        <w:t>, </w:t>
      </w:r>
      <w:r w:rsidRPr="00BD4852">
        <w:rPr>
          <w:rFonts w:ascii="Calibri" w:hAnsi="Calibri" w:cs="Calibri"/>
          <w:i/>
          <w:iCs/>
          <w:color w:val="222222"/>
        </w:rPr>
        <w:t>27</w:t>
      </w:r>
      <w:r w:rsidRPr="00BD4852">
        <w:rPr>
          <w:rFonts w:ascii="Calibri" w:hAnsi="Calibri" w:cs="Calibri"/>
          <w:color w:val="222222"/>
          <w:shd w:val="clear" w:color="auto" w:fill="FFFFFF"/>
        </w:rPr>
        <w:t>(1).</w:t>
      </w:r>
    </w:p>
    <w:p w:rsidR="002762B1" w:rsidRDefault="002762B1" w:rsidP="00142EAA">
      <w:pPr>
        <w:rPr>
          <w:rFonts w:ascii="Calibri" w:hAnsi="Calibri" w:cs="Calibri"/>
        </w:rPr>
      </w:pPr>
    </w:p>
    <w:p w:rsidR="002762B1" w:rsidRPr="00BD4852" w:rsidRDefault="002762B1" w:rsidP="00142EAA">
      <w:pPr>
        <w:rPr>
          <w:rFonts w:ascii="Calibri" w:hAnsi="Calibri" w:cs="Calibri"/>
        </w:rPr>
      </w:pPr>
      <w:r w:rsidRPr="00BD4852">
        <w:rPr>
          <w:rFonts w:ascii="Calibri" w:hAnsi="Calibri" w:cs="Calibri"/>
        </w:rPr>
        <w:t xml:space="preserve">Estyn. (2011). Literacy and the foundation phase: an evaluation of the implementation of the foundation phase for five to six-year-olds in primary schools, with special reference to literacy. Available at: </w:t>
      </w:r>
      <w:hyperlink r:id="rId6" w:history="1">
        <w:r w:rsidRPr="00BD4852">
          <w:rPr>
            <w:rStyle w:val="Hyperlink"/>
            <w:rFonts w:ascii="Calibri" w:hAnsi="Calibri" w:cs="Calibri"/>
          </w:rPr>
          <w:t>https://www.estyn.gov.wales/sites/www.estyn.gov.wales/files/documents/Literacy%20and%20the%20Foundation%20Phase%20%20-%20September%202011.pdf</w:t>
        </w:r>
      </w:hyperlink>
      <w:r w:rsidRPr="00BD4852">
        <w:rPr>
          <w:rFonts w:ascii="Calibri" w:hAnsi="Calibri" w:cs="Calibri"/>
        </w:rPr>
        <w:t xml:space="preserve"> [Accessed: 18/12/19].</w:t>
      </w:r>
    </w:p>
    <w:p w:rsidR="002762B1" w:rsidRDefault="002762B1" w:rsidP="00C1541B">
      <w:pPr>
        <w:rPr>
          <w:rFonts w:ascii="Calibri" w:hAnsi="Calibri" w:cs="Calibri"/>
        </w:rPr>
      </w:pPr>
    </w:p>
    <w:p w:rsidR="002762B1" w:rsidRPr="00BD4852" w:rsidRDefault="002762B1" w:rsidP="00C1541B">
      <w:pPr>
        <w:rPr>
          <w:rFonts w:ascii="Calibri" w:hAnsi="Calibri" w:cs="Calibri"/>
        </w:rPr>
      </w:pPr>
      <w:r w:rsidRPr="00BD4852">
        <w:rPr>
          <w:rFonts w:ascii="Calibri" w:hAnsi="Calibri" w:cs="Calibri"/>
        </w:rPr>
        <w:t xml:space="preserve">Flanders, N. A. (1970). In: Perrott, E. (2014). Effective teaching: a practical guide to improving your teaching. Oxton: Routledge. Pp. 11. </w:t>
      </w:r>
    </w:p>
    <w:p w:rsidR="002762B1" w:rsidRDefault="002762B1" w:rsidP="00994250">
      <w:pPr>
        <w:rPr>
          <w:rFonts w:ascii="Calibri" w:hAnsi="Calibri" w:cs="Calibri"/>
          <w:color w:val="222222"/>
          <w:shd w:val="clear" w:color="auto" w:fill="FFFFFF"/>
        </w:rPr>
      </w:pPr>
    </w:p>
    <w:p w:rsidR="002762B1" w:rsidRPr="00BD4852" w:rsidRDefault="002762B1" w:rsidP="00994250">
      <w:pPr>
        <w:rPr>
          <w:rFonts w:ascii="Calibri" w:hAnsi="Calibri" w:cs="Calibri"/>
        </w:rPr>
      </w:pPr>
      <w:r w:rsidRPr="00BD4852">
        <w:rPr>
          <w:rFonts w:ascii="Calibri" w:hAnsi="Calibri" w:cs="Calibri"/>
          <w:color w:val="222222"/>
          <w:shd w:val="clear" w:color="auto" w:fill="FFFFFF"/>
        </w:rPr>
        <w:t>Gardner, J. (2012). </w:t>
      </w:r>
      <w:r w:rsidRPr="00BD4852">
        <w:rPr>
          <w:rFonts w:ascii="Calibri" w:hAnsi="Calibri" w:cs="Calibri"/>
          <w:i/>
          <w:iCs/>
          <w:color w:val="222222"/>
        </w:rPr>
        <w:t>Assessment and learning</w:t>
      </w:r>
      <w:r w:rsidRPr="00BD4852">
        <w:rPr>
          <w:rFonts w:ascii="Calibri" w:hAnsi="Calibri" w:cs="Calibri"/>
          <w:color w:val="222222"/>
          <w:shd w:val="clear" w:color="auto" w:fill="FFFFFF"/>
        </w:rPr>
        <w:t xml:space="preserve">. Sage. Chapter 14: Validity in Formative Assessment. </w:t>
      </w:r>
    </w:p>
    <w:p w:rsidR="002762B1" w:rsidRDefault="002762B1" w:rsidP="00E11AAA">
      <w:pPr>
        <w:rPr>
          <w:rFonts w:ascii="Calibri" w:hAnsi="Calibri" w:cs="Calibri"/>
        </w:rPr>
      </w:pPr>
    </w:p>
    <w:p w:rsidR="002762B1" w:rsidRPr="00BD4852" w:rsidRDefault="002762B1" w:rsidP="00E11AAA">
      <w:pPr>
        <w:rPr>
          <w:rFonts w:ascii="Calibri" w:hAnsi="Calibri" w:cs="Calibri"/>
        </w:rPr>
      </w:pPr>
      <w:r w:rsidRPr="00BD4852">
        <w:rPr>
          <w:rFonts w:ascii="Calibri" w:hAnsi="Calibri" w:cs="Calibri"/>
        </w:rPr>
        <w:t xml:space="preserve">Gielen, S. Peeters, E., Dochy, F., Onghena, P. and Struyven, K. (2010). Improving the effectiveness of peer feedback for learning. </w:t>
      </w:r>
      <w:r w:rsidRPr="00BD4852">
        <w:rPr>
          <w:rFonts w:ascii="Calibri" w:hAnsi="Calibri" w:cs="Calibri"/>
          <w:i/>
        </w:rPr>
        <w:t xml:space="preserve">Learning and Instruction. </w:t>
      </w:r>
      <w:r w:rsidRPr="00BD4852">
        <w:rPr>
          <w:rFonts w:ascii="Calibri" w:hAnsi="Calibri" w:cs="Calibri"/>
        </w:rPr>
        <w:t xml:space="preserve">Vol 20. Pp. 304. </w:t>
      </w:r>
    </w:p>
    <w:p w:rsidR="002762B1" w:rsidRDefault="002762B1" w:rsidP="00867F0B">
      <w:pPr>
        <w:rPr>
          <w:rFonts w:ascii="Calibri" w:hAnsi="Calibri" w:cs="Calibri"/>
          <w:color w:val="222222"/>
          <w:shd w:val="clear" w:color="auto" w:fill="FFFFFF"/>
        </w:rPr>
      </w:pPr>
    </w:p>
    <w:p w:rsidR="002762B1" w:rsidRPr="00BD4852" w:rsidRDefault="002762B1" w:rsidP="00867F0B">
      <w:pPr>
        <w:rPr>
          <w:rFonts w:ascii="Calibri" w:hAnsi="Calibri" w:cs="Calibri"/>
        </w:rPr>
      </w:pPr>
      <w:r>
        <w:rPr>
          <w:rFonts w:ascii="Calibri" w:hAnsi="Calibri" w:cs="Calibri"/>
          <w:color w:val="222222"/>
          <w:shd w:val="clear" w:color="auto" w:fill="FFFFFF"/>
        </w:rPr>
        <w:t>Harris, V. and Grenfell, M. (2</w:t>
      </w:r>
      <w:r w:rsidRPr="00BD4852">
        <w:rPr>
          <w:rFonts w:ascii="Calibri" w:hAnsi="Calibri" w:cs="Calibri"/>
          <w:color w:val="222222"/>
          <w:shd w:val="clear" w:color="auto" w:fill="FFFFFF"/>
        </w:rPr>
        <w:t>004</w:t>
      </w:r>
      <w:r>
        <w:rPr>
          <w:rFonts w:ascii="Calibri" w:hAnsi="Calibri" w:cs="Calibri"/>
          <w:color w:val="222222"/>
          <w:shd w:val="clear" w:color="auto" w:fill="FFFFFF"/>
        </w:rPr>
        <w:t>)</w:t>
      </w:r>
      <w:r w:rsidRPr="00BD4852">
        <w:rPr>
          <w:rFonts w:ascii="Calibri" w:hAnsi="Calibri" w:cs="Calibri"/>
          <w:color w:val="222222"/>
          <w:shd w:val="clear" w:color="auto" w:fill="FFFFFF"/>
        </w:rPr>
        <w:t>. Language-learning strategies: A case for cross-curricular collaboration. </w:t>
      </w:r>
      <w:r w:rsidRPr="00BD4852">
        <w:rPr>
          <w:rFonts w:ascii="Calibri" w:hAnsi="Calibri" w:cs="Calibri"/>
          <w:i/>
          <w:iCs/>
          <w:color w:val="222222"/>
        </w:rPr>
        <w:t>Language Awareness</w:t>
      </w:r>
      <w:r w:rsidRPr="00BD4852">
        <w:rPr>
          <w:rFonts w:ascii="Calibri" w:hAnsi="Calibri" w:cs="Calibri"/>
          <w:color w:val="222222"/>
          <w:shd w:val="clear" w:color="auto" w:fill="FFFFFF"/>
        </w:rPr>
        <w:t>, </w:t>
      </w:r>
      <w:r w:rsidRPr="00BD4852">
        <w:rPr>
          <w:rFonts w:ascii="Calibri" w:hAnsi="Calibri" w:cs="Calibri"/>
          <w:i/>
          <w:iCs/>
          <w:color w:val="222222"/>
        </w:rPr>
        <w:t>13</w:t>
      </w:r>
      <w:r>
        <w:rPr>
          <w:rFonts w:ascii="Calibri" w:hAnsi="Calibri" w:cs="Calibri"/>
          <w:color w:val="222222"/>
          <w:shd w:val="clear" w:color="auto" w:fill="FFFFFF"/>
        </w:rPr>
        <w:t>(2). P</w:t>
      </w:r>
      <w:r w:rsidRPr="00BD4852">
        <w:rPr>
          <w:rFonts w:ascii="Calibri" w:hAnsi="Calibri" w:cs="Calibri"/>
          <w:color w:val="222222"/>
          <w:shd w:val="clear" w:color="auto" w:fill="FFFFFF"/>
        </w:rPr>
        <w:t>p.116-130.</w:t>
      </w:r>
    </w:p>
    <w:p w:rsidR="002762B1" w:rsidRDefault="002762B1" w:rsidP="00BD4852">
      <w:pPr>
        <w:pStyle w:val="paragraph"/>
        <w:spacing w:before="0" w:beforeAutospacing="0" w:after="0" w:afterAutospacing="0"/>
        <w:textAlignment w:val="baseline"/>
        <w:rPr>
          <w:rStyle w:val="normaltextrun"/>
          <w:rFonts w:ascii="Calibri" w:hAnsi="Calibri" w:cs="Calibri"/>
          <w:lang w:val="en-US"/>
        </w:rPr>
      </w:pPr>
    </w:p>
    <w:p w:rsidR="002762B1" w:rsidRPr="00BD4852" w:rsidRDefault="002762B1" w:rsidP="00BD4852">
      <w:pPr>
        <w:pStyle w:val="paragraph"/>
        <w:spacing w:before="0" w:beforeAutospacing="0" w:after="0" w:afterAutospacing="0"/>
        <w:textAlignment w:val="baseline"/>
        <w:rPr>
          <w:rFonts w:ascii="Calibri" w:hAnsi="Calibri" w:cs="Calibri"/>
        </w:rPr>
      </w:pPr>
      <w:r w:rsidRPr="00BD4852">
        <w:rPr>
          <w:rStyle w:val="normaltextrun"/>
          <w:rFonts w:ascii="Calibri" w:hAnsi="Calibri" w:cs="Calibri"/>
          <w:lang w:val="en-US"/>
        </w:rPr>
        <w:t>Hattie, J. (2009). Visible learning: a synthesis of over 800 meta-analyses relating to achievement. Park Square, OX: Rutledge. </w:t>
      </w:r>
      <w:r w:rsidRPr="00BD4852">
        <w:rPr>
          <w:rStyle w:val="eop"/>
          <w:rFonts w:ascii="Calibri" w:hAnsi="Calibri" w:cs="Calibri"/>
        </w:rPr>
        <w:t> </w:t>
      </w:r>
    </w:p>
    <w:p w:rsidR="002762B1" w:rsidRDefault="002762B1" w:rsidP="00867F0B">
      <w:pPr>
        <w:rPr>
          <w:rFonts w:ascii="Calibri" w:hAnsi="Calibri" w:cs="Calibri"/>
          <w:color w:val="222222"/>
          <w:shd w:val="clear" w:color="auto" w:fill="FFFFFF"/>
        </w:rPr>
      </w:pPr>
    </w:p>
    <w:p w:rsidR="002762B1" w:rsidRPr="00BD4852" w:rsidRDefault="002762B1" w:rsidP="00867F0B">
      <w:pPr>
        <w:rPr>
          <w:rFonts w:ascii="Calibri" w:hAnsi="Calibri" w:cs="Calibri"/>
          <w:color w:val="222222"/>
          <w:shd w:val="clear" w:color="auto" w:fill="FFFFFF"/>
        </w:rPr>
      </w:pPr>
      <w:r>
        <w:rPr>
          <w:rFonts w:ascii="Calibri" w:hAnsi="Calibri" w:cs="Calibri"/>
          <w:color w:val="222222"/>
          <w:shd w:val="clear" w:color="auto" w:fill="FFFFFF"/>
        </w:rPr>
        <w:t>Hattie, J. (</w:t>
      </w:r>
      <w:r w:rsidRPr="00BD4852">
        <w:rPr>
          <w:rFonts w:ascii="Calibri" w:hAnsi="Calibri" w:cs="Calibri"/>
          <w:color w:val="222222"/>
          <w:shd w:val="clear" w:color="auto" w:fill="FFFFFF"/>
        </w:rPr>
        <w:t>2012</w:t>
      </w:r>
      <w:r>
        <w:rPr>
          <w:rFonts w:ascii="Calibri" w:hAnsi="Calibri" w:cs="Calibri"/>
          <w:color w:val="222222"/>
          <w:shd w:val="clear" w:color="auto" w:fill="FFFFFF"/>
        </w:rPr>
        <w:t>)</w:t>
      </w:r>
      <w:r w:rsidRPr="00BD4852">
        <w:rPr>
          <w:rFonts w:ascii="Calibri" w:hAnsi="Calibri" w:cs="Calibri"/>
          <w:color w:val="222222"/>
          <w:shd w:val="clear" w:color="auto" w:fill="FFFFFF"/>
        </w:rPr>
        <w:t>. </w:t>
      </w:r>
      <w:r w:rsidRPr="00BD4852">
        <w:rPr>
          <w:rFonts w:ascii="Calibri" w:hAnsi="Calibri" w:cs="Calibri"/>
          <w:i/>
          <w:iCs/>
          <w:color w:val="222222"/>
        </w:rPr>
        <w:t>Visible learning for teachers: Maximizing impact on learning</w:t>
      </w:r>
      <w:r w:rsidRPr="00BD4852">
        <w:rPr>
          <w:rFonts w:ascii="Calibri" w:hAnsi="Calibri" w:cs="Calibri"/>
          <w:color w:val="222222"/>
          <w:shd w:val="clear" w:color="auto" w:fill="FFFFFF"/>
        </w:rPr>
        <w:t>. Routledge.</w:t>
      </w:r>
    </w:p>
    <w:p w:rsidR="002762B1" w:rsidRDefault="002762B1" w:rsidP="00521150">
      <w:pPr>
        <w:rPr>
          <w:rFonts w:ascii="Calibri" w:hAnsi="Calibri" w:cs="Calibri"/>
          <w:color w:val="222222"/>
          <w:shd w:val="clear" w:color="auto" w:fill="FFFFFF"/>
        </w:rPr>
      </w:pPr>
    </w:p>
    <w:p w:rsidR="002762B1" w:rsidRPr="00BD4852" w:rsidRDefault="002762B1" w:rsidP="00521150">
      <w:pPr>
        <w:rPr>
          <w:rFonts w:ascii="Calibri" w:hAnsi="Calibri" w:cs="Calibri"/>
        </w:rPr>
      </w:pPr>
      <w:r>
        <w:rPr>
          <w:rFonts w:ascii="Calibri" w:hAnsi="Calibri" w:cs="Calibri"/>
          <w:color w:val="222222"/>
          <w:shd w:val="clear" w:color="auto" w:fill="FFFFFF"/>
        </w:rPr>
        <w:t>Hayes, D. (</w:t>
      </w:r>
      <w:r w:rsidRPr="00BD4852">
        <w:rPr>
          <w:rFonts w:ascii="Calibri" w:hAnsi="Calibri" w:cs="Calibri"/>
          <w:color w:val="222222"/>
          <w:shd w:val="clear" w:color="auto" w:fill="FFFFFF"/>
        </w:rPr>
        <w:t>2010</w:t>
      </w:r>
      <w:r>
        <w:rPr>
          <w:rFonts w:ascii="Calibri" w:hAnsi="Calibri" w:cs="Calibri"/>
          <w:color w:val="222222"/>
          <w:shd w:val="clear" w:color="auto" w:fill="FFFFFF"/>
        </w:rPr>
        <w:t>)</w:t>
      </w:r>
      <w:r w:rsidRPr="00BD4852">
        <w:rPr>
          <w:rFonts w:ascii="Calibri" w:hAnsi="Calibri" w:cs="Calibri"/>
          <w:color w:val="222222"/>
          <w:shd w:val="clear" w:color="auto" w:fill="FFFFFF"/>
        </w:rPr>
        <w:t>. The seductive charms of a cross-curricular approach. </w:t>
      </w:r>
      <w:r w:rsidRPr="00BD4852">
        <w:rPr>
          <w:rFonts w:ascii="Calibri" w:hAnsi="Calibri" w:cs="Calibri"/>
          <w:i/>
          <w:iCs/>
          <w:color w:val="222222"/>
        </w:rPr>
        <w:t>Education 3–13</w:t>
      </w:r>
      <w:r w:rsidRPr="00BD4852">
        <w:rPr>
          <w:rFonts w:ascii="Calibri" w:hAnsi="Calibri" w:cs="Calibri"/>
          <w:color w:val="222222"/>
          <w:shd w:val="clear" w:color="auto" w:fill="FFFFFF"/>
        </w:rPr>
        <w:t>, </w:t>
      </w:r>
      <w:r w:rsidRPr="00BD4852">
        <w:rPr>
          <w:rFonts w:ascii="Calibri" w:hAnsi="Calibri" w:cs="Calibri"/>
          <w:i/>
          <w:iCs/>
          <w:color w:val="222222"/>
        </w:rPr>
        <w:t>38</w:t>
      </w:r>
      <w:r>
        <w:rPr>
          <w:rFonts w:ascii="Calibri" w:hAnsi="Calibri" w:cs="Calibri"/>
          <w:color w:val="222222"/>
          <w:shd w:val="clear" w:color="auto" w:fill="FFFFFF"/>
        </w:rPr>
        <w:t>(4). P</w:t>
      </w:r>
      <w:r w:rsidRPr="00BD4852">
        <w:rPr>
          <w:rFonts w:ascii="Calibri" w:hAnsi="Calibri" w:cs="Calibri"/>
          <w:color w:val="222222"/>
          <w:shd w:val="clear" w:color="auto" w:fill="FFFFFF"/>
        </w:rPr>
        <w:t>p.381-387.</w:t>
      </w:r>
    </w:p>
    <w:p w:rsidR="002762B1" w:rsidRDefault="002762B1" w:rsidP="006E0C30">
      <w:pPr>
        <w:rPr>
          <w:rFonts w:ascii="Calibri" w:hAnsi="Calibri" w:cs="Calibri"/>
          <w:color w:val="222222"/>
          <w:shd w:val="clear" w:color="auto" w:fill="FFFFFF"/>
        </w:rPr>
      </w:pPr>
    </w:p>
    <w:p w:rsidR="002762B1" w:rsidRPr="00BD4852" w:rsidRDefault="002762B1" w:rsidP="006E0C30">
      <w:pPr>
        <w:rPr>
          <w:rFonts w:ascii="Calibri" w:hAnsi="Calibri" w:cs="Calibri"/>
        </w:rPr>
      </w:pPr>
      <w:proofErr w:type="spellStart"/>
      <w:r w:rsidRPr="00BD4852">
        <w:rPr>
          <w:rFonts w:ascii="Calibri" w:hAnsi="Calibri" w:cs="Calibri"/>
          <w:color w:val="222222"/>
          <w:shd w:val="clear" w:color="auto" w:fill="FFFFFF"/>
        </w:rPr>
        <w:t>Istenic</w:t>
      </w:r>
      <w:proofErr w:type="spellEnd"/>
      <w:r w:rsidRPr="00BD4852">
        <w:rPr>
          <w:rFonts w:ascii="Calibri" w:hAnsi="Calibri" w:cs="Calibri"/>
          <w:color w:val="222222"/>
          <w:shd w:val="clear" w:color="auto" w:fill="FFFFFF"/>
        </w:rPr>
        <w:t xml:space="preserve"> </w:t>
      </w:r>
      <w:proofErr w:type="spellStart"/>
      <w:r w:rsidRPr="00BD4852">
        <w:rPr>
          <w:rFonts w:ascii="Calibri" w:hAnsi="Calibri" w:cs="Calibri"/>
          <w:color w:val="222222"/>
          <w:shd w:val="clear" w:color="auto" w:fill="FFFFFF"/>
        </w:rPr>
        <w:t>Starčič</w:t>
      </w:r>
      <w:proofErr w:type="spellEnd"/>
      <w:r w:rsidRPr="00BD4852">
        <w:rPr>
          <w:rFonts w:ascii="Calibri" w:hAnsi="Calibri" w:cs="Calibri"/>
          <w:color w:val="222222"/>
          <w:shd w:val="clear" w:color="auto" w:fill="FFFFFF"/>
        </w:rPr>
        <w:t>, A., Cotic, M., Solomonides</w:t>
      </w:r>
      <w:r>
        <w:rPr>
          <w:rFonts w:ascii="Calibri" w:hAnsi="Calibri" w:cs="Calibri"/>
          <w:color w:val="222222"/>
          <w:shd w:val="clear" w:color="auto" w:fill="FFFFFF"/>
        </w:rPr>
        <w:t>, I. and Volk, M.</w:t>
      </w:r>
      <w:r w:rsidRPr="00BD4852">
        <w:rPr>
          <w:rFonts w:ascii="Calibri" w:hAnsi="Calibri" w:cs="Calibri"/>
          <w:color w:val="222222"/>
          <w:shd w:val="clear" w:color="auto" w:fill="FFFFFF"/>
        </w:rPr>
        <w:t xml:space="preserve"> </w:t>
      </w:r>
      <w:r>
        <w:rPr>
          <w:rFonts w:ascii="Calibri" w:hAnsi="Calibri" w:cs="Calibri"/>
          <w:color w:val="222222"/>
          <w:shd w:val="clear" w:color="auto" w:fill="FFFFFF"/>
        </w:rPr>
        <w:t>(</w:t>
      </w:r>
      <w:r w:rsidRPr="00BD4852">
        <w:rPr>
          <w:rFonts w:ascii="Calibri" w:hAnsi="Calibri" w:cs="Calibri"/>
          <w:color w:val="222222"/>
          <w:shd w:val="clear" w:color="auto" w:fill="FFFFFF"/>
        </w:rPr>
        <w:t>2016</w:t>
      </w:r>
      <w:r>
        <w:rPr>
          <w:rFonts w:ascii="Calibri" w:hAnsi="Calibri" w:cs="Calibri"/>
          <w:color w:val="222222"/>
          <w:shd w:val="clear" w:color="auto" w:fill="FFFFFF"/>
        </w:rPr>
        <w:t>)</w:t>
      </w:r>
      <w:r w:rsidRPr="00BD4852">
        <w:rPr>
          <w:rFonts w:ascii="Calibri" w:hAnsi="Calibri" w:cs="Calibri"/>
          <w:color w:val="222222"/>
          <w:shd w:val="clear" w:color="auto" w:fill="FFFFFF"/>
        </w:rPr>
        <w:t>. Engaging preservice primary and preprimary school teachers in digital storytelling for the teaching and learning of mathematics.</w:t>
      </w:r>
      <w:r w:rsidRPr="00BD4852">
        <w:rPr>
          <w:rStyle w:val="apple-converted-space"/>
          <w:rFonts w:ascii="Calibri" w:hAnsi="Calibri" w:cs="Calibri"/>
          <w:color w:val="222222"/>
          <w:shd w:val="clear" w:color="auto" w:fill="FFFFFF"/>
        </w:rPr>
        <w:t> </w:t>
      </w:r>
      <w:r w:rsidRPr="00BD4852">
        <w:rPr>
          <w:rFonts w:ascii="Calibri" w:hAnsi="Calibri" w:cs="Calibri"/>
          <w:i/>
          <w:iCs/>
          <w:color w:val="222222"/>
        </w:rPr>
        <w:t>British Journal of Educational Technology</w:t>
      </w:r>
      <w:r w:rsidRPr="00BD4852">
        <w:rPr>
          <w:rFonts w:ascii="Calibri" w:hAnsi="Calibri" w:cs="Calibri"/>
          <w:color w:val="222222"/>
          <w:shd w:val="clear" w:color="auto" w:fill="FFFFFF"/>
        </w:rPr>
        <w:t>,</w:t>
      </w:r>
      <w:r w:rsidRPr="00BD4852">
        <w:rPr>
          <w:rStyle w:val="apple-converted-space"/>
          <w:rFonts w:ascii="Calibri" w:hAnsi="Calibri" w:cs="Calibri"/>
          <w:color w:val="222222"/>
          <w:shd w:val="clear" w:color="auto" w:fill="FFFFFF"/>
        </w:rPr>
        <w:t> </w:t>
      </w:r>
      <w:r w:rsidRPr="00BD4852">
        <w:rPr>
          <w:rFonts w:ascii="Calibri" w:hAnsi="Calibri" w:cs="Calibri"/>
          <w:i/>
          <w:iCs/>
          <w:color w:val="222222"/>
        </w:rPr>
        <w:t>47</w:t>
      </w:r>
      <w:r>
        <w:rPr>
          <w:rFonts w:ascii="Calibri" w:hAnsi="Calibri" w:cs="Calibri"/>
          <w:color w:val="222222"/>
          <w:shd w:val="clear" w:color="auto" w:fill="FFFFFF"/>
        </w:rPr>
        <w:t>(1). P</w:t>
      </w:r>
      <w:r w:rsidRPr="00BD4852">
        <w:rPr>
          <w:rFonts w:ascii="Calibri" w:hAnsi="Calibri" w:cs="Calibri"/>
          <w:color w:val="222222"/>
          <w:shd w:val="clear" w:color="auto" w:fill="FFFFFF"/>
        </w:rPr>
        <w:t>p.29-50.</w:t>
      </w:r>
    </w:p>
    <w:p w:rsidR="002762B1" w:rsidRPr="00BD4852" w:rsidRDefault="002762B1" w:rsidP="001E7555">
      <w:pPr>
        <w:spacing w:before="100" w:beforeAutospacing="1" w:after="100" w:afterAutospacing="1"/>
        <w:rPr>
          <w:rFonts w:ascii="Calibri" w:hAnsi="Calibri" w:cs="Calibri"/>
        </w:rPr>
      </w:pPr>
      <w:r w:rsidRPr="00BD4852">
        <w:rPr>
          <w:rFonts w:ascii="Calibri" w:hAnsi="Calibri" w:cs="Calibri"/>
        </w:rPr>
        <w:t xml:space="preserve">Langer, J.A. (2001). Beating the odds: Teaching middle and high school students to read and write well. </w:t>
      </w:r>
      <w:r w:rsidRPr="00BD4852">
        <w:rPr>
          <w:rFonts w:ascii="Calibri" w:hAnsi="Calibri" w:cs="Calibri"/>
          <w:i/>
          <w:iCs/>
        </w:rPr>
        <w:t>American Educational Research Journal</w:t>
      </w:r>
      <w:r w:rsidRPr="00BD4852">
        <w:rPr>
          <w:rFonts w:ascii="Calibri" w:hAnsi="Calibri" w:cs="Calibri"/>
        </w:rPr>
        <w:t xml:space="preserve">, </w:t>
      </w:r>
      <w:r w:rsidRPr="00BD4852">
        <w:rPr>
          <w:rFonts w:ascii="Calibri" w:hAnsi="Calibri" w:cs="Calibri"/>
          <w:i/>
          <w:iCs/>
        </w:rPr>
        <w:t>38</w:t>
      </w:r>
      <w:r>
        <w:rPr>
          <w:rFonts w:ascii="Calibri" w:hAnsi="Calibri" w:cs="Calibri"/>
        </w:rPr>
        <w:t>. Pp.</w:t>
      </w:r>
      <w:r w:rsidRPr="00BD4852">
        <w:rPr>
          <w:rFonts w:ascii="Calibri" w:hAnsi="Calibri" w:cs="Calibri"/>
        </w:rPr>
        <w:t xml:space="preserve">837–880. </w:t>
      </w:r>
    </w:p>
    <w:p w:rsidR="002762B1" w:rsidRPr="00BD4852" w:rsidRDefault="002762B1" w:rsidP="00C1541B">
      <w:pPr>
        <w:rPr>
          <w:rFonts w:ascii="Calibri" w:hAnsi="Calibri" w:cs="Calibri"/>
        </w:rPr>
      </w:pPr>
      <w:r w:rsidRPr="00BD4852">
        <w:rPr>
          <w:rFonts w:ascii="Calibri" w:hAnsi="Calibri" w:cs="Calibri"/>
        </w:rPr>
        <w:t xml:space="preserve">Lucas, B. and E. Spencer. (2017). Teaching creative thinking: developing learners who generate ideas and can think critically. Crown House Publishing, Carmarthen. </w:t>
      </w:r>
    </w:p>
    <w:p w:rsidR="002762B1" w:rsidRDefault="002762B1" w:rsidP="002B19FC">
      <w:pPr>
        <w:rPr>
          <w:rFonts w:ascii="Calibri" w:hAnsi="Calibri" w:cs="Calibri"/>
          <w:color w:val="222222"/>
          <w:shd w:val="clear" w:color="auto" w:fill="FFFFFF"/>
        </w:rPr>
      </w:pPr>
    </w:p>
    <w:p w:rsidR="002762B1" w:rsidRPr="00BD4852" w:rsidRDefault="002762B1" w:rsidP="002B19FC">
      <w:pPr>
        <w:rPr>
          <w:rFonts w:ascii="Calibri" w:hAnsi="Calibri" w:cs="Calibri"/>
          <w:color w:val="222222"/>
          <w:shd w:val="clear" w:color="auto" w:fill="FFFFFF"/>
        </w:rPr>
      </w:pPr>
      <w:r>
        <w:rPr>
          <w:rFonts w:ascii="Calibri" w:hAnsi="Calibri" w:cs="Calibri"/>
          <w:color w:val="222222"/>
          <w:shd w:val="clear" w:color="auto" w:fill="FFFFFF"/>
        </w:rPr>
        <w:t>McEvoy, J. (</w:t>
      </w:r>
      <w:r w:rsidRPr="00BD4852">
        <w:rPr>
          <w:rFonts w:ascii="Calibri" w:hAnsi="Calibri" w:cs="Calibri"/>
          <w:color w:val="222222"/>
          <w:shd w:val="clear" w:color="auto" w:fill="FFFFFF"/>
        </w:rPr>
        <w:t>2019</w:t>
      </w:r>
      <w:r>
        <w:rPr>
          <w:rFonts w:ascii="Calibri" w:hAnsi="Calibri" w:cs="Calibri"/>
          <w:color w:val="222222"/>
          <w:shd w:val="clear" w:color="auto" w:fill="FFFFFF"/>
        </w:rPr>
        <w:t>).</w:t>
      </w:r>
      <w:r w:rsidRPr="00BD4852">
        <w:rPr>
          <w:rFonts w:ascii="Calibri" w:hAnsi="Calibri" w:cs="Calibri"/>
          <w:color w:val="222222"/>
          <w:shd w:val="clear" w:color="auto" w:fill="FFFFFF"/>
        </w:rPr>
        <w:t xml:space="preserve"> Planning for the Reception class. </w:t>
      </w:r>
      <w:r w:rsidRPr="00BD4852">
        <w:rPr>
          <w:rFonts w:ascii="Calibri" w:hAnsi="Calibri" w:cs="Calibri"/>
          <w:i/>
          <w:iCs/>
          <w:color w:val="222222"/>
        </w:rPr>
        <w:t>Child Centred Planning in the Early Years Foundation Stage</w:t>
      </w:r>
      <w:r>
        <w:rPr>
          <w:rFonts w:ascii="Calibri" w:hAnsi="Calibri" w:cs="Calibri"/>
          <w:color w:val="222222"/>
          <w:shd w:val="clear" w:color="auto" w:fill="FFFFFF"/>
        </w:rPr>
        <w:t>.</w:t>
      </w:r>
      <w:r w:rsidRPr="00BD4852">
        <w:rPr>
          <w:rFonts w:ascii="Calibri" w:hAnsi="Calibri" w:cs="Calibri"/>
          <w:color w:val="222222"/>
          <w:shd w:val="clear" w:color="auto" w:fill="FFFFFF"/>
        </w:rPr>
        <w:t xml:space="preserve"> </w:t>
      </w:r>
      <w:r>
        <w:rPr>
          <w:rFonts w:ascii="Calibri" w:hAnsi="Calibri" w:cs="Calibri"/>
          <w:color w:val="222222"/>
          <w:shd w:val="clear" w:color="auto" w:fill="FFFFFF"/>
        </w:rPr>
        <w:t>P</w:t>
      </w:r>
      <w:r w:rsidRPr="00BD4852">
        <w:rPr>
          <w:rFonts w:ascii="Calibri" w:hAnsi="Calibri" w:cs="Calibri"/>
          <w:color w:val="222222"/>
          <w:shd w:val="clear" w:color="auto" w:fill="FFFFFF"/>
        </w:rPr>
        <w:t>p.131.</w:t>
      </w:r>
    </w:p>
    <w:p w:rsidR="002762B1" w:rsidRDefault="002762B1" w:rsidP="00BF6CE7">
      <w:pPr>
        <w:rPr>
          <w:rFonts w:ascii="Calibri" w:hAnsi="Calibri" w:cs="Calibri"/>
          <w:color w:val="000000"/>
          <w:shd w:val="clear" w:color="auto" w:fill="FFFFFF"/>
        </w:rPr>
      </w:pPr>
    </w:p>
    <w:p w:rsidR="002762B1" w:rsidRPr="00BD4852" w:rsidRDefault="002762B1" w:rsidP="00BF6CE7">
      <w:pPr>
        <w:rPr>
          <w:rFonts w:ascii="Calibri" w:hAnsi="Calibri" w:cs="Calibri"/>
          <w:color w:val="000000"/>
          <w:shd w:val="clear" w:color="auto" w:fill="FFFFFF"/>
        </w:rPr>
      </w:pPr>
      <w:r w:rsidRPr="00BD4852">
        <w:rPr>
          <w:rFonts w:ascii="Calibri" w:hAnsi="Calibri" w:cs="Calibri"/>
          <w:color w:val="000000"/>
          <w:shd w:val="clear" w:color="auto" w:fill="FFFFFF"/>
        </w:rPr>
        <w:t>Metzler M. (2011) </w:t>
      </w:r>
      <w:r w:rsidRPr="00BD4852">
        <w:rPr>
          <w:rFonts w:ascii="Calibri" w:hAnsi="Calibri" w:cs="Calibri"/>
          <w:color w:val="000000"/>
        </w:rPr>
        <w:t>Instructional models for physical education</w:t>
      </w:r>
      <w:r w:rsidRPr="00BD4852">
        <w:rPr>
          <w:rFonts w:ascii="Calibri" w:hAnsi="Calibri" w:cs="Calibri"/>
          <w:color w:val="000000"/>
          <w:shd w:val="clear" w:color="auto" w:fill="FFFFFF"/>
        </w:rPr>
        <w:t>. 3rd edition Holcomb Hathaway Publishers, Scottsdale.</w:t>
      </w:r>
    </w:p>
    <w:p w:rsidR="002762B1" w:rsidRDefault="002762B1" w:rsidP="00BF6CE7">
      <w:pPr>
        <w:rPr>
          <w:rFonts w:ascii="Calibri" w:hAnsi="Calibri" w:cs="Calibri"/>
          <w:color w:val="000000"/>
          <w:shd w:val="clear" w:color="auto" w:fill="FFFFFF"/>
        </w:rPr>
      </w:pPr>
    </w:p>
    <w:p w:rsidR="002762B1" w:rsidRDefault="002762B1" w:rsidP="00BF6CE7">
      <w:pPr>
        <w:rPr>
          <w:rFonts w:ascii="Calibri" w:hAnsi="Calibri" w:cs="Calibri"/>
          <w:color w:val="000000"/>
          <w:shd w:val="clear" w:color="auto" w:fill="FFFFFF"/>
        </w:rPr>
      </w:pPr>
      <w:r w:rsidRPr="00BD4852">
        <w:rPr>
          <w:rFonts w:ascii="Calibri" w:hAnsi="Calibri" w:cs="Calibri"/>
          <w:color w:val="000000"/>
          <w:shd w:val="clear" w:color="auto" w:fill="FFFFFF"/>
        </w:rPr>
        <w:t>Morgan K. (2007) </w:t>
      </w:r>
      <w:r w:rsidRPr="00BD4852">
        <w:rPr>
          <w:rFonts w:ascii="Calibri" w:hAnsi="Calibri" w:cs="Calibri"/>
          <w:color w:val="000000"/>
        </w:rPr>
        <w:t>Pedagogy for coaches</w:t>
      </w:r>
      <w:r w:rsidRPr="00BD4852">
        <w:rPr>
          <w:rFonts w:ascii="Calibri" w:hAnsi="Calibri" w:cs="Calibri"/>
          <w:color w:val="000000"/>
          <w:shd w:val="clear" w:color="auto" w:fill="FFFFFF"/>
        </w:rPr>
        <w:t>. </w:t>
      </w:r>
      <w:r w:rsidRPr="00BD4852">
        <w:rPr>
          <w:rFonts w:ascii="Calibri" w:hAnsi="Calibri" w:cs="Calibri"/>
          <w:color w:val="000000"/>
        </w:rPr>
        <w:t>An introduction to sports coaching: from science and theory to practice</w:t>
      </w:r>
      <w:r w:rsidRPr="00BD4852">
        <w:rPr>
          <w:rFonts w:ascii="Calibri" w:hAnsi="Calibri" w:cs="Calibri"/>
          <w:color w:val="000000"/>
          <w:shd w:val="clear" w:color="auto" w:fill="FFFFFF"/>
        </w:rPr>
        <w:t>. Ed: Jones R.L., editor. London: Routledge; 3-14</w:t>
      </w:r>
    </w:p>
    <w:p w:rsidR="002762B1" w:rsidRDefault="002762B1" w:rsidP="00BF6CE7">
      <w:pPr>
        <w:rPr>
          <w:rFonts w:ascii="Calibri" w:hAnsi="Calibri" w:cs="Calibri"/>
          <w:color w:val="000000"/>
          <w:shd w:val="clear" w:color="auto" w:fill="FFFFFF"/>
        </w:rPr>
      </w:pPr>
    </w:p>
    <w:p w:rsidR="002762B1" w:rsidRPr="00BD4852" w:rsidRDefault="002762B1" w:rsidP="002762B1">
      <w:pPr>
        <w:rPr>
          <w:rFonts w:ascii="Calibri" w:hAnsi="Calibri" w:cs="Calibri"/>
          <w:color w:val="222222"/>
        </w:rPr>
      </w:pPr>
      <w:r>
        <w:rPr>
          <w:rFonts w:ascii="Calibri" w:hAnsi="Calibri" w:cs="Calibri"/>
          <w:color w:val="222222"/>
        </w:rPr>
        <w:t>Muir-</w:t>
      </w:r>
      <w:proofErr w:type="spellStart"/>
      <w:r>
        <w:rPr>
          <w:rFonts w:ascii="Calibri" w:hAnsi="Calibri" w:cs="Calibri"/>
          <w:color w:val="222222"/>
        </w:rPr>
        <w:t>Herzig</w:t>
      </w:r>
      <w:proofErr w:type="spellEnd"/>
      <w:r>
        <w:rPr>
          <w:rFonts w:ascii="Calibri" w:hAnsi="Calibri" w:cs="Calibri"/>
          <w:color w:val="222222"/>
        </w:rPr>
        <w:t>, R.G. (</w:t>
      </w:r>
      <w:r w:rsidRPr="00BD4852">
        <w:rPr>
          <w:rFonts w:ascii="Calibri" w:hAnsi="Calibri" w:cs="Calibri"/>
          <w:color w:val="222222"/>
        </w:rPr>
        <w:t>2004</w:t>
      </w:r>
      <w:r>
        <w:rPr>
          <w:rFonts w:ascii="Calibri" w:hAnsi="Calibri" w:cs="Calibri"/>
          <w:color w:val="222222"/>
        </w:rPr>
        <w:t>)</w:t>
      </w:r>
      <w:r w:rsidRPr="00BD4852">
        <w:rPr>
          <w:rFonts w:ascii="Calibri" w:hAnsi="Calibri" w:cs="Calibri"/>
          <w:color w:val="222222"/>
        </w:rPr>
        <w:t>. Technology and its impact in the classroom. </w:t>
      </w:r>
      <w:r w:rsidRPr="00BD4852">
        <w:rPr>
          <w:rFonts w:ascii="Calibri" w:hAnsi="Calibri" w:cs="Calibri"/>
          <w:i/>
          <w:iCs/>
          <w:color w:val="222222"/>
        </w:rPr>
        <w:t>Computers &amp; Education</w:t>
      </w:r>
      <w:r w:rsidRPr="00BD4852">
        <w:rPr>
          <w:rFonts w:ascii="Calibri" w:hAnsi="Calibri" w:cs="Calibri"/>
          <w:color w:val="222222"/>
        </w:rPr>
        <w:t>, </w:t>
      </w:r>
      <w:r w:rsidRPr="00BD4852">
        <w:rPr>
          <w:rFonts w:ascii="Calibri" w:hAnsi="Calibri" w:cs="Calibri"/>
          <w:i/>
          <w:iCs/>
          <w:color w:val="222222"/>
        </w:rPr>
        <w:t>42</w:t>
      </w:r>
      <w:r>
        <w:rPr>
          <w:rFonts w:ascii="Calibri" w:hAnsi="Calibri" w:cs="Calibri"/>
          <w:color w:val="222222"/>
        </w:rPr>
        <w:t>(2). P</w:t>
      </w:r>
      <w:r w:rsidRPr="00BD4852">
        <w:rPr>
          <w:rFonts w:ascii="Calibri" w:hAnsi="Calibri" w:cs="Calibri"/>
          <w:color w:val="222222"/>
        </w:rPr>
        <w:t>p.111-131.</w:t>
      </w:r>
    </w:p>
    <w:p w:rsidR="002762B1" w:rsidRPr="00BD4852" w:rsidRDefault="002762B1" w:rsidP="00BF6CE7">
      <w:pPr>
        <w:rPr>
          <w:rFonts w:ascii="Calibri" w:hAnsi="Calibri" w:cs="Calibri"/>
          <w:color w:val="000000"/>
          <w:shd w:val="clear" w:color="auto" w:fill="FFFFFF"/>
        </w:rPr>
      </w:pPr>
    </w:p>
    <w:p w:rsidR="002762B1" w:rsidRPr="00BD4852" w:rsidRDefault="002762B1" w:rsidP="00BD4852">
      <w:pPr>
        <w:pStyle w:val="paragraph"/>
        <w:spacing w:before="0" w:beforeAutospacing="0" w:after="0" w:afterAutospacing="0"/>
        <w:textAlignment w:val="baseline"/>
        <w:rPr>
          <w:rFonts w:ascii="Calibri" w:hAnsi="Calibri" w:cs="Calibri"/>
        </w:rPr>
      </w:pPr>
      <w:proofErr w:type="spellStart"/>
      <w:r w:rsidRPr="00BD4852">
        <w:rPr>
          <w:rStyle w:val="spellingerror"/>
          <w:rFonts w:ascii="Calibri" w:hAnsi="Calibri" w:cs="Calibri"/>
        </w:rPr>
        <w:t>Pintrich</w:t>
      </w:r>
      <w:proofErr w:type="spellEnd"/>
      <w:r w:rsidRPr="00BD4852">
        <w:rPr>
          <w:rStyle w:val="normaltextrun"/>
          <w:rFonts w:ascii="Calibri" w:hAnsi="Calibri" w:cs="Calibri"/>
        </w:rPr>
        <w:t>, P. (2000). The role of goal orientation in self-regulated learning. In: Handbook of self-regulation, edited by:</w:t>
      </w:r>
      <w:r w:rsidRPr="00BD4852">
        <w:rPr>
          <w:rStyle w:val="apple-converted-space"/>
          <w:rFonts w:ascii="Calibri" w:hAnsi="Calibri" w:cs="Calibri"/>
        </w:rPr>
        <w:t> </w:t>
      </w:r>
      <w:proofErr w:type="spellStart"/>
      <w:r w:rsidRPr="00BD4852">
        <w:rPr>
          <w:rStyle w:val="spellingerror"/>
          <w:rFonts w:ascii="Calibri" w:hAnsi="Calibri" w:cs="Calibri"/>
        </w:rPr>
        <w:t>Boekaerts</w:t>
      </w:r>
      <w:proofErr w:type="spellEnd"/>
      <w:r w:rsidRPr="00BD4852">
        <w:rPr>
          <w:rStyle w:val="normaltextrun"/>
          <w:rFonts w:ascii="Calibri" w:hAnsi="Calibri" w:cs="Calibri"/>
        </w:rPr>
        <w:t>, M.,</w:t>
      </w:r>
      <w:r w:rsidRPr="00BD4852">
        <w:rPr>
          <w:rStyle w:val="apple-converted-space"/>
          <w:rFonts w:ascii="Calibri" w:hAnsi="Calibri" w:cs="Calibri"/>
        </w:rPr>
        <w:t> </w:t>
      </w:r>
      <w:proofErr w:type="spellStart"/>
      <w:r w:rsidRPr="00BD4852">
        <w:rPr>
          <w:rStyle w:val="spellingerror"/>
          <w:rFonts w:ascii="Calibri" w:hAnsi="Calibri" w:cs="Calibri"/>
        </w:rPr>
        <w:t>Pintritch</w:t>
      </w:r>
      <w:proofErr w:type="spellEnd"/>
      <w:r w:rsidRPr="00BD4852">
        <w:rPr>
          <w:rStyle w:val="normaltextrun"/>
          <w:rFonts w:ascii="Calibri" w:hAnsi="Calibri" w:cs="Calibri"/>
        </w:rPr>
        <w:t>, P. and</w:t>
      </w:r>
      <w:r w:rsidRPr="00BD4852">
        <w:rPr>
          <w:rStyle w:val="apple-converted-space"/>
          <w:rFonts w:ascii="Calibri" w:hAnsi="Calibri" w:cs="Calibri"/>
        </w:rPr>
        <w:t> </w:t>
      </w:r>
      <w:proofErr w:type="spellStart"/>
      <w:r w:rsidRPr="00BD4852">
        <w:rPr>
          <w:rStyle w:val="spellingerror"/>
          <w:rFonts w:ascii="Calibri" w:hAnsi="Calibri" w:cs="Calibri"/>
        </w:rPr>
        <w:t>Zeidner</w:t>
      </w:r>
      <w:proofErr w:type="spellEnd"/>
      <w:r w:rsidRPr="00BD4852">
        <w:rPr>
          <w:rStyle w:val="normaltextrun"/>
          <w:rFonts w:ascii="Calibri" w:hAnsi="Calibri" w:cs="Calibri"/>
        </w:rPr>
        <w:t>, M. San Diego, CA: Academic Press. Pp. 452-502. </w:t>
      </w:r>
      <w:r w:rsidRPr="00BD4852">
        <w:rPr>
          <w:rStyle w:val="eop"/>
          <w:rFonts w:ascii="Calibri" w:hAnsi="Calibri" w:cs="Calibri"/>
        </w:rPr>
        <w:t> </w:t>
      </w:r>
    </w:p>
    <w:p w:rsidR="002762B1" w:rsidRPr="00BD4852" w:rsidRDefault="002762B1" w:rsidP="007F52D3">
      <w:pPr>
        <w:spacing w:before="100" w:beforeAutospacing="1" w:after="100" w:afterAutospacing="1"/>
        <w:rPr>
          <w:rFonts w:ascii="Calibri" w:hAnsi="Calibri" w:cs="Calibri"/>
        </w:rPr>
      </w:pPr>
      <w:proofErr w:type="spellStart"/>
      <w:r w:rsidRPr="00BD4852">
        <w:rPr>
          <w:rFonts w:ascii="Calibri" w:hAnsi="Calibri" w:cs="Calibri"/>
        </w:rPr>
        <w:lastRenderedPageBreak/>
        <w:t>Roschelle</w:t>
      </w:r>
      <w:proofErr w:type="spellEnd"/>
      <w:r w:rsidRPr="00BD4852">
        <w:rPr>
          <w:rFonts w:ascii="Calibri" w:hAnsi="Calibri" w:cs="Calibri"/>
        </w:rPr>
        <w:t xml:space="preserve">, J., Pea, R., Hoadley, C., Gordin, D., &amp; Means, B. (2000). Changing how and what children learn in school </w:t>
      </w:r>
    </w:p>
    <w:p w:rsidR="002762B1" w:rsidRPr="00BD4852" w:rsidRDefault="002762B1" w:rsidP="001E7555">
      <w:pPr>
        <w:rPr>
          <w:rFonts w:ascii="Calibri" w:hAnsi="Calibri" w:cs="Calibri"/>
        </w:rPr>
      </w:pPr>
      <w:r w:rsidRPr="00BD4852">
        <w:rPr>
          <w:rFonts w:ascii="Calibri" w:hAnsi="Calibri" w:cs="Calibri"/>
          <w:color w:val="222222"/>
          <w:shd w:val="clear" w:color="auto" w:fill="FFFFFF"/>
        </w:rPr>
        <w:t>Walker‐</w:t>
      </w:r>
      <w:r>
        <w:rPr>
          <w:rFonts w:ascii="Calibri" w:hAnsi="Calibri" w:cs="Calibri"/>
          <w:color w:val="222222"/>
          <w:shd w:val="clear" w:color="auto" w:fill="FFFFFF"/>
        </w:rPr>
        <w:t xml:space="preserve">Dalhouse, D. and </w:t>
      </w:r>
      <w:proofErr w:type="spellStart"/>
      <w:r>
        <w:rPr>
          <w:rFonts w:ascii="Calibri" w:hAnsi="Calibri" w:cs="Calibri"/>
          <w:color w:val="222222"/>
          <w:shd w:val="clear" w:color="auto" w:fill="FFFFFF"/>
        </w:rPr>
        <w:t>Risko</w:t>
      </w:r>
      <w:proofErr w:type="spellEnd"/>
      <w:r>
        <w:rPr>
          <w:rFonts w:ascii="Calibri" w:hAnsi="Calibri" w:cs="Calibri"/>
          <w:color w:val="222222"/>
          <w:shd w:val="clear" w:color="auto" w:fill="FFFFFF"/>
        </w:rPr>
        <w:t>, V.J.</w:t>
      </w:r>
      <w:r w:rsidRPr="00BD4852">
        <w:rPr>
          <w:rFonts w:ascii="Calibri" w:hAnsi="Calibri" w:cs="Calibri"/>
          <w:color w:val="222222"/>
          <w:shd w:val="clear" w:color="auto" w:fill="FFFFFF"/>
        </w:rPr>
        <w:t xml:space="preserve"> </w:t>
      </w:r>
      <w:r>
        <w:rPr>
          <w:rFonts w:ascii="Calibri" w:hAnsi="Calibri" w:cs="Calibri"/>
          <w:color w:val="222222"/>
          <w:shd w:val="clear" w:color="auto" w:fill="FFFFFF"/>
        </w:rPr>
        <w:t>(</w:t>
      </w:r>
      <w:r w:rsidRPr="00BD4852">
        <w:rPr>
          <w:rFonts w:ascii="Calibri" w:hAnsi="Calibri" w:cs="Calibri"/>
          <w:color w:val="222222"/>
          <w:shd w:val="clear" w:color="auto" w:fill="FFFFFF"/>
        </w:rPr>
        <w:t>2008</w:t>
      </w:r>
      <w:r>
        <w:rPr>
          <w:rFonts w:ascii="Calibri" w:hAnsi="Calibri" w:cs="Calibri"/>
          <w:color w:val="222222"/>
          <w:shd w:val="clear" w:color="auto" w:fill="FFFFFF"/>
        </w:rPr>
        <w:t>)</w:t>
      </w:r>
      <w:r w:rsidRPr="00BD4852">
        <w:rPr>
          <w:rFonts w:ascii="Calibri" w:hAnsi="Calibri" w:cs="Calibri"/>
          <w:color w:val="222222"/>
          <w:shd w:val="clear" w:color="auto" w:fill="FFFFFF"/>
        </w:rPr>
        <w:t>. Learning from literacy successes in high‐achieving urban schools. </w:t>
      </w:r>
      <w:r w:rsidRPr="00BD4852">
        <w:rPr>
          <w:rFonts w:ascii="Calibri" w:hAnsi="Calibri" w:cs="Calibri"/>
          <w:i/>
          <w:iCs/>
          <w:color w:val="222222"/>
        </w:rPr>
        <w:t>The reading teacher</w:t>
      </w:r>
      <w:r w:rsidRPr="00BD4852">
        <w:rPr>
          <w:rFonts w:ascii="Calibri" w:hAnsi="Calibri" w:cs="Calibri"/>
          <w:color w:val="222222"/>
          <w:shd w:val="clear" w:color="auto" w:fill="FFFFFF"/>
        </w:rPr>
        <w:t>, </w:t>
      </w:r>
      <w:r w:rsidRPr="00BD4852">
        <w:rPr>
          <w:rFonts w:ascii="Calibri" w:hAnsi="Calibri" w:cs="Calibri"/>
          <w:i/>
          <w:iCs/>
          <w:color w:val="222222"/>
        </w:rPr>
        <w:t>61</w:t>
      </w:r>
      <w:r>
        <w:rPr>
          <w:rFonts w:ascii="Calibri" w:hAnsi="Calibri" w:cs="Calibri"/>
          <w:color w:val="222222"/>
          <w:shd w:val="clear" w:color="auto" w:fill="FFFFFF"/>
        </w:rPr>
        <w:t>(5). P</w:t>
      </w:r>
      <w:r w:rsidRPr="00BD4852">
        <w:rPr>
          <w:rFonts w:ascii="Calibri" w:hAnsi="Calibri" w:cs="Calibri"/>
          <w:color w:val="222222"/>
          <w:shd w:val="clear" w:color="auto" w:fill="FFFFFF"/>
        </w:rPr>
        <w:t>p.422-424.</w:t>
      </w:r>
    </w:p>
    <w:p w:rsidR="002762B1" w:rsidRDefault="002762B1" w:rsidP="00742F6D">
      <w:pPr>
        <w:rPr>
          <w:rFonts w:ascii="Calibri" w:hAnsi="Calibri" w:cs="Calibri"/>
          <w:color w:val="222222"/>
          <w:shd w:val="clear" w:color="auto" w:fill="FFFFFF"/>
        </w:rPr>
      </w:pPr>
    </w:p>
    <w:p w:rsidR="002762B1" w:rsidRPr="006856C0" w:rsidRDefault="002762B1" w:rsidP="006856C0">
      <w:pPr>
        <w:rPr>
          <w:rStyle w:val="normaltextrun"/>
          <w:rFonts w:ascii="Calibri" w:hAnsi="Calibri" w:cs="Calibri"/>
        </w:rPr>
      </w:pPr>
      <w:r>
        <w:rPr>
          <w:rFonts w:ascii="Calibri" w:hAnsi="Calibri" w:cs="Calibri"/>
          <w:color w:val="222222"/>
          <w:shd w:val="clear" w:color="auto" w:fill="FFFFFF"/>
        </w:rPr>
        <w:t>Ward-Penny, R. (</w:t>
      </w:r>
      <w:r w:rsidRPr="00BD4852">
        <w:rPr>
          <w:rFonts w:ascii="Calibri" w:hAnsi="Calibri" w:cs="Calibri"/>
          <w:color w:val="222222"/>
          <w:shd w:val="clear" w:color="auto" w:fill="FFFFFF"/>
        </w:rPr>
        <w:t>2010</w:t>
      </w:r>
      <w:r>
        <w:rPr>
          <w:rFonts w:ascii="Calibri" w:hAnsi="Calibri" w:cs="Calibri"/>
          <w:color w:val="222222"/>
          <w:shd w:val="clear" w:color="auto" w:fill="FFFFFF"/>
        </w:rPr>
        <w:t>)</w:t>
      </w:r>
      <w:r w:rsidRPr="00BD4852">
        <w:rPr>
          <w:rFonts w:ascii="Calibri" w:hAnsi="Calibri" w:cs="Calibri"/>
          <w:color w:val="222222"/>
          <w:shd w:val="clear" w:color="auto" w:fill="FFFFFF"/>
        </w:rPr>
        <w:t>. </w:t>
      </w:r>
      <w:r w:rsidRPr="00BD4852">
        <w:rPr>
          <w:rFonts w:ascii="Calibri" w:hAnsi="Calibri" w:cs="Calibri"/>
          <w:i/>
          <w:iCs/>
          <w:color w:val="222222"/>
        </w:rPr>
        <w:t>Cross-Curricular Teaching and Learning in the Secondary School... Mathematics</w:t>
      </w:r>
      <w:r w:rsidRPr="00BD4852">
        <w:rPr>
          <w:rFonts w:ascii="Calibri" w:hAnsi="Calibri" w:cs="Calibri"/>
          <w:color w:val="222222"/>
          <w:shd w:val="clear" w:color="auto" w:fill="FFFFFF"/>
        </w:rPr>
        <w:t>. Routledge.</w:t>
      </w:r>
      <w:bookmarkStart w:id="0" w:name="_GoBack"/>
      <w:bookmarkEnd w:id="0"/>
    </w:p>
    <w:p w:rsidR="002762B1" w:rsidRPr="002762B1" w:rsidRDefault="002762B1" w:rsidP="002762B1">
      <w:pPr>
        <w:spacing w:before="100" w:beforeAutospacing="1" w:after="100" w:afterAutospacing="1"/>
        <w:rPr>
          <w:rStyle w:val="normaltextrun"/>
          <w:rFonts w:ascii="Calibri" w:hAnsi="Calibri" w:cs="Calibri"/>
          <w:color w:val="21211E"/>
        </w:rPr>
      </w:pPr>
      <w:r w:rsidRPr="00BD4852">
        <w:rPr>
          <w:rFonts w:ascii="Calibri" w:hAnsi="Calibri" w:cs="Calibri"/>
          <w:color w:val="21211E"/>
        </w:rPr>
        <w:t>Waters, M</w:t>
      </w:r>
      <w:r>
        <w:rPr>
          <w:rFonts w:ascii="Calibri" w:hAnsi="Calibri" w:cs="Calibri"/>
          <w:color w:val="21211E"/>
        </w:rPr>
        <w:t>.</w:t>
      </w:r>
      <w:r w:rsidRPr="00BD4852">
        <w:rPr>
          <w:rFonts w:ascii="Calibri" w:hAnsi="Calibri" w:cs="Calibri"/>
          <w:color w:val="21211E"/>
        </w:rPr>
        <w:t xml:space="preserve"> (2013)</w:t>
      </w:r>
      <w:r>
        <w:rPr>
          <w:rFonts w:ascii="Calibri" w:hAnsi="Calibri" w:cs="Calibri"/>
          <w:color w:val="21211E"/>
        </w:rPr>
        <w:t>.</w:t>
      </w:r>
      <w:r w:rsidRPr="00BD4852">
        <w:rPr>
          <w:rFonts w:ascii="Calibri" w:hAnsi="Calibri" w:cs="Calibri"/>
          <w:color w:val="21211E"/>
        </w:rPr>
        <w:t xml:space="preserve"> </w:t>
      </w:r>
      <w:r w:rsidRPr="00BD4852">
        <w:rPr>
          <w:rFonts w:ascii="Calibri" w:hAnsi="Calibri" w:cs="Calibri"/>
          <w:i/>
          <w:iCs/>
          <w:color w:val="21211E"/>
        </w:rPr>
        <w:t>Thinking Allowed on Schooling</w:t>
      </w:r>
      <w:r>
        <w:rPr>
          <w:rFonts w:ascii="Calibri" w:hAnsi="Calibri" w:cs="Calibri"/>
          <w:i/>
          <w:iCs/>
          <w:color w:val="21211E"/>
        </w:rPr>
        <w:t>.</w:t>
      </w:r>
      <w:r w:rsidRPr="00BD4852">
        <w:rPr>
          <w:rFonts w:ascii="Calibri" w:hAnsi="Calibri" w:cs="Calibri"/>
          <w:i/>
          <w:iCs/>
          <w:color w:val="21211E"/>
        </w:rPr>
        <w:t xml:space="preserve"> </w:t>
      </w:r>
      <w:r w:rsidR="006856C0">
        <w:rPr>
          <w:rFonts w:ascii="Calibri" w:hAnsi="Calibri" w:cs="Calibri"/>
          <w:color w:val="21211E"/>
        </w:rPr>
        <w:t xml:space="preserve">Crown House Publishing. </w:t>
      </w:r>
      <w:r w:rsidRPr="00BD4852">
        <w:rPr>
          <w:rFonts w:ascii="Calibri" w:hAnsi="Calibri" w:cs="Calibri"/>
          <w:color w:val="21211E"/>
        </w:rPr>
        <w:t xml:space="preserve"> </w:t>
      </w:r>
    </w:p>
    <w:p w:rsidR="002762B1" w:rsidRPr="00BD4852" w:rsidRDefault="002762B1" w:rsidP="00BD4852">
      <w:pPr>
        <w:pStyle w:val="paragraph"/>
        <w:spacing w:before="0" w:beforeAutospacing="0" w:after="0" w:afterAutospacing="0"/>
        <w:textAlignment w:val="baseline"/>
        <w:rPr>
          <w:rFonts w:ascii="Calibri" w:hAnsi="Calibri" w:cs="Calibri"/>
        </w:rPr>
      </w:pPr>
      <w:r w:rsidRPr="00BD4852">
        <w:rPr>
          <w:rStyle w:val="normaltextrun"/>
          <w:rFonts w:ascii="Calibri" w:hAnsi="Calibri" w:cs="Calibri"/>
          <w:lang w:val="en-US"/>
        </w:rPr>
        <w:t>Welsh Government. (2015).</w:t>
      </w:r>
      <w:r w:rsidRPr="00BD4852">
        <w:rPr>
          <w:rStyle w:val="apple-converted-space"/>
          <w:rFonts w:ascii="Calibri" w:hAnsi="Calibri" w:cs="Calibri"/>
          <w:lang w:val="en-US"/>
        </w:rPr>
        <w:t> </w:t>
      </w:r>
      <w:r w:rsidRPr="00BD4852">
        <w:rPr>
          <w:rStyle w:val="normaltextrun"/>
          <w:rFonts w:ascii="Calibri" w:hAnsi="Calibri" w:cs="Calibri"/>
          <w:i/>
          <w:iCs/>
          <w:lang w:val="en-US"/>
        </w:rPr>
        <w:t>Foundation Phase Curriculum.</w:t>
      </w:r>
      <w:r w:rsidRPr="00BD4852">
        <w:rPr>
          <w:rStyle w:val="apple-converted-space"/>
          <w:rFonts w:ascii="Calibri" w:hAnsi="Calibri" w:cs="Calibri"/>
          <w:i/>
          <w:iCs/>
          <w:lang w:val="en-US"/>
        </w:rPr>
        <w:t> </w:t>
      </w:r>
      <w:r w:rsidRPr="00BD4852">
        <w:rPr>
          <w:rStyle w:val="normaltextrun"/>
          <w:rFonts w:ascii="Calibri" w:hAnsi="Calibri" w:cs="Calibri"/>
          <w:lang w:val="en-US"/>
        </w:rPr>
        <w:t>Available at:</w:t>
      </w:r>
      <w:r w:rsidRPr="00BD4852">
        <w:rPr>
          <w:rStyle w:val="apple-converted-space"/>
          <w:rFonts w:ascii="Calibri" w:hAnsi="Calibri" w:cs="Calibri"/>
          <w:lang w:val="en-US"/>
        </w:rPr>
        <w:t> </w:t>
      </w:r>
      <w:hyperlink r:id="rId7" w:tgtFrame="_blank" w:history="1">
        <w:r w:rsidRPr="00BD4852">
          <w:rPr>
            <w:rStyle w:val="normaltextrun"/>
            <w:rFonts w:ascii="Calibri" w:hAnsi="Calibri" w:cs="Calibri"/>
            <w:color w:val="0000FF"/>
            <w:u w:val="single"/>
            <w:lang w:val="en-US"/>
          </w:rPr>
          <w:t>https://hwb.gov.wales/storage/d5d8e39c-b534-40cb-a3f5-7e2e126d8077/foundation-phase-framework.pdf</w:t>
        </w:r>
      </w:hyperlink>
      <w:r w:rsidRPr="00BD4852">
        <w:rPr>
          <w:rStyle w:val="apple-converted-space"/>
          <w:rFonts w:ascii="Calibri" w:hAnsi="Calibri" w:cs="Calibri"/>
          <w:lang w:val="en-US"/>
        </w:rPr>
        <w:t> </w:t>
      </w:r>
      <w:r w:rsidRPr="00BD4852">
        <w:rPr>
          <w:rStyle w:val="normaltextrun"/>
          <w:rFonts w:ascii="Calibri" w:hAnsi="Calibri" w:cs="Calibri"/>
          <w:lang w:val="en-US"/>
        </w:rPr>
        <w:t>[Accessed: 10/12/19].</w:t>
      </w:r>
      <w:r w:rsidRPr="00BD4852">
        <w:rPr>
          <w:rStyle w:val="eop"/>
          <w:rFonts w:ascii="Calibri" w:hAnsi="Calibri" w:cs="Calibri"/>
        </w:rPr>
        <w:t> </w:t>
      </w:r>
    </w:p>
    <w:p w:rsidR="002762B1" w:rsidRDefault="002762B1" w:rsidP="00BD4852">
      <w:pPr>
        <w:pStyle w:val="paragraph"/>
        <w:spacing w:before="0" w:beforeAutospacing="0" w:after="0" w:afterAutospacing="0"/>
        <w:textAlignment w:val="baseline"/>
        <w:rPr>
          <w:rStyle w:val="normaltextrun"/>
          <w:rFonts w:ascii="Calibri" w:hAnsi="Calibri" w:cs="Calibri"/>
        </w:rPr>
      </w:pPr>
    </w:p>
    <w:p w:rsidR="002762B1" w:rsidRPr="00BD4852" w:rsidRDefault="002762B1" w:rsidP="00BD4852">
      <w:pPr>
        <w:pStyle w:val="paragraph"/>
        <w:spacing w:before="0" w:beforeAutospacing="0" w:after="0" w:afterAutospacing="0"/>
        <w:textAlignment w:val="baseline"/>
        <w:rPr>
          <w:rFonts w:ascii="Calibri" w:hAnsi="Calibri" w:cs="Calibri"/>
        </w:rPr>
      </w:pPr>
      <w:r w:rsidRPr="00BD4852">
        <w:rPr>
          <w:rStyle w:val="normaltextrun"/>
          <w:rFonts w:ascii="Calibri" w:hAnsi="Calibri" w:cs="Calibri"/>
        </w:rPr>
        <w:t>Zimmerman, B. and Schunk, D. (2004). Self-regulating intellectual processes and outcomes: A social cognitive perspective.</w:t>
      </w:r>
      <w:r w:rsidRPr="00BD4852">
        <w:rPr>
          <w:rStyle w:val="apple-converted-space"/>
          <w:rFonts w:ascii="Calibri" w:hAnsi="Calibri" w:cs="Calibri"/>
        </w:rPr>
        <w:t> </w:t>
      </w:r>
      <w:r w:rsidRPr="00BD4852">
        <w:rPr>
          <w:rStyle w:val="normaltextrun"/>
          <w:rFonts w:ascii="Calibri" w:hAnsi="Calibri" w:cs="Calibri"/>
          <w:i/>
          <w:iCs/>
        </w:rPr>
        <w:t>Motivation, emotion and cognition: Integrative perspectives on</w:t>
      </w:r>
      <w:r w:rsidRPr="00BD4852">
        <w:rPr>
          <w:rStyle w:val="apple-converted-space"/>
          <w:rFonts w:ascii="Calibri" w:hAnsi="Calibri" w:cs="Calibri"/>
          <w:i/>
          <w:iCs/>
        </w:rPr>
        <w:t> </w:t>
      </w:r>
      <w:proofErr w:type="spellStart"/>
      <w:r w:rsidRPr="00BD4852">
        <w:rPr>
          <w:rStyle w:val="spellingerror"/>
          <w:rFonts w:ascii="Calibri" w:hAnsi="Calibri" w:cs="Calibri"/>
          <w:i/>
          <w:iCs/>
        </w:rPr>
        <w:t>intellecutal</w:t>
      </w:r>
      <w:proofErr w:type="spellEnd"/>
      <w:r w:rsidRPr="00BD4852">
        <w:rPr>
          <w:rStyle w:val="apple-converted-space"/>
          <w:rFonts w:ascii="Calibri" w:hAnsi="Calibri" w:cs="Calibri"/>
          <w:i/>
          <w:iCs/>
        </w:rPr>
        <w:t> </w:t>
      </w:r>
      <w:r w:rsidRPr="00BD4852">
        <w:rPr>
          <w:rStyle w:val="normaltextrun"/>
          <w:rFonts w:ascii="Calibri" w:hAnsi="Calibri" w:cs="Calibri"/>
          <w:i/>
          <w:iCs/>
        </w:rPr>
        <w:t>functioning and development. Pp. 323-349.</w:t>
      </w:r>
      <w:r w:rsidRPr="00BD4852">
        <w:rPr>
          <w:rStyle w:val="eop"/>
          <w:rFonts w:ascii="Calibri" w:hAnsi="Calibri" w:cs="Calibri"/>
        </w:rPr>
        <w:t> </w:t>
      </w:r>
    </w:p>
    <w:p w:rsidR="00CC44AB" w:rsidRPr="001F55F3" w:rsidRDefault="00CC44AB" w:rsidP="001F55F3"/>
    <w:p w:rsidR="007F52D3" w:rsidRPr="00DA0999" w:rsidRDefault="007F52D3" w:rsidP="00142EAA"/>
    <w:sectPr w:rsidR="007F52D3" w:rsidRPr="00DA0999" w:rsidSect="0002765E">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4E768C"/>
    <w:multiLevelType w:val="hybridMultilevel"/>
    <w:tmpl w:val="2FBCB11C"/>
    <w:lvl w:ilvl="0" w:tplc="04090001">
      <w:start w:val="1"/>
      <w:numFmt w:val="bullet"/>
      <w:lvlText w:val=""/>
      <w:lvlJc w:val="left"/>
      <w:pPr>
        <w:ind w:left="1077" w:hanging="360"/>
      </w:pPr>
      <w:rPr>
        <w:rFonts w:ascii="Symbol" w:hAnsi="Symbol" w:hint="default"/>
      </w:rPr>
    </w:lvl>
    <w:lvl w:ilvl="1" w:tplc="04090003" w:tentative="1">
      <w:start w:val="1"/>
      <w:numFmt w:val="bullet"/>
      <w:lvlText w:val="o"/>
      <w:lvlJc w:val="left"/>
      <w:pPr>
        <w:ind w:left="1797" w:hanging="360"/>
      </w:pPr>
      <w:rPr>
        <w:rFonts w:ascii="Courier New" w:hAnsi="Courier New" w:cs="Courier New" w:hint="default"/>
      </w:rPr>
    </w:lvl>
    <w:lvl w:ilvl="2" w:tplc="04090005" w:tentative="1">
      <w:start w:val="1"/>
      <w:numFmt w:val="bullet"/>
      <w:lvlText w:val=""/>
      <w:lvlJc w:val="left"/>
      <w:pPr>
        <w:ind w:left="2517" w:hanging="360"/>
      </w:pPr>
      <w:rPr>
        <w:rFonts w:ascii="Wingdings" w:hAnsi="Wingdings" w:hint="default"/>
      </w:rPr>
    </w:lvl>
    <w:lvl w:ilvl="3" w:tplc="04090001" w:tentative="1">
      <w:start w:val="1"/>
      <w:numFmt w:val="bullet"/>
      <w:lvlText w:val=""/>
      <w:lvlJc w:val="left"/>
      <w:pPr>
        <w:ind w:left="3237" w:hanging="360"/>
      </w:pPr>
      <w:rPr>
        <w:rFonts w:ascii="Symbol" w:hAnsi="Symbol" w:hint="default"/>
      </w:rPr>
    </w:lvl>
    <w:lvl w:ilvl="4" w:tplc="04090003" w:tentative="1">
      <w:start w:val="1"/>
      <w:numFmt w:val="bullet"/>
      <w:lvlText w:val="o"/>
      <w:lvlJc w:val="left"/>
      <w:pPr>
        <w:ind w:left="3957" w:hanging="360"/>
      </w:pPr>
      <w:rPr>
        <w:rFonts w:ascii="Courier New" w:hAnsi="Courier New" w:cs="Courier New" w:hint="default"/>
      </w:rPr>
    </w:lvl>
    <w:lvl w:ilvl="5" w:tplc="04090005" w:tentative="1">
      <w:start w:val="1"/>
      <w:numFmt w:val="bullet"/>
      <w:lvlText w:val=""/>
      <w:lvlJc w:val="left"/>
      <w:pPr>
        <w:ind w:left="4677" w:hanging="360"/>
      </w:pPr>
      <w:rPr>
        <w:rFonts w:ascii="Wingdings" w:hAnsi="Wingdings" w:hint="default"/>
      </w:rPr>
    </w:lvl>
    <w:lvl w:ilvl="6" w:tplc="04090001" w:tentative="1">
      <w:start w:val="1"/>
      <w:numFmt w:val="bullet"/>
      <w:lvlText w:val=""/>
      <w:lvlJc w:val="left"/>
      <w:pPr>
        <w:ind w:left="5397" w:hanging="360"/>
      </w:pPr>
      <w:rPr>
        <w:rFonts w:ascii="Symbol" w:hAnsi="Symbol" w:hint="default"/>
      </w:rPr>
    </w:lvl>
    <w:lvl w:ilvl="7" w:tplc="04090003" w:tentative="1">
      <w:start w:val="1"/>
      <w:numFmt w:val="bullet"/>
      <w:lvlText w:val="o"/>
      <w:lvlJc w:val="left"/>
      <w:pPr>
        <w:ind w:left="6117" w:hanging="360"/>
      </w:pPr>
      <w:rPr>
        <w:rFonts w:ascii="Courier New" w:hAnsi="Courier New" w:cs="Courier New" w:hint="default"/>
      </w:rPr>
    </w:lvl>
    <w:lvl w:ilvl="8" w:tplc="04090005" w:tentative="1">
      <w:start w:val="1"/>
      <w:numFmt w:val="bullet"/>
      <w:lvlText w:val=""/>
      <w:lvlJc w:val="left"/>
      <w:pPr>
        <w:ind w:left="6837" w:hanging="360"/>
      </w:pPr>
      <w:rPr>
        <w:rFonts w:ascii="Wingdings" w:hAnsi="Wingdings" w:hint="default"/>
      </w:rPr>
    </w:lvl>
  </w:abstractNum>
  <w:abstractNum w:abstractNumId="1" w15:restartNumberingAfterBreak="0">
    <w:nsid w:val="14872EC6"/>
    <w:multiLevelType w:val="hybridMultilevel"/>
    <w:tmpl w:val="023E4EEE"/>
    <w:lvl w:ilvl="0" w:tplc="8286B3E6">
      <w:start w:val="30"/>
      <w:numFmt w:val="bullet"/>
      <w:lvlText w:val="-"/>
      <w:lvlJc w:val="left"/>
      <w:pPr>
        <w:ind w:left="717" w:hanging="360"/>
      </w:pPr>
      <w:rPr>
        <w:rFonts w:ascii="Calibri" w:eastAsiaTheme="minorHAnsi" w:hAnsi="Calibri" w:cs="Calibri" w:hint="default"/>
      </w:rPr>
    </w:lvl>
    <w:lvl w:ilvl="1" w:tplc="04090003" w:tentative="1">
      <w:start w:val="1"/>
      <w:numFmt w:val="bullet"/>
      <w:lvlText w:val="o"/>
      <w:lvlJc w:val="left"/>
      <w:pPr>
        <w:ind w:left="1437" w:hanging="360"/>
      </w:pPr>
      <w:rPr>
        <w:rFonts w:ascii="Courier New" w:hAnsi="Courier New" w:cs="Courier New" w:hint="default"/>
      </w:rPr>
    </w:lvl>
    <w:lvl w:ilvl="2" w:tplc="04090005" w:tentative="1">
      <w:start w:val="1"/>
      <w:numFmt w:val="bullet"/>
      <w:lvlText w:val=""/>
      <w:lvlJc w:val="left"/>
      <w:pPr>
        <w:ind w:left="2157" w:hanging="360"/>
      </w:pPr>
      <w:rPr>
        <w:rFonts w:ascii="Wingdings" w:hAnsi="Wingdings" w:hint="default"/>
      </w:rPr>
    </w:lvl>
    <w:lvl w:ilvl="3" w:tplc="04090001" w:tentative="1">
      <w:start w:val="1"/>
      <w:numFmt w:val="bullet"/>
      <w:lvlText w:val=""/>
      <w:lvlJc w:val="left"/>
      <w:pPr>
        <w:ind w:left="2877" w:hanging="360"/>
      </w:pPr>
      <w:rPr>
        <w:rFonts w:ascii="Symbol" w:hAnsi="Symbol" w:hint="default"/>
      </w:rPr>
    </w:lvl>
    <w:lvl w:ilvl="4" w:tplc="04090003" w:tentative="1">
      <w:start w:val="1"/>
      <w:numFmt w:val="bullet"/>
      <w:lvlText w:val="o"/>
      <w:lvlJc w:val="left"/>
      <w:pPr>
        <w:ind w:left="3597" w:hanging="360"/>
      </w:pPr>
      <w:rPr>
        <w:rFonts w:ascii="Courier New" w:hAnsi="Courier New" w:cs="Courier New" w:hint="default"/>
      </w:rPr>
    </w:lvl>
    <w:lvl w:ilvl="5" w:tplc="04090005" w:tentative="1">
      <w:start w:val="1"/>
      <w:numFmt w:val="bullet"/>
      <w:lvlText w:val=""/>
      <w:lvlJc w:val="left"/>
      <w:pPr>
        <w:ind w:left="4317" w:hanging="360"/>
      </w:pPr>
      <w:rPr>
        <w:rFonts w:ascii="Wingdings" w:hAnsi="Wingdings" w:hint="default"/>
      </w:rPr>
    </w:lvl>
    <w:lvl w:ilvl="6" w:tplc="04090001" w:tentative="1">
      <w:start w:val="1"/>
      <w:numFmt w:val="bullet"/>
      <w:lvlText w:val=""/>
      <w:lvlJc w:val="left"/>
      <w:pPr>
        <w:ind w:left="5037" w:hanging="360"/>
      </w:pPr>
      <w:rPr>
        <w:rFonts w:ascii="Symbol" w:hAnsi="Symbol" w:hint="default"/>
      </w:rPr>
    </w:lvl>
    <w:lvl w:ilvl="7" w:tplc="04090003" w:tentative="1">
      <w:start w:val="1"/>
      <w:numFmt w:val="bullet"/>
      <w:lvlText w:val="o"/>
      <w:lvlJc w:val="left"/>
      <w:pPr>
        <w:ind w:left="5757" w:hanging="360"/>
      </w:pPr>
      <w:rPr>
        <w:rFonts w:ascii="Courier New" w:hAnsi="Courier New" w:cs="Courier New" w:hint="default"/>
      </w:rPr>
    </w:lvl>
    <w:lvl w:ilvl="8" w:tplc="04090005" w:tentative="1">
      <w:start w:val="1"/>
      <w:numFmt w:val="bullet"/>
      <w:lvlText w:val=""/>
      <w:lvlJc w:val="left"/>
      <w:pPr>
        <w:ind w:left="6477" w:hanging="360"/>
      </w:pPr>
      <w:rPr>
        <w:rFonts w:ascii="Wingdings" w:hAnsi="Wingdings" w:hint="default"/>
      </w:rPr>
    </w:lvl>
  </w:abstractNum>
  <w:abstractNum w:abstractNumId="2" w15:restartNumberingAfterBreak="0">
    <w:nsid w:val="25766511"/>
    <w:multiLevelType w:val="hybridMultilevel"/>
    <w:tmpl w:val="37EE1E30"/>
    <w:lvl w:ilvl="0" w:tplc="04090001">
      <w:start w:val="1"/>
      <w:numFmt w:val="bullet"/>
      <w:lvlText w:val=""/>
      <w:lvlJc w:val="left"/>
      <w:pPr>
        <w:ind w:left="1077" w:hanging="360"/>
      </w:pPr>
      <w:rPr>
        <w:rFonts w:ascii="Symbol" w:hAnsi="Symbol" w:hint="default"/>
      </w:rPr>
    </w:lvl>
    <w:lvl w:ilvl="1" w:tplc="04090003" w:tentative="1">
      <w:start w:val="1"/>
      <w:numFmt w:val="bullet"/>
      <w:lvlText w:val="o"/>
      <w:lvlJc w:val="left"/>
      <w:pPr>
        <w:ind w:left="1797" w:hanging="360"/>
      </w:pPr>
      <w:rPr>
        <w:rFonts w:ascii="Courier New" w:hAnsi="Courier New" w:cs="Courier New" w:hint="default"/>
      </w:rPr>
    </w:lvl>
    <w:lvl w:ilvl="2" w:tplc="04090005" w:tentative="1">
      <w:start w:val="1"/>
      <w:numFmt w:val="bullet"/>
      <w:lvlText w:val=""/>
      <w:lvlJc w:val="left"/>
      <w:pPr>
        <w:ind w:left="2517" w:hanging="360"/>
      </w:pPr>
      <w:rPr>
        <w:rFonts w:ascii="Wingdings" w:hAnsi="Wingdings" w:hint="default"/>
      </w:rPr>
    </w:lvl>
    <w:lvl w:ilvl="3" w:tplc="04090001" w:tentative="1">
      <w:start w:val="1"/>
      <w:numFmt w:val="bullet"/>
      <w:lvlText w:val=""/>
      <w:lvlJc w:val="left"/>
      <w:pPr>
        <w:ind w:left="3237" w:hanging="360"/>
      </w:pPr>
      <w:rPr>
        <w:rFonts w:ascii="Symbol" w:hAnsi="Symbol" w:hint="default"/>
      </w:rPr>
    </w:lvl>
    <w:lvl w:ilvl="4" w:tplc="04090003" w:tentative="1">
      <w:start w:val="1"/>
      <w:numFmt w:val="bullet"/>
      <w:lvlText w:val="o"/>
      <w:lvlJc w:val="left"/>
      <w:pPr>
        <w:ind w:left="3957" w:hanging="360"/>
      </w:pPr>
      <w:rPr>
        <w:rFonts w:ascii="Courier New" w:hAnsi="Courier New" w:cs="Courier New" w:hint="default"/>
      </w:rPr>
    </w:lvl>
    <w:lvl w:ilvl="5" w:tplc="04090005" w:tentative="1">
      <w:start w:val="1"/>
      <w:numFmt w:val="bullet"/>
      <w:lvlText w:val=""/>
      <w:lvlJc w:val="left"/>
      <w:pPr>
        <w:ind w:left="4677" w:hanging="360"/>
      </w:pPr>
      <w:rPr>
        <w:rFonts w:ascii="Wingdings" w:hAnsi="Wingdings" w:hint="default"/>
      </w:rPr>
    </w:lvl>
    <w:lvl w:ilvl="6" w:tplc="04090001" w:tentative="1">
      <w:start w:val="1"/>
      <w:numFmt w:val="bullet"/>
      <w:lvlText w:val=""/>
      <w:lvlJc w:val="left"/>
      <w:pPr>
        <w:ind w:left="5397" w:hanging="360"/>
      </w:pPr>
      <w:rPr>
        <w:rFonts w:ascii="Symbol" w:hAnsi="Symbol" w:hint="default"/>
      </w:rPr>
    </w:lvl>
    <w:lvl w:ilvl="7" w:tplc="04090003" w:tentative="1">
      <w:start w:val="1"/>
      <w:numFmt w:val="bullet"/>
      <w:lvlText w:val="o"/>
      <w:lvlJc w:val="left"/>
      <w:pPr>
        <w:ind w:left="6117" w:hanging="360"/>
      </w:pPr>
      <w:rPr>
        <w:rFonts w:ascii="Courier New" w:hAnsi="Courier New" w:cs="Courier New" w:hint="default"/>
      </w:rPr>
    </w:lvl>
    <w:lvl w:ilvl="8" w:tplc="04090005" w:tentative="1">
      <w:start w:val="1"/>
      <w:numFmt w:val="bullet"/>
      <w:lvlText w:val=""/>
      <w:lvlJc w:val="left"/>
      <w:pPr>
        <w:ind w:left="6837" w:hanging="360"/>
      </w:pPr>
      <w:rPr>
        <w:rFonts w:ascii="Wingdings" w:hAnsi="Wingdings" w:hint="default"/>
      </w:rPr>
    </w:lvl>
  </w:abstractNum>
  <w:abstractNum w:abstractNumId="3" w15:restartNumberingAfterBreak="0">
    <w:nsid w:val="38F9743E"/>
    <w:multiLevelType w:val="hybridMultilevel"/>
    <w:tmpl w:val="5CB4ED3C"/>
    <w:lvl w:ilvl="0" w:tplc="04090001">
      <w:start w:val="1"/>
      <w:numFmt w:val="bullet"/>
      <w:lvlText w:val=""/>
      <w:lvlJc w:val="left"/>
      <w:pPr>
        <w:ind w:left="1077" w:hanging="360"/>
      </w:pPr>
      <w:rPr>
        <w:rFonts w:ascii="Symbol" w:hAnsi="Symbol" w:hint="default"/>
      </w:rPr>
    </w:lvl>
    <w:lvl w:ilvl="1" w:tplc="04090003" w:tentative="1">
      <w:start w:val="1"/>
      <w:numFmt w:val="bullet"/>
      <w:lvlText w:val="o"/>
      <w:lvlJc w:val="left"/>
      <w:pPr>
        <w:ind w:left="1797" w:hanging="360"/>
      </w:pPr>
      <w:rPr>
        <w:rFonts w:ascii="Courier New" w:hAnsi="Courier New" w:cs="Courier New" w:hint="default"/>
      </w:rPr>
    </w:lvl>
    <w:lvl w:ilvl="2" w:tplc="04090005" w:tentative="1">
      <w:start w:val="1"/>
      <w:numFmt w:val="bullet"/>
      <w:lvlText w:val=""/>
      <w:lvlJc w:val="left"/>
      <w:pPr>
        <w:ind w:left="2517" w:hanging="360"/>
      </w:pPr>
      <w:rPr>
        <w:rFonts w:ascii="Wingdings" w:hAnsi="Wingdings" w:hint="default"/>
      </w:rPr>
    </w:lvl>
    <w:lvl w:ilvl="3" w:tplc="04090001" w:tentative="1">
      <w:start w:val="1"/>
      <w:numFmt w:val="bullet"/>
      <w:lvlText w:val=""/>
      <w:lvlJc w:val="left"/>
      <w:pPr>
        <w:ind w:left="3237" w:hanging="360"/>
      </w:pPr>
      <w:rPr>
        <w:rFonts w:ascii="Symbol" w:hAnsi="Symbol" w:hint="default"/>
      </w:rPr>
    </w:lvl>
    <w:lvl w:ilvl="4" w:tplc="04090003" w:tentative="1">
      <w:start w:val="1"/>
      <w:numFmt w:val="bullet"/>
      <w:lvlText w:val="o"/>
      <w:lvlJc w:val="left"/>
      <w:pPr>
        <w:ind w:left="3957" w:hanging="360"/>
      </w:pPr>
      <w:rPr>
        <w:rFonts w:ascii="Courier New" w:hAnsi="Courier New" w:cs="Courier New" w:hint="default"/>
      </w:rPr>
    </w:lvl>
    <w:lvl w:ilvl="5" w:tplc="04090005" w:tentative="1">
      <w:start w:val="1"/>
      <w:numFmt w:val="bullet"/>
      <w:lvlText w:val=""/>
      <w:lvlJc w:val="left"/>
      <w:pPr>
        <w:ind w:left="4677" w:hanging="360"/>
      </w:pPr>
      <w:rPr>
        <w:rFonts w:ascii="Wingdings" w:hAnsi="Wingdings" w:hint="default"/>
      </w:rPr>
    </w:lvl>
    <w:lvl w:ilvl="6" w:tplc="04090001" w:tentative="1">
      <w:start w:val="1"/>
      <w:numFmt w:val="bullet"/>
      <w:lvlText w:val=""/>
      <w:lvlJc w:val="left"/>
      <w:pPr>
        <w:ind w:left="5397" w:hanging="360"/>
      </w:pPr>
      <w:rPr>
        <w:rFonts w:ascii="Symbol" w:hAnsi="Symbol" w:hint="default"/>
      </w:rPr>
    </w:lvl>
    <w:lvl w:ilvl="7" w:tplc="04090003" w:tentative="1">
      <w:start w:val="1"/>
      <w:numFmt w:val="bullet"/>
      <w:lvlText w:val="o"/>
      <w:lvlJc w:val="left"/>
      <w:pPr>
        <w:ind w:left="6117" w:hanging="360"/>
      </w:pPr>
      <w:rPr>
        <w:rFonts w:ascii="Courier New" w:hAnsi="Courier New" w:cs="Courier New" w:hint="default"/>
      </w:rPr>
    </w:lvl>
    <w:lvl w:ilvl="8" w:tplc="04090005" w:tentative="1">
      <w:start w:val="1"/>
      <w:numFmt w:val="bullet"/>
      <w:lvlText w:val=""/>
      <w:lvlJc w:val="left"/>
      <w:pPr>
        <w:ind w:left="6837" w:hanging="360"/>
      </w:pPr>
      <w:rPr>
        <w:rFonts w:ascii="Wingdings" w:hAnsi="Wingdings" w:hint="default"/>
      </w:rPr>
    </w:lvl>
  </w:abstractNum>
  <w:abstractNum w:abstractNumId="4" w15:restartNumberingAfterBreak="0">
    <w:nsid w:val="623E2414"/>
    <w:multiLevelType w:val="hybridMultilevel"/>
    <w:tmpl w:val="B6BE46F4"/>
    <w:lvl w:ilvl="0" w:tplc="57DAE124">
      <w:start w:val="30"/>
      <w:numFmt w:val="bullet"/>
      <w:lvlText w:val="-"/>
      <w:lvlJc w:val="left"/>
      <w:pPr>
        <w:ind w:left="717" w:hanging="360"/>
      </w:pPr>
      <w:rPr>
        <w:rFonts w:ascii="Calibri" w:eastAsiaTheme="minorHAnsi" w:hAnsi="Calibri" w:cs="Calibri" w:hint="default"/>
      </w:rPr>
    </w:lvl>
    <w:lvl w:ilvl="1" w:tplc="04090003" w:tentative="1">
      <w:start w:val="1"/>
      <w:numFmt w:val="bullet"/>
      <w:lvlText w:val="o"/>
      <w:lvlJc w:val="left"/>
      <w:pPr>
        <w:ind w:left="1437" w:hanging="360"/>
      </w:pPr>
      <w:rPr>
        <w:rFonts w:ascii="Courier New" w:hAnsi="Courier New" w:cs="Courier New" w:hint="default"/>
      </w:rPr>
    </w:lvl>
    <w:lvl w:ilvl="2" w:tplc="04090005" w:tentative="1">
      <w:start w:val="1"/>
      <w:numFmt w:val="bullet"/>
      <w:lvlText w:val=""/>
      <w:lvlJc w:val="left"/>
      <w:pPr>
        <w:ind w:left="2157" w:hanging="360"/>
      </w:pPr>
      <w:rPr>
        <w:rFonts w:ascii="Wingdings" w:hAnsi="Wingdings" w:hint="default"/>
      </w:rPr>
    </w:lvl>
    <w:lvl w:ilvl="3" w:tplc="04090001" w:tentative="1">
      <w:start w:val="1"/>
      <w:numFmt w:val="bullet"/>
      <w:lvlText w:val=""/>
      <w:lvlJc w:val="left"/>
      <w:pPr>
        <w:ind w:left="2877" w:hanging="360"/>
      </w:pPr>
      <w:rPr>
        <w:rFonts w:ascii="Symbol" w:hAnsi="Symbol" w:hint="default"/>
      </w:rPr>
    </w:lvl>
    <w:lvl w:ilvl="4" w:tplc="04090003" w:tentative="1">
      <w:start w:val="1"/>
      <w:numFmt w:val="bullet"/>
      <w:lvlText w:val="o"/>
      <w:lvlJc w:val="left"/>
      <w:pPr>
        <w:ind w:left="3597" w:hanging="360"/>
      </w:pPr>
      <w:rPr>
        <w:rFonts w:ascii="Courier New" w:hAnsi="Courier New" w:cs="Courier New" w:hint="default"/>
      </w:rPr>
    </w:lvl>
    <w:lvl w:ilvl="5" w:tplc="04090005" w:tentative="1">
      <w:start w:val="1"/>
      <w:numFmt w:val="bullet"/>
      <w:lvlText w:val=""/>
      <w:lvlJc w:val="left"/>
      <w:pPr>
        <w:ind w:left="4317" w:hanging="360"/>
      </w:pPr>
      <w:rPr>
        <w:rFonts w:ascii="Wingdings" w:hAnsi="Wingdings" w:hint="default"/>
      </w:rPr>
    </w:lvl>
    <w:lvl w:ilvl="6" w:tplc="04090001" w:tentative="1">
      <w:start w:val="1"/>
      <w:numFmt w:val="bullet"/>
      <w:lvlText w:val=""/>
      <w:lvlJc w:val="left"/>
      <w:pPr>
        <w:ind w:left="5037" w:hanging="360"/>
      </w:pPr>
      <w:rPr>
        <w:rFonts w:ascii="Symbol" w:hAnsi="Symbol" w:hint="default"/>
      </w:rPr>
    </w:lvl>
    <w:lvl w:ilvl="7" w:tplc="04090003" w:tentative="1">
      <w:start w:val="1"/>
      <w:numFmt w:val="bullet"/>
      <w:lvlText w:val="o"/>
      <w:lvlJc w:val="left"/>
      <w:pPr>
        <w:ind w:left="5757" w:hanging="360"/>
      </w:pPr>
      <w:rPr>
        <w:rFonts w:ascii="Courier New" w:hAnsi="Courier New" w:cs="Courier New" w:hint="default"/>
      </w:rPr>
    </w:lvl>
    <w:lvl w:ilvl="8" w:tplc="04090005" w:tentative="1">
      <w:start w:val="1"/>
      <w:numFmt w:val="bullet"/>
      <w:lvlText w:val=""/>
      <w:lvlJc w:val="left"/>
      <w:pPr>
        <w:ind w:left="6477" w:hanging="360"/>
      </w:pPr>
      <w:rPr>
        <w:rFonts w:ascii="Wingdings" w:hAnsi="Wingdings" w:hint="default"/>
      </w:rPr>
    </w:lvl>
  </w:abstractNum>
  <w:abstractNum w:abstractNumId="5" w15:restartNumberingAfterBreak="0">
    <w:nsid w:val="7A3C298D"/>
    <w:multiLevelType w:val="multilevel"/>
    <w:tmpl w:val="8A5A3A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3"/>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F0F"/>
    <w:rsid w:val="0002765E"/>
    <w:rsid w:val="00036733"/>
    <w:rsid w:val="00044BD9"/>
    <w:rsid w:val="0004738D"/>
    <w:rsid w:val="000913F7"/>
    <w:rsid w:val="000C0345"/>
    <w:rsid w:val="000E7785"/>
    <w:rsid w:val="000E7956"/>
    <w:rsid w:val="000F4A42"/>
    <w:rsid w:val="00103E3A"/>
    <w:rsid w:val="00115AF0"/>
    <w:rsid w:val="00117DDD"/>
    <w:rsid w:val="001200C5"/>
    <w:rsid w:val="00123F70"/>
    <w:rsid w:val="00142EAA"/>
    <w:rsid w:val="00155808"/>
    <w:rsid w:val="00166F02"/>
    <w:rsid w:val="00170197"/>
    <w:rsid w:val="001736BA"/>
    <w:rsid w:val="00180771"/>
    <w:rsid w:val="0018363C"/>
    <w:rsid w:val="001A422C"/>
    <w:rsid w:val="001E2CDB"/>
    <w:rsid w:val="001E2E0A"/>
    <w:rsid w:val="001E7555"/>
    <w:rsid w:val="001F55F3"/>
    <w:rsid w:val="0020249A"/>
    <w:rsid w:val="0021621B"/>
    <w:rsid w:val="00220FD4"/>
    <w:rsid w:val="00225E46"/>
    <w:rsid w:val="00263455"/>
    <w:rsid w:val="002762B1"/>
    <w:rsid w:val="00282994"/>
    <w:rsid w:val="002A74D0"/>
    <w:rsid w:val="002B19FC"/>
    <w:rsid w:val="002F58D0"/>
    <w:rsid w:val="0031466D"/>
    <w:rsid w:val="00331D71"/>
    <w:rsid w:val="00355248"/>
    <w:rsid w:val="00371B67"/>
    <w:rsid w:val="003778F7"/>
    <w:rsid w:val="003C76CA"/>
    <w:rsid w:val="003E46E5"/>
    <w:rsid w:val="00410685"/>
    <w:rsid w:val="0043695F"/>
    <w:rsid w:val="0044651D"/>
    <w:rsid w:val="00450027"/>
    <w:rsid w:val="00452222"/>
    <w:rsid w:val="00465794"/>
    <w:rsid w:val="00467656"/>
    <w:rsid w:val="004714C6"/>
    <w:rsid w:val="00474FDE"/>
    <w:rsid w:val="004A2B55"/>
    <w:rsid w:val="004C5259"/>
    <w:rsid w:val="004F116E"/>
    <w:rsid w:val="005100E3"/>
    <w:rsid w:val="00521150"/>
    <w:rsid w:val="00521CE0"/>
    <w:rsid w:val="005346EC"/>
    <w:rsid w:val="00553924"/>
    <w:rsid w:val="00575F3B"/>
    <w:rsid w:val="00577C7D"/>
    <w:rsid w:val="005C309D"/>
    <w:rsid w:val="005D0794"/>
    <w:rsid w:val="005D7C46"/>
    <w:rsid w:val="005E0F0F"/>
    <w:rsid w:val="005E26A1"/>
    <w:rsid w:val="005E7050"/>
    <w:rsid w:val="005F5B90"/>
    <w:rsid w:val="0060622E"/>
    <w:rsid w:val="00627739"/>
    <w:rsid w:val="006353C2"/>
    <w:rsid w:val="00656FCB"/>
    <w:rsid w:val="00657543"/>
    <w:rsid w:val="006629E6"/>
    <w:rsid w:val="00674BAF"/>
    <w:rsid w:val="006856C0"/>
    <w:rsid w:val="006C4FBF"/>
    <w:rsid w:val="006D02FC"/>
    <w:rsid w:val="006D1E5C"/>
    <w:rsid w:val="006E0C30"/>
    <w:rsid w:val="006F65D9"/>
    <w:rsid w:val="00742A0F"/>
    <w:rsid w:val="00742F6D"/>
    <w:rsid w:val="007459E5"/>
    <w:rsid w:val="007536D4"/>
    <w:rsid w:val="007560A8"/>
    <w:rsid w:val="007A4B95"/>
    <w:rsid w:val="007F02B7"/>
    <w:rsid w:val="007F52D3"/>
    <w:rsid w:val="00812401"/>
    <w:rsid w:val="00840952"/>
    <w:rsid w:val="00846575"/>
    <w:rsid w:val="00846D2C"/>
    <w:rsid w:val="008518FB"/>
    <w:rsid w:val="00860103"/>
    <w:rsid w:val="00867121"/>
    <w:rsid w:val="008674C7"/>
    <w:rsid w:val="00867F0B"/>
    <w:rsid w:val="00876FFD"/>
    <w:rsid w:val="008807D2"/>
    <w:rsid w:val="00893519"/>
    <w:rsid w:val="008B017C"/>
    <w:rsid w:val="008C6863"/>
    <w:rsid w:val="008D4279"/>
    <w:rsid w:val="008E7018"/>
    <w:rsid w:val="008F3171"/>
    <w:rsid w:val="008F5297"/>
    <w:rsid w:val="00900C0E"/>
    <w:rsid w:val="009046FA"/>
    <w:rsid w:val="0092297C"/>
    <w:rsid w:val="00977081"/>
    <w:rsid w:val="00994250"/>
    <w:rsid w:val="009A5F3A"/>
    <w:rsid w:val="00A012CF"/>
    <w:rsid w:val="00A51038"/>
    <w:rsid w:val="00AA3950"/>
    <w:rsid w:val="00AC0393"/>
    <w:rsid w:val="00AC1803"/>
    <w:rsid w:val="00AE4D74"/>
    <w:rsid w:val="00B04E18"/>
    <w:rsid w:val="00B07C6F"/>
    <w:rsid w:val="00B14D24"/>
    <w:rsid w:val="00B22DFA"/>
    <w:rsid w:val="00B328A0"/>
    <w:rsid w:val="00B347D4"/>
    <w:rsid w:val="00B46883"/>
    <w:rsid w:val="00B66DE8"/>
    <w:rsid w:val="00B8172C"/>
    <w:rsid w:val="00BA0B4C"/>
    <w:rsid w:val="00BD4852"/>
    <w:rsid w:val="00BF6CE7"/>
    <w:rsid w:val="00BF70C9"/>
    <w:rsid w:val="00C1541B"/>
    <w:rsid w:val="00C5662B"/>
    <w:rsid w:val="00C6601A"/>
    <w:rsid w:val="00CC44AB"/>
    <w:rsid w:val="00CF14B9"/>
    <w:rsid w:val="00D07006"/>
    <w:rsid w:val="00D33A9D"/>
    <w:rsid w:val="00D33B69"/>
    <w:rsid w:val="00D6179D"/>
    <w:rsid w:val="00D63992"/>
    <w:rsid w:val="00D738A6"/>
    <w:rsid w:val="00D9043B"/>
    <w:rsid w:val="00DA0999"/>
    <w:rsid w:val="00DF19E0"/>
    <w:rsid w:val="00E05E04"/>
    <w:rsid w:val="00E11AAA"/>
    <w:rsid w:val="00E37DEA"/>
    <w:rsid w:val="00E8151D"/>
    <w:rsid w:val="00E878F5"/>
    <w:rsid w:val="00EB54A4"/>
    <w:rsid w:val="00EE0A5D"/>
    <w:rsid w:val="00EF00F4"/>
    <w:rsid w:val="00F3051A"/>
    <w:rsid w:val="00F37304"/>
    <w:rsid w:val="00F41AF6"/>
    <w:rsid w:val="00F63509"/>
    <w:rsid w:val="00F667E0"/>
    <w:rsid w:val="00F82893"/>
    <w:rsid w:val="00F8752B"/>
    <w:rsid w:val="00F910CA"/>
    <w:rsid w:val="00F91172"/>
    <w:rsid w:val="00F97AEA"/>
    <w:rsid w:val="00FA38C7"/>
    <w:rsid w:val="00FB2881"/>
    <w:rsid w:val="00FC2D3E"/>
    <w:rsid w:val="00FE0312"/>
    <w:rsid w:val="00FE7A20"/>
    <w:rsid w:val="00FF134D"/>
    <w:rsid w:val="00FF1B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F070C4"/>
  <w14:defaultImageDpi w14:val="32767"/>
  <w15:chartTrackingRefBased/>
  <w15:docId w15:val="{EB4D3F35-58A1-AC4F-BB84-F4B52FA90E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320" w:line="320" w:lineRule="atLeast"/>
        <w:ind w:left="714" w:hanging="357"/>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E0C30"/>
    <w:pPr>
      <w:spacing w:after="0" w:line="240" w:lineRule="auto"/>
      <w:ind w:left="0" w:firstLine="0"/>
    </w:pPr>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0F0F"/>
    <w:pPr>
      <w:spacing w:after="320" w:line="320" w:lineRule="atLeast"/>
      <w:ind w:left="720" w:hanging="357"/>
      <w:contextualSpacing/>
    </w:pPr>
    <w:rPr>
      <w:rFonts w:asciiTheme="minorHAnsi" w:eastAsiaTheme="minorHAnsi" w:hAnsiTheme="minorHAnsi" w:cstheme="minorBidi"/>
    </w:rPr>
  </w:style>
  <w:style w:type="paragraph" w:styleId="NormalWeb">
    <w:name w:val="Normal (Web)"/>
    <w:basedOn w:val="Normal"/>
    <w:uiPriority w:val="99"/>
    <w:semiHidden/>
    <w:unhideWhenUsed/>
    <w:rsid w:val="0004738D"/>
    <w:pPr>
      <w:spacing w:before="100" w:beforeAutospacing="1" w:after="100" w:afterAutospacing="1"/>
    </w:pPr>
  </w:style>
  <w:style w:type="character" w:customStyle="1" w:styleId="apple-converted-space">
    <w:name w:val="apple-converted-space"/>
    <w:basedOn w:val="DefaultParagraphFont"/>
    <w:rsid w:val="006629E6"/>
  </w:style>
  <w:style w:type="character" w:customStyle="1" w:styleId="fipmark">
    <w:name w:val="fip_mark"/>
    <w:basedOn w:val="DefaultParagraphFont"/>
    <w:rsid w:val="006629E6"/>
  </w:style>
  <w:style w:type="character" w:styleId="Hyperlink">
    <w:name w:val="Hyperlink"/>
    <w:basedOn w:val="DefaultParagraphFont"/>
    <w:uiPriority w:val="99"/>
    <w:unhideWhenUsed/>
    <w:rsid w:val="006629E6"/>
    <w:rPr>
      <w:color w:val="0000FF"/>
      <w:u w:val="single"/>
    </w:rPr>
  </w:style>
  <w:style w:type="character" w:customStyle="1" w:styleId="ref-title">
    <w:name w:val="ref-title"/>
    <w:basedOn w:val="DefaultParagraphFont"/>
    <w:rsid w:val="00BF6CE7"/>
  </w:style>
  <w:style w:type="character" w:customStyle="1" w:styleId="ref-journal">
    <w:name w:val="ref-journal"/>
    <w:basedOn w:val="DefaultParagraphFont"/>
    <w:rsid w:val="00BF6CE7"/>
  </w:style>
  <w:style w:type="character" w:styleId="UnresolvedMention">
    <w:name w:val="Unresolved Mention"/>
    <w:basedOn w:val="DefaultParagraphFont"/>
    <w:uiPriority w:val="99"/>
    <w:rsid w:val="008F5297"/>
    <w:rPr>
      <w:color w:val="808080"/>
      <w:shd w:val="clear" w:color="auto" w:fill="E6E6E6"/>
    </w:rPr>
  </w:style>
  <w:style w:type="paragraph" w:customStyle="1" w:styleId="paragraph">
    <w:name w:val="paragraph"/>
    <w:basedOn w:val="Normal"/>
    <w:rsid w:val="00BD4852"/>
    <w:pPr>
      <w:spacing w:before="100" w:beforeAutospacing="1" w:after="100" w:afterAutospacing="1"/>
    </w:pPr>
  </w:style>
  <w:style w:type="character" w:customStyle="1" w:styleId="normaltextrun">
    <w:name w:val="normaltextrun"/>
    <w:basedOn w:val="DefaultParagraphFont"/>
    <w:rsid w:val="00BD4852"/>
  </w:style>
  <w:style w:type="character" w:customStyle="1" w:styleId="spellingerror">
    <w:name w:val="spellingerror"/>
    <w:basedOn w:val="DefaultParagraphFont"/>
    <w:rsid w:val="00BD4852"/>
  </w:style>
  <w:style w:type="character" w:customStyle="1" w:styleId="eop">
    <w:name w:val="eop"/>
    <w:basedOn w:val="DefaultParagraphFont"/>
    <w:rsid w:val="00BD48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975381">
      <w:bodyDiv w:val="1"/>
      <w:marLeft w:val="0"/>
      <w:marRight w:val="0"/>
      <w:marTop w:val="0"/>
      <w:marBottom w:val="0"/>
      <w:divBdr>
        <w:top w:val="none" w:sz="0" w:space="0" w:color="auto"/>
        <w:left w:val="none" w:sz="0" w:space="0" w:color="auto"/>
        <w:bottom w:val="none" w:sz="0" w:space="0" w:color="auto"/>
        <w:right w:val="none" w:sz="0" w:space="0" w:color="auto"/>
      </w:divBdr>
      <w:divsChild>
        <w:div w:id="2147352843">
          <w:marLeft w:val="0"/>
          <w:marRight w:val="0"/>
          <w:marTop w:val="0"/>
          <w:marBottom w:val="0"/>
          <w:divBdr>
            <w:top w:val="none" w:sz="0" w:space="0" w:color="auto"/>
            <w:left w:val="none" w:sz="0" w:space="0" w:color="auto"/>
            <w:bottom w:val="none" w:sz="0" w:space="0" w:color="auto"/>
            <w:right w:val="none" w:sz="0" w:space="0" w:color="auto"/>
          </w:divBdr>
          <w:divsChild>
            <w:div w:id="170881242">
              <w:marLeft w:val="0"/>
              <w:marRight w:val="0"/>
              <w:marTop w:val="0"/>
              <w:marBottom w:val="0"/>
              <w:divBdr>
                <w:top w:val="none" w:sz="0" w:space="0" w:color="auto"/>
                <w:left w:val="none" w:sz="0" w:space="0" w:color="auto"/>
                <w:bottom w:val="none" w:sz="0" w:space="0" w:color="auto"/>
                <w:right w:val="none" w:sz="0" w:space="0" w:color="auto"/>
              </w:divBdr>
              <w:divsChild>
                <w:div w:id="1691561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3155900">
      <w:bodyDiv w:val="1"/>
      <w:marLeft w:val="0"/>
      <w:marRight w:val="0"/>
      <w:marTop w:val="0"/>
      <w:marBottom w:val="0"/>
      <w:divBdr>
        <w:top w:val="none" w:sz="0" w:space="0" w:color="auto"/>
        <w:left w:val="none" w:sz="0" w:space="0" w:color="auto"/>
        <w:bottom w:val="none" w:sz="0" w:space="0" w:color="auto"/>
        <w:right w:val="none" w:sz="0" w:space="0" w:color="auto"/>
      </w:divBdr>
      <w:divsChild>
        <w:div w:id="1001005853">
          <w:marLeft w:val="0"/>
          <w:marRight w:val="0"/>
          <w:marTop w:val="0"/>
          <w:marBottom w:val="0"/>
          <w:divBdr>
            <w:top w:val="none" w:sz="0" w:space="0" w:color="auto"/>
            <w:left w:val="none" w:sz="0" w:space="0" w:color="auto"/>
            <w:bottom w:val="none" w:sz="0" w:space="0" w:color="auto"/>
            <w:right w:val="none" w:sz="0" w:space="0" w:color="auto"/>
          </w:divBdr>
          <w:divsChild>
            <w:div w:id="858398967">
              <w:marLeft w:val="0"/>
              <w:marRight w:val="0"/>
              <w:marTop w:val="0"/>
              <w:marBottom w:val="0"/>
              <w:divBdr>
                <w:top w:val="none" w:sz="0" w:space="0" w:color="auto"/>
                <w:left w:val="none" w:sz="0" w:space="0" w:color="auto"/>
                <w:bottom w:val="none" w:sz="0" w:space="0" w:color="auto"/>
                <w:right w:val="none" w:sz="0" w:space="0" w:color="auto"/>
              </w:divBdr>
              <w:divsChild>
                <w:div w:id="331952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1399981">
      <w:bodyDiv w:val="1"/>
      <w:marLeft w:val="0"/>
      <w:marRight w:val="0"/>
      <w:marTop w:val="0"/>
      <w:marBottom w:val="0"/>
      <w:divBdr>
        <w:top w:val="none" w:sz="0" w:space="0" w:color="auto"/>
        <w:left w:val="none" w:sz="0" w:space="0" w:color="auto"/>
        <w:bottom w:val="none" w:sz="0" w:space="0" w:color="auto"/>
        <w:right w:val="none" w:sz="0" w:space="0" w:color="auto"/>
      </w:divBdr>
    </w:div>
    <w:div w:id="336276222">
      <w:bodyDiv w:val="1"/>
      <w:marLeft w:val="0"/>
      <w:marRight w:val="0"/>
      <w:marTop w:val="0"/>
      <w:marBottom w:val="0"/>
      <w:divBdr>
        <w:top w:val="none" w:sz="0" w:space="0" w:color="auto"/>
        <w:left w:val="none" w:sz="0" w:space="0" w:color="auto"/>
        <w:bottom w:val="none" w:sz="0" w:space="0" w:color="auto"/>
        <w:right w:val="none" w:sz="0" w:space="0" w:color="auto"/>
      </w:divBdr>
      <w:divsChild>
        <w:div w:id="676428002">
          <w:marLeft w:val="0"/>
          <w:marRight w:val="0"/>
          <w:marTop w:val="0"/>
          <w:marBottom w:val="0"/>
          <w:divBdr>
            <w:top w:val="none" w:sz="0" w:space="0" w:color="auto"/>
            <w:left w:val="none" w:sz="0" w:space="0" w:color="auto"/>
            <w:bottom w:val="none" w:sz="0" w:space="0" w:color="auto"/>
            <w:right w:val="none" w:sz="0" w:space="0" w:color="auto"/>
          </w:divBdr>
          <w:divsChild>
            <w:div w:id="319817109">
              <w:marLeft w:val="0"/>
              <w:marRight w:val="0"/>
              <w:marTop w:val="0"/>
              <w:marBottom w:val="0"/>
              <w:divBdr>
                <w:top w:val="none" w:sz="0" w:space="0" w:color="auto"/>
                <w:left w:val="none" w:sz="0" w:space="0" w:color="auto"/>
                <w:bottom w:val="none" w:sz="0" w:space="0" w:color="auto"/>
                <w:right w:val="none" w:sz="0" w:space="0" w:color="auto"/>
              </w:divBdr>
              <w:divsChild>
                <w:div w:id="1485194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7313663">
      <w:bodyDiv w:val="1"/>
      <w:marLeft w:val="0"/>
      <w:marRight w:val="0"/>
      <w:marTop w:val="0"/>
      <w:marBottom w:val="0"/>
      <w:divBdr>
        <w:top w:val="none" w:sz="0" w:space="0" w:color="auto"/>
        <w:left w:val="none" w:sz="0" w:space="0" w:color="auto"/>
        <w:bottom w:val="none" w:sz="0" w:space="0" w:color="auto"/>
        <w:right w:val="none" w:sz="0" w:space="0" w:color="auto"/>
      </w:divBdr>
    </w:div>
    <w:div w:id="440687901">
      <w:bodyDiv w:val="1"/>
      <w:marLeft w:val="0"/>
      <w:marRight w:val="0"/>
      <w:marTop w:val="0"/>
      <w:marBottom w:val="0"/>
      <w:divBdr>
        <w:top w:val="none" w:sz="0" w:space="0" w:color="auto"/>
        <w:left w:val="none" w:sz="0" w:space="0" w:color="auto"/>
        <w:bottom w:val="none" w:sz="0" w:space="0" w:color="auto"/>
        <w:right w:val="none" w:sz="0" w:space="0" w:color="auto"/>
      </w:divBdr>
    </w:div>
    <w:div w:id="455173812">
      <w:bodyDiv w:val="1"/>
      <w:marLeft w:val="0"/>
      <w:marRight w:val="0"/>
      <w:marTop w:val="0"/>
      <w:marBottom w:val="0"/>
      <w:divBdr>
        <w:top w:val="none" w:sz="0" w:space="0" w:color="auto"/>
        <w:left w:val="none" w:sz="0" w:space="0" w:color="auto"/>
        <w:bottom w:val="none" w:sz="0" w:space="0" w:color="auto"/>
        <w:right w:val="none" w:sz="0" w:space="0" w:color="auto"/>
      </w:divBdr>
    </w:div>
    <w:div w:id="589125605">
      <w:bodyDiv w:val="1"/>
      <w:marLeft w:val="0"/>
      <w:marRight w:val="0"/>
      <w:marTop w:val="0"/>
      <w:marBottom w:val="0"/>
      <w:divBdr>
        <w:top w:val="none" w:sz="0" w:space="0" w:color="auto"/>
        <w:left w:val="none" w:sz="0" w:space="0" w:color="auto"/>
        <w:bottom w:val="none" w:sz="0" w:space="0" w:color="auto"/>
        <w:right w:val="none" w:sz="0" w:space="0" w:color="auto"/>
      </w:divBdr>
      <w:divsChild>
        <w:div w:id="1557203449">
          <w:marLeft w:val="0"/>
          <w:marRight w:val="0"/>
          <w:marTop w:val="0"/>
          <w:marBottom w:val="0"/>
          <w:divBdr>
            <w:top w:val="none" w:sz="0" w:space="0" w:color="auto"/>
            <w:left w:val="none" w:sz="0" w:space="0" w:color="auto"/>
            <w:bottom w:val="none" w:sz="0" w:space="0" w:color="auto"/>
            <w:right w:val="none" w:sz="0" w:space="0" w:color="auto"/>
          </w:divBdr>
          <w:divsChild>
            <w:div w:id="1845514121">
              <w:marLeft w:val="0"/>
              <w:marRight w:val="0"/>
              <w:marTop w:val="0"/>
              <w:marBottom w:val="0"/>
              <w:divBdr>
                <w:top w:val="none" w:sz="0" w:space="0" w:color="auto"/>
                <w:left w:val="none" w:sz="0" w:space="0" w:color="auto"/>
                <w:bottom w:val="none" w:sz="0" w:space="0" w:color="auto"/>
                <w:right w:val="none" w:sz="0" w:space="0" w:color="auto"/>
              </w:divBdr>
              <w:divsChild>
                <w:div w:id="713698206">
                  <w:marLeft w:val="0"/>
                  <w:marRight w:val="0"/>
                  <w:marTop w:val="0"/>
                  <w:marBottom w:val="0"/>
                  <w:divBdr>
                    <w:top w:val="none" w:sz="0" w:space="0" w:color="auto"/>
                    <w:left w:val="none" w:sz="0" w:space="0" w:color="auto"/>
                    <w:bottom w:val="none" w:sz="0" w:space="0" w:color="auto"/>
                    <w:right w:val="none" w:sz="0" w:space="0" w:color="auto"/>
                  </w:divBdr>
                  <w:divsChild>
                    <w:div w:id="1578633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518514">
      <w:bodyDiv w:val="1"/>
      <w:marLeft w:val="0"/>
      <w:marRight w:val="0"/>
      <w:marTop w:val="0"/>
      <w:marBottom w:val="0"/>
      <w:divBdr>
        <w:top w:val="none" w:sz="0" w:space="0" w:color="auto"/>
        <w:left w:val="none" w:sz="0" w:space="0" w:color="auto"/>
        <w:bottom w:val="none" w:sz="0" w:space="0" w:color="auto"/>
        <w:right w:val="none" w:sz="0" w:space="0" w:color="auto"/>
      </w:divBdr>
    </w:div>
    <w:div w:id="808939287">
      <w:bodyDiv w:val="1"/>
      <w:marLeft w:val="0"/>
      <w:marRight w:val="0"/>
      <w:marTop w:val="0"/>
      <w:marBottom w:val="0"/>
      <w:divBdr>
        <w:top w:val="none" w:sz="0" w:space="0" w:color="auto"/>
        <w:left w:val="none" w:sz="0" w:space="0" w:color="auto"/>
        <w:bottom w:val="none" w:sz="0" w:space="0" w:color="auto"/>
        <w:right w:val="none" w:sz="0" w:space="0" w:color="auto"/>
      </w:divBdr>
    </w:div>
    <w:div w:id="843864105">
      <w:bodyDiv w:val="1"/>
      <w:marLeft w:val="0"/>
      <w:marRight w:val="0"/>
      <w:marTop w:val="0"/>
      <w:marBottom w:val="0"/>
      <w:divBdr>
        <w:top w:val="none" w:sz="0" w:space="0" w:color="auto"/>
        <w:left w:val="none" w:sz="0" w:space="0" w:color="auto"/>
        <w:bottom w:val="none" w:sz="0" w:space="0" w:color="auto"/>
        <w:right w:val="none" w:sz="0" w:space="0" w:color="auto"/>
      </w:divBdr>
    </w:div>
    <w:div w:id="1056051485">
      <w:bodyDiv w:val="1"/>
      <w:marLeft w:val="0"/>
      <w:marRight w:val="0"/>
      <w:marTop w:val="0"/>
      <w:marBottom w:val="0"/>
      <w:divBdr>
        <w:top w:val="none" w:sz="0" w:space="0" w:color="auto"/>
        <w:left w:val="none" w:sz="0" w:space="0" w:color="auto"/>
        <w:bottom w:val="none" w:sz="0" w:space="0" w:color="auto"/>
        <w:right w:val="none" w:sz="0" w:space="0" w:color="auto"/>
      </w:divBdr>
    </w:div>
    <w:div w:id="1057583693">
      <w:bodyDiv w:val="1"/>
      <w:marLeft w:val="0"/>
      <w:marRight w:val="0"/>
      <w:marTop w:val="0"/>
      <w:marBottom w:val="0"/>
      <w:divBdr>
        <w:top w:val="none" w:sz="0" w:space="0" w:color="auto"/>
        <w:left w:val="none" w:sz="0" w:space="0" w:color="auto"/>
        <w:bottom w:val="none" w:sz="0" w:space="0" w:color="auto"/>
        <w:right w:val="none" w:sz="0" w:space="0" w:color="auto"/>
      </w:divBdr>
    </w:div>
    <w:div w:id="1079911111">
      <w:bodyDiv w:val="1"/>
      <w:marLeft w:val="0"/>
      <w:marRight w:val="0"/>
      <w:marTop w:val="0"/>
      <w:marBottom w:val="0"/>
      <w:divBdr>
        <w:top w:val="none" w:sz="0" w:space="0" w:color="auto"/>
        <w:left w:val="none" w:sz="0" w:space="0" w:color="auto"/>
        <w:bottom w:val="none" w:sz="0" w:space="0" w:color="auto"/>
        <w:right w:val="none" w:sz="0" w:space="0" w:color="auto"/>
      </w:divBdr>
    </w:div>
    <w:div w:id="1120148624">
      <w:bodyDiv w:val="1"/>
      <w:marLeft w:val="0"/>
      <w:marRight w:val="0"/>
      <w:marTop w:val="0"/>
      <w:marBottom w:val="0"/>
      <w:divBdr>
        <w:top w:val="none" w:sz="0" w:space="0" w:color="auto"/>
        <w:left w:val="none" w:sz="0" w:space="0" w:color="auto"/>
        <w:bottom w:val="none" w:sz="0" w:space="0" w:color="auto"/>
        <w:right w:val="none" w:sz="0" w:space="0" w:color="auto"/>
      </w:divBdr>
      <w:divsChild>
        <w:div w:id="762578012">
          <w:marLeft w:val="0"/>
          <w:marRight w:val="0"/>
          <w:marTop w:val="0"/>
          <w:marBottom w:val="0"/>
          <w:divBdr>
            <w:top w:val="none" w:sz="0" w:space="0" w:color="auto"/>
            <w:left w:val="none" w:sz="0" w:space="0" w:color="auto"/>
            <w:bottom w:val="none" w:sz="0" w:space="0" w:color="auto"/>
            <w:right w:val="none" w:sz="0" w:space="0" w:color="auto"/>
          </w:divBdr>
          <w:divsChild>
            <w:div w:id="473065690">
              <w:marLeft w:val="0"/>
              <w:marRight w:val="0"/>
              <w:marTop w:val="0"/>
              <w:marBottom w:val="0"/>
              <w:divBdr>
                <w:top w:val="none" w:sz="0" w:space="0" w:color="auto"/>
                <w:left w:val="none" w:sz="0" w:space="0" w:color="auto"/>
                <w:bottom w:val="none" w:sz="0" w:space="0" w:color="auto"/>
                <w:right w:val="none" w:sz="0" w:space="0" w:color="auto"/>
              </w:divBdr>
              <w:divsChild>
                <w:div w:id="466702676">
                  <w:marLeft w:val="0"/>
                  <w:marRight w:val="0"/>
                  <w:marTop w:val="0"/>
                  <w:marBottom w:val="0"/>
                  <w:divBdr>
                    <w:top w:val="none" w:sz="0" w:space="0" w:color="auto"/>
                    <w:left w:val="none" w:sz="0" w:space="0" w:color="auto"/>
                    <w:bottom w:val="none" w:sz="0" w:space="0" w:color="auto"/>
                    <w:right w:val="none" w:sz="0" w:space="0" w:color="auto"/>
                  </w:divBdr>
                  <w:divsChild>
                    <w:div w:id="953901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6464370">
      <w:bodyDiv w:val="1"/>
      <w:marLeft w:val="0"/>
      <w:marRight w:val="0"/>
      <w:marTop w:val="0"/>
      <w:marBottom w:val="0"/>
      <w:divBdr>
        <w:top w:val="none" w:sz="0" w:space="0" w:color="auto"/>
        <w:left w:val="none" w:sz="0" w:space="0" w:color="auto"/>
        <w:bottom w:val="none" w:sz="0" w:space="0" w:color="auto"/>
        <w:right w:val="none" w:sz="0" w:space="0" w:color="auto"/>
      </w:divBdr>
      <w:divsChild>
        <w:div w:id="599682764">
          <w:marLeft w:val="0"/>
          <w:marRight w:val="0"/>
          <w:marTop w:val="0"/>
          <w:marBottom w:val="0"/>
          <w:divBdr>
            <w:top w:val="none" w:sz="0" w:space="0" w:color="auto"/>
            <w:left w:val="none" w:sz="0" w:space="0" w:color="auto"/>
            <w:bottom w:val="none" w:sz="0" w:space="0" w:color="auto"/>
            <w:right w:val="none" w:sz="0" w:space="0" w:color="auto"/>
          </w:divBdr>
        </w:div>
      </w:divsChild>
    </w:div>
    <w:div w:id="1166549689">
      <w:bodyDiv w:val="1"/>
      <w:marLeft w:val="0"/>
      <w:marRight w:val="0"/>
      <w:marTop w:val="0"/>
      <w:marBottom w:val="0"/>
      <w:divBdr>
        <w:top w:val="none" w:sz="0" w:space="0" w:color="auto"/>
        <w:left w:val="none" w:sz="0" w:space="0" w:color="auto"/>
        <w:bottom w:val="none" w:sz="0" w:space="0" w:color="auto"/>
        <w:right w:val="none" w:sz="0" w:space="0" w:color="auto"/>
      </w:divBdr>
      <w:divsChild>
        <w:div w:id="534272014">
          <w:marLeft w:val="0"/>
          <w:marRight w:val="0"/>
          <w:marTop w:val="0"/>
          <w:marBottom w:val="0"/>
          <w:divBdr>
            <w:top w:val="none" w:sz="0" w:space="0" w:color="auto"/>
            <w:left w:val="none" w:sz="0" w:space="0" w:color="auto"/>
            <w:bottom w:val="none" w:sz="0" w:space="0" w:color="auto"/>
            <w:right w:val="none" w:sz="0" w:space="0" w:color="auto"/>
          </w:divBdr>
          <w:divsChild>
            <w:div w:id="1075516608">
              <w:marLeft w:val="0"/>
              <w:marRight w:val="0"/>
              <w:marTop w:val="0"/>
              <w:marBottom w:val="0"/>
              <w:divBdr>
                <w:top w:val="none" w:sz="0" w:space="0" w:color="auto"/>
                <w:left w:val="none" w:sz="0" w:space="0" w:color="auto"/>
                <w:bottom w:val="none" w:sz="0" w:space="0" w:color="auto"/>
                <w:right w:val="none" w:sz="0" w:space="0" w:color="auto"/>
              </w:divBdr>
              <w:divsChild>
                <w:div w:id="1071580869">
                  <w:marLeft w:val="0"/>
                  <w:marRight w:val="0"/>
                  <w:marTop w:val="0"/>
                  <w:marBottom w:val="0"/>
                  <w:divBdr>
                    <w:top w:val="none" w:sz="0" w:space="0" w:color="auto"/>
                    <w:left w:val="none" w:sz="0" w:space="0" w:color="auto"/>
                    <w:bottom w:val="none" w:sz="0" w:space="0" w:color="auto"/>
                    <w:right w:val="none" w:sz="0" w:space="0" w:color="auto"/>
                  </w:divBdr>
                  <w:divsChild>
                    <w:div w:id="1845123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5543792">
      <w:bodyDiv w:val="1"/>
      <w:marLeft w:val="0"/>
      <w:marRight w:val="0"/>
      <w:marTop w:val="0"/>
      <w:marBottom w:val="0"/>
      <w:divBdr>
        <w:top w:val="none" w:sz="0" w:space="0" w:color="auto"/>
        <w:left w:val="none" w:sz="0" w:space="0" w:color="auto"/>
        <w:bottom w:val="none" w:sz="0" w:space="0" w:color="auto"/>
        <w:right w:val="none" w:sz="0" w:space="0" w:color="auto"/>
      </w:divBdr>
      <w:divsChild>
        <w:div w:id="1976834472">
          <w:marLeft w:val="0"/>
          <w:marRight w:val="0"/>
          <w:marTop w:val="0"/>
          <w:marBottom w:val="0"/>
          <w:divBdr>
            <w:top w:val="none" w:sz="0" w:space="0" w:color="auto"/>
            <w:left w:val="none" w:sz="0" w:space="0" w:color="auto"/>
            <w:bottom w:val="none" w:sz="0" w:space="0" w:color="auto"/>
            <w:right w:val="none" w:sz="0" w:space="0" w:color="auto"/>
          </w:divBdr>
        </w:div>
        <w:div w:id="1138764263">
          <w:marLeft w:val="0"/>
          <w:marRight w:val="0"/>
          <w:marTop w:val="0"/>
          <w:marBottom w:val="0"/>
          <w:divBdr>
            <w:top w:val="none" w:sz="0" w:space="0" w:color="auto"/>
            <w:left w:val="none" w:sz="0" w:space="0" w:color="auto"/>
            <w:bottom w:val="none" w:sz="0" w:space="0" w:color="auto"/>
            <w:right w:val="none" w:sz="0" w:space="0" w:color="auto"/>
          </w:divBdr>
        </w:div>
        <w:div w:id="489636129">
          <w:marLeft w:val="0"/>
          <w:marRight w:val="0"/>
          <w:marTop w:val="0"/>
          <w:marBottom w:val="0"/>
          <w:divBdr>
            <w:top w:val="none" w:sz="0" w:space="0" w:color="auto"/>
            <w:left w:val="none" w:sz="0" w:space="0" w:color="auto"/>
            <w:bottom w:val="none" w:sz="0" w:space="0" w:color="auto"/>
            <w:right w:val="none" w:sz="0" w:space="0" w:color="auto"/>
          </w:divBdr>
        </w:div>
        <w:div w:id="530188499">
          <w:marLeft w:val="0"/>
          <w:marRight w:val="0"/>
          <w:marTop w:val="0"/>
          <w:marBottom w:val="0"/>
          <w:divBdr>
            <w:top w:val="none" w:sz="0" w:space="0" w:color="auto"/>
            <w:left w:val="none" w:sz="0" w:space="0" w:color="auto"/>
            <w:bottom w:val="none" w:sz="0" w:space="0" w:color="auto"/>
            <w:right w:val="none" w:sz="0" w:space="0" w:color="auto"/>
          </w:divBdr>
        </w:div>
        <w:div w:id="47579164">
          <w:marLeft w:val="0"/>
          <w:marRight w:val="0"/>
          <w:marTop w:val="0"/>
          <w:marBottom w:val="0"/>
          <w:divBdr>
            <w:top w:val="none" w:sz="0" w:space="0" w:color="auto"/>
            <w:left w:val="none" w:sz="0" w:space="0" w:color="auto"/>
            <w:bottom w:val="none" w:sz="0" w:space="0" w:color="auto"/>
            <w:right w:val="none" w:sz="0" w:space="0" w:color="auto"/>
          </w:divBdr>
        </w:div>
        <w:div w:id="1159689436">
          <w:marLeft w:val="0"/>
          <w:marRight w:val="0"/>
          <w:marTop w:val="0"/>
          <w:marBottom w:val="0"/>
          <w:divBdr>
            <w:top w:val="none" w:sz="0" w:space="0" w:color="auto"/>
            <w:left w:val="none" w:sz="0" w:space="0" w:color="auto"/>
            <w:bottom w:val="none" w:sz="0" w:space="0" w:color="auto"/>
            <w:right w:val="none" w:sz="0" w:space="0" w:color="auto"/>
          </w:divBdr>
        </w:div>
        <w:div w:id="965818811">
          <w:marLeft w:val="0"/>
          <w:marRight w:val="0"/>
          <w:marTop w:val="0"/>
          <w:marBottom w:val="0"/>
          <w:divBdr>
            <w:top w:val="none" w:sz="0" w:space="0" w:color="auto"/>
            <w:left w:val="none" w:sz="0" w:space="0" w:color="auto"/>
            <w:bottom w:val="none" w:sz="0" w:space="0" w:color="auto"/>
            <w:right w:val="none" w:sz="0" w:space="0" w:color="auto"/>
          </w:divBdr>
        </w:div>
        <w:div w:id="1241480465">
          <w:marLeft w:val="0"/>
          <w:marRight w:val="0"/>
          <w:marTop w:val="0"/>
          <w:marBottom w:val="0"/>
          <w:divBdr>
            <w:top w:val="none" w:sz="0" w:space="0" w:color="auto"/>
            <w:left w:val="none" w:sz="0" w:space="0" w:color="auto"/>
            <w:bottom w:val="none" w:sz="0" w:space="0" w:color="auto"/>
            <w:right w:val="none" w:sz="0" w:space="0" w:color="auto"/>
          </w:divBdr>
        </w:div>
        <w:div w:id="491528058">
          <w:marLeft w:val="0"/>
          <w:marRight w:val="0"/>
          <w:marTop w:val="0"/>
          <w:marBottom w:val="0"/>
          <w:divBdr>
            <w:top w:val="none" w:sz="0" w:space="0" w:color="auto"/>
            <w:left w:val="none" w:sz="0" w:space="0" w:color="auto"/>
            <w:bottom w:val="none" w:sz="0" w:space="0" w:color="auto"/>
            <w:right w:val="none" w:sz="0" w:space="0" w:color="auto"/>
          </w:divBdr>
        </w:div>
        <w:div w:id="313343054">
          <w:marLeft w:val="0"/>
          <w:marRight w:val="0"/>
          <w:marTop w:val="0"/>
          <w:marBottom w:val="0"/>
          <w:divBdr>
            <w:top w:val="none" w:sz="0" w:space="0" w:color="auto"/>
            <w:left w:val="none" w:sz="0" w:space="0" w:color="auto"/>
            <w:bottom w:val="none" w:sz="0" w:space="0" w:color="auto"/>
            <w:right w:val="none" w:sz="0" w:space="0" w:color="auto"/>
          </w:divBdr>
        </w:div>
        <w:div w:id="262611058">
          <w:marLeft w:val="0"/>
          <w:marRight w:val="0"/>
          <w:marTop w:val="0"/>
          <w:marBottom w:val="0"/>
          <w:divBdr>
            <w:top w:val="none" w:sz="0" w:space="0" w:color="auto"/>
            <w:left w:val="none" w:sz="0" w:space="0" w:color="auto"/>
            <w:bottom w:val="none" w:sz="0" w:space="0" w:color="auto"/>
            <w:right w:val="none" w:sz="0" w:space="0" w:color="auto"/>
          </w:divBdr>
        </w:div>
      </w:divsChild>
    </w:div>
    <w:div w:id="1588884948">
      <w:bodyDiv w:val="1"/>
      <w:marLeft w:val="0"/>
      <w:marRight w:val="0"/>
      <w:marTop w:val="0"/>
      <w:marBottom w:val="0"/>
      <w:divBdr>
        <w:top w:val="none" w:sz="0" w:space="0" w:color="auto"/>
        <w:left w:val="none" w:sz="0" w:space="0" w:color="auto"/>
        <w:bottom w:val="none" w:sz="0" w:space="0" w:color="auto"/>
        <w:right w:val="none" w:sz="0" w:space="0" w:color="auto"/>
      </w:divBdr>
    </w:div>
    <w:div w:id="1601327178">
      <w:bodyDiv w:val="1"/>
      <w:marLeft w:val="0"/>
      <w:marRight w:val="0"/>
      <w:marTop w:val="0"/>
      <w:marBottom w:val="0"/>
      <w:divBdr>
        <w:top w:val="none" w:sz="0" w:space="0" w:color="auto"/>
        <w:left w:val="none" w:sz="0" w:space="0" w:color="auto"/>
        <w:bottom w:val="none" w:sz="0" w:space="0" w:color="auto"/>
        <w:right w:val="none" w:sz="0" w:space="0" w:color="auto"/>
      </w:divBdr>
    </w:div>
    <w:div w:id="1641769261">
      <w:bodyDiv w:val="1"/>
      <w:marLeft w:val="0"/>
      <w:marRight w:val="0"/>
      <w:marTop w:val="0"/>
      <w:marBottom w:val="0"/>
      <w:divBdr>
        <w:top w:val="none" w:sz="0" w:space="0" w:color="auto"/>
        <w:left w:val="none" w:sz="0" w:space="0" w:color="auto"/>
        <w:bottom w:val="none" w:sz="0" w:space="0" w:color="auto"/>
        <w:right w:val="none" w:sz="0" w:space="0" w:color="auto"/>
      </w:divBdr>
      <w:divsChild>
        <w:div w:id="123239929">
          <w:marLeft w:val="0"/>
          <w:marRight w:val="0"/>
          <w:marTop w:val="0"/>
          <w:marBottom w:val="0"/>
          <w:divBdr>
            <w:top w:val="none" w:sz="0" w:space="0" w:color="auto"/>
            <w:left w:val="none" w:sz="0" w:space="0" w:color="auto"/>
            <w:bottom w:val="none" w:sz="0" w:space="0" w:color="auto"/>
            <w:right w:val="none" w:sz="0" w:space="0" w:color="auto"/>
          </w:divBdr>
          <w:divsChild>
            <w:div w:id="664472954">
              <w:marLeft w:val="0"/>
              <w:marRight w:val="0"/>
              <w:marTop w:val="0"/>
              <w:marBottom w:val="0"/>
              <w:divBdr>
                <w:top w:val="none" w:sz="0" w:space="0" w:color="auto"/>
                <w:left w:val="none" w:sz="0" w:space="0" w:color="auto"/>
                <w:bottom w:val="none" w:sz="0" w:space="0" w:color="auto"/>
                <w:right w:val="none" w:sz="0" w:space="0" w:color="auto"/>
              </w:divBdr>
              <w:divsChild>
                <w:div w:id="331299548">
                  <w:marLeft w:val="0"/>
                  <w:marRight w:val="0"/>
                  <w:marTop w:val="0"/>
                  <w:marBottom w:val="0"/>
                  <w:divBdr>
                    <w:top w:val="none" w:sz="0" w:space="0" w:color="auto"/>
                    <w:left w:val="none" w:sz="0" w:space="0" w:color="auto"/>
                    <w:bottom w:val="none" w:sz="0" w:space="0" w:color="auto"/>
                    <w:right w:val="none" w:sz="0" w:space="0" w:color="auto"/>
                  </w:divBdr>
                  <w:divsChild>
                    <w:div w:id="1587953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4597414">
      <w:bodyDiv w:val="1"/>
      <w:marLeft w:val="0"/>
      <w:marRight w:val="0"/>
      <w:marTop w:val="0"/>
      <w:marBottom w:val="0"/>
      <w:divBdr>
        <w:top w:val="none" w:sz="0" w:space="0" w:color="auto"/>
        <w:left w:val="none" w:sz="0" w:space="0" w:color="auto"/>
        <w:bottom w:val="none" w:sz="0" w:space="0" w:color="auto"/>
        <w:right w:val="none" w:sz="0" w:space="0" w:color="auto"/>
      </w:divBdr>
    </w:div>
    <w:div w:id="1759205333">
      <w:bodyDiv w:val="1"/>
      <w:marLeft w:val="0"/>
      <w:marRight w:val="0"/>
      <w:marTop w:val="0"/>
      <w:marBottom w:val="0"/>
      <w:divBdr>
        <w:top w:val="none" w:sz="0" w:space="0" w:color="auto"/>
        <w:left w:val="none" w:sz="0" w:space="0" w:color="auto"/>
        <w:bottom w:val="none" w:sz="0" w:space="0" w:color="auto"/>
        <w:right w:val="none" w:sz="0" w:space="0" w:color="auto"/>
      </w:divBdr>
      <w:divsChild>
        <w:div w:id="1143545237">
          <w:marLeft w:val="0"/>
          <w:marRight w:val="0"/>
          <w:marTop w:val="0"/>
          <w:marBottom w:val="0"/>
          <w:divBdr>
            <w:top w:val="none" w:sz="0" w:space="0" w:color="auto"/>
            <w:left w:val="none" w:sz="0" w:space="0" w:color="auto"/>
            <w:bottom w:val="none" w:sz="0" w:space="0" w:color="auto"/>
            <w:right w:val="none" w:sz="0" w:space="0" w:color="auto"/>
          </w:divBdr>
          <w:divsChild>
            <w:div w:id="8485978">
              <w:marLeft w:val="0"/>
              <w:marRight w:val="0"/>
              <w:marTop w:val="0"/>
              <w:marBottom w:val="0"/>
              <w:divBdr>
                <w:top w:val="none" w:sz="0" w:space="0" w:color="auto"/>
                <w:left w:val="none" w:sz="0" w:space="0" w:color="auto"/>
                <w:bottom w:val="none" w:sz="0" w:space="0" w:color="auto"/>
                <w:right w:val="none" w:sz="0" w:space="0" w:color="auto"/>
              </w:divBdr>
              <w:divsChild>
                <w:div w:id="876507427">
                  <w:marLeft w:val="0"/>
                  <w:marRight w:val="0"/>
                  <w:marTop w:val="0"/>
                  <w:marBottom w:val="0"/>
                  <w:divBdr>
                    <w:top w:val="none" w:sz="0" w:space="0" w:color="auto"/>
                    <w:left w:val="none" w:sz="0" w:space="0" w:color="auto"/>
                    <w:bottom w:val="none" w:sz="0" w:space="0" w:color="auto"/>
                    <w:right w:val="none" w:sz="0" w:space="0" w:color="auto"/>
                  </w:divBdr>
                  <w:divsChild>
                    <w:div w:id="1158379286">
                      <w:marLeft w:val="0"/>
                      <w:marRight w:val="0"/>
                      <w:marTop w:val="0"/>
                      <w:marBottom w:val="0"/>
                      <w:divBdr>
                        <w:top w:val="none" w:sz="0" w:space="0" w:color="auto"/>
                        <w:left w:val="none" w:sz="0" w:space="0" w:color="auto"/>
                        <w:bottom w:val="none" w:sz="0" w:space="0" w:color="auto"/>
                        <w:right w:val="none" w:sz="0" w:space="0" w:color="auto"/>
                      </w:divBdr>
                    </w:div>
                  </w:divsChild>
                </w:div>
                <w:div w:id="1090470308">
                  <w:marLeft w:val="0"/>
                  <w:marRight w:val="0"/>
                  <w:marTop w:val="0"/>
                  <w:marBottom w:val="0"/>
                  <w:divBdr>
                    <w:top w:val="none" w:sz="0" w:space="0" w:color="auto"/>
                    <w:left w:val="none" w:sz="0" w:space="0" w:color="auto"/>
                    <w:bottom w:val="none" w:sz="0" w:space="0" w:color="auto"/>
                    <w:right w:val="none" w:sz="0" w:space="0" w:color="auto"/>
                  </w:divBdr>
                  <w:divsChild>
                    <w:div w:id="340008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5164573">
          <w:marLeft w:val="0"/>
          <w:marRight w:val="0"/>
          <w:marTop w:val="0"/>
          <w:marBottom w:val="0"/>
          <w:divBdr>
            <w:top w:val="none" w:sz="0" w:space="0" w:color="auto"/>
            <w:left w:val="none" w:sz="0" w:space="0" w:color="auto"/>
            <w:bottom w:val="none" w:sz="0" w:space="0" w:color="auto"/>
            <w:right w:val="none" w:sz="0" w:space="0" w:color="auto"/>
          </w:divBdr>
          <w:divsChild>
            <w:div w:id="818380375">
              <w:marLeft w:val="0"/>
              <w:marRight w:val="0"/>
              <w:marTop w:val="0"/>
              <w:marBottom w:val="0"/>
              <w:divBdr>
                <w:top w:val="none" w:sz="0" w:space="0" w:color="auto"/>
                <w:left w:val="none" w:sz="0" w:space="0" w:color="auto"/>
                <w:bottom w:val="none" w:sz="0" w:space="0" w:color="auto"/>
                <w:right w:val="none" w:sz="0" w:space="0" w:color="auto"/>
              </w:divBdr>
              <w:divsChild>
                <w:div w:id="188763300">
                  <w:marLeft w:val="0"/>
                  <w:marRight w:val="0"/>
                  <w:marTop w:val="0"/>
                  <w:marBottom w:val="0"/>
                  <w:divBdr>
                    <w:top w:val="none" w:sz="0" w:space="0" w:color="auto"/>
                    <w:left w:val="none" w:sz="0" w:space="0" w:color="auto"/>
                    <w:bottom w:val="none" w:sz="0" w:space="0" w:color="auto"/>
                    <w:right w:val="none" w:sz="0" w:space="0" w:color="auto"/>
                  </w:divBdr>
                  <w:divsChild>
                    <w:div w:id="1226258653">
                      <w:marLeft w:val="0"/>
                      <w:marRight w:val="0"/>
                      <w:marTop w:val="0"/>
                      <w:marBottom w:val="0"/>
                      <w:divBdr>
                        <w:top w:val="none" w:sz="0" w:space="0" w:color="auto"/>
                        <w:left w:val="none" w:sz="0" w:space="0" w:color="auto"/>
                        <w:bottom w:val="none" w:sz="0" w:space="0" w:color="auto"/>
                        <w:right w:val="none" w:sz="0" w:space="0" w:color="auto"/>
                      </w:divBdr>
                    </w:div>
                  </w:divsChild>
                </w:div>
                <w:div w:id="2025207466">
                  <w:marLeft w:val="0"/>
                  <w:marRight w:val="0"/>
                  <w:marTop w:val="0"/>
                  <w:marBottom w:val="0"/>
                  <w:divBdr>
                    <w:top w:val="none" w:sz="0" w:space="0" w:color="auto"/>
                    <w:left w:val="none" w:sz="0" w:space="0" w:color="auto"/>
                    <w:bottom w:val="none" w:sz="0" w:space="0" w:color="auto"/>
                    <w:right w:val="none" w:sz="0" w:space="0" w:color="auto"/>
                  </w:divBdr>
                  <w:divsChild>
                    <w:div w:id="1482766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3691147">
              <w:marLeft w:val="0"/>
              <w:marRight w:val="0"/>
              <w:marTop w:val="0"/>
              <w:marBottom w:val="0"/>
              <w:divBdr>
                <w:top w:val="none" w:sz="0" w:space="0" w:color="auto"/>
                <w:left w:val="none" w:sz="0" w:space="0" w:color="auto"/>
                <w:bottom w:val="none" w:sz="0" w:space="0" w:color="auto"/>
                <w:right w:val="none" w:sz="0" w:space="0" w:color="auto"/>
              </w:divBdr>
              <w:divsChild>
                <w:div w:id="1343359739">
                  <w:marLeft w:val="0"/>
                  <w:marRight w:val="0"/>
                  <w:marTop w:val="0"/>
                  <w:marBottom w:val="0"/>
                  <w:divBdr>
                    <w:top w:val="none" w:sz="0" w:space="0" w:color="auto"/>
                    <w:left w:val="none" w:sz="0" w:space="0" w:color="auto"/>
                    <w:bottom w:val="none" w:sz="0" w:space="0" w:color="auto"/>
                    <w:right w:val="none" w:sz="0" w:space="0" w:color="auto"/>
                  </w:divBdr>
                  <w:divsChild>
                    <w:div w:id="57558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5535418">
      <w:bodyDiv w:val="1"/>
      <w:marLeft w:val="0"/>
      <w:marRight w:val="0"/>
      <w:marTop w:val="0"/>
      <w:marBottom w:val="0"/>
      <w:divBdr>
        <w:top w:val="none" w:sz="0" w:space="0" w:color="auto"/>
        <w:left w:val="none" w:sz="0" w:space="0" w:color="auto"/>
        <w:bottom w:val="none" w:sz="0" w:space="0" w:color="auto"/>
        <w:right w:val="none" w:sz="0" w:space="0" w:color="auto"/>
      </w:divBdr>
      <w:divsChild>
        <w:div w:id="330832714">
          <w:marLeft w:val="0"/>
          <w:marRight w:val="0"/>
          <w:marTop w:val="0"/>
          <w:marBottom w:val="0"/>
          <w:divBdr>
            <w:top w:val="none" w:sz="0" w:space="0" w:color="auto"/>
            <w:left w:val="none" w:sz="0" w:space="0" w:color="auto"/>
            <w:bottom w:val="none" w:sz="0" w:space="0" w:color="auto"/>
            <w:right w:val="none" w:sz="0" w:space="0" w:color="auto"/>
          </w:divBdr>
          <w:divsChild>
            <w:div w:id="1559438265">
              <w:marLeft w:val="0"/>
              <w:marRight w:val="0"/>
              <w:marTop w:val="0"/>
              <w:marBottom w:val="0"/>
              <w:divBdr>
                <w:top w:val="none" w:sz="0" w:space="0" w:color="auto"/>
                <w:left w:val="none" w:sz="0" w:space="0" w:color="auto"/>
                <w:bottom w:val="none" w:sz="0" w:space="0" w:color="auto"/>
                <w:right w:val="none" w:sz="0" w:space="0" w:color="auto"/>
              </w:divBdr>
              <w:divsChild>
                <w:div w:id="176583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9703938">
      <w:bodyDiv w:val="1"/>
      <w:marLeft w:val="0"/>
      <w:marRight w:val="0"/>
      <w:marTop w:val="0"/>
      <w:marBottom w:val="0"/>
      <w:divBdr>
        <w:top w:val="none" w:sz="0" w:space="0" w:color="auto"/>
        <w:left w:val="none" w:sz="0" w:space="0" w:color="auto"/>
        <w:bottom w:val="none" w:sz="0" w:space="0" w:color="auto"/>
        <w:right w:val="none" w:sz="0" w:space="0" w:color="auto"/>
      </w:divBdr>
    </w:div>
    <w:div w:id="2020084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hwb.gov.wales/storage/d5d8e39c-b534-40cb-a3f5-7e2e126d8077/foundation-phase-framework.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styn.gov.wales/sites/www.estyn.gov.wales/files/documents/Literacy%20and%20the%20Foundation%20Phase%20%20-%20September%202011.pdf" TargetMode="External"/><Relationship Id="rId5" Type="http://schemas.openxmlformats.org/officeDocument/2006/relationships/hyperlink" Target="http://www.hkeaa.edu.hk/DocLibrary/SBA/HKDSE/Eng_DVD/doc/Afl_principles.pd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9</Pages>
  <Words>3804</Words>
  <Characters>21687</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megwhiteley@outlook.com</dc:creator>
  <cp:keywords/>
  <dc:description/>
  <cp:lastModifiedBy>megwhiteley@outlook.com</cp:lastModifiedBy>
  <cp:revision>4</cp:revision>
  <dcterms:created xsi:type="dcterms:W3CDTF">2020-01-03T12:40:00Z</dcterms:created>
  <dcterms:modified xsi:type="dcterms:W3CDTF">2020-01-03T13:07:00Z</dcterms:modified>
</cp:coreProperties>
</file>