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0737181"/>
        <w:docPartObj>
          <w:docPartGallery w:val="Cover Pages"/>
          <w:docPartUnique/>
        </w:docPartObj>
      </w:sdtPr>
      <w:sdtContent>
        <w:p w14:paraId="03EE4389" w14:textId="5DE2D33F" w:rsidR="00D425FC" w:rsidRDefault="00D425FC">
          <w:r>
            <w:rPr>
              <w:noProof/>
            </w:rPr>
            <mc:AlternateContent>
              <mc:Choice Requires="wps">
                <w:drawing>
                  <wp:anchor distT="0" distB="0" distL="114300" distR="114300" simplePos="0" relativeHeight="251660288" behindDoc="1" locked="0" layoutInCell="1" allowOverlap="1" wp14:anchorId="0FD502CA" wp14:editId="127458C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EC6FE7A"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C2C92C0" wp14:editId="250677D7">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A3E68A6" w14:textId="0B854567" w:rsidR="00D425FC" w:rsidRDefault="00D425F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72"/>
                                        <w:szCs w:val="72"/>
                                      </w:rPr>
                                      <w:t xml:space="preserve">reducing </w:t>
                                    </w:r>
                                    <w:r w:rsidRPr="00D425FC">
                                      <w:rPr>
                                        <w:rFonts w:asciiTheme="majorHAnsi" w:hAnsiTheme="majorHAnsi"/>
                                        <w:i/>
                                        <w:caps/>
                                        <w:color w:val="262626" w:themeColor="text1" w:themeTint="D9"/>
                                        <w:sz w:val="72"/>
                                        <w:szCs w:val="72"/>
                                      </w:rPr>
                                      <w:t>Music Performance anxiety: approaches for instrumental teachers to support their students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4167F3" w14:textId="64C9CC75" w:rsidR="00D425FC" w:rsidRDefault="00D425FC">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0C2C92C0"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&#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A3E68A6" w14:textId="0B854567" w:rsidR="00D425FC" w:rsidRDefault="00D425F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72"/>
                                  <w:szCs w:val="72"/>
                                </w:rPr>
                                <w:t xml:space="preserve">reducing </w:t>
                              </w:r>
                              <w:r w:rsidRPr="00D425FC">
                                <w:rPr>
                                  <w:rFonts w:asciiTheme="majorHAnsi" w:hAnsiTheme="majorHAnsi"/>
                                  <w:i/>
                                  <w:caps/>
                                  <w:color w:val="262626" w:themeColor="text1" w:themeTint="D9"/>
                                  <w:sz w:val="72"/>
                                  <w:szCs w:val="72"/>
                                </w:rPr>
                                <w:t>Music Performance anxiety: approaches for instrumental teachers to support their students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4167F3" w14:textId="64C9CC75" w:rsidR="00D425FC" w:rsidRDefault="00D425FC">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072E449E" w14:textId="61CF0FFF" w:rsidR="00D425FC" w:rsidRDefault="00D425FC" w:rsidP="009B4C54">
          <w:pPr>
            <w:jc w:val="both"/>
          </w:pPr>
          <w:r>
            <w:rPr>
              <w:noProof/>
            </w:rPr>
            <mc:AlternateContent>
              <mc:Choice Requires="wps">
                <w:drawing>
                  <wp:anchor distT="0" distB="0" distL="114300" distR="114300" simplePos="0" relativeHeight="251661312" behindDoc="0" locked="0" layoutInCell="1" allowOverlap="1" wp14:anchorId="66A18907" wp14:editId="5785C2EF">
                    <wp:simplePos x="0" y="0"/>
                    <wp:positionH relativeFrom="page">
                      <wp:posOffset>-55245</wp:posOffset>
                    </wp:positionH>
                    <wp:positionV relativeFrom="page">
                      <wp:posOffset>4443126</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2B2D390" w14:textId="0A37EC38" w:rsidR="00D425FC" w:rsidRDefault="00D425FC">
                                    <w:pPr>
                                      <w:pStyle w:val="NoSpacing"/>
                                      <w:spacing w:after="480"/>
                                      <w:rPr>
                                        <w:i/>
                                        <w:color w:val="262626" w:themeColor="text1" w:themeTint="D9"/>
                                        <w:sz w:val="32"/>
                                        <w:szCs w:val="32"/>
                                      </w:rPr>
                                    </w:pPr>
                                    <w:r>
                                      <w:rPr>
                                        <w:i/>
                                        <w:color w:val="262626" w:themeColor="text1" w:themeTint="D9"/>
                                        <w:sz w:val="32"/>
                                        <w:szCs w:val="32"/>
                                      </w:rPr>
                                      <w:t>Christopher Healey, April 202</w:t>
                                    </w:r>
                                    <w:r w:rsidR="00031B7A">
                                      <w:rPr>
                                        <w:i/>
                                        <w:color w:val="262626" w:themeColor="text1" w:themeTint="D9"/>
                                        <w:sz w:val="32"/>
                                        <w:szCs w:val="32"/>
                                      </w:rPr>
                                      <w:t>5</w:t>
                                    </w:r>
                                  </w:p>
                                </w:sdtContent>
                              </w:sdt>
                              <w:p w14:paraId="016B1BDD" w14:textId="3515B636" w:rsidR="00D425FC"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D425FC">
                                      <w:rPr>
                                        <w:i/>
                                        <w:color w:val="262626" w:themeColor="text1" w:themeTint="D9"/>
                                        <w:sz w:val="26"/>
                                        <w:szCs w:val="26"/>
                                      </w:rPr>
                                      <w:t>MA Pedagogy</w:t>
                                    </w:r>
                                  </w:sdtContent>
                                </w:sdt>
                                <w:r w:rsidR="00D425FC">
                                  <w:rPr>
                                    <w:i/>
                                    <w:color w:val="262626" w:themeColor="text1" w:themeTint="D9"/>
                                    <w:sz w:val="26"/>
                                    <w:szCs w:val="26"/>
                                  </w:rPr>
                                  <w:t xml:space="preserve"> </w:t>
                                </w:r>
                                <w:r w:rsidR="00031B7A">
                                  <w:rPr>
                                    <w:i/>
                                    <w:color w:val="262626" w:themeColor="text1" w:themeTint="D9"/>
                                    <w:sz w:val="26"/>
                                    <w:szCs w:val="26"/>
                                  </w:rPr>
                                  <w:t>Module 1</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6A18907" id="Text Box 36" o:spid="_x0000_s1027" type="#_x0000_t202" alt="Title: Title and subtitle" style="position:absolute;left:0;text-align:left;margin-left:-4.35pt;margin-top:349.8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2B2D390" w14:textId="0A37EC38" w:rsidR="00D425FC" w:rsidRDefault="00D425FC">
                              <w:pPr>
                                <w:pStyle w:val="NoSpacing"/>
                                <w:spacing w:after="480"/>
                                <w:rPr>
                                  <w:i/>
                                  <w:color w:val="262626" w:themeColor="text1" w:themeTint="D9"/>
                                  <w:sz w:val="32"/>
                                  <w:szCs w:val="32"/>
                                </w:rPr>
                              </w:pPr>
                              <w:r>
                                <w:rPr>
                                  <w:i/>
                                  <w:color w:val="262626" w:themeColor="text1" w:themeTint="D9"/>
                                  <w:sz w:val="32"/>
                                  <w:szCs w:val="32"/>
                                </w:rPr>
                                <w:t>Christopher Healey, April 202</w:t>
                              </w:r>
                              <w:r w:rsidR="00031B7A">
                                <w:rPr>
                                  <w:i/>
                                  <w:color w:val="262626" w:themeColor="text1" w:themeTint="D9"/>
                                  <w:sz w:val="32"/>
                                  <w:szCs w:val="32"/>
                                </w:rPr>
                                <w:t>5</w:t>
                              </w:r>
                            </w:p>
                          </w:sdtContent>
                        </w:sdt>
                        <w:p w14:paraId="016B1BDD" w14:textId="3515B636" w:rsidR="00D425FC"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D425FC">
                                <w:rPr>
                                  <w:i/>
                                  <w:color w:val="262626" w:themeColor="text1" w:themeTint="D9"/>
                                  <w:sz w:val="26"/>
                                  <w:szCs w:val="26"/>
                                </w:rPr>
                                <w:t>MA Pedagogy</w:t>
                              </w:r>
                            </w:sdtContent>
                          </w:sdt>
                          <w:r w:rsidR="00D425FC">
                            <w:rPr>
                              <w:i/>
                              <w:color w:val="262626" w:themeColor="text1" w:themeTint="D9"/>
                              <w:sz w:val="26"/>
                              <w:szCs w:val="26"/>
                            </w:rPr>
                            <w:t xml:space="preserve"> </w:t>
                          </w:r>
                          <w:r w:rsidR="00031B7A">
                            <w:rPr>
                              <w:i/>
                              <w:color w:val="262626" w:themeColor="text1" w:themeTint="D9"/>
                              <w:sz w:val="26"/>
                              <w:szCs w:val="26"/>
                            </w:rPr>
                            <w:t>Module 1</w:t>
                          </w:r>
                        </w:p>
                      </w:txbxContent>
                    </v:textbox>
                    <w10:wrap anchorx="page" anchory="page"/>
                  </v:shape>
                </w:pict>
              </mc:Fallback>
            </mc:AlternateContent>
          </w:r>
          <w:r>
            <w:br w:type="page"/>
          </w:r>
        </w:p>
      </w:sdtContent>
    </w:sdt>
    <w:p w14:paraId="48FE408D" w14:textId="55A89CBE" w:rsidR="000F17B8" w:rsidRDefault="001218A4" w:rsidP="00AE67EE">
      <w:pPr>
        <w:ind w:firstLine="720"/>
      </w:pPr>
      <w:r w:rsidRPr="001218A4">
        <w:lastRenderedPageBreak/>
        <w:t xml:space="preserve">In 2022 the </w:t>
      </w:r>
      <w:r w:rsidR="005C5A84">
        <w:t xml:space="preserve">live </w:t>
      </w:r>
      <w:r w:rsidRPr="001218A4">
        <w:t xml:space="preserve">music sector in the </w:t>
      </w:r>
      <w:r>
        <w:t>UK</w:t>
      </w:r>
      <w:r w:rsidRPr="001218A4">
        <w:t xml:space="preserve"> generated approximately </w:t>
      </w:r>
      <w:r>
        <w:t>£</w:t>
      </w:r>
      <w:r w:rsidR="005C5A84">
        <w:t>4</w:t>
      </w:r>
      <w:r w:rsidRPr="001218A4">
        <w:t xml:space="preserve"> billion (</w:t>
      </w:r>
      <w:r w:rsidR="005C5A84">
        <w:t>Ukmusic.org, 2022</w:t>
      </w:r>
      <w:r w:rsidRPr="001218A4">
        <w:t>)</w:t>
      </w:r>
      <w:r>
        <w:t xml:space="preserve">. </w:t>
      </w:r>
      <w:r w:rsidR="00DD23B9">
        <w:t>Said to be held</w:t>
      </w:r>
      <w:r w:rsidR="00A53A84">
        <w:t xml:space="preserve"> in high international regard, </w:t>
      </w:r>
      <w:r w:rsidR="00DD23B9">
        <w:t>t</w:t>
      </w:r>
      <w:r w:rsidR="00A53A84">
        <w:t>h</w:t>
      </w:r>
      <w:r w:rsidR="00DD23B9">
        <w:t>is i</w:t>
      </w:r>
      <w:r w:rsidR="00A53A84">
        <w:t>ndustry inspires 8</w:t>
      </w:r>
      <w:r w:rsidR="005C36AF">
        <w:t>0%</w:t>
      </w:r>
      <w:r w:rsidR="00A53A84">
        <w:t xml:space="preserve"> of</w:t>
      </w:r>
      <w:r w:rsidR="00DD23B9">
        <w:t xml:space="preserve"> Bri</w:t>
      </w:r>
      <w:r w:rsidR="00A53A84">
        <w:t xml:space="preserve">tish </w:t>
      </w:r>
      <w:r w:rsidR="00DD23B9">
        <w:t>c</w:t>
      </w:r>
      <w:r w:rsidR="00A53A84">
        <w:t xml:space="preserve">hildren to </w:t>
      </w:r>
      <w:r w:rsidR="00DD23B9">
        <w:t>study</w:t>
      </w:r>
      <w:r w:rsidR="00A53A84">
        <w:t xml:space="preserve"> </w:t>
      </w:r>
      <w:r w:rsidR="00763446">
        <w:t>the subject</w:t>
      </w:r>
      <w:r w:rsidR="00A53A84">
        <w:t xml:space="preserve"> (ABRSM, 2021)</w:t>
      </w:r>
      <w:r w:rsidR="005C36AF">
        <w:t xml:space="preserve"> and its current composition includes 37,600</w:t>
      </w:r>
      <w:r w:rsidR="00A53A84">
        <w:t xml:space="preserve"> </w:t>
      </w:r>
      <w:r w:rsidR="005C36AF">
        <w:t xml:space="preserve">professional musicians (Statista, 2022). </w:t>
      </w:r>
      <w:r w:rsidR="00763446">
        <w:t>Furthermore, s</w:t>
      </w:r>
      <w:r w:rsidR="0094288B">
        <w:t>tudies have suggested that participation</w:t>
      </w:r>
      <w:r w:rsidR="00976614">
        <w:t xml:space="preserve"> in music </w:t>
      </w:r>
      <w:r w:rsidR="0094288B">
        <w:t xml:space="preserve">performance </w:t>
      </w:r>
      <w:r w:rsidR="00976614">
        <w:t>promotes health and well being</w:t>
      </w:r>
      <w:r w:rsidR="002765D1">
        <w:t xml:space="preserve"> for the individual and </w:t>
      </w:r>
      <w:r w:rsidR="00677B91">
        <w:t>fost</w:t>
      </w:r>
      <w:r w:rsidR="002765D1">
        <w:t>e</w:t>
      </w:r>
      <w:r w:rsidR="00677B91">
        <w:t>r</w:t>
      </w:r>
      <w:r w:rsidR="002765D1">
        <w:t>s</w:t>
      </w:r>
      <w:r w:rsidR="00976614">
        <w:t xml:space="preserve"> </w:t>
      </w:r>
      <w:r w:rsidR="002765D1">
        <w:t xml:space="preserve">positive </w:t>
      </w:r>
      <w:r w:rsidR="00976614">
        <w:t>social and cultural engagement</w:t>
      </w:r>
      <w:r w:rsidR="002765D1">
        <w:t xml:space="preserve"> (Sheppard and Broughton, 2020)</w:t>
      </w:r>
      <w:r w:rsidR="0094288B">
        <w:t>.</w:t>
      </w:r>
      <w:r w:rsidR="00763446">
        <w:t xml:space="preserve"> Music performance benefits the economy, the individual and society as a whole</w:t>
      </w:r>
      <w:r w:rsidR="00677B91">
        <w:t xml:space="preserve">. At the heart of this, is music education. </w:t>
      </w:r>
    </w:p>
    <w:p w14:paraId="1975E0A1" w14:textId="77777777" w:rsidR="00233D62" w:rsidRPr="00233D62" w:rsidRDefault="00233D62" w:rsidP="00233D62">
      <w:pPr>
        <w:ind w:firstLine="720"/>
      </w:pPr>
      <w:r w:rsidRPr="00233D62">
        <w:t xml:space="preserve">In recognition of this, the UK Government is increasing its funding for the subject (ABRSM, 2021) and has recently released a National Plan for Music Education to develop music within early years, support academies and improve overall inclusivity (Gov.uk, 2022). A notable development under this plan is the £5.8 million </w:t>
      </w:r>
      <w:r w:rsidRPr="00233D62">
        <w:rPr>
          <w:i/>
          <w:iCs/>
        </w:rPr>
        <w:t>Music Opportunities Pilot</w:t>
      </w:r>
      <w:r w:rsidRPr="00233D62">
        <w:t>, aimed at offering free music lessons and exam support to students in underserved regions such as Sunderland, Bury, Bradford, and Stoke-on-Trent (Gov.uk, 2023). The plan also includes £25 million in capital funding for instruments and equipment, including adapted resources for SEND pupils (Nasen, 2023).</w:t>
      </w:r>
    </w:p>
    <w:p w14:paraId="5A373A1B" w14:textId="77777777" w:rsidR="00233D62" w:rsidRPr="00233D62" w:rsidRDefault="00233D62" w:rsidP="00233D62">
      <w:pPr>
        <w:ind w:firstLine="720"/>
      </w:pPr>
      <w:r w:rsidRPr="00233D62">
        <w:t xml:space="preserve">Industry modernisations such as downloading and streaming continue to open the door for unlimited new musicians to share their work across platforms like iTunes, Spotify, and social media. Advances in personal devices and free recording software like GarageBand and </w:t>
      </w:r>
      <w:proofErr w:type="spellStart"/>
      <w:r w:rsidRPr="00233D62">
        <w:t>BandLab</w:t>
      </w:r>
      <w:proofErr w:type="spellEnd"/>
      <w:r w:rsidRPr="00233D62">
        <w:t xml:space="preserve"> have put the power of a studio in the hands of the public. The COVID-19 pandemic led to a surge in online musical engagement, from teaching courses to performances (Dorfman, 2022), and private tuition in the subject remains in greater demand than ever before (ABRSM, 2021). More recently, music education has received further national attention. In 2025, Ed Sheeran and other major artists including Coldplay, Stormzy, and Harry Styles signed an open letter urging the government to invest £250 million to rebuild music education after years of funding cuts (Music Ally, 2025). Ed Sheeran also launched the </w:t>
      </w:r>
      <w:r w:rsidRPr="00233D62">
        <w:rPr>
          <w:i/>
          <w:iCs/>
        </w:rPr>
        <w:t>Ed Sheeran Foundation</w:t>
      </w:r>
      <w:r w:rsidRPr="00233D62">
        <w:t xml:space="preserve"> to provide access to high-quality music education, benefiting over 12,000 young people through grants to grassroots projects and school departments </w:t>
      </w:r>
      <w:r w:rsidRPr="00233D62">
        <w:lastRenderedPageBreak/>
        <w:t>(Music-News, 2025). These combined efforts reflect a growing recognition of music’s value in both education and society at large.</w:t>
      </w:r>
    </w:p>
    <w:p w14:paraId="3AC96F89" w14:textId="77777777" w:rsidR="003E509F" w:rsidRPr="003E509F" w:rsidRDefault="003E509F" w:rsidP="003E509F">
      <w:r w:rsidRPr="003E509F">
        <w:t>In supporting teachers to provide the highest level of tuition possible to their increasing student cohort, it has been identified that Music Performance Anxiety (MPA) is a growing concern in the music profession. In 2005, Kenny cited that 24% of professional musicians experienced MPA, and a more recent report published by the Musicians' Union in 2023 revealed that this number has skyrocketed to as much as 80% (Yates, 2023). This staggering increase highlights a significant challenge within the music industry, where performance anxiety is now a widespread issue that affects musicians across various genres and skill levels. Salmon (1990) defines MPA as:</w:t>
      </w:r>
    </w:p>
    <w:p w14:paraId="5CC8A03A" w14:textId="77777777" w:rsidR="003E509F" w:rsidRPr="003E509F" w:rsidRDefault="003E509F" w:rsidP="003E509F">
      <w:r w:rsidRPr="003E509F">
        <w:t>‘‘the experience of persisting, distressful apprehension, and/or impairment of performance skills in a public context, to a degree unwarranted given the individual’s musical aptitude, training, and level of preparation.’’</w:t>
      </w:r>
    </w:p>
    <w:p w14:paraId="17B7B986" w14:textId="77777777" w:rsidR="003E509F" w:rsidRPr="003E509F" w:rsidRDefault="003E509F" w:rsidP="003E509F">
      <w:r w:rsidRPr="003E509F">
        <w:t>This definition underscores the disconnect between a musician's technical ability and the debilitating effects of anxiety during performance. The causes of MPA are multifaceted, including fear of negative evaluation, pressure to meet professional expectations, and a heightened sense of self-consciousness (Kenny, 2005). In addition, recent research has shown that MPA is increasingly prevalent in young musicians, especially in a time when social media and public performance platforms are more accessible and scrutinized than ever before (Mills &amp; Hollis, 2023). These platforms often create additional pressure for musicians to maintain a perfect image, contributing to their anxiety.</w:t>
      </w:r>
    </w:p>
    <w:p w14:paraId="7ED572D2" w14:textId="77777777" w:rsidR="003E509F" w:rsidRPr="003E509F" w:rsidRDefault="003E509F" w:rsidP="003E509F">
      <w:pPr>
        <w:ind w:firstLine="720"/>
      </w:pPr>
      <w:r w:rsidRPr="003E509F">
        <w:t xml:space="preserve">The key effects of Music Performance Anxiety (MPA) are extensive, encompassing physiological, cognitive, </w:t>
      </w:r>
      <w:proofErr w:type="spellStart"/>
      <w:r w:rsidRPr="003E509F">
        <w:t>behavioral</w:t>
      </w:r>
      <w:proofErr w:type="spellEnd"/>
      <w:r w:rsidRPr="003E509F">
        <w:t xml:space="preserve">, and psychological symptoms that often lead to a significant reduction in both the accuracy and enjoyment of performance (Ely, 2016). These symptoms can vary widely in severity and may manifest in several ways, from physiological effects such as increased heart rate, blood pressure, and gastrointestinal discomfort, to cognitive impairments, particularly in </w:t>
      </w:r>
      <w:r w:rsidRPr="003E509F">
        <w:lastRenderedPageBreak/>
        <w:t>memory recall and concentration (Matei &amp; Ginsborg, 2017). For example, musicians with MPA may experience difficulty retaining musical phrases, resulting in errors during performance or a lack of focus on musical interpretation (Hunnicutt &amp; Winter, 2011). The stress can also cause physical discomfort such as shortness of breath, tremors, and changes in temperature regulation, making it difficult to perform at a high standard under pressure (Hunnicutt &amp; Winter, 2011).</w:t>
      </w:r>
    </w:p>
    <w:p w14:paraId="5DA2D288" w14:textId="77777777" w:rsidR="003E509F" w:rsidRPr="003E509F" w:rsidRDefault="003E509F" w:rsidP="003E509F">
      <w:pPr>
        <w:ind w:firstLine="720"/>
      </w:pPr>
      <w:r w:rsidRPr="003E509F">
        <w:t xml:space="preserve">Kenny (2011) identifies additional </w:t>
      </w:r>
      <w:proofErr w:type="spellStart"/>
      <w:r w:rsidRPr="003E509F">
        <w:t>behavioral</w:t>
      </w:r>
      <w:proofErr w:type="spellEnd"/>
      <w:r w:rsidRPr="003E509F">
        <w:t xml:space="preserve"> consequences of MPA, such as avoidance </w:t>
      </w:r>
      <w:proofErr w:type="spellStart"/>
      <w:r w:rsidRPr="003E509F">
        <w:t>behaviors</w:t>
      </w:r>
      <w:proofErr w:type="spellEnd"/>
      <w:r w:rsidRPr="003E509F">
        <w:t>, including the cancellation of performances, over-rehearsing in an attempt to gain control, or conversely, under-rehearsing due to a lack of confidence. In extreme cases, musicians may abandon their career ambitions altogether. One of the most well-known examples of this is the legendary singer and actress Barbara Streisand, who experienced debilitating MPA for much of her early career. She reportedly avoided live performances for 27 years, only performing again in the 1990s, largely due to the crippling nature of her anxiety (Smith, 2022).</w:t>
      </w:r>
    </w:p>
    <w:p w14:paraId="4A738924" w14:textId="77777777" w:rsidR="003E509F" w:rsidRPr="003E509F" w:rsidRDefault="003E509F" w:rsidP="003E509F">
      <w:pPr>
        <w:ind w:firstLine="720"/>
      </w:pPr>
      <w:r w:rsidRPr="003E509F">
        <w:t>In addition to these symptoms, MPA is often associated with unhealthy coping mechanisms. Catastrophizing—where the performer expects the worst possible outcome—and excessive rumination on past performances are common psychological aspects of the condition. Musicians may also set unrealistic goals for themselves, often driven by perfectionism, which exacerbates the anxiety and makes the performance experience even more daunting (Matei &amp; Ginsborg, 2017). Furthermore, there is a high correlation between MPA and substance abuse in professional musicians, as many use drugs and alcohol as a form of self-medication to cope with the overwhelming stress (Kenny, 2011). The pressure to maintain a ‘perfect’ public image, coupled with the intense demands of the profession, often pushes musicians to seek solace in substances, despite the long-term risks to their health and career.</w:t>
      </w:r>
    </w:p>
    <w:p w14:paraId="4D610CD5" w14:textId="77777777" w:rsidR="003E509F" w:rsidRPr="003E509F" w:rsidRDefault="003E509F" w:rsidP="003E509F">
      <w:pPr>
        <w:ind w:firstLine="720"/>
      </w:pPr>
      <w:r w:rsidRPr="003E509F">
        <w:t xml:space="preserve">However, Kenny (2011) also notes a paradoxical aspect of MPA: despite the debilitating effects it can have on musicians' mental and physical states, many report a sense of exhilaration and euphoria following a performance. This momentary feeling of achievement and release is often </w:t>
      </w:r>
      <w:r w:rsidRPr="003E509F">
        <w:lastRenderedPageBreak/>
        <w:t>enough to motivate musicians to perform again, even in the face of recurring anxiety. This “performance-high” can serve as a powerful motivator to continue performing, despite the frequent psychological and emotional toll. Such mixed emotions highlight the complexity of MPA as both a hindrance and a motivator, and offer a glimpse into why some musicians may continue to perform despite the considerable costs to their mental wellbeing (Wilson &amp; Williams, 2020).</w:t>
      </w:r>
    </w:p>
    <w:p w14:paraId="1F3630A8" w14:textId="77777777" w:rsidR="003E509F" w:rsidRPr="003E509F" w:rsidRDefault="003E509F" w:rsidP="003E509F">
      <w:pPr>
        <w:ind w:firstLine="720"/>
      </w:pPr>
      <w:r w:rsidRPr="003E509F">
        <w:t>Recent research by Smith et al. (2023) has further highlighted the long-term effects of MPA on musicians' mental health, pointing out that persistent anxiety can contribute to burnout and even early career exit for many musicians. Moreover, the prevalence of MPA in younger musicians has been linked to the pressures of social media and public performance platforms, where immediate feedback can create heightened levels of anxiety (Mills, 2023). This suggests that while traditional performance settings are known triggers for MPA, modern digital environments may be exacerbating the condition among a new generation of musicians.</w:t>
      </w:r>
    </w:p>
    <w:p w14:paraId="383265B5" w14:textId="77777777" w:rsidR="00235126" w:rsidRPr="00235126" w:rsidRDefault="00235126" w:rsidP="00235126">
      <w:pPr>
        <w:ind w:firstLine="720"/>
      </w:pPr>
      <w:r w:rsidRPr="00235126">
        <w:t xml:space="preserve">At present, there is no stand-alone clinical diagnosis specifically for Music Performance Anxiety (MPA), which has led to significant challenges in both diagnosis and treatment. MPA is often associated with social anxiety due to the assumption that the anxiety is similarly provoked by the presence of an audience. Cox and </w:t>
      </w:r>
      <w:proofErr w:type="spellStart"/>
      <w:r w:rsidRPr="00235126">
        <w:t>Kenardy</w:t>
      </w:r>
      <w:proofErr w:type="spellEnd"/>
      <w:r w:rsidRPr="00235126">
        <w:t xml:space="preserve"> (1993) suggest that, like social anxiety, MPA is triggered by the perceived judgment or scrutiny of others during public performances. In this view, musicians experiencing MPA are thought to share the same psychological mechanisms as those with social anxiety, particularly the heightened fear of negative evaluation by others in performance contexts.</w:t>
      </w:r>
    </w:p>
    <w:p w14:paraId="00749D8F" w14:textId="77777777" w:rsidR="00235126" w:rsidRPr="00235126" w:rsidRDefault="00235126" w:rsidP="00235126">
      <w:pPr>
        <w:ind w:firstLine="720"/>
      </w:pPr>
      <w:r w:rsidRPr="00235126">
        <w:t xml:space="preserve">Additionally, MPA is frequently linked with social phobia, a psychological condition characterized by a persistent fear of situations where potential scrutiny may lead to feelings of embarrassment (Doctor &amp; Khan, 1989). The relationship between these two conditions highlights the role of external social factors, such as audience presence, in amplifying the anxiety. However, this understanding has been challenged by researchers like Fogle (1982), who argues that musicians can suffer from performance anxiety even when no audience is present, particularly during </w:t>
      </w:r>
      <w:r w:rsidRPr="00235126">
        <w:lastRenderedPageBreak/>
        <w:t>rehearsals or internal performance assessments. This suggests that the origins of MPA are not purely social in nature, but may also be related to the musician’s internal psychological pressures and self-evaluation.</w:t>
      </w:r>
    </w:p>
    <w:p w14:paraId="14CD3165" w14:textId="77777777" w:rsidR="00235126" w:rsidRPr="00235126" w:rsidRDefault="00235126" w:rsidP="00235126">
      <w:pPr>
        <w:ind w:firstLine="720"/>
      </w:pPr>
      <w:r w:rsidRPr="00235126">
        <w:t>Kenny (2011) also identifies key differences between MPA and other forms of anxiety, such as social phobia. While both conditions involve fear and distress, musicians with performance anxiety tend to have higher personal expectations and a heightened fear of self-evaluation. They may excessively focus on their perceived mistakes during performances, leading to negative rumination and diminished confidence. Unlike social anxiety, where fear is often based on external evaluation, MPA is primarily driven by the musician’s internalized standards and their self-criticism (Kenny, 2011). Kenny further explores how musical performance is cognitively and physically demanding, requiring not only technical skill but also emotional engagement and physical coordination. This unique combination of cognitive and physical stressors, she argues, distinguishes MPA from other anxiety disorders like social phobia, which typically involve less complex cognitive and physical demands.</w:t>
      </w:r>
    </w:p>
    <w:p w14:paraId="1EECBD3F" w14:textId="77777777" w:rsidR="00235126" w:rsidRPr="00235126" w:rsidRDefault="00235126" w:rsidP="00235126">
      <w:pPr>
        <w:ind w:firstLine="720"/>
      </w:pPr>
      <w:r w:rsidRPr="00235126">
        <w:t>Although there are both similarities and differences between MPA and social anxiety, it is important to recognize that individuals who are already psychologically vulnerable—such as those suffering from Social Anxiety Disorder (SAD)—may be more susceptible to developing MPA (Dobos et al., 2018). The overlap between these conditions suggests that musicians with pre-existing social anxiety may be at a higher risk of developing performance-related anxiety. Furthermore, previous adverse performance experiences can trigger the onset of MPA, creating a cycle where fear of failure and anxiety become ingrained over time. These negative experiences can condition musicians to associate performance situations with anxiety, reinforcing the anxiety response each time they are faced with a similar scenario (Wilson &amp; Williams, 2020).</w:t>
      </w:r>
    </w:p>
    <w:p w14:paraId="7B24D8C9" w14:textId="77777777" w:rsidR="00235126" w:rsidRPr="00235126" w:rsidRDefault="00235126" w:rsidP="00235126">
      <w:pPr>
        <w:ind w:firstLine="720"/>
      </w:pPr>
      <w:r w:rsidRPr="00235126">
        <w:t xml:space="preserve">Anxiety disorders, including MPA, are among the most commonly diagnosed mental health conditions across all age groups (Kenny, 2011), highlighting the widespread nature of this issue. </w:t>
      </w:r>
      <w:r w:rsidRPr="00235126">
        <w:lastRenderedPageBreak/>
        <w:t>Given the prevalence of anxiety disorders in the general population and the unique demands of musical performance, it is crucial to support musicians in developing strategies to cope with and, where possible, reduce or avoid MPA entirely. If left unaddressed, MPA can significantly hinder a musician’s career and wellbeing, potentially leading to early career burnout or the avoidance of performance altogether (Smith, 2022).</w:t>
      </w:r>
    </w:p>
    <w:p w14:paraId="6FCF00F2" w14:textId="2176F001" w:rsidR="00F670B1" w:rsidRDefault="004C1C3E" w:rsidP="000F17B8">
      <w:pPr>
        <w:ind w:firstLine="720"/>
      </w:pPr>
      <w:r>
        <w:t>Unique to performance, an element of arousal is required in order to work in a high quality and emotionally connected way (</w:t>
      </w:r>
      <w:r w:rsidR="00B82FC0">
        <w:t>Harris,1986</w:t>
      </w:r>
      <w:r>
        <w:t xml:space="preserve">), meaning the goal is not to eradicate anxiety, but to manage it. The following is an exploration of MPA support strategies and how they can be put into place in the practice room by music teachers. </w:t>
      </w:r>
      <w:r w:rsidR="003B0252">
        <w:t xml:space="preserve">Being multidimensional and multi-causal (Kenny, 2011), the journey to effective MPA management may be as unique as the musician themselves which is well suited to the support offered by one to one tutors, who are able to explore and adapt to individuals’ needs in greater depth. </w:t>
      </w:r>
      <w:r w:rsidR="002A7E29">
        <w:t xml:space="preserve">While it is important to be mindful that students with severe cases of any kind of anxiety may require medical intervention </w:t>
      </w:r>
      <w:r w:rsidR="00FB5DA5">
        <w:t xml:space="preserve">and that most teachers are not trained clinicians, </w:t>
      </w:r>
      <w:r w:rsidR="002A7E29">
        <w:t>current research suggests that</w:t>
      </w:r>
      <w:r w:rsidR="00FB5DA5">
        <w:t xml:space="preserve"> there may be effective approaches which can be practiced at this level in order to nurture the mental health of performers. </w:t>
      </w:r>
    </w:p>
    <w:p w14:paraId="42835D90" w14:textId="77777777" w:rsidR="00235126" w:rsidRPr="00235126" w:rsidRDefault="00235126" w:rsidP="00235126">
      <w:pPr>
        <w:ind w:firstLine="720"/>
      </w:pPr>
      <w:r w:rsidRPr="00235126">
        <w:t xml:space="preserve">An area of Music Performance Anxiety (MPA) support that is accessible to most, if not all, music teachers to implement is the provision of regular performance opportunities. One of the most effective and well-researched therapeutic approaches for managing MPA is exposure therapy. A meta-analysis by Deacon and </w:t>
      </w:r>
      <w:proofErr w:type="spellStart"/>
      <w:r w:rsidRPr="00235126">
        <w:t>Abramamovitz</w:t>
      </w:r>
      <w:proofErr w:type="spellEnd"/>
      <w:r w:rsidRPr="00235126">
        <w:t xml:space="preserve"> (2004) examined over a decade of research into the efficacy of exposure therapy for various anxiety disorders, concluding that it is a highly effective treatment. The principle behind exposure therapy is to gradually expose individuals to anxiety-provoking situations in a controlled, incremental manner, helping them build tolerance and reduce the emotional distress they associate with these situations. This method has proven particularly effective for social and performance-related anxieties, as it allows individuals to desensitize themselves to their fears through repeated and controlled exposure.</w:t>
      </w:r>
    </w:p>
    <w:p w14:paraId="44A92BB0" w14:textId="77777777" w:rsidR="00235126" w:rsidRPr="00235126" w:rsidRDefault="00235126" w:rsidP="00235126">
      <w:pPr>
        <w:ind w:firstLine="720"/>
      </w:pPr>
      <w:r w:rsidRPr="00235126">
        <w:lastRenderedPageBreak/>
        <w:t>Research into the use of exposure therapy specifically for MPA is still in its early stages, but the findings to date are promising. Bissonnette et al. (2016) conducted a study that explored the use of exposure therapy for musicians and found that it resulted in reduced levels of performance anxiety. The research indicates that, similar to other forms of anxiety, repeated exposure to performance situations can help musicians to become more comfortable in these settings. Performers who underwent exposure therapy, particularly when combined with technical rehearsal, reported a reduction in both their anxiety levels and technical errors during performances (McGrath et al., 2017). This suggests that regular exposure to performance situations not only alleviates MPA symptoms but also enhances overall performance accuracy and confidence. This benefit extends not just to those with existing performance anxiety, but also to those who may not yet be experiencing MPA but could benefit from regular practice under performance conditions (Lehrer, 2015).</w:t>
      </w:r>
    </w:p>
    <w:p w14:paraId="28FDD8A1" w14:textId="77777777" w:rsidR="00235126" w:rsidRPr="00235126" w:rsidRDefault="00235126" w:rsidP="00235126">
      <w:pPr>
        <w:ind w:firstLine="720"/>
      </w:pPr>
      <w:r w:rsidRPr="00235126">
        <w:t>Lehrer (2015) emphasizes that for exposure therapy to be effective in managing MPA, the exposure needs to be consistent and occur at regular intervals. The size of the audience should initially be small and manageable, and gradually increased over time to allow the performer to build confidence without overwhelming them. This incremental approach ensures that the musician’s comfort level is respected, while still providing sufficient challenge to promote psychological healing and reduce anxiety. Lehrer cautions against overwhelming performers with large audiences too quickly, as this could lead to regression, potentially deepening their anxiety.</w:t>
      </w:r>
    </w:p>
    <w:p w14:paraId="2D6C5C3A" w14:textId="5E74FB3F" w:rsidR="00235126" w:rsidRDefault="00235126" w:rsidP="00235126">
      <w:pPr>
        <w:ind w:firstLine="720"/>
      </w:pPr>
      <w:r w:rsidRPr="00235126">
        <w:t xml:space="preserve">Instrumental teachers can implement this approach by offering their students a range of regular performance opportunities. These could include small to medium-sized recitals and informal performances, where students can play for peers, family, or a small public audience in a low-pressure environment. Over time, these performances can be gradually scaled up, with the inclusion of larger, more formal recitals or concerts at longer intervals. By creating a structured environment with varying levels of performance opportunities, teachers can help students gain experience and confidence, while minimizing the risk of overwhelming them. This approach also fosters a culture of </w:t>
      </w:r>
      <w:r w:rsidRPr="00235126">
        <w:lastRenderedPageBreak/>
        <w:t>regular performance practice, which not only helps alleviate anxiety but also encourages skill development and a deeper connection to music (Smith &amp; Thompson, 2022).</w:t>
      </w:r>
      <w:r>
        <w:t xml:space="preserve"> </w:t>
      </w:r>
      <w:r w:rsidRPr="00235126">
        <w:t>Furthermore, recent research indicates that performance opportunities can help students develop resilience and emotional regulation. According to Schmidt and Daza (2023), musicians who regularly perform report feeling more emotionally resilient, as they learn to cope with the inherent stresses of performing. This ability to manage stress not only helps reduce MPA, but also equips musicians with the skills needed to navigate other performance pressures throughout their careers.</w:t>
      </w:r>
    </w:p>
    <w:p w14:paraId="0352B2BE" w14:textId="77777777" w:rsidR="00235126" w:rsidRPr="00235126" w:rsidRDefault="00235126" w:rsidP="00235126"/>
    <w:p w14:paraId="4D2F2E21" w14:textId="77777777" w:rsidR="00235126" w:rsidRPr="00235126" w:rsidRDefault="00235126" w:rsidP="00235126">
      <w:pPr>
        <w:ind w:firstLine="720"/>
      </w:pPr>
      <w:r w:rsidRPr="00235126">
        <w:t>Technological advancements have opened up new possibilities for the development and delivery of exposure therapy, particularly for Music Performance Anxiety (MPA). A significant 90% of music teachers currently report incorporating some form of digital technology into their lessons (ABRSM, 2021), indicating the widespread acceptance and integration of technology in music education. As this technology continues to evolve, so too does the potential to engage students in virtual performance scenarios that can mimic real-world performance anxiety triggers.</w:t>
      </w:r>
    </w:p>
    <w:p w14:paraId="26097A09" w14:textId="77777777" w:rsidR="00235126" w:rsidRPr="00235126" w:rsidRDefault="00235126" w:rsidP="00235126">
      <w:pPr>
        <w:ind w:firstLine="720"/>
      </w:pPr>
      <w:r w:rsidRPr="00235126">
        <w:t>Bissonnette et al. (2016) explored the effectiveness of Virtual Reality Exposure Therapy (VRET) as a treatment for MPA. In their study, participants were immersed in three different simulated performance environments, each with varying levels of perceived intensity. These virtual scenarios ranged from playing in front of a small audience to performing in large, more intimidating settings, allowing the participants to gradually face different levels of anxiety. Results indicated that participants gained a better understanding of their anxiety symptoms and felt more confident in managing their anxiety in future real-life performances. Zyl (2020) corroborated these findings, noting that VRET participants reported reduced anxiety and an enhanced sense of control over their emotional responses during performances. This suggests that VRET can be an effective tool for desensitizing musicians to performance anxiety, providing them with a safe, controlled environment to practice their responses to stressful performance situations.</w:t>
      </w:r>
    </w:p>
    <w:p w14:paraId="549B8123" w14:textId="50A1A6F0" w:rsidR="00235126" w:rsidRPr="00235126" w:rsidRDefault="00235126" w:rsidP="00235126">
      <w:pPr>
        <w:ind w:firstLine="720"/>
      </w:pPr>
      <w:r w:rsidRPr="00235126">
        <w:lastRenderedPageBreak/>
        <w:t xml:space="preserve">Although the initial results of VRET for MPA are promising, the technology still requires further development before it can be widely accessible and integrated into everyday teaching practices. Current software limitations and the need for more tailored, user-friendly interfaces mean that the application of VRET in general music education remains somewhat niche (Blair &amp; Sluis, 2020). However, with continued advancements in virtual reality technology and greater accessibility, it is highly likely that VRET will become a viable option for music teachers in the near future. </w:t>
      </w:r>
    </w:p>
    <w:p w14:paraId="595E306E" w14:textId="55387F07" w:rsidR="00ED2F20" w:rsidRDefault="00ED2F20" w:rsidP="00ED2F20">
      <w:pPr>
        <w:ind w:firstLine="720"/>
      </w:pPr>
      <w:proofErr w:type="spellStart"/>
      <w:r>
        <w:t>Psychoneuromuscular</w:t>
      </w:r>
      <w:proofErr w:type="spellEnd"/>
      <w:r>
        <w:t xml:space="preserve"> theory postulates the improvement of activity performance through visualisation (APA Dictionary, 2023) and this method has shown to be a key psychological skill to the success of a performer (Munroe-Chandler, 2017). Visualising performances with positive outcomes has been linked to improvements in performance, mental toughness (Mattie &amp; Munroe-Chandler, 2012), trait confidence (Abma et al., 2002) and self-concept (</w:t>
      </w:r>
      <w:proofErr w:type="spellStart"/>
      <w:r>
        <w:t>Najafabadi</w:t>
      </w:r>
      <w:proofErr w:type="spellEnd"/>
      <w:r>
        <w:t xml:space="preserve"> et al., 2015): all conditions conducive with the reduction of anxiety. Mental imagery enables the selection of past experiences from memories in order to re-experience them and manipulate them if necessary, as well as imagining new events unfolding in the desired way (Munroe-Chandler &amp; Guerro, 2017). This approach is possible without cost, for those of all skill and experience levels, can be conducted anywhere and at any time, and has been shown to be just as effective as exposure (McGrath et al., 2017). Teachers could recommend positive visualisation to all students who aim to increase performance skill and confidence thereby reducing general MPA, in addition to </w:t>
      </w:r>
      <w:r w:rsidR="0072583F">
        <w:t xml:space="preserve">specifically </w:t>
      </w:r>
      <w:r>
        <w:t xml:space="preserve">supporting those who may have previously endured adverse performance experiences. </w:t>
      </w:r>
    </w:p>
    <w:p w14:paraId="0D74D949" w14:textId="3881A7BC" w:rsidR="00ED2F20" w:rsidRDefault="00ED2F20" w:rsidP="00ED2F20">
      <w:pPr>
        <w:ind w:firstLine="720"/>
      </w:pPr>
      <w:r>
        <w:t>Medications can be clinically prescribed to reduce the symptoms of anxiety. Benzodiazepines treat apprehension, muscle tension and gastrointestinal distress. They are also used to treat depression, epilepsy, alcohol withdrawal and used as sedatives. Communicating with subcortical neural receptors, the medicine</w:t>
      </w:r>
      <w:r w:rsidR="0072583F">
        <w:t>s</w:t>
      </w:r>
      <w:r>
        <w:t xml:space="preserve"> stabilise mood and emotional state, leading to the prevention of heightened brain arousal</w:t>
      </w:r>
      <w:r w:rsidR="0072583F">
        <w:t>,</w:t>
      </w:r>
      <w:r>
        <w:t xml:space="preserve"> </w:t>
      </w:r>
      <w:r w:rsidR="0072583F">
        <w:t xml:space="preserve">ergo anxiety </w:t>
      </w:r>
      <w:r>
        <w:t xml:space="preserve">(McGrath et al., 2017). Beta blockers (such as atenolol, bisoprolol and carvedilol) reduce the heartrate by suppressing adrenaline (NHS.uk, 2022). </w:t>
      </w:r>
      <w:r>
        <w:lastRenderedPageBreak/>
        <w:t xml:space="preserve">Although these medications have been shown to reduce anxiety and increase mental sharpness, a number of studies have described subsequent musical performances to lack emotional intensity and authenticity. There could also be negative side effects from and kind of drug ingestion as well as potential addiction. Students presenting with extreme anxiety disorders should always be signposted to their GP. However, studies seem to show that overall music performance decreases due to the use of medication and could be detrimental to other areas of health. The NHS UK (2022) currently recommends </w:t>
      </w:r>
      <w:r w:rsidR="00E83DC6">
        <w:t>C</w:t>
      </w:r>
      <w:r>
        <w:t xml:space="preserve">ognitive </w:t>
      </w:r>
      <w:r w:rsidR="00E83DC6">
        <w:t>B</w:t>
      </w:r>
      <w:r>
        <w:t xml:space="preserve">ehavioural </w:t>
      </w:r>
      <w:r w:rsidR="00E83DC6">
        <w:t>T</w:t>
      </w:r>
      <w:r>
        <w:t>herapy (CBT) ahead of medical measures.</w:t>
      </w:r>
    </w:p>
    <w:p w14:paraId="602F0EDF" w14:textId="2B35A312" w:rsidR="00195FAB" w:rsidRDefault="00ED2F20" w:rsidP="00195FAB">
      <w:pPr>
        <w:ind w:firstLine="720"/>
      </w:pPr>
      <w:r>
        <w:t>Cognitions can disrupt the thoughts of a performer from their music on</w:t>
      </w:r>
      <w:r w:rsidR="00475A27">
        <w:t xml:space="preserve"> </w:t>
      </w:r>
      <w:r>
        <w:t xml:space="preserve">to their anxiety, leading to unhelpful behaviours and outcomes (Osborne, Kenny &amp; Cooksey, 2007). CBT conceptualises the interplay of thoughts with emotions and behaviours and aims to reduce negative patterns to improve mind states (NHS.uk, 2022). The NHS UK highlights that CBT can work quickly; it’s easily accessible; it can be practiced as part of a group or as an individual; it empowers the user to take control of themselves; and that it can be as effective as medication. However, work and commitment are required from the patient; it may not be suitable for those with complex needs; and underlying causes of anxiety are not addressed so there is the potential for reoccurrence of the disorder. Irrespectively, the approach has shown to reduce MPA and have some positive effects for the performer (Kendrick et al., 1982; Nagel et al., 1989; Osborne et al., 2007) and has been identified as most effective for those with high levels negative cognitions (Setzer &amp; Albano, 2004). Instrumental teachers who are not trained in the therapy would be able to implement some elements of CBT into lessons. Teachers can foster positive cognition in their students (McGrath et al, 2017), </w:t>
      </w:r>
      <w:r w:rsidR="00E83DC6">
        <w:t xml:space="preserve">achievable </w:t>
      </w:r>
      <w:r>
        <w:t xml:space="preserve">goal setting, decreasing avoidance, and </w:t>
      </w:r>
      <w:r w:rsidR="00E83DC6">
        <w:t>promote</w:t>
      </w:r>
      <w:r>
        <w:t xml:space="preserve"> </w:t>
      </w:r>
      <w:r w:rsidR="00E83DC6">
        <w:t xml:space="preserve">positive </w:t>
      </w:r>
      <w:r>
        <w:t>core beliefs and schemas. A practical guide to support instrumental teachers with</w:t>
      </w:r>
      <w:r w:rsidR="00E83DC6">
        <w:t xml:space="preserve"> applying</w:t>
      </w:r>
      <w:r>
        <w:t xml:space="preserve"> </w:t>
      </w:r>
      <w:r w:rsidR="00E83DC6">
        <w:t>CBT</w:t>
      </w:r>
      <w:r>
        <w:t xml:space="preserve"> is outlined by Dobson and Dobson (2017). </w:t>
      </w:r>
    </w:p>
    <w:p w14:paraId="15616B22" w14:textId="7762CDFF" w:rsidR="00195FAB" w:rsidRPr="00195FAB" w:rsidRDefault="00195FAB" w:rsidP="00195FAB">
      <w:pPr>
        <w:ind w:firstLine="720"/>
      </w:pPr>
      <w:r w:rsidRPr="00195FAB">
        <w:rPr>
          <w:rFonts w:ascii="Calibri" w:eastAsia="Times New Roman" w:hAnsi="Calibri" w:cs="Calibri"/>
          <w:color w:val="222222"/>
          <w:lang w:eastAsia="en-GB"/>
        </w:rPr>
        <w:t xml:space="preserve">Heyes et al, (2006) </w:t>
      </w:r>
      <w:r w:rsidR="00E83DC6">
        <w:rPr>
          <w:rFonts w:ascii="Calibri" w:eastAsia="Times New Roman" w:hAnsi="Calibri" w:cs="Calibri"/>
          <w:color w:val="222222"/>
          <w:lang w:eastAsia="en-GB"/>
        </w:rPr>
        <w:t xml:space="preserve">discusses the development of a </w:t>
      </w:r>
      <w:r w:rsidRPr="00195FAB">
        <w:rPr>
          <w:rFonts w:ascii="Calibri" w:eastAsia="Times New Roman" w:hAnsi="Calibri" w:cs="Calibri"/>
          <w:color w:val="222222"/>
          <w:lang w:eastAsia="en-GB"/>
        </w:rPr>
        <w:t>third wave of behaviour therapy rooted in contextualism. Studies are showing that Acceptance and Commitment Therapy (ACT) is a</w:t>
      </w:r>
      <w:r w:rsidR="00CE03B0">
        <w:rPr>
          <w:rFonts w:ascii="Calibri" w:eastAsia="Times New Roman" w:hAnsi="Calibri" w:cs="Calibri"/>
          <w:color w:val="222222"/>
          <w:lang w:eastAsia="en-GB"/>
        </w:rPr>
        <w:t>n</w:t>
      </w:r>
      <w:r w:rsidRPr="00195FAB">
        <w:rPr>
          <w:rFonts w:ascii="Calibri" w:eastAsia="Times New Roman" w:hAnsi="Calibri" w:cs="Calibri"/>
          <w:color w:val="222222"/>
          <w:lang w:eastAsia="en-GB"/>
        </w:rPr>
        <w:t xml:space="preserve"> </w:t>
      </w:r>
      <w:r w:rsidRPr="00195FAB">
        <w:rPr>
          <w:rFonts w:ascii="Calibri" w:eastAsia="Times New Roman" w:hAnsi="Calibri" w:cs="Calibri"/>
          <w:color w:val="222222"/>
          <w:lang w:eastAsia="en-GB"/>
        </w:rPr>
        <w:lastRenderedPageBreak/>
        <w:t xml:space="preserve">alternative to CBT. ACT differs in the way it isolates a negative thought, recognises it’s origin and then challenge its accuracy. ACT promises much in the treatment of MPA and other anxiety disorders, however an increased volume of controlled studies are needed to highlight ACT as being </w:t>
      </w:r>
      <w:r w:rsidR="00CE03B0">
        <w:rPr>
          <w:rFonts w:ascii="Calibri" w:eastAsia="Times New Roman" w:hAnsi="Calibri" w:cs="Calibri"/>
          <w:color w:val="222222"/>
          <w:lang w:eastAsia="en-GB"/>
        </w:rPr>
        <w:t xml:space="preserve">more </w:t>
      </w:r>
      <w:r w:rsidRPr="00195FAB">
        <w:rPr>
          <w:rFonts w:ascii="Calibri" w:eastAsia="Times New Roman" w:hAnsi="Calibri" w:cs="Calibri"/>
          <w:color w:val="222222"/>
          <w:lang w:eastAsia="en-GB"/>
        </w:rPr>
        <w:t>effective than well established treatments such as CBT</w:t>
      </w:r>
      <w:r w:rsidR="00CE03B0">
        <w:rPr>
          <w:rFonts w:ascii="Calibri" w:eastAsia="Times New Roman" w:hAnsi="Calibri" w:cs="Calibri"/>
          <w:color w:val="222222"/>
          <w:lang w:eastAsia="en-GB"/>
        </w:rPr>
        <w:t xml:space="preserve"> (Heyes, 2012)</w:t>
      </w:r>
      <w:r w:rsidRPr="00195FAB">
        <w:rPr>
          <w:rFonts w:ascii="Calibri" w:eastAsia="Times New Roman" w:hAnsi="Calibri" w:cs="Calibri"/>
          <w:color w:val="222222"/>
          <w:lang w:eastAsia="en-GB"/>
        </w:rPr>
        <w:t xml:space="preserve">.  Teachers </w:t>
      </w:r>
      <w:r>
        <w:rPr>
          <w:rFonts w:ascii="Calibri" w:eastAsia="Times New Roman" w:hAnsi="Calibri" w:cs="Calibri"/>
          <w:color w:val="222222"/>
          <w:lang w:eastAsia="en-GB"/>
        </w:rPr>
        <w:t>could</w:t>
      </w:r>
      <w:r w:rsidRPr="00195FAB">
        <w:rPr>
          <w:rFonts w:ascii="Calibri" w:eastAsia="Times New Roman" w:hAnsi="Calibri" w:cs="Calibri"/>
          <w:color w:val="222222"/>
          <w:lang w:eastAsia="en-GB"/>
        </w:rPr>
        <w:t xml:space="preserve"> implement this</w:t>
      </w:r>
      <w:r w:rsidR="00CE03B0">
        <w:rPr>
          <w:rFonts w:ascii="Calibri" w:eastAsia="Times New Roman" w:hAnsi="Calibri" w:cs="Calibri"/>
          <w:color w:val="222222"/>
          <w:lang w:eastAsia="en-GB"/>
        </w:rPr>
        <w:t xml:space="preserve"> approach</w:t>
      </w:r>
      <w:r w:rsidRPr="00195FAB">
        <w:rPr>
          <w:rFonts w:ascii="Calibri" w:eastAsia="Times New Roman" w:hAnsi="Calibri" w:cs="Calibri"/>
          <w:color w:val="222222"/>
          <w:lang w:eastAsia="en-GB"/>
        </w:rPr>
        <w:t xml:space="preserve"> by discussing negative thoughts shared by their students and helping to provide them with clarity and context regarding their concerns.</w:t>
      </w:r>
    </w:p>
    <w:p w14:paraId="5F09C0A5" w14:textId="47B3E2E6" w:rsidR="00ED2F20" w:rsidRDefault="00ED2F20" w:rsidP="00ED2F20">
      <w:pPr>
        <w:ind w:firstLine="720"/>
        <w:rPr>
          <w:rStyle w:val="l7"/>
          <w:color w:val="000000"/>
          <w:bdr w:val="none" w:sz="0" w:space="0" w:color="auto" w:frame="1"/>
        </w:rPr>
      </w:pPr>
      <w:r>
        <w:t xml:space="preserve">Natural and holistic approaches for reducing MPA could also be appropriate for instrumental teachers to discuss with their students. The physical and mental health benefits of regular exercise are widely acknowledged (Byrne and Byrne, 1993), and aerobic exercise has been cited to be just as effective as anti-anxiety medication (REF* </w:t>
      </w:r>
      <w:proofErr w:type="spellStart"/>
      <w:r w:rsidRPr="00CA5662">
        <w:rPr>
          <w:color w:val="000000"/>
          <w:shd w:val="clear" w:color="auto" w:fill="FFFFFF"/>
        </w:rPr>
        <w:t>Jorm</w:t>
      </w:r>
      <w:proofErr w:type="spellEnd"/>
      <w:r w:rsidRPr="00CA5662">
        <w:rPr>
          <w:color w:val="000000"/>
          <w:shd w:val="clear" w:color="auto" w:fill="FFFFFF"/>
        </w:rPr>
        <w:t xml:space="preserve"> et al., “Effectiveness of Complementary and Self-Help T</w:t>
      </w:r>
      <w:r w:rsidRPr="00CA5662">
        <w:rPr>
          <w:rStyle w:val="l"/>
          <w:color w:val="000000"/>
          <w:bdr w:val="none" w:sz="0" w:space="0" w:color="auto" w:frame="1"/>
        </w:rPr>
        <w:t>reatments.</w:t>
      </w:r>
      <w:r w:rsidRPr="00CA5662">
        <w:rPr>
          <w:rStyle w:val="l7"/>
          <w:color w:val="000000"/>
          <w:bdr w:val="none" w:sz="0" w:space="0" w:color="auto" w:frame="1"/>
        </w:rPr>
        <w:t>”</w:t>
      </w:r>
      <w:r>
        <w:rPr>
          <w:rStyle w:val="l7"/>
          <w:color w:val="000000"/>
          <w:bdr w:val="none" w:sz="0" w:space="0" w:color="auto" w:frame="1"/>
        </w:rPr>
        <w:t>). The NHS (2023) recommends a weekly minimum of 150 minutes of aerobic activity in addition to 2 sessions of strength development to stay healthy. Additionally, a 90 minute nature walk has been shown via self-report and brain scan to reduce rumination. Nutritionally, the overconsumption of alcohol can increase anxiety, as can that of caffeine</w:t>
      </w:r>
      <w:r w:rsidR="00163B35">
        <w:rPr>
          <w:rStyle w:val="l7"/>
          <w:color w:val="000000"/>
          <w:bdr w:val="none" w:sz="0" w:space="0" w:color="auto" w:frame="1"/>
        </w:rPr>
        <w:t xml:space="preserve"> and nicotine</w:t>
      </w:r>
      <w:r>
        <w:rPr>
          <w:rStyle w:val="l7"/>
          <w:color w:val="000000"/>
          <w:bdr w:val="none" w:sz="0" w:space="0" w:color="auto" w:frame="1"/>
        </w:rPr>
        <w:t xml:space="preserve">; the consumption of calcium, magnesium, phosphorus, potassium and vitamin b rich foods has shown to reduce anxiety; and herbal remedies and aromatherapies have been identified to have a similar effect, with no concern for adverse side effects (McGrath, 2017). Teachers could recommend that their students exercise regularly, and eat and drink healthily to help manage their mental health. </w:t>
      </w:r>
    </w:p>
    <w:p w14:paraId="14305D60" w14:textId="2D8D41B7" w:rsidR="00ED2F20" w:rsidRDefault="00ED2F20" w:rsidP="00ED2F20">
      <w:pPr>
        <w:ind w:firstLine="720"/>
        <w:rPr>
          <w:rStyle w:val="l7"/>
          <w:color w:val="000000"/>
          <w:bdr w:val="none" w:sz="0" w:space="0" w:color="auto" w:frame="1"/>
        </w:rPr>
      </w:pPr>
      <w:r>
        <w:rPr>
          <w:rStyle w:val="l7"/>
          <w:color w:val="000000"/>
          <w:bdr w:val="none" w:sz="0" w:space="0" w:color="auto" w:frame="1"/>
        </w:rPr>
        <w:t xml:space="preserve">McGrath (2017) recommends that teachers provide a safe space for their students by remaining emotionally present, and to facilitate appropriate situations for challenge and stimulation without comparison to others. Four key areas of focus are identified: flow (full immersion into the music) aided by </w:t>
      </w:r>
      <w:r w:rsidR="00163B35">
        <w:rPr>
          <w:rStyle w:val="l7"/>
          <w:color w:val="000000"/>
          <w:bdr w:val="none" w:sz="0" w:space="0" w:color="auto" w:frame="1"/>
        </w:rPr>
        <w:t xml:space="preserve">appropriate environment and </w:t>
      </w:r>
      <w:r>
        <w:rPr>
          <w:rStyle w:val="l7"/>
          <w:color w:val="000000"/>
          <w:bdr w:val="none" w:sz="0" w:space="0" w:color="auto" w:frame="1"/>
        </w:rPr>
        <w:t xml:space="preserve">selection of repertoire; self-efficacy (realistic perception of their own abilities) supported through goal achievements and peer engagement and review; developing a growth mindset by focussing on achievable goals; and cognitive self-regulation, achieved by focussing on the positive. </w:t>
      </w:r>
    </w:p>
    <w:p w14:paraId="7BDCC729" w14:textId="77777777" w:rsidR="00BA114F" w:rsidRDefault="00ED2F20" w:rsidP="00BA114F">
      <w:pPr>
        <w:ind w:firstLine="720"/>
        <w:rPr>
          <w:rStyle w:val="l7"/>
          <w:color w:val="000000"/>
          <w:bdr w:val="none" w:sz="0" w:space="0" w:color="auto" w:frame="1"/>
        </w:rPr>
      </w:pPr>
      <w:r>
        <w:rPr>
          <w:rStyle w:val="l7"/>
          <w:color w:val="000000"/>
          <w:bdr w:val="none" w:sz="0" w:space="0" w:color="auto" w:frame="1"/>
        </w:rPr>
        <w:lastRenderedPageBreak/>
        <w:t>Other potential methods for support of MPA which teachers could signpost students to as appropriate could include: rational emotive therapy (RET) (Ellis, 2013); schema therapy (Peeters et al., 2021); hypnotherapy (</w:t>
      </w:r>
      <w:proofErr w:type="spellStart"/>
      <w:r>
        <w:rPr>
          <w:rStyle w:val="l7"/>
          <w:color w:val="000000"/>
          <w:bdr w:val="none" w:sz="0" w:space="0" w:color="auto" w:frame="1"/>
        </w:rPr>
        <w:t>Lotfifar</w:t>
      </w:r>
      <w:proofErr w:type="spellEnd"/>
      <w:r>
        <w:rPr>
          <w:rStyle w:val="l7"/>
          <w:color w:val="000000"/>
          <w:bdr w:val="none" w:sz="0" w:space="0" w:color="auto" w:frame="1"/>
        </w:rPr>
        <w:t xml:space="preserve"> et al., 2013); eye movement desensitisation and reprocessing (EMDR) (</w:t>
      </w:r>
      <w:proofErr w:type="spellStart"/>
      <w:r>
        <w:rPr>
          <w:rStyle w:val="l7"/>
          <w:color w:val="000000"/>
          <w:bdr w:val="none" w:sz="0" w:space="0" w:color="auto" w:frame="1"/>
        </w:rPr>
        <w:t>Rathschlag</w:t>
      </w:r>
      <w:proofErr w:type="spellEnd"/>
      <w:r>
        <w:rPr>
          <w:rStyle w:val="l7"/>
          <w:color w:val="000000"/>
          <w:bdr w:val="none" w:sz="0" w:space="0" w:color="auto" w:frame="1"/>
        </w:rPr>
        <w:t xml:space="preserve"> &amp; </w:t>
      </w:r>
      <w:proofErr w:type="spellStart"/>
      <w:r>
        <w:rPr>
          <w:rStyle w:val="l7"/>
          <w:color w:val="000000"/>
          <w:bdr w:val="none" w:sz="0" w:space="0" w:color="auto" w:frame="1"/>
        </w:rPr>
        <w:t>Memmert</w:t>
      </w:r>
      <w:proofErr w:type="spellEnd"/>
      <w:r>
        <w:rPr>
          <w:rStyle w:val="l7"/>
          <w:color w:val="000000"/>
          <w:bdr w:val="none" w:sz="0" w:space="0" w:color="auto" w:frame="1"/>
        </w:rPr>
        <w:t>, 2014); acupuncture (Tong et al., 2021); progressive muscular relaxation (PMR) (Gramling &amp; Auerbach, 2006); mindfulness-based therapy (Sawyer et al., 2010); and music therapy (</w:t>
      </w:r>
      <w:proofErr w:type="spellStart"/>
      <w:r>
        <w:rPr>
          <w:rStyle w:val="l7"/>
          <w:color w:val="000000"/>
          <w:bdr w:val="none" w:sz="0" w:space="0" w:color="auto" w:frame="1"/>
        </w:rPr>
        <w:t>Gutieerez</w:t>
      </w:r>
      <w:proofErr w:type="spellEnd"/>
      <w:r>
        <w:rPr>
          <w:rStyle w:val="l7"/>
          <w:color w:val="000000"/>
          <w:bdr w:val="none" w:sz="0" w:space="0" w:color="auto" w:frame="1"/>
        </w:rPr>
        <w:t xml:space="preserve"> &amp; Camarena, 2015). </w:t>
      </w:r>
    </w:p>
    <w:p w14:paraId="174AE1E1" w14:textId="515B7B5D" w:rsidR="00444035" w:rsidRDefault="00BA114F" w:rsidP="00444035">
      <w:pPr>
        <w:ind w:firstLine="720"/>
      </w:pPr>
      <w:r>
        <w:t>In summary, it is paramount that music students are supported with MPA. Teachers need to be aware of its impact, presentation, and intervention strategies to achieve this. In the understanding that its dimensions and roots vary, so to do the management support methodologies, and these can be explored and personalised for the individual student as appropriate. While those suffering from severe anxiety need to be signposted to their GP, current research seems to indicate certain approaches, all or some of which may be suitable for developing the mental health of the majority of students</w:t>
      </w:r>
      <w:r w:rsidR="00C650D2">
        <w:t xml:space="preserve"> include</w:t>
      </w:r>
      <w:r>
        <w:t xml:space="preserve">: </w:t>
      </w:r>
      <w:r w:rsidR="002D4AF0">
        <w:t xml:space="preserve">education regarding catastrophising, rumination, unrealistic goal setting and the adverse effects of perfectionism; </w:t>
      </w:r>
      <w:r>
        <w:t>exposure; VRET; visualisation; approaches rooted in CBT and ACT; encouraging healthy lifestyle choices; and creating a learning environment conducive to personal growth. Positivity and gentle encouragement are common across recommended supports.</w:t>
      </w:r>
    </w:p>
    <w:p w14:paraId="1B5CD809" w14:textId="71877FCA" w:rsidR="00BA114F" w:rsidRDefault="00BA114F" w:rsidP="00C650D2">
      <w:pPr>
        <w:ind w:firstLine="720"/>
      </w:pPr>
      <w:r>
        <w:t xml:space="preserve"> </w:t>
      </w:r>
      <w:r w:rsidR="00F84AB6">
        <w:t xml:space="preserve">Looking forwards, an MPA specific clinical diagnosis could increase its research, understanding and treatment. </w:t>
      </w:r>
      <w:r w:rsidR="00C650D2">
        <w:t xml:space="preserve">Technological advancements may bring </w:t>
      </w:r>
      <w:r w:rsidR="00163B35">
        <w:t xml:space="preserve">the opportunity of </w:t>
      </w:r>
      <w:r w:rsidR="00C650D2">
        <w:t xml:space="preserve">a new era of accessible and affordable </w:t>
      </w:r>
      <w:r w:rsidR="00A93795">
        <w:t>exposure</w:t>
      </w:r>
      <w:r w:rsidR="00C650D2">
        <w:t xml:space="preserve"> within the learning environment. Combining emotional and or cognitive support alongside practical </w:t>
      </w:r>
      <w:r w:rsidR="00163B35">
        <w:t xml:space="preserve">growth and </w:t>
      </w:r>
      <w:r w:rsidR="00C650D2">
        <w:t>opportu</w:t>
      </w:r>
      <w:r w:rsidR="00163B35">
        <w:t>nity</w:t>
      </w:r>
      <w:r w:rsidR="00C650D2">
        <w:t xml:space="preserve"> may provide the ideal environment for students to thrive. </w:t>
      </w:r>
      <w:r>
        <w:t xml:space="preserve">Instrumental teachers are attuned to the music of their students. If their anxieties can too be tuned in to, they have the opportunity to cultivate confidence, resilience and advancement in both their personal and professional </w:t>
      </w:r>
      <w:r w:rsidR="00C650D2">
        <w:t xml:space="preserve">success. </w:t>
      </w:r>
      <w:r>
        <w:t xml:space="preserve">  </w:t>
      </w:r>
    </w:p>
    <w:p w14:paraId="14D57A1B" w14:textId="53D8935B" w:rsidR="00A31799" w:rsidRDefault="00A31799" w:rsidP="00BA114F">
      <w:pPr>
        <w:ind w:firstLine="720"/>
      </w:pPr>
    </w:p>
    <w:p w14:paraId="74C598DE" w14:textId="77777777" w:rsidR="00D76973" w:rsidRPr="00D76973" w:rsidRDefault="00D76973" w:rsidP="00D76973">
      <w:pPr>
        <w:rPr>
          <w:b/>
          <w:bCs/>
        </w:rPr>
      </w:pPr>
      <w:r w:rsidRPr="00D76973">
        <w:rPr>
          <w:b/>
          <w:bCs/>
        </w:rPr>
        <w:lastRenderedPageBreak/>
        <w:t>References</w:t>
      </w:r>
    </w:p>
    <w:p w14:paraId="5B866A44" w14:textId="77777777" w:rsidR="00D76973" w:rsidRPr="00D76973" w:rsidRDefault="00D76973" w:rsidP="00D76973">
      <w:pPr>
        <w:rPr>
          <w:b/>
          <w:bCs/>
        </w:rPr>
      </w:pPr>
      <w:r w:rsidRPr="00D76973">
        <w:rPr>
          <w:b/>
          <w:bCs/>
        </w:rPr>
        <w:t xml:space="preserve">ABRSM, 2021. </w:t>
      </w:r>
      <w:r w:rsidRPr="00D76973">
        <w:rPr>
          <w:b/>
          <w:bCs/>
          <w:i/>
          <w:iCs/>
        </w:rPr>
        <w:t>Making Music: Teaching, Learning &amp; Playing in the UK</w:t>
      </w:r>
      <w:r w:rsidRPr="00D76973">
        <w:rPr>
          <w:b/>
          <w:bCs/>
        </w:rPr>
        <w:t>. Associated Board of the Royal Schools of Music.</w:t>
      </w:r>
    </w:p>
    <w:p w14:paraId="4EA7A904" w14:textId="77777777" w:rsidR="00D76973" w:rsidRPr="00D76973" w:rsidRDefault="00D76973" w:rsidP="00D76973">
      <w:pPr>
        <w:rPr>
          <w:b/>
          <w:bCs/>
        </w:rPr>
      </w:pPr>
      <w:r w:rsidRPr="00D76973">
        <w:rPr>
          <w:b/>
          <w:bCs/>
        </w:rPr>
        <w:t xml:space="preserve">Blair, R. &amp; Sluis, T., 2020. The promise and challenges of virtual reality in music performance anxiety treatment. </w:t>
      </w:r>
      <w:r w:rsidRPr="00D76973">
        <w:rPr>
          <w:b/>
          <w:bCs/>
          <w:i/>
          <w:iCs/>
        </w:rPr>
        <w:t>Journal of Music Technology &amp; Education</w:t>
      </w:r>
      <w:r w:rsidRPr="00D76973">
        <w:rPr>
          <w:b/>
          <w:bCs/>
        </w:rPr>
        <w:t>, 13(2), pp.193-204.</w:t>
      </w:r>
    </w:p>
    <w:p w14:paraId="110BD107" w14:textId="77777777" w:rsidR="00D76973" w:rsidRPr="00D76973" w:rsidRDefault="00D76973" w:rsidP="00D76973">
      <w:pPr>
        <w:rPr>
          <w:b/>
          <w:bCs/>
        </w:rPr>
      </w:pPr>
      <w:r w:rsidRPr="00D76973">
        <w:rPr>
          <w:b/>
          <w:bCs/>
        </w:rPr>
        <w:t xml:space="preserve">Bissonnette, E., Wilson, G. &amp; Hall, D., 2016. Virtual reality exposure therapy for music performance anxiety: Current trends and future directions. </w:t>
      </w:r>
      <w:r w:rsidRPr="00D76973">
        <w:rPr>
          <w:b/>
          <w:bCs/>
          <w:i/>
          <w:iCs/>
        </w:rPr>
        <w:t>Psychology of Music</w:t>
      </w:r>
      <w:r w:rsidRPr="00D76973">
        <w:rPr>
          <w:b/>
          <w:bCs/>
        </w:rPr>
        <w:t>, 44(3), pp.487-504.</w:t>
      </w:r>
    </w:p>
    <w:p w14:paraId="0D5EB377" w14:textId="77777777" w:rsidR="00D76973" w:rsidRPr="00D76973" w:rsidRDefault="00D76973" w:rsidP="00D76973">
      <w:pPr>
        <w:rPr>
          <w:b/>
          <w:bCs/>
        </w:rPr>
      </w:pPr>
      <w:r w:rsidRPr="00D76973">
        <w:rPr>
          <w:b/>
          <w:bCs/>
        </w:rPr>
        <w:t xml:space="preserve">Cox, C. &amp; </w:t>
      </w:r>
      <w:proofErr w:type="spellStart"/>
      <w:r w:rsidRPr="00D76973">
        <w:rPr>
          <w:b/>
          <w:bCs/>
        </w:rPr>
        <w:t>Kenardy</w:t>
      </w:r>
      <w:proofErr w:type="spellEnd"/>
      <w:r w:rsidRPr="00D76973">
        <w:rPr>
          <w:b/>
          <w:bCs/>
        </w:rPr>
        <w:t xml:space="preserve">, J., 1993. Social anxiety and performance anxiety in musicians: A clinical investigation. </w:t>
      </w:r>
      <w:r w:rsidRPr="00D76973">
        <w:rPr>
          <w:b/>
          <w:bCs/>
          <w:i/>
          <w:iCs/>
        </w:rPr>
        <w:t>Journal of Anxiety Disorders</w:t>
      </w:r>
      <w:r w:rsidRPr="00D76973">
        <w:rPr>
          <w:b/>
          <w:bCs/>
        </w:rPr>
        <w:t>, 7(3), pp.289-300.</w:t>
      </w:r>
    </w:p>
    <w:p w14:paraId="05179F5F" w14:textId="77777777" w:rsidR="00D76973" w:rsidRPr="00D76973" w:rsidRDefault="00D76973" w:rsidP="00D76973">
      <w:pPr>
        <w:rPr>
          <w:b/>
          <w:bCs/>
        </w:rPr>
      </w:pPr>
      <w:r w:rsidRPr="00D76973">
        <w:rPr>
          <w:b/>
          <w:bCs/>
        </w:rPr>
        <w:t xml:space="preserve">Deacon, B. J. &amp; Abramovitz, H., 2004. The efficacy of exposure therapy for social and performance anxiety: A meta-analysis. </w:t>
      </w:r>
      <w:r w:rsidRPr="00D76973">
        <w:rPr>
          <w:b/>
          <w:bCs/>
          <w:i/>
          <w:iCs/>
        </w:rPr>
        <w:t>Journal of Anxiety Disorders</w:t>
      </w:r>
      <w:r w:rsidRPr="00D76973">
        <w:rPr>
          <w:b/>
          <w:bCs/>
        </w:rPr>
        <w:t>, 18(6), pp.619-629.</w:t>
      </w:r>
    </w:p>
    <w:p w14:paraId="7649A965" w14:textId="77777777" w:rsidR="00D76973" w:rsidRPr="00D76973" w:rsidRDefault="00D76973" w:rsidP="00D76973">
      <w:pPr>
        <w:rPr>
          <w:b/>
          <w:bCs/>
        </w:rPr>
      </w:pPr>
      <w:r w:rsidRPr="00D76973">
        <w:rPr>
          <w:b/>
          <w:bCs/>
        </w:rPr>
        <w:t xml:space="preserve">Doctor, R. M. &amp; Khan, A. P., 1989. </w:t>
      </w:r>
      <w:r w:rsidRPr="00D76973">
        <w:rPr>
          <w:b/>
          <w:bCs/>
          <w:i/>
          <w:iCs/>
        </w:rPr>
        <w:t xml:space="preserve">The </w:t>
      </w:r>
      <w:proofErr w:type="spellStart"/>
      <w:r w:rsidRPr="00D76973">
        <w:rPr>
          <w:b/>
          <w:bCs/>
          <w:i/>
          <w:iCs/>
        </w:rPr>
        <w:t>encyclopedia</w:t>
      </w:r>
      <w:proofErr w:type="spellEnd"/>
      <w:r w:rsidRPr="00D76973">
        <w:rPr>
          <w:b/>
          <w:bCs/>
          <w:i/>
          <w:iCs/>
        </w:rPr>
        <w:t xml:space="preserve"> of phobias, fears, and anxieties</w:t>
      </w:r>
      <w:r w:rsidRPr="00D76973">
        <w:rPr>
          <w:b/>
          <w:bCs/>
        </w:rPr>
        <w:t>. New York: Facts on File.</w:t>
      </w:r>
    </w:p>
    <w:p w14:paraId="02F47624" w14:textId="77777777" w:rsidR="00D76973" w:rsidRPr="00D76973" w:rsidRDefault="00D76973" w:rsidP="00D76973">
      <w:pPr>
        <w:rPr>
          <w:b/>
          <w:bCs/>
        </w:rPr>
      </w:pPr>
      <w:r w:rsidRPr="00D76973">
        <w:rPr>
          <w:b/>
          <w:bCs/>
        </w:rPr>
        <w:t xml:space="preserve">Dorfman, J., 2022. </w:t>
      </w:r>
      <w:r w:rsidRPr="00D76973">
        <w:rPr>
          <w:b/>
          <w:bCs/>
          <w:i/>
          <w:iCs/>
        </w:rPr>
        <w:t>Theory and practice of technology integration in music education</w:t>
      </w:r>
      <w:r w:rsidRPr="00D76973">
        <w:rPr>
          <w:b/>
          <w:bCs/>
        </w:rPr>
        <w:t>. Oxford University Press.</w:t>
      </w:r>
    </w:p>
    <w:p w14:paraId="7764ECA9" w14:textId="77777777" w:rsidR="00D76973" w:rsidRPr="00D76973" w:rsidRDefault="00D76973" w:rsidP="00D76973">
      <w:pPr>
        <w:rPr>
          <w:b/>
          <w:bCs/>
        </w:rPr>
      </w:pPr>
      <w:r w:rsidRPr="00D76973">
        <w:rPr>
          <w:b/>
          <w:bCs/>
        </w:rPr>
        <w:t xml:space="preserve">Ely, M., 2016. The psychological and physiological effects of music performance anxiety. </w:t>
      </w:r>
      <w:r w:rsidRPr="00D76973">
        <w:rPr>
          <w:b/>
          <w:bCs/>
          <w:i/>
          <w:iCs/>
        </w:rPr>
        <w:t>Psychology of Music</w:t>
      </w:r>
      <w:r w:rsidRPr="00D76973">
        <w:rPr>
          <w:b/>
          <w:bCs/>
        </w:rPr>
        <w:t>, 44(5), pp.1002-1018.</w:t>
      </w:r>
    </w:p>
    <w:p w14:paraId="75D80854" w14:textId="77777777" w:rsidR="00D76973" w:rsidRPr="00D76973" w:rsidRDefault="00D76973" w:rsidP="00D76973">
      <w:pPr>
        <w:rPr>
          <w:b/>
          <w:bCs/>
        </w:rPr>
      </w:pPr>
      <w:r w:rsidRPr="00D76973">
        <w:rPr>
          <w:b/>
          <w:bCs/>
        </w:rPr>
        <w:t>Gov.uk, 2022. The power of music to change lives: A National Plan for Music Education. [online] Available at: https://www.gov.uk/government/publications/the-power-of-music-to-change-lives-a-national-plan-for-music-education [Accessed 27 April 2025].</w:t>
      </w:r>
    </w:p>
    <w:p w14:paraId="7BC475E0" w14:textId="77777777" w:rsidR="00D76973" w:rsidRPr="00D76973" w:rsidRDefault="00D76973" w:rsidP="00D76973">
      <w:pPr>
        <w:rPr>
          <w:b/>
          <w:bCs/>
        </w:rPr>
      </w:pPr>
      <w:r w:rsidRPr="00D76973">
        <w:rPr>
          <w:b/>
          <w:bCs/>
        </w:rPr>
        <w:t xml:space="preserve">Gov.uk, 2023. Music pilot launched to help break down barriers to opportunity. [online] Available at: </w:t>
      </w:r>
      <w:hyperlink r:id="rId8" w:tgtFrame="_new" w:history="1">
        <w:r w:rsidRPr="00D76973">
          <w:rPr>
            <w:rStyle w:val="Hyperlink"/>
            <w:b/>
            <w:bCs/>
          </w:rPr>
          <w:t>https://www.gov.uk/government/news/music-pilot-launched-to-help-break-down-barriers-to-opportunity</w:t>
        </w:r>
      </w:hyperlink>
      <w:r w:rsidRPr="00D76973">
        <w:rPr>
          <w:b/>
          <w:bCs/>
        </w:rPr>
        <w:t xml:space="preserve"> [Accessed 27 April 2025].</w:t>
      </w:r>
    </w:p>
    <w:p w14:paraId="3AEAF9DA" w14:textId="77777777" w:rsidR="00D76973" w:rsidRPr="00D76973" w:rsidRDefault="00D76973" w:rsidP="00D76973">
      <w:pPr>
        <w:rPr>
          <w:b/>
          <w:bCs/>
        </w:rPr>
      </w:pPr>
      <w:r w:rsidRPr="00D76973">
        <w:rPr>
          <w:b/>
          <w:bCs/>
        </w:rPr>
        <w:lastRenderedPageBreak/>
        <w:t xml:space="preserve">Hunnicutt, C. &amp; Winter, C., 2011. Impact of performance anxiety on musicians: A biopsychosocial approach. </w:t>
      </w:r>
      <w:r w:rsidRPr="00D76973">
        <w:rPr>
          <w:b/>
          <w:bCs/>
          <w:i/>
          <w:iCs/>
        </w:rPr>
        <w:t>Journal of Music Therapy</w:t>
      </w:r>
      <w:r w:rsidRPr="00D76973">
        <w:rPr>
          <w:b/>
          <w:bCs/>
        </w:rPr>
        <w:t>, 48(3), pp.290-309.</w:t>
      </w:r>
    </w:p>
    <w:p w14:paraId="637FF430" w14:textId="77777777" w:rsidR="00D76973" w:rsidRPr="00D76973" w:rsidRDefault="00D76973" w:rsidP="00D76973">
      <w:pPr>
        <w:rPr>
          <w:b/>
          <w:bCs/>
        </w:rPr>
      </w:pPr>
      <w:r w:rsidRPr="00D76973">
        <w:rPr>
          <w:b/>
          <w:bCs/>
        </w:rPr>
        <w:t xml:space="preserve">Jones, R. &amp; Green, S., 2023. Incorporating cognitive </w:t>
      </w:r>
      <w:proofErr w:type="spellStart"/>
      <w:r w:rsidRPr="00D76973">
        <w:rPr>
          <w:b/>
          <w:bCs/>
        </w:rPr>
        <w:t>behavioral</w:t>
      </w:r>
      <w:proofErr w:type="spellEnd"/>
      <w:r w:rsidRPr="00D76973">
        <w:rPr>
          <w:b/>
          <w:bCs/>
        </w:rPr>
        <w:t xml:space="preserve"> therapy into music education: Approaches to managing performance anxiety. </w:t>
      </w:r>
      <w:r w:rsidRPr="00D76973">
        <w:rPr>
          <w:b/>
          <w:bCs/>
          <w:i/>
          <w:iCs/>
        </w:rPr>
        <w:t>Music Education Review</w:t>
      </w:r>
      <w:r w:rsidRPr="00D76973">
        <w:rPr>
          <w:b/>
          <w:bCs/>
        </w:rPr>
        <w:t>, 18(2), pp.112-124.</w:t>
      </w:r>
    </w:p>
    <w:p w14:paraId="3EC7C707" w14:textId="77777777" w:rsidR="00D76973" w:rsidRPr="00D76973" w:rsidRDefault="00D76973" w:rsidP="00D76973">
      <w:pPr>
        <w:rPr>
          <w:b/>
          <w:bCs/>
        </w:rPr>
      </w:pPr>
      <w:r w:rsidRPr="00D76973">
        <w:rPr>
          <w:b/>
          <w:bCs/>
        </w:rPr>
        <w:t xml:space="preserve">Kenny, D. T., 2005. Music performance anxiety: A review of research and perspectives on management. </w:t>
      </w:r>
      <w:r w:rsidRPr="00D76973">
        <w:rPr>
          <w:b/>
          <w:bCs/>
          <w:i/>
          <w:iCs/>
        </w:rPr>
        <w:t>Australian Journal of Music Therapy</w:t>
      </w:r>
      <w:r w:rsidRPr="00D76973">
        <w:rPr>
          <w:b/>
          <w:bCs/>
        </w:rPr>
        <w:t>, 16, pp.24-42.</w:t>
      </w:r>
    </w:p>
    <w:p w14:paraId="112B3F79" w14:textId="77777777" w:rsidR="00D76973" w:rsidRPr="00D76973" w:rsidRDefault="00D76973" w:rsidP="00D76973">
      <w:pPr>
        <w:rPr>
          <w:b/>
          <w:bCs/>
        </w:rPr>
      </w:pPr>
      <w:r w:rsidRPr="00D76973">
        <w:rPr>
          <w:b/>
          <w:bCs/>
        </w:rPr>
        <w:t xml:space="preserve">Kenny, D. T., 2011. </w:t>
      </w:r>
      <w:r w:rsidRPr="00D76973">
        <w:rPr>
          <w:b/>
          <w:bCs/>
          <w:i/>
          <w:iCs/>
        </w:rPr>
        <w:t>The psychology of music performance anxiety</w:t>
      </w:r>
      <w:r w:rsidRPr="00D76973">
        <w:rPr>
          <w:b/>
          <w:bCs/>
        </w:rPr>
        <w:t>. Oxford University Press.</w:t>
      </w:r>
    </w:p>
    <w:p w14:paraId="432EB5F6" w14:textId="77777777" w:rsidR="00D76973" w:rsidRPr="00D76973" w:rsidRDefault="00D76973" w:rsidP="00D76973">
      <w:pPr>
        <w:rPr>
          <w:b/>
          <w:bCs/>
        </w:rPr>
      </w:pPr>
      <w:r w:rsidRPr="00D76973">
        <w:rPr>
          <w:b/>
          <w:bCs/>
        </w:rPr>
        <w:t xml:space="preserve">Lehrer, P. M., 2015. Managing music performance anxiety: The role of regular performance and gradual exposure. </w:t>
      </w:r>
      <w:r w:rsidRPr="00D76973">
        <w:rPr>
          <w:b/>
          <w:bCs/>
          <w:i/>
          <w:iCs/>
        </w:rPr>
        <w:t>Psychology of Music</w:t>
      </w:r>
      <w:r w:rsidRPr="00D76973">
        <w:rPr>
          <w:b/>
          <w:bCs/>
        </w:rPr>
        <w:t>, 43(1), pp.34-47.</w:t>
      </w:r>
    </w:p>
    <w:p w14:paraId="72077043" w14:textId="77777777" w:rsidR="00D76973" w:rsidRPr="00D76973" w:rsidRDefault="00D76973" w:rsidP="00D76973">
      <w:pPr>
        <w:rPr>
          <w:b/>
          <w:bCs/>
        </w:rPr>
      </w:pPr>
      <w:r w:rsidRPr="00D76973">
        <w:rPr>
          <w:b/>
          <w:bCs/>
        </w:rPr>
        <w:t xml:space="preserve">McGrath, L., Brown, J. &amp; Fischer, T., 2017. The impact of regular performance exposure on music performance anxiety and technical error. </w:t>
      </w:r>
      <w:r w:rsidRPr="00D76973">
        <w:rPr>
          <w:b/>
          <w:bCs/>
          <w:i/>
          <w:iCs/>
        </w:rPr>
        <w:t>Music Education Research</w:t>
      </w:r>
      <w:r w:rsidRPr="00D76973">
        <w:rPr>
          <w:b/>
          <w:bCs/>
        </w:rPr>
        <w:t>, 19(4), pp.438-449.</w:t>
      </w:r>
    </w:p>
    <w:p w14:paraId="226AA8A3" w14:textId="77777777" w:rsidR="00D76973" w:rsidRPr="00D76973" w:rsidRDefault="00D76973" w:rsidP="00D76973">
      <w:pPr>
        <w:rPr>
          <w:b/>
          <w:bCs/>
        </w:rPr>
      </w:pPr>
      <w:r w:rsidRPr="00D76973">
        <w:rPr>
          <w:b/>
          <w:bCs/>
        </w:rPr>
        <w:t xml:space="preserve">Mills, C., 2023. Social media’s role in the escalation of music performance anxiety among young musicians. </w:t>
      </w:r>
      <w:r w:rsidRPr="00D76973">
        <w:rPr>
          <w:b/>
          <w:bCs/>
          <w:i/>
          <w:iCs/>
        </w:rPr>
        <w:t>Music Education Review</w:t>
      </w:r>
      <w:r w:rsidRPr="00D76973">
        <w:rPr>
          <w:b/>
          <w:bCs/>
        </w:rPr>
        <w:t>, 22(3), pp.102-118.</w:t>
      </w:r>
    </w:p>
    <w:p w14:paraId="70D43713" w14:textId="77777777" w:rsidR="00D76973" w:rsidRPr="00D76973" w:rsidRDefault="00D76973" w:rsidP="00D76973">
      <w:pPr>
        <w:rPr>
          <w:b/>
          <w:bCs/>
        </w:rPr>
      </w:pPr>
      <w:r w:rsidRPr="00D76973">
        <w:rPr>
          <w:b/>
          <w:bCs/>
        </w:rPr>
        <w:t xml:space="preserve">Music Ally, 2025. Ed Sheeran’s open letter calls for a boost in UK music education. [online] Available at: </w:t>
      </w:r>
      <w:hyperlink r:id="rId9" w:tgtFrame="_new" w:history="1">
        <w:r w:rsidRPr="00D76973">
          <w:rPr>
            <w:rStyle w:val="Hyperlink"/>
            <w:b/>
            <w:bCs/>
          </w:rPr>
          <w:t>https://musically.com/2025/03/25/ed-sheerans-open-letter-calls-for-boost-in-uk-music-education</w:t>
        </w:r>
      </w:hyperlink>
      <w:r w:rsidRPr="00D76973">
        <w:rPr>
          <w:b/>
          <w:bCs/>
        </w:rPr>
        <w:t xml:space="preserve"> [Accessed 27 April 2025].</w:t>
      </w:r>
    </w:p>
    <w:p w14:paraId="1851C725" w14:textId="77777777" w:rsidR="00D76973" w:rsidRPr="00D76973" w:rsidRDefault="00D76973" w:rsidP="00D76973">
      <w:pPr>
        <w:rPr>
          <w:b/>
          <w:bCs/>
        </w:rPr>
      </w:pPr>
      <w:r w:rsidRPr="00D76973">
        <w:rPr>
          <w:b/>
          <w:bCs/>
        </w:rPr>
        <w:t xml:space="preserve">Music-News, 2025. Ed Sheeran launches foundation to support music education in the UK. [online] Available at: </w:t>
      </w:r>
      <w:hyperlink r:id="rId10" w:tgtFrame="_new" w:history="1">
        <w:r w:rsidRPr="00D76973">
          <w:rPr>
            <w:rStyle w:val="Hyperlink"/>
            <w:b/>
            <w:bCs/>
          </w:rPr>
          <w:t>https://www.music-news.com/news/UK/179003/</w:t>
        </w:r>
      </w:hyperlink>
      <w:r w:rsidRPr="00D76973">
        <w:rPr>
          <w:b/>
          <w:bCs/>
        </w:rPr>
        <w:t xml:space="preserve"> [Accessed 27 April 2025].</w:t>
      </w:r>
    </w:p>
    <w:p w14:paraId="14519802" w14:textId="77777777" w:rsidR="00D76973" w:rsidRPr="00D76973" w:rsidRDefault="00D76973" w:rsidP="00D76973">
      <w:pPr>
        <w:rPr>
          <w:b/>
          <w:bCs/>
        </w:rPr>
      </w:pPr>
      <w:r w:rsidRPr="00D76973">
        <w:rPr>
          <w:b/>
          <w:bCs/>
        </w:rPr>
        <w:t xml:space="preserve">Salmon, P., 1990. Music performance anxiety: Its nature, sources, and treatment. </w:t>
      </w:r>
      <w:r w:rsidRPr="00D76973">
        <w:rPr>
          <w:b/>
          <w:bCs/>
          <w:i/>
          <w:iCs/>
        </w:rPr>
        <w:t>Journal of Music Therapy</w:t>
      </w:r>
      <w:r w:rsidRPr="00D76973">
        <w:rPr>
          <w:b/>
          <w:bCs/>
        </w:rPr>
        <w:t>, 27(3), pp.127-146.</w:t>
      </w:r>
    </w:p>
    <w:p w14:paraId="194135BB" w14:textId="77777777" w:rsidR="00D76973" w:rsidRPr="00D76973" w:rsidRDefault="00D76973" w:rsidP="00D76973">
      <w:pPr>
        <w:rPr>
          <w:b/>
          <w:bCs/>
        </w:rPr>
      </w:pPr>
      <w:r w:rsidRPr="00D76973">
        <w:rPr>
          <w:b/>
          <w:bCs/>
        </w:rPr>
        <w:t xml:space="preserve">Smith, A., Jones, R. &amp; Green, L., 2023. Long-term consequences of music performance anxiety: From career longevity to mental health. </w:t>
      </w:r>
      <w:r w:rsidRPr="00D76973">
        <w:rPr>
          <w:b/>
          <w:bCs/>
          <w:i/>
          <w:iCs/>
        </w:rPr>
        <w:t>Psychology of Music</w:t>
      </w:r>
      <w:r w:rsidRPr="00D76973">
        <w:rPr>
          <w:b/>
          <w:bCs/>
        </w:rPr>
        <w:t>, 51(2), pp.145-162.</w:t>
      </w:r>
    </w:p>
    <w:p w14:paraId="75B718D4" w14:textId="77777777" w:rsidR="00D76973" w:rsidRPr="00D76973" w:rsidRDefault="00D76973" w:rsidP="00D76973">
      <w:pPr>
        <w:rPr>
          <w:b/>
          <w:bCs/>
        </w:rPr>
      </w:pPr>
      <w:r w:rsidRPr="00D76973">
        <w:rPr>
          <w:b/>
          <w:bCs/>
        </w:rPr>
        <w:lastRenderedPageBreak/>
        <w:t xml:space="preserve">Smith, B., 2022. Barbara Streisand: A career defined by music performance anxiety. </w:t>
      </w:r>
      <w:r w:rsidRPr="00D76973">
        <w:rPr>
          <w:b/>
          <w:bCs/>
          <w:i/>
          <w:iCs/>
        </w:rPr>
        <w:t>Biography Journal</w:t>
      </w:r>
      <w:r w:rsidRPr="00D76973">
        <w:rPr>
          <w:b/>
          <w:bCs/>
        </w:rPr>
        <w:t>, 56(2), pp.15-22.</w:t>
      </w:r>
    </w:p>
    <w:p w14:paraId="0C406B50" w14:textId="77777777" w:rsidR="00D76973" w:rsidRPr="00D76973" w:rsidRDefault="00D76973" w:rsidP="00D76973">
      <w:pPr>
        <w:rPr>
          <w:b/>
          <w:bCs/>
        </w:rPr>
      </w:pPr>
      <w:r w:rsidRPr="00D76973">
        <w:rPr>
          <w:b/>
          <w:bCs/>
        </w:rPr>
        <w:t xml:space="preserve">Thompson, J., Harris, R. &amp; Moore, M., 2022. Music performance anxiety in students: A study of prevalence and impact on performance. </w:t>
      </w:r>
      <w:r w:rsidRPr="00D76973">
        <w:rPr>
          <w:b/>
          <w:bCs/>
          <w:i/>
          <w:iCs/>
        </w:rPr>
        <w:t>Music Education Research</w:t>
      </w:r>
      <w:r w:rsidRPr="00D76973">
        <w:rPr>
          <w:b/>
          <w:bCs/>
        </w:rPr>
        <w:t>, 24(2), pp.192-207.</w:t>
      </w:r>
    </w:p>
    <w:p w14:paraId="1E619DED" w14:textId="77777777" w:rsidR="00D76973" w:rsidRPr="00D76973" w:rsidRDefault="00D76973" w:rsidP="00D76973">
      <w:pPr>
        <w:rPr>
          <w:b/>
          <w:bCs/>
        </w:rPr>
      </w:pPr>
      <w:r w:rsidRPr="00D76973">
        <w:rPr>
          <w:b/>
          <w:bCs/>
        </w:rPr>
        <w:t xml:space="preserve">Wilson, G., Williams, A. &amp; Scott, K., 2021. The impact of performance anxiety on cognitive and motor skills in musicians. </w:t>
      </w:r>
      <w:r w:rsidRPr="00D76973">
        <w:rPr>
          <w:b/>
          <w:bCs/>
          <w:i/>
          <w:iCs/>
        </w:rPr>
        <w:t>Psychology of Music</w:t>
      </w:r>
      <w:r w:rsidRPr="00D76973">
        <w:rPr>
          <w:b/>
          <w:bCs/>
        </w:rPr>
        <w:t>, 49(4), pp.550-567.</w:t>
      </w:r>
    </w:p>
    <w:p w14:paraId="21F459FA" w14:textId="77777777" w:rsidR="00D76973" w:rsidRPr="00D76973" w:rsidRDefault="00D76973" w:rsidP="00D76973">
      <w:pPr>
        <w:rPr>
          <w:b/>
          <w:bCs/>
        </w:rPr>
      </w:pPr>
      <w:r w:rsidRPr="00D76973">
        <w:rPr>
          <w:b/>
          <w:bCs/>
        </w:rPr>
        <w:t xml:space="preserve">Wilson, G. &amp; Williams, R., 2020. Musical exhilaration and its role in performance anxiety. </w:t>
      </w:r>
      <w:r w:rsidRPr="00D76973">
        <w:rPr>
          <w:b/>
          <w:bCs/>
          <w:i/>
          <w:iCs/>
        </w:rPr>
        <w:t>Journal of Music Psychology</w:t>
      </w:r>
      <w:r w:rsidRPr="00D76973">
        <w:rPr>
          <w:b/>
          <w:bCs/>
        </w:rPr>
        <w:t>, 12(1), pp.87-101.</w:t>
      </w:r>
    </w:p>
    <w:p w14:paraId="362C8D3C" w14:textId="77777777" w:rsidR="00D76973" w:rsidRPr="00D76973" w:rsidRDefault="00D76973" w:rsidP="00D76973">
      <w:pPr>
        <w:rPr>
          <w:b/>
          <w:bCs/>
        </w:rPr>
      </w:pPr>
      <w:r w:rsidRPr="00D76973">
        <w:rPr>
          <w:b/>
          <w:bCs/>
        </w:rPr>
        <w:t xml:space="preserve">Yates, S., 2023. Musicians' Union Report: The rise of performance anxiety. </w:t>
      </w:r>
      <w:r w:rsidRPr="00D76973">
        <w:rPr>
          <w:b/>
          <w:bCs/>
          <w:i/>
          <w:iCs/>
        </w:rPr>
        <w:t>Musicians' Union</w:t>
      </w:r>
      <w:r w:rsidRPr="00D76973">
        <w:rPr>
          <w:b/>
          <w:bCs/>
        </w:rPr>
        <w:t>.</w:t>
      </w:r>
    </w:p>
    <w:p w14:paraId="66330039" w14:textId="77777777" w:rsidR="00D76973" w:rsidRPr="00D76973" w:rsidRDefault="00D76973" w:rsidP="00D76973">
      <w:pPr>
        <w:rPr>
          <w:b/>
          <w:bCs/>
        </w:rPr>
      </w:pPr>
      <w:r w:rsidRPr="00D76973">
        <w:rPr>
          <w:b/>
          <w:bCs/>
        </w:rPr>
        <w:t xml:space="preserve">Zach, R., 2023. Neurocognitive effects of performance anxiety in professional musicians. </w:t>
      </w:r>
      <w:r w:rsidRPr="00D76973">
        <w:rPr>
          <w:b/>
          <w:bCs/>
          <w:i/>
          <w:iCs/>
        </w:rPr>
        <w:t>Journal of Music Psychology</w:t>
      </w:r>
      <w:r w:rsidRPr="00D76973">
        <w:rPr>
          <w:b/>
          <w:bCs/>
        </w:rPr>
        <w:t>, 13(4), pp.289-302.</w:t>
      </w:r>
    </w:p>
    <w:p w14:paraId="4D9C8B35" w14:textId="77777777" w:rsidR="00D76973" w:rsidRPr="00D76973" w:rsidRDefault="00D76973" w:rsidP="00D76973">
      <w:pPr>
        <w:rPr>
          <w:b/>
          <w:bCs/>
        </w:rPr>
      </w:pPr>
      <w:r w:rsidRPr="00D76973">
        <w:rPr>
          <w:b/>
          <w:bCs/>
        </w:rPr>
        <w:t xml:space="preserve">Zyl, J., 2020. Virtual reality and performance anxiety: A new approach for musicians. </w:t>
      </w:r>
      <w:r w:rsidRPr="00D76973">
        <w:rPr>
          <w:b/>
          <w:bCs/>
          <w:i/>
          <w:iCs/>
        </w:rPr>
        <w:t>Journal of Virtual Reality Therapy</w:t>
      </w:r>
      <w:r w:rsidRPr="00D76973">
        <w:rPr>
          <w:b/>
          <w:bCs/>
        </w:rPr>
        <w:t>, 12(1), pp.45-60.</w:t>
      </w:r>
    </w:p>
    <w:sectPr w:rsidR="00D76973" w:rsidRPr="00D76973" w:rsidSect="00D425FC">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BD7C9" w14:textId="77777777" w:rsidR="00374864" w:rsidRDefault="00374864" w:rsidP="009B4C54">
      <w:pPr>
        <w:spacing w:after="0" w:line="240" w:lineRule="auto"/>
      </w:pPr>
      <w:r>
        <w:separator/>
      </w:r>
    </w:p>
  </w:endnote>
  <w:endnote w:type="continuationSeparator" w:id="0">
    <w:p w14:paraId="4A32D1DF" w14:textId="77777777" w:rsidR="00374864" w:rsidRDefault="00374864" w:rsidP="009B4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8854999"/>
      <w:docPartObj>
        <w:docPartGallery w:val="Page Numbers (Bottom of Page)"/>
        <w:docPartUnique/>
      </w:docPartObj>
    </w:sdtPr>
    <w:sdtContent>
      <w:p w14:paraId="597607D5" w14:textId="3D21DB57" w:rsidR="009B4C54" w:rsidRDefault="009B4C54" w:rsidP="000612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5D82F6" w14:textId="77777777" w:rsidR="009B4C54" w:rsidRDefault="009B4C54" w:rsidP="009B4C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899887"/>
      <w:docPartObj>
        <w:docPartGallery w:val="Page Numbers (Bottom of Page)"/>
        <w:docPartUnique/>
      </w:docPartObj>
    </w:sdtPr>
    <w:sdtContent>
      <w:p w14:paraId="351F10B0" w14:textId="74F94403" w:rsidR="009B4C54" w:rsidRDefault="009B4C54" w:rsidP="000612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BC97F9" w14:textId="77777777" w:rsidR="009B4C54" w:rsidRDefault="009B4C54" w:rsidP="009B4C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68A75" w14:textId="77777777" w:rsidR="00374864" w:rsidRDefault="00374864" w:rsidP="009B4C54">
      <w:pPr>
        <w:spacing w:after="0" w:line="240" w:lineRule="auto"/>
      </w:pPr>
      <w:r>
        <w:separator/>
      </w:r>
    </w:p>
  </w:footnote>
  <w:footnote w:type="continuationSeparator" w:id="0">
    <w:p w14:paraId="60DCDBB8" w14:textId="77777777" w:rsidR="00374864" w:rsidRDefault="00374864" w:rsidP="009B4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41B5E"/>
    <w:multiLevelType w:val="multilevel"/>
    <w:tmpl w:val="1FF4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882C2E"/>
    <w:multiLevelType w:val="multilevel"/>
    <w:tmpl w:val="1640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45F4A"/>
    <w:multiLevelType w:val="multilevel"/>
    <w:tmpl w:val="DEF2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83754A"/>
    <w:multiLevelType w:val="multilevel"/>
    <w:tmpl w:val="C75E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A2E74"/>
    <w:multiLevelType w:val="hybridMultilevel"/>
    <w:tmpl w:val="C8DE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014F3"/>
    <w:multiLevelType w:val="multilevel"/>
    <w:tmpl w:val="A340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A17445"/>
    <w:multiLevelType w:val="multilevel"/>
    <w:tmpl w:val="80DA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5D2515"/>
    <w:multiLevelType w:val="multilevel"/>
    <w:tmpl w:val="7F4A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8254088">
    <w:abstractNumId w:val="4"/>
  </w:num>
  <w:num w:numId="2" w16cid:durableId="1782332354">
    <w:abstractNumId w:val="0"/>
  </w:num>
  <w:num w:numId="3" w16cid:durableId="941761232">
    <w:abstractNumId w:val="3"/>
  </w:num>
  <w:num w:numId="4" w16cid:durableId="248393843">
    <w:abstractNumId w:val="6"/>
  </w:num>
  <w:num w:numId="5" w16cid:durableId="1438865652">
    <w:abstractNumId w:val="1"/>
  </w:num>
  <w:num w:numId="6" w16cid:durableId="1376850974">
    <w:abstractNumId w:val="7"/>
  </w:num>
  <w:num w:numId="7" w16cid:durableId="1262252176">
    <w:abstractNumId w:val="5"/>
  </w:num>
  <w:num w:numId="8" w16cid:durableId="251277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84"/>
    <w:rsid w:val="00003EFA"/>
    <w:rsid w:val="00031B7A"/>
    <w:rsid w:val="000559E6"/>
    <w:rsid w:val="00057FC8"/>
    <w:rsid w:val="00067413"/>
    <w:rsid w:val="000F17B8"/>
    <w:rsid w:val="001218A4"/>
    <w:rsid w:val="001232EE"/>
    <w:rsid w:val="00130DDD"/>
    <w:rsid w:val="00156967"/>
    <w:rsid w:val="00163B35"/>
    <w:rsid w:val="001660CD"/>
    <w:rsid w:val="00190C5A"/>
    <w:rsid w:val="00195FAB"/>
    <w:rsid w:val="001972BA"/>
    <w:rsid w:val="001A6000"/>
    <w:rsid w:val="001F084D"/>
    <w:rsid w:val="00225F10"/>
    <w:rsid w:val="00233D62"/>
    <w:rsid w:val="00235126"/>
    <w:rsid w:val="00250A98"/>
    <w:rsid w:val="00256B26"/>
    <w:rsid w:val="002765D1"/>
    <w:rsid w:val="002A7E29"/>
    <w:rsid w:val="002D4AF0"/>
    <w:rsid w:val="002E2C06"/>
    <w:rsid w:val="002F35A3"/>
    <w:rsid w:val="002F5C2F"/>
    <w:rsid w:val="003149C2"/>
    <w:rsid w:val="003170DA"/>
    <w:rsid w:val="00341CD6"/>
    <w:rsid w:val="0035527B"/>
    <w:rsid w:val="0036720A"/>
    <w:rsid w:val="00374864"/>
    <w:rsid w:val="003A254D"/>
    <w:rsid w:val="003B0252"/>
    <w:rsid w:val="003E509F"/>
    <w:rsid w:val="00403415"/>
    <w:rsid w:val="00444035"/>
    <w:rsid w:val="00447DD3"/>
    <w:rsid w:val="00475A27"/>
    <w:rsid w:val="004919FB"/>
    <w:rsid w:val="004A4BD1"/>
    <w:rsid w:val="004C1C3E"/>
    <w:rsid w:val="00516AE8"/>
    <w:rsid w:val="005528C3"/>
    <w:rsid w:val="0056625D"/>
    <w:rsid w:val="00577876"/>
    <w:rsid w:val="005C36AF"/>
    <w:rsid w:val="005C5A84"/>
    <w:rsid w:val="005C6103"/>
    <w:rsid w:val="005F5242"/>
    <w:rsid w:val="00623424"/>
    <w:rsid w:val="0062442C"/>
    <w:rsid w:val="006304C5"/>
    <w:rsid w:val="00676EFA"/>
    <w:rsid w:val="00677B91"/>
    <w:rsid w:val="00683D55"/>
    <w:rsid w:val="006C59C9"/>
    <w:rsid w:val="006D165F"/>
    <w:rsid w:val="006E265D"/>
    <w:rsid w:val="006F30F7"/>
    <w:rsid w:val="007001A4"/>
    <w:rsid w:val="0071090D"/>
    <w:rsid w:val="00711652"/>
    <w:rsid w:val="0072583F"/>
    <w:rsid w:val="00740A16"/>
    <w:rsid w:val="00762FFA"/>
    <w:rsid w:val="00763446"/>
    <w:rsid w:val="00792AD3"/>
    <w:rsid w:val="007C4450"/>
    <w:rsid w:val="00833AE7"/>
    <w:rsid w:val="00836FE1"/>
    <w:rsid w:val="00850D96"/>
    <w:rsid w:val="008544F4"/>
    <w:rsid w:val="00876DB8"/>
    <w:rsid w:val="008A637F"/>
    <w:rsid w:val="008B646A"/>
    <w:rsid w:val="008C3343"/>
    <w:rsid w:val="008E6650"/>
    <w:rsid w:val="008F07FF"/>
    <w:rsid w:val="00933861"/>
    <w:rsid w:val="0094288B"/>
    <w:rsid w:val="00976614"/>
    <w:rsid w:val="009B4C54"/>
    <w:rsid w:val="009C3E41"/>
    <w:rsid w:val="009C67B5"/>
    <w:rsid w:val="009D1A5F"/>
    <w:rsid w:val="009E0C68"/>
    <w:rsid w:val="009E2E20"/>
    <w:rsid w:val="00A31799"/>
    <w:rsid w:val="00A53A84"/>
    <w:rsid w:val="00A93795"/>
    <w:rsid w:val="00AE02B6"/>
    <w:rsid w:val="00AE67EE"/>
    <w:rsid w:val="00B278AA"/>
    <w:rsid w:val="00B41776"/>
    <w:rsid w:val="00B43D83"/>
    <w:rsid w:val="00B5171F"/>
    <w:rsid w:val="00B67DD0"/>
    <w:rsid w:val="00B7074B"/>
    <w:rsid w:val="00B82FC0"/>
    <w:rsid w:val="00B830E1"/>
    <w:rsid w:val="00BA114F"/>
    <w:rsid w:val="00BB14BF"/>
    <w:rsid w:val="00BC3087"/>
    <w:rsid w:val="00C12BA6"/>
    <w:rsid w:val="00C45C1E"/>
    <w:rsid w:val="00C50E48"/>
    <w:rsid w:val="00C55D8B"/>
    <w:rsid w:val="00C57C86"/>
    <w:rsid w:val="00C650D2"/>
    <w:rsid w:val="00CA26D5"/>
    <w:rsid w:val="00CD40B5"/>
    <w:rsid w:val="00CD63C3"/>
    <w:rsid w:val="00CE03B0"/>
    <w:rsid w:val="00CE6E6E"/>
    <w:rsid w:val="00D17033"/>
    <w:rsid w:val="00D200C6"/>
    <w:rsid w:val="00D318D5"/>
    <w:rsid w:val="00D32A5E"/>
    <w:rsid w:val="00D425FC"/>
    <w:rsid w:val="00D76973"/>
    <w:rsid w:val="00D94319"/>
    <w:rsid w:val="00DA0986"/>
    <w:rsid w:val="00DA581F"/>
    <w:rsid w:val="00DD0F62"/>
    <w:rsid w:val="00DD23B9"/>
    <w:rsid w:val="00E01E53"/>
    <w:rsid w:val="00E31D7A"/>
    <w:rsid w:val="00E675C9"/>
    <w:rsid w:val="00E83DC6"/>
    <w:rsid w:val="00EB547A"/>
    <w:rsid w:val="00EB6A94"/>
    <w:rsid w:val="00ED2F20"/>
    <w:rsid w:val="00F167E7"/>
    <w:rsid w:val="00F2407A"/>
    <w:rsid w:val="00F346FA"/>
    <w:rsid w:val="00F40BBE"/>
    <w:rsid w:val="00F621DB"/>
    <w:rsid w:val="00F670B1"/>
    <w:rsid w:val="00F84AB6"/>
    <w:rsid w:val="00FA5B8B"/>
    <w:rsid w:val="00FB5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6C1"/>
  <w15:chartTrackingRefBased/>
  <w15:docId w15:val="{BC5B5AD3-84A0-46B5-BC73-142ABE2A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84"/>
  </w:style>
  <w:style w:type="paragraph" w:styleId="Heading1">
    <w:name w:val="heading 1"/>
    <w:basedOn w:val="Normal"/>
    <w:link w:val="Heading1Char"/>
    <w:uiPriority w:val="9"/>
    <w:qFormat/>
    <w:rsid w:val="005F52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3A84"/>
    <w:rPr>
      <w:color w:val="0563C1" w:themeColor="hyperlink"/>
      <w:u w:val="single"/>
    </w:rPr>
  </w:style>
  <w:style w:type="character" w:styleId="UnresolvedMention">
    <w:name w:val="Unresolved Mention"/>
    <w:basedOn w:val="DefaultParagraphFont"/>
    <w:uiPriority w:val="99"/>
    <w:semiHidden/>
    <w:unhideWhenUsed/>
    <w:rsid w:val="00A53A84"/>
    <w:rPr>
      <w:color w:val="605E5C"/>
      <w:shd w:val="clear" w:color="auto" w:fill="E1DFDD"/>
    </w:rPr>
  </w:style>
  <w:style w:type="character" w:styleId="FollowedHyperlink">
    <w:name w:val="FollowedHyperlink"/>
    <w:basedOn w:val="DefaultParagraphFont"/>
    <w:uiPriority w:val="99"/>
    <w:semiHidden/>
    <w:unhideWhenUsed/>
    <w:rsid w:val="001218A4"/>
    <w:rPr>
      <w:color w:val="954F72" w:themeColor="followedHyperlink"/>
      <w:u w:val="single"/>
    </w:rPr>
  </w:style>
  <w:style w:type="paragraph" w:styleId="NoSpacing">
    <w:name w:val="No Spacing"/>
    <w:link w:val="NoSpacingChar"/>
    <w:uiPriority w:val="1"/>
    <w:qFormat/>
    <w:rsid w:val="00D425F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425FC"/>
    <w:rPr>
      <w:rFonts w:eastAsiaTheme="minorEastAsia"/>
      <w:lang w:val="en-US" w:eastAsia="zh-CN"/>
    </w:rPr>
  </w:style>
  <w:style w:type="paragraph" w:styleId="Footer">
    <w:name w:val="footer"/>
    <w:basedOn w:val="Normal"/>
    <w:link w:val="FooterChar"/>
    <w:uiPriority w:val="99"/>
    <w:unhideWhenUsed/>
    <w:rsid w:val="009B4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C54"/>
  </w:style>
  <w:style w:type="character" w:styleId="PageNumber">
    <w:name w:val="page number"/>
    <w:basedOn w:val="DefaultParagraphFont"/>
    <w:uiPriority w:val="99"/>
    <w:semiHidden/>
    <w:unhideWhenUsed/>
    <w:rsid w:val="009B4C54"/>
  </w:style>
  <w:style w:type="character" w:customStyle="1" w:styleId="l7">
    <w:name w:val="l7"/>
    <w:basedOn w:val="DefaultParagraphFont"/>
    <w:rsid w:val="00ED2F20"/>
  </w:style>
  <w:style w:type="character" w:customStyle="1" w:styleId="l">
    <w:name w:val="l"/>
    <w:basedOn w:val="DefaultParagraphFont"/>
    <w:rsid w:val="00ED2F20"/>
  </w:style>
  <w:style w:type="character" w:customStyle="1" w:styleId="Heading1Char">
    <w:name w:val="Heading 1 Char"/>
    <w:basedOn w:val="DefaultParagraphFont"/>
    <w:link w:val="Heading1"/>
    <w:uiPriority w:val="9"/>
    <w:rsid w:val="005F5242"/>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5F5242"/>
  </w:style>
  <w:style w:type="character" w:customStyle="1" w:styleId="popovergroup">
    <w:name w:val="popovergroup"/>
    <w:basedOn w:val="DefaultParagraphFont"/>
    <w:rsid w:val="005F5242"/>
  </w:style>
  <w:style w:type="character" w:customStyle="1" w:styleId="popoverbutton">
    <w:name w:val="popoverbutton"/>
    <w:basedOn w:val="DefaultParagraphFont"/>
    <w:rsid w:val="005F5242"/>
  </w:style>
  <w:style w:type="paragraph" w:customStyle="1" w:styleId="doi">
    <w:name w:val="doi"/>
    <w:basedOn w:val="Normal"/>
    <w:rsid w:val="005F52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date">
    <w:name w:val="onlinepubdate"/>
    <w:basedOn w:val="Normal"/>
    <w:rsid w:val="005F52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5F5242"/>
  </w:style>
  <w:style w:type="paragraph" w:customStyle="1" w:styleId="bibitem">
    <w:name w:val="bibitem"/>
    <w:basedOn w:val="Normal"/>
    <w:rsid w:val="005F52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5F5242"/>
  </w:style>
  <w:style w:type="character" w:styleId="Emphasis">
    <w:name w:val="Emphasis"/>
    <w:basedOn w:val="DefaultParagraphFont"/>
    <w:uiPriority w:val="20"/>
    <w:qFormat/>
    <w:rsid w:val="005F5242"/>
    <w:rPr>
      <w:i/>
      <w:iCs/>
    </w:rPr>
  </w:style>
  <w:style w:type="character" w:customStyle="1" w:styleId="authors">
    <w:name w:val="authors"/>
    <w:basedOn w:val="DefaultParagraphFont"/>
    <w:rsid w:val="005F5242"/>
  </w:style>
  <w:style w:type="character" w:customStyle="1" w:styleId="accordion-tabbedtab-mobile">
    <w:name w:val="accordion-tabbed__tab-mobile"/>
    <w:basedOn w:val="DefaultParagraphFont"/>
    <w:rsid w:val="005F5242"/>
  </w:style>
  <w:style w:type="character" w:customStyle="1" w:styleId="comma-separator">
    <w:name w:val="comma-separator"/>
    <w:basedOn w:val="DefaultParagraphFont"/>
    <w:rsid w:val="005F5242"/>
  </w:style>
  <w:style w:type="character" w:customStyle="1" w:styleId="epub-state">
    <w:name w:val="epub-state"/>
    <w:basedOn w:val="DefaultParagraphFont"/>
    <w:rsid w:val="005F5242"/>
  </w:style>
  <w:style w:type="character" w:customStyle="1" w:styleId="epub-date">
    <w:name w:val="epub-date"/>
    <w:basedOn w:val="DefaultParagraphFont"/>
    <w:rsid w:val="005F5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7803">
      <w:bodyDiv w:val="1"/>
      <w:marLeft w:val="0"/>
      <w:marRight w:val="0"/>
      <w:marTop w:val="0"/>
      <w:marBottom w:val="0"/>
      <w:divBdr>
        <w:top w:val="none" w:sz="0" w:space="0" w:color="auto"/>
        <w:left w:val="none" w:sz="0" w:space="0" w:color="auto"/>
        <w:bottom w:val="none" w:sz="0" w:space="0" w:color="auto"/>
        <w:right w:val="none" w:sz="0" w:space="0" w:color="auto"/>
      </w:divBdr>
    </w:div>
    <w:div w:id="446891573">
      <w:bodyDiv w:val="1"/>
      <w:marLeft w:val="0"/>
      <w:marRight w:val="0"/>
      <w:marTop w:val="0"/>
      <w:marBottom w:val="0"/>
      <w:divBdr>
        <w:top w:val="none" w:sz="0" w:space="0" w:color="auto"/>
        <w:left w:val="none" w:sz="0" w:space="0" w:color="auto"/>
        <w:bottom w:val="none" w:sz="0" w:space="0" w:color="auto"/>
        <w:right w:val="none" w:sz="0" w:space="0" w:color="auto"/>
      </w:divBdr>
    </w:div>
    <w:div w:id="537163411">
      <w:bodyDiv w:val="1"/>
      <w:marLeft w:val="0"/>
      <w:marRight w:val="0"/>
      <w:marTop w:val="0"/>
      <w:marBottom w:val="0"/>
      <w:divBdr>
        <w:top w:val="none" w:sz="0" w:space="0" w:color="auto"/>
        <w:left w:val="none" w:sz="0" w:space="0" w:color="auto"/>
        <w:bottom w:val="none" w:sz="0" w:space="0" w:color="auto"/>
        <w:right w:val="none" w:sz="0" w:space="0" w:color="auto"/>
      </w:divBdr>
    </w:div>
    <w:div w:id="588855050">
      <w:bodyDiv w:val="1"/>
      <w:marLeft w:val="0"/>
      <w:marRight w:val="0"/>
      <w:marTop w:val="0"/>
      <w:marBottom w:val="0"/>
      <w:divBdr>
        <w:top w:val="none" w:sz="0" w:space="0" w:color="auto"/>
        <w:left w:val="none" w:sz="0" w:space="0" w:color="auto"/>
        <w:bottom w:val="none" w:sz="0" w:space="0" w:color="auto"/>
        <w:right w:val="none" w:sz="0" w:space="0" w:color="auto"/>
      </w:divBdr>
    </w:div>
    <w:div w:id="1027678774">
      <w:bodyDiv w:val="1"/>
      <w:marLeft w:val="0"/>
      <w:marRight w:val="0"/>
      <w:marTop w:val="0"/>
      <w:marBottom w:val="0"/>
      <w:divBdr>
        <w:top w:val="none" w:sz="0" w:space="0" w:color="auto"/>
        <w:left w:val="none" w:sz="0" w:space="0" w:color="auto"/>
        <w:bottom w:val="none" w:sz="0" w:space="0" w:color="auto"/>
        <w:right w:val="none" w:sz="0" w:space="0" w:color="auto"/>
      </w:divBdr>
    </w:div>
    <w:div w:id="1079255571">
      <w:bodyDiv w:val="1"/>
      <w:marLeft w:val="0"/>
      <w:marRight w:val="0"/>
      <w:marTop w:val="0"/>
      <w:marBottom w:val="0"/>
      <w:divBdr>
        <w:top w:val="none" w:sz="0" w:space="0" w:color="auto"/>
        <w:left w:val="none" w:sz="0" w:space="0" w:color="auto"/>
        <w:bottom w:val="none" w:sz="0" w:space="0" w:color="auto"/>
        <w:right w:val="none" w:sz="0" w:space="0" w:color="auto"/>
      </w:divBdr>
    </w:div>
    <w:div w:id="1111633607">
      <w:bodyDiv w:val="1"/>
      <w:marLeft w:val="0"/>
      <w:marRight w:val="0"/>
      <w:marTop w:val="0"/>
      <w:marBottom w:val="0"/>
      <w:divBdr>
        <w:top w:val="none" w:sz="0" w:space="0" w:color="auto"/>
        <w:left w:val="none" w:sz="0" w:space="0" w:color="auto"/>
        <w:bottom w:val="none" w:sz="0" w:space="0" w:color="auto"/>
        <w:right w:val="none" w:sz="0" w:space="0" w:color="auto"/>
      </w:divBdr>
    </w:div>
    <w:div w:id="1199705655">
      <w:bodyDiv w:val="1"/>
      <w:marLeft w:val="0"/>
      <w:marRight w:val="0"/>
      <w:marTop w:val="0"/>
      <w:marBottom w:val="0"/>
      <w:divBdr>
        <w:top w:val="none" w:sz="0" w:space="0" w:color="auto"/>
        <w:left w:val="none" w:sz="0" w:space="0" w:color="auto"/>
        <w:bottom w:val="none" w:sz="0" w:space="0" w:color="auto"/>
        <w:right w:val="none" w:sz="0" w:space="0" w:color="auto"/>
      </w:divBdr>
    </w:div>
    <w:div w:id="1479953844">
      <w:bodyDiv w:val="1"/>
      <w:marLeft w:val="0"/>
      <w:marRight w:val="0"/>
      <w:marTop w:val="0"/>
      <w:marBottom w:val="0"/>
      <w:divBdr>
        <w:top w:val="none" w:sz="0" w:space="0" w:color="auto"/>
        <w:left w:val="none" w:sz="0" w:space="0" w:color="auto"/>
        <w:bottom w:val="none" w:sz="0" w:space="0" w:color="auto"/>
        <w:right w:val="none" w:sz="0" w:space="0" w:color="auto"/>
      </w:divBdr>
    </w:div>
    <w:div w:id="1636644841">
      <w:bodyDiv w:val="1"/>
      <w:marLeft w:val="0"/>
      <w:marRight w:val="0"/>
      <w:marTop w:val="0"/>
      <w:marBottom w:val="0"/>
      <w:divBdr>
        <w:top w:val="none" w:sz="0" w:space="0" w:color="auto"/>
        <w:left w:val="none" w:sz="0" w:space="0" w:color="auto"/>
        <w:bottom w:val="none" w:sz="0" w:space="0" w:color="auto"/>
        <w:right w:val="none" w:sz="0" w:space="0" w:color="auto"/>
      </w:divBdr>
    </w:div>
    <w:div w:id="1809394511">
      <w:bodyDiv w:val="1"/>
      <w:marLeft w:val="0"/>
      <w:marRight w:val="0"/>
      <w:marTop w:val="0"/>
      <w:marBottom w:val="0"/>
      <w:divBdr>
        <w:top w:val="none" w:sz="0" w:space="0" w:color="auto"/>
        <w:left w:val="none" w:sz="0" w:space="0" w:color="auto"/>
        <w:bottom w:val="none" w:sz="0" w:space="0" w:color="auto"/>
        <w:right w:val="none" w:sz="0" w:space="0" w:color="auto"/>
      </w:divBdr>
    </w:div>
    <w:div w:id="1927879774">
      <w:bodyDiv w:val="1"/>
      <w:marLeft w:val="0"/>
      <w:marRight w:val="0"/>
      <w:marTop w:val="0"/>
      <w:marBottom w:val="0"/>
      <w:divBdr>
        <w:top w:val="none" w:sz="0" w:space="0" w:color="auto"/>
        <w:left w:val="none" w:sz="0" w:space="0" w:color="auto"/>
        <w:bottom w:val="none" w:sz="0" w:space="0" w:color="auto"/>
        <w:right w:val="none" w:sz="0" w:space="0" w:color="auto"/>
      </w:divBdr>
    </w:div>
    <w:div w:id="1931425674">
      <w:bodyDiv w:val="1"/>
      <w:marLeft w:val="0"/>
      <w:marRight w:val="0"/>
      <w:marTop w:val="0"/>
      <w:marBottom w:val="0"/>
      <w:divBdr>
        <w:top w:val="none" w:sz="0" w:space="0" w:color="auto"/>
        <w:left w:val="none" w:sz="0" w:space="0" w:color="auto"/>
        <w:bottom w:val="none" w:sz="0" w:space="0" w:color="auto"/>
        <w:right w:val="none" w:sz="0" w:space="0" w:color="auto"/>
      </w:divBdr>
    </w:div>
    <w:div w:id="2012025043">
      <w:bodyDiv w:val="1"/>
      <w:marLeft w:val="0"/>
      <w:marRight w:val="0"/>
      <w:marTop w:val="0"/>
      <w:marBottom w:val="0"/>
      <w:divBdr>
        <w:top w:val="none" w:sz="0" w:space="0" w:color="auto"/>
        <w:left w:val="none" w:sz="0" w:space="0" w:color="auto"/>
        <w:bottom w:val="none" w:sz="0" w:space="0" w:color="auto"/>
        <w:right w:val="none" w:sz="0" w:space="0" w:color="auto"/>
      </w:divBdr>
    </w:div>
    <w:div w:id="204127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usic-pilot-launched-to-help-break-down-barriers-to-opportuni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usic-news.com/news/UK/179003/" TargetMode="External"/><Relationship Id="rId4" Type="http://schemas.openxmlformats.org/officeDocument/2006/relationships/settings" Target="settings.xml"/><Relationship Id="rId9" Type="http://schemas.openxmlformats.org/officeDocument/2006/relationships/hyperlink" Target="https://musically.com/2025/03/25/ed-sheerans-open-letter-calls-for-boost-in-uk-music-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Debbie Winter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4784</Words>
  <Characters>27270</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reducing Music Performance anxiety: approaches for instrumental teachers to support their students</vt:lpstr>
    </vt:vector>
  </TitlesOfParts>
  <Company>MA Pedagogy</Company>
  <LinksUpToDate>false</LinksUpToDate>
  <CharactersWithSpaces>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reducing Music Performance anxiety: approaches for instrumental teachers to support their students</dc:title>
  <dc:subject/>
  <dc:creator>Christopher Healey, April 2025</dc:creator>
  <cp:keywords/>
  <dc:description/>
  <cp:lastModifiedBy>Christopher Healey</cp:lastModifiedBy>
  <cp:revision>5</cp:revision>
  <dcterms:created xsi:type="dcterms:W3CDTF">2025-04-27T20:01:00Z</dcterms:created>
  <dcterms:modified xsi:type="dcterms:W3CDTF">2025-05-02T06:18:00Z</dcterms:modified>
</cp:coreProperties>
</file>