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8377517" w:rsidP="34ED60EE" w:rsidRDefault="18377517" w14:paraId="72BDE185" w14:textId="70679E8F">
      <w:pPr>
        <w:ind w:left="708"/>
      </w:pPr>
    </w:p>
    <w:p w:rsidR="18377517" w:rsidP="34ED60EE" w:rsidRDefault="18377517" w14:paraId="2D99012C" w14:textId="30B45E34">
      <w:pPr>
        <w:ind w:left="708"/>
      </w:pPr>
    </w:p>
    <w:p w:rsidR="18377517" w:rsidP="34ED60EE" w:rsidRDefault="18377517" w14:paraId="29934470" w14:textId="09C41093">
      <w:pPr>
        <w:ind w:left="708"/>
      </w:pPr>
    </w:p>
    <w:p w:rsidR="18377517" w:rsidP="34ED60EE" w:rsidRDefault="18377517" w14:paraId="5B6C67D9" w14:textId="2F33937E">
      <w:pPr>
        <w:ind w:left="708"/>
      </w:pPr>
    </w:p>
    <w:p w:rsidR="180D01C1" w:rsidP="34ED60EE" w:rsidRDefault="180D01C1" w14:paraId="11CF049A" w14:textId="42D87EB2">
      <w:pPr>
        <w:ind w:left="708"/>
        <w:rPr>
          <w:rFonts w:ascii="Arial Nova" w:hAnsi="Arial Nova" w:eastAsia="Arial Nova" w:cs="Arial Nova"/>
          <w:sz w:val="40"/>
          <w:szCs w:val="40"/>
          <w:lang w:val="en-US"/>
        </w:rPr>
      </w:pPr>
      <w:r w:rsidRPr="34ED60EE" w:rsidR="6BFF4E75">
        <w:rPr>
          <w:rFonts w:ascii="Arial Nova" w:hAnsi="Arial Nova" w:eastAsia="Arial Nova" w:cs="Arial Nova"/>
          <w:sz w:val="40"/>
          <w:szCs w:val="40"/>
          <w:lang w:val="en-US"/>
        </w:rPr>
        <w:t xml:space="preserve">Module </w:t>
      </w:r>
      <w:r w:rsidRPr="34ED60EE" w:rsidR="6BFF4E75">
        <w:rPr>
          <w:rFonts w:ascii="Arial Nova" w:hAnsi="Arial Nova" w:eastAsia="Arial Nova" w:cs="Arial Nova"/>
          <w:sz w:val="40"/>
          <w:szCs w:val="40"/>
          <w:lang w:val="en-US"/>
        </w:rPr>
        <w:t>Name :</w:t>
      </w:r>
      <w:r w:rsidRPr="34ED60EE" w:rsidR="6BFF4E75">
        <w:rPr>
          <w:rFonts w:ascii="Arial Nova" w:hAnsi="Arial Nova" w:eastAsia="Arial Nova" w:cs="Arial Nova"/>
          <w:sz w:val="40"/>
          <w:szCs w:val="40"/>
          <w:lang w:val="en-US"/>
        </w:rPr>
        <w:t xml:space="preserve"> </w:t>
      </w:r>
      <w:r w:rsidRPr="34ED60EE" w:rsidR="2EBB9693">
        <w:rPr>
          <w:rFonts w:ascii="Arial Nova" w:hAnsi="Arial Nova" w:eastAsia="Arial Nova" w:cs="Arial Nova"/>
          <w:sz w:val="40"/>
          <w:szCs w:val="40"/>
          <w:lang w:val="en-US"/>
        </w:rPr>
        <w:t>Introduction to Independent Research Skills</w:t>
      </w:r>
    </w:p>
    <w:p w:rsidR="180D01C1" w:rsidP="34ED60EE" w:rsidRDefault="180D01C1" w14:paraId="1C4A17B1" w14:textId="7E70A1AA">
      <w:pPr>
        <w:ind w:left="708"/>
        <w:rPr>
          <w:rFonts w:ascii="Arial Nova" w:hAnsi="Arial Nova" w:eastAsia="Arial Nova" w:cs="Arial Nova"/>
          <w:sz w:val="40"/>
          <w:szCs w:val="40"/>
        </w:rPr>
      </w:pPr>
      <w:r w:rsidRPr="34ED60EE" w:rsidR="6BFF4E75">
        <w:rPr>
          <w:rFonts w:ascii="Arial Nova" w:hAnsi="Arial Nova" w:eastAsia="Arial Nova" w:cs="Arial Nova"/>
          <w:sz w:val="40"/>
          <w:szCs w:val="40"/>
        </w:rPr>
        <w:t xml:space="preserve">Module Code: </w:t>
      </w:r>
      <w:r w:rsidRPr="34ED60EE" w:rsidR="088081BC">
        <w:rPr>
          <w:rFonts w:ascii="Arial Nova" w:hAnsi="Arial Nova" w:eastAsia="Arial Nova" w:cs="Arial Nova"/>
          <w:sz w:val="40"/>
          <w:szCs w:val="40"/>
        </w:rPr>
        <w:t>BMHP5019</w:t>
      </w:r>
    </w:p>
    <w:p w:rsidR="180D01C1" w:rsidP="34ED60EE" w:rsidRDefault="180D01C1" w14:paraId="7148CE67" w14:textId="6C146C82">
      <w:pPr>
        <w:ind w:left="708"/>
        <w:rPr>
          <w:rFonts w:ascii="Arial Nova" w:hAnsi="Arial Nova" w:eastAsia="Arial Nova" w:cs="Arial Nova"/>
          <w:sz w:val="40"/>
          <w:szCs w:val="40"/>
        </w:rPr>
      </w:pPr>
      <w:r w:rsidRPr="34ED60EE" w:rsidR="6BFF4E75">
        <w:rPr>
          <w:rFonts w:ascii="Arial Nova" w:hAnsi="Arial Nova" w:eastAsia="Arial Nova" w:cs="Arial Nova"/>
          <w:sz w:val="40"/>
          <w:szCs w:val="40"/>
        </w:rPr>
        <w:t xml:space="preserve">Student </w:t>
      </w:r>
      <w:r w:rsidRPr="34ED60EE" w:rsidR="6BFF4E75">
        <w:rPr>
          <w:rFonts w:ascii="Arial Nova" w:hAnsi="Arial Nova" w:eastAsia="Arial Nova" w:cs="Arial Nova"/>
          <w:sz w:val="40"/>
          <w:szCs w:val="40"/>
        </w:rPr>
        <w:t>Name</w:t>
      </w:r>
      <w:r w:rsidRPr="34ED60EE" w:rsidR="6BFF4E75">
        <w:rPr>
          <w:rFonts w:ascii="Arial Nova" w:hAnsi="Arial Nova" w:eastAsia="Arial Nova" w:cs="Arial Nova"/>
          <w:sz w:val="40"/>
          <w:szCs w:val="40"/>
        </w:rPr>
        <w:t xml:space="preserve"> :Cristi Vantu</w:t>
      </w:r>
    </w:p>
    <w:p w:rsidR="180D01C1" w:rsidP="34ED60EE" w:rsidRDefault="180D01C1" w14:paraId="1A989695" w14:textId="7CFE8D87">
      <w:pPr>
        <w:ind w:left="708"/>
        <w:rPr>
          <w:rFonts w:ascii="Arial Nova" w:hAnsi="Arial Nova" w:eastAsia="Arial Nova" w:cs="Arial Nova"/>
          <w:sz w:val="40"/>
          <w:szCs w:val="40"/>
        </w:rPr>
      </w:pPr>
      <w:r w:rsidRPr="34ED60EE" w:rsidR="6BFF4E75">
        <w:rPr>
          <w:rFonts w:ascii="Arial Nova" w:hAnsi="Arial Nova" w:eastAsia="Arial Nova" w:cs="Arial Nova"/>
          <w:sz w:val="40"/>
          <w:szCs w:val="40"/>
        </w:rPr>
        <w:t>Student ID : 2417457</w:t>
      </w:r>
    </w:p>
    <w:p w:rsidR="180D01C1" w:rsidP="34ED60EE" w:rsidRDefault="180D01C1" w14:paraId="68F40802" w14:textId="690FD5C4">
      <w:pPr>
        <w:ind w:left="708"/>
      </w:pPr>
      <w:r w:rsidRPr="34ED60EE" w:rsidR="6BFF4E75">
        <w:rPr>
          <w:rFonts w:ascii="Arial Nova" w:hAnsi="Arial Nova" w:eastAsia="Arial Nova" w:cs="Arial Nova"/>
          <w:sz w:val="40"/>
          <w:szCs w:val="40"/>
        </w:rPr>
        <w:t>Lecturer's</w:t>
      </w:r>
      <w:r w:rsidRPr="34ED60EE" w:rsidR="6BFF4E75">
        <w:rPr>
          <w:rFonts w:ascii="Arial Nova" w:hAnsi="Arial Nova" w:eastAsia="Arial Nova" w:cs="Arial Nova"/>
          <w:sz w:val="40"/>
          <w:szCs w:val="40"/>
        </w:rPr>
        <w:t xml:space="preserve"> </w:t>
      </w:r>
      <w:r w:rsidRPr="34ED60EE" w:rsidR="6BFF4E75">
        <w:rPr>
          <w:rFonts w:ascii="Arial Nova" w:hAnsi="Arial Nova" w:eastAsia="Arial Nova" w:cs="Arial Nova"/>
          <w:sz w:val="40"/>
          <w:szCs w:val="40"/>
        </w:rPr>
        <w:t>Name</w:t>
      </w:r>
      <w:r w:rsidRPr="34ED60EE" w:rsidR="6BFF4E75">
        <w:rPr>
          <w:rFonts w:ascii="Arial Nova" w:hAnsi="Arial Nova" w:eastAsia="Arial Nova" w:cs="Arial Nova"/>
          <w:sz w:val="40"/>
          <w:szCs w:val="40"/>
        </w:rPr>
        <w:t xml:space="preserve"> : </w:t>
      </w:r>
      <w:r w:rsidRPr="34ED60EE" w:rsidR="2E60570E">
        <w:rPr>
          <w:rFonts w:ascii="Arial Nova" w:hAnsi="Arial Nova" w:eastAsia="Arial Nova" w:cs="Arial Nova"/>
          <w:sz w:val="40"/>
          <w:szCs w:val="40"/>
        </w:rPr>
        <w:t>Soban Sadiq</w:t>
      </w:r>
    </w:p>
    <w:p w:rsidR="18377517" w:rsidP="34ED60EE" w:rsidRDefault="18377517" w14:paraId="1B0D462A" w14:textId="55DC67B0">
      <w:pPr>
        <w:ind w:left="708"/>
        <w:rPr>
          <w:rFonts w:ascii="Arial Nova" w:hAnsi="Arial Nova" w:eastAsia="Arial Nova" w:cs="Arial Nova"/>
          <w:sz w:val="40"/>
          <w:szCs w:val="40"/>
        </w:rPr>
      </w:pPr>
    </w:p>
    <w:p w:rsidR="18377517" w:rsidP="34ED60EE" w:rsidRDefault="18377517" w14:paraId="3071490E" w14:textId="672ECC16">
      <w:pPr>
        <w:ind w:left="708"/>
        <w:rPr>
          <w:rFonts w:ascii="Arial Nova" w:hAnsi="Arial Nova" w:eastAsia="Arial Nova" w:cs="Arial Nova"/>
          <w:sz w:val="40"/>
          <w:szCs w:val="40"/>
        </w:rPr>
      </w:pPr>
    </w:p>
    <w:p w:rsidR="18377517" w:rsidP="34ED60EE" w:rsidRDefault="18377517" w14:paraId="6D49FD49" w14:textId="6F66B441">
      <w:pPr>
        <w:ind w:left="708"/>
        <w:rPr>
          <w:rFonts w:ascii="Arial Nova" w:hAnsi="Arial Nova" w:eastAsia="Arial Nova" w:cs="Arial Nova"/>
          <w:sz w:val="40"/>
          <w:szCs w:val="40"/>
        </w:rPr>
      </w:pPr>
    </w:p>
    <w:p w:rsidR="18377517" w:rsidP="34ED60EE" w:rsidRDefault="18377517" w14:paraId="1C0916C6" w14:textId="0BFF4ADA">
      <w:pPr>
        <w:ind w:left="708"/>
        <w:rPr>
          <w:rFonts w:ascii="Arial Nova" w:hAnsi="Arial Nova" w:eastAsia="Arial Nova" w:cs="Arial Nova"/>
          <w:sz w:val="40"/>
          <w:szCs w:val="40"/>
        </w:rPr>
      </w:pPr>
    </w:p>
    <w:p w:rsidR="18377517" w:rsidP="34ED60EE" w:rsidRDefault="18377517" w14:paraId="15564144" w14:textId="2EA17E25">
      <w:pPr>
        <w:ind w:left="708"/>
        <w:rPr>
          <w:rFonts w:ascii="Arial Nova" w:hAnsi="Arial Nova" w:eastAsia="Arial Nova" w:cs="Arial Nova"/>
          <w:sz w:val="40"/>
          <w:szCs w:val="40"/>
        </w:rPr>
      </w:pPr>
    </w:p>
    <w:p w:rsidR="18377517" w:rsidP="34ED60EE" w:rsidRDefault="18377517" w14:paraId="7BECBA83" w14:textId="17D9D049">
      <w:pPr>
        <w:ind w:left="708"/>
        <w:rPr>
          <w:rFonts w:ascii="Arial Nova" w:hAnsi="Arial Nova" w:eastAsia="Arial Nova" w:cs="Arial Nova"/>
          <w:sz w:val="40"/>
          <w:szCs w:val="40"/>
        </w:rPr>
      </w:pPr>
    </w:p>
    <w:p w:rsidR="18377517" w:rsidP="34ED60EE" w:rsidRDefault="18377517" w14:paraId="658535F0" w14:textId="78FF51D3">
      <w:pPr>
        <w:ind w:left="708"/>
        <w:rPr>
          <w:rFonts w:ascii="Arial Nova" w:hAnsi="Arial Nova" w:eastAsia="Arial Nova" w:cs="Arial Nova"/>
          <w:sz w:val="40"/>
          <w:szCs w:val="40"/>
        </w:rPr>
      </w:pPr>
    </w:p>
    <w:p w:rsidR="18377517" w:rsidP="34ED60EE" w:rsidRDefault="18377517" w14:paraId="77F6BB98" w14:textId="2AC9C9C6">
      <w:pPr>
        <w:ind w:left="708"/>
        <w:rPr>
          <w:rFonts w:ascii="Arial Nova" w:hAnsi="Arial Nova" w:eastAsia="Arial Nova" w:cs="Arial Nova"/>
          <w:sz w:val="40"/>
          <w:szCs w:val="40"/>
        </w:rPr>
      </w:pPr>
    </w:p>
    <w:p w:rsidR="18377517" w:rsidP="34ED60EE" w:rsidRDefault="18377517" w14:paraId="5E2F2433" w14:textId="38F49310">
      <w:pPr>
        <w:ind w:left="708"/>
        <w:rPr>
          <w:rFonts w:ascii="Arial Nova" w:hAnsi="Arial Nova" w:eastAsia="Arial Nova" w:cs="Arial Nova"/>
          <w:sz w:val="40"/>
          <w:szCs w:val="40"/>
        </w:rPr>
      </w:pPr>
    </w:p>
    <w:p w:rsidR="18377517" w:rsidP="34ED60EE" w:rsidRDefault="18377517" w14:paraId="32A1B929" w14:textId="0403D5CE">
      <w:pPr>
        <w:ind w:left="708"/>
      </w:pPr>
    </w:p>
    <w:p w:rsidR="18377517" w:rsidP="34ED60EE" w:rsidRDefault="18377517" w14:paraId="009B1BFB" w14:textId="2BCD8D7F">
      <w:pPr>
        <w:pStyle w:val="Heading1"/>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48"/>
          <w:szCs w:val="48"/>
          <w:lang w:val="ro-RO"/>
        </w:rPr>
        <w:t>A Scoping Review of Self-Management Interventions for Adults with Type 2 Diabetes: Implications for UK Health and Social Care Practice</w:t>
      </w:r>
    </w:p>
    <w:p w:rsidR="18377517" w:rsidP="34ED60EE" w:rsidRDefault="18377517" w14:paraId="5B704AF3" w14:textId="068A376D">
      <w:pPr>
        <w:pStyle w:val="Heading2"/>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36"/>
          <w:szCs w:val="36"/>
          <w:lang w:val="ro-RO"/>
        </w:rPr>
        <w:t>1. Introduction</w:t>
      </w:r>
    </w:p>
    <w:p w:rsidR="18377517" w:rsidP="34ED60EE" w:rsidRDefault="18377517" w14:paraId="6FC8E454" w14:textId="30B885B3">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Type 2 diabetes mellitus (T2DM) is a chronic metabolic condition characterised by elevated blood glucose levels, usually associated with insulin resistance and progressive impairment of pancreatic beta-cell function. Its development reflects a combination of genetic, metabolic, environmental and lifestyle-related factors. Although overweight and obesity are important risk factors, T2DM can affect individuals with different body compositions, ages and socioeconomic circumstances. Managing the condition requires ongoing clinical monitoring and active participation by individuals in decisions about their health.</w:t>
      </w:r>
    </w:p>
    <w:p w:rsidR="18377517" w:rsidP="34ED60EE" w:rsidRDefault="18377517" w14:paraId="2D7AA5E2" w14:textId="1DF209E8">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consequences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of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inadequately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controlled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T2DM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extend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beyond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blood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glucose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regulation</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Potential</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complications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include cardiovascular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disease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kidney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impairment</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neuropathy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retinopathy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and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diabetic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foot</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problems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Individuals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may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also</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experience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diabetes-related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distress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anxiety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and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concerns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about</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future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health</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w:t>
      </w:r>
    </w:p>
    <w:p w:rsidR="18377517" w:rsidP="34ED60EE" w:rsidRDefault="18377517" w14:paraId="4BFE0112" w14:textId="1996A3AF">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Self-management describes the activities individuals undertake to manage their condition and maintain their health. For adults with T2DM, this can include making dietary adjustments, undertaking physical activity, taking prescribed medication, attending health reviews and following agreed monitoring plans. However, maintaining these behaviours is not always straightforward. Financial pressures, employment, caring responsibilities, cultural expectations and access to healthcare can influence whether individuals are able to follow clinical advice consistently. Providing information alone may consequently be insufficient to achieve sustainable behavioural change.</w:t>
      </w:r>
    </w:p>
    <w:p w:rsidR="18377517" w:rsidP="34ED60EE" w:rsidRDefault="18377517" w14:paraId="686CC44D" w14:textId="25509F67">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Several interventions have been developed to strengthen self-management. Structured diabetes education provides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organised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learning and practical guidance. Peer support enables individuals to exchange experiences and coping strategies with others living with the condition.</w:t>
      </w:r>
    </w:p>
    <w:p w:rsidR="18377517" w:rsidP="34ED60EE" w:rsidRDefault="18377517" w14:paraId="19BC8285" w14:textId="099394C6">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Within the United Kingdom, the National Institute for Health and Care Excellence (NICE) provides recommendations concerning individualised diabetes management, education, lifestyle support and the prevention of complications. These principles highlight the importance of tailoring care to clinical needs and personal circumstances rather than relying exclusively on glycaemic outcomes (NICE, 2026). Evaluating self-management interventions is therefore relevant to primary care, community services and the wider delivery of person-centred healthcare.</w:t>
      </w:r>
    </w:p>
    <w:p w:rsidR="18377517" w:rsidP="34ED60EE" w:rsidRDefault="18377517" w14:paraId="4369D41B" w14:textId="5A26B158">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This scoping review examines research concerning structured diabetes education, peer support and digital self-management interventions for adults with T2DM. It summarises reported clinical, behavioural and psychological outcomes, considers the strengths and limitations of the available evidence, and explores implications for UK health and social care practice.</w:t>
      </w:r>
    </w:p>
    <w:p w:rsidR="18377517" w:rsidP="34ED60EE" w:rsidRDefault="18377517" w14:paraId="4C270A3C" w14:textId="197394CA">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Research question</w:t>
      </w:r>
    </w:p>
    <w:p w:rsidR="18377517" w:rsidP="34ED60EE" w:rsidRDefault="18377517" w14:paraId="277D9BA1" w14:textId="546887DD">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How effective are structured diabetes education, peer support and digital health interventions in supporting self-management among adults with type 2 diabetes, and what are the implications for UK health and social care practice?</w:t>
      </w:r>
    </w:p>
    <w:p w:rsidR="18377517" w:rsidP="34ED60EE" w:rsidRDefault="18377517" w14:paraId="2D304775" w14:textId="7CD84B17">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Aim and objectives</w:t>
      </w:r>
    </w:p>
    <w:p w:rsidR="18377517" w:rsidP="34ED60EE" w:rsidRDefault="18377517" w14:paraId="013A108D" w14:textId="6FA2254F">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overall aim is to map the available evidence concerning interventions designed to improve self-management among adults with T2DM.</w:t>
      </w:r>
    </w:p>
    <w:p w:rsidR="18377517" w:rsidP="34ED60EE" w:rsidRDefault="18377517" w14:paraId="7FA1776E" w14:textId="0C034716">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objectives are:</w:t>
      </w:r>
    </w:p>
    <w:p w:rsidR="18377517" w:rsidP="34ED60EE" w:rsidRDefault="18377517" w14:paraId="4A631BB0" w14:textId="0DA691A6">
      <w:pPr>
        <w:pStyle w:val="ListParagraph"/>
        <w:numPr>
          <w:ilvl w:val="0"/>
          <w:numId w:val="5"/>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To identify research examining structured diabetes education, peer support and digital self-management interventions.</w:t>
      </w:r>
    </w:p>
    <w:p w:rsidR="18377517" w:rsidP="34ED60EE" w:rsidRDefault="18377517" w14:paraId="472B12CD" w14:textId="40A30560">
      <w:pPr>
        <w:pStyle w:val="ListParagraph"/>
        <w:numPr>
          <w:ilvl w:val="0"/>
          <w:numId w:val="5"/>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To summarise the principal clinical, behavioural and psychological outcomes reported in the selected studies.</w:t>
      </w:r>
    </w:p>
    <w:p w:rsidR="18377517" w:rsidP="34ED60EE" w:rsidRDefault="18377517" w14:paraId="6463A8D9" w14:textId="79B0AFEE">
      <w:pPr>
        <w:pStyle w:val="ListParagraph"/>
        <w:numPr>
          <w:ilvl w:val="0"/>
          <w:numId w:val="5"/>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To compare the reported effectiveness and limitations of these intervention approaches.</w:t>
      </w:r>
    </w:p>
    <w:p w:rsidR="18377517" w:rsidP="34ED60EE" w:rsidRDefault="18377517" w14:paraId="1542C54D" w14:textId="6F0E64DC">
      <w:pPr>
        <w:pStyle w:val="ListParagraph"/>
        <w:numPr>
          <w:ilvl w:val="0"/>
          <w:numId w:val="5"/>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To identify implications for person-centred care, accessibility and future research within the UK health and social care context.</w:t>
      </w:r>
    </w:p>
    <w:p w:rsidR="18377517" w:rsidP="34ED60EE" w:rsidRDefault="18377517" w14:paraId="34697529" w14:textId="58A1D913">
      <w:pPr>
        <w:pStyle w:val="Heading2"/>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36"/>
          <w:szCs w:val="36"/>
          <w:lang w:val="ro-RO"/>
        </w:rPr>
        <w:t>2. Background</w:t>
      </w:r>
    </w:p>
    <w:p w:rsidR="18377517" w:rsidP="34ED60EE" w:rsidRDefault="18377517" w14:paraId="147D43AF" w14:textId="4BD1FD12">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T2DM creates long-term challenges for individuals and health services because its management involves several interacting clinical and behavioural factors. In addition to glycaemic control, effective care requires attention to cardiovascular risk, kidney function, weight management and the prevention or early detection of complications. Coordination between individuals and healthcare professionals is essential because treatment requirements may change as the condition progresses.</w:t>
      </w:r>
    </w:p>
    <w:p w:rsidR="18377517" w:rsidP="34ED60EE" w:rsidRDefault="18377517" w14:paraId="593E2508" w14:textId="3FAB48DE">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Self-management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is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particularly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important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because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many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decisions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affecting</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diabetes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outcomes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occur</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outside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clinical</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settings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Individuals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must incorporate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treatment</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recommendations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into</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everyday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routines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including</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meal</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planning</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medication</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use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physical</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activity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and</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work</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or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family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commitments</w:t>
      </w:r>
    </w:p>
    <w:p w:rsidR="18377517" w:rsidP="34ED60EE" w:rsidRDefault="18377517" w14:paraId="21B73EFF" w14:textId="3E3602E9">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Structured diabetes education aims to improve knowledge, develop practical skills and increase confidence in making informed decisions. Group-based programmes can facilitate discussion and shared learning, whereas individual education may provide opportunities to address personal concerns. Their value depends not only on the information provided but also on whether participants understand how to apply it to daily life.</w:t>
      </w:r>
    </w:p>
    <w:p w:rsidR="18377517" w:rsidP="34ED60EE" w:rsidRDefault="18377517" w14:paraId="72EDDA48" w14:textId="1B16B8E0">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Peer support offers a complementary form of assistance. Individuals with similar experiences may exchange coping strategies, provide encouragement and discuss challenges that are difficult to communicate during routine consultations. Nevertheless, peer support should operate alongside professional care. Peer supporters cannot replace clinical assessment, and concerns involving medication, complications or deteriorating health require referral to qualified practitioners.</w:t>
      </w:r>
    </w:p>
    <w:p w:rsidR="18377517" w:rsidP="34ED60EE" w:rsidRDefault="18377517" w14:paraId="39966017" w14:textId="3E280B8D">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NICE guidance emphasises individualised treatment, agreed goals and continuing clinical review. HbA1c monitoring is generally recommended every three to six months until levels and treatment are stable, followed by six-monthly monitoring when appropriate (NICE, 2026). Self-management interventions should therefore complement, rather than replace, professional assessment and treatment. This distinction provides an important framework for examining the available evidence.</w:t>
      </w:r>
    </w:p>
    <w:p w:rsidR="18377517" w:rsidP="34ED60EE" w:rsidRDefault="18377517" w14:paraId="33A0A4BC" w14:textId="3C65EBAF">
      <w:pPr>
        <w:pStyle w:val="Heading2"/>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36"/>
          <w:szCs w:val="36"/>
          <w:lang w:val="ro-RO"/>
        </w:rPr>
        <w:t>3. Methods</w:t>
      </w:r>
    </w:p>
    <w:p w:rsidR="18377517" w:rsidP="34ED60EE" w:rsidRDefault="18377517" w14:paraId="1B6E354C" w14:textId="3E6ED8FA">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3.1 Review design</w:t>
      </w:r>
    </w:p>
    <w:p w:rsidR="18377517" w:rsidP="34ED60EE" w:rsidRDefault="18377517" w14:paraId="250E52ED" w14:textId="63F922FF">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A scoping review approach was selected to map research examining different interventions intended to support self-management among adults with T2DM. Scoping reviews are appropriate when a topic includes varied intervention designs, populations and outcome measures. Rather than calculating one overall treatment effect, this approach describes the range of evidence and identifies patterns, limitations and areas requiring further investigation.</w:t>
      </w:r>
    </w:p>
    <w:p w:rsidR="18377517" w:rsidP="34ED60EE" w:rsidRDefault="18377517" w14:paraId="654DDD03" w14:textId="22723D15">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methodological approach was informed by Arksey and O’Malley (2005) and the subsequent recommendations of Levac, Colquhoun and O’Brien (2010). Their work highlights the importance of defining a research question, identifying relevant evidence, applying selection criteria, charting findings and presenting a descriptive synthesis.</w:t>
      </w:r>
    </w:p>
    <w:p w:rsidR="18377517" w:rsidP="34ED60EE" w:rsidRDefault="18377517" w14:paraId="366960CE" w14:textId="69B33FDA">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3.2 Search strategy</w:t>
      </w:r>
    </w:p>
    <w:p w:rsidR="18377517" w:rsidP="34ED60EE" w:rsidRDefault="18377517" w14:paraId="4C504518" w14:textId="0D18DFDC">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initial literature identification focused on PubMed and relevant journal publications. NICE guidance was also considered to establish the UK clinical and policy context. PubMed was selected because it indexes biomedical and healthcare research, while journal publications provided additional information about individual studies.</w:t>
      </w:r>
    </w:p>
    <w:p w:rsidR="18377517" w:rsidP="34ED60EE" w:rsidRDefault="18377517" w14:paraId="0BDCE832" w14:textId="5686388C">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Search terms addressed the population, interventions and outcomes. Examples included:</w:t>
      </w:r>
    </w:p>
    <w:p w:rsidR="18377517" w:rsidP="34ED60EE" w:rsidRDefault="18377517" w14:paraId="67279735" w14:textId="05E53854">
      <w:pPr>
        <w:pStyle w:val="ListParagraph"/>
        <w:numPr>
          <w:ilvl w:val="0"/>
          <w:numId w:val="6"/>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“type 2 diabetes” AND “self-management”</w:t>
      </w:r>
    </w:p>
    <w:p w:rsidR="18377517" w:rsidP="34ED60EE" w:rsidRDefault="18377517" w14:paraId="24207F8E" w14:textId="75ECF008">
      <w:pPr>
        <w:pStyle w:val="ListParagraph"/>
        <w:numPr>
          <w:ilvl w:val="0"/>
          <w:numId w:val="6"/>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“type 2 diabetes” AND “structured education”</w:t>
      </w:r>
    </w:p>
    <w:p w:rsidR="18377517" w:rsidP="34ED60EE" w:rsidRDefault="18377517" w14:paraId="02B3715A" w14:textId="6D1581B3">
      <w:pPr>
        <w:pStyle w:val="ListParagraph"/>
        <w:numPr>
          <w:ilvl w:val="0"/>
          <w:numId w:val="6"/>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“type 2 diabetes” AND “peer support”</w:t>
      </w:r>
    </w:p>
    <w:p w:rsidR="18377517" w:rsidP="34ED60EE" w:rsidRDefault="18377517" w14:paraId="5AD65FC1" w14:textId="579BE10B">
      <w:pPr>
        <w:pStyle w:val="ListParagraph"/>
        <w:numPr>
          <w:ilvl w:val="0"/>
          <w:numId w:val="6"/>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“type 2 diabetes” AND “digital health intervention”</w:t>
      </w:r>
    </w:p>
    <w:p w:rsidR="18377517" w:rsidP="34ED60EE" w:rsidRDefault="18377517" w14:paraId="432132CE" w14:textId="3676478D">
      <w:pPr>
        <w:pStyle w:val="ListParagraph"/>
        <w:numPr>
          <w:ilvl w:val="0"/>
          <w:numId w:val="6"/>
        </w:numPr>
        <w:shd w:val="clear" w:color="auto" w:fill="FFFFFF" w:themeFill="background1"/>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“type 2 diabetes” AND “randomised controlled trial”</w:t>
      </w:r>
    </w:p>
    <w:p w:rsidR="18377517" w:rsidP="34ED60EE" w:rsidRDefault="18377517" w14:paraId="5C119E61" w14:textId="281BBE08">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selected evidence included UK-based education and peer-support research alongside a systematic review of digital interventions published in 2023. This allowed established intervention programmes to be considered alongside more recent evidence concerning technology-assisted support.</w:t>
      </w:r>
    </w:p>
    <w:p w:rsidR="18377517" w:rsidP="34ED60EE" w:rsidRDefault="18377517" w14:paraId="593CFDE6" w14:textId="011514C9">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search should be understood as a focused evidence-mapping exercise rather than a completed exhaustive systematic search. A final submission should document the actual search dates, database-specific search strings, numbers of records identified, duplicate removal and screening decisions. The search should also be repeated through the University of the West of Scotland library and any additional databases required by the assessment. These steps would improve transparency and reproducibility.</w:t>
      </w:r>
    </w:p>
    <w:p w:rsidR="18377517" w:rsidP="34ED60EE" w:rsidRDefault="18377517" w14:paraId="0BCF7F23" w14:textId="2F003F54">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3.3 Inclusion and exclusion criteria</w:t>
      </w:r>
    </w:p>
    <w:p w:rsidR="18377517" w:rsidP="34ED60EE" w:rsidRDefault="18377517" w14:paraId="13538AAC" w14:textId="4195496D">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Studies were considered eligible when they involved adults with T2DM and evaluated an intervention intended to improve self-management. The core evidence included peer-reviewed randomised controlled trials and systematic reviews or meta-analyses relevant to the three intervention categories.</w:t>
      </w:r>
    </w:p>
    <w:p w:rsidR="18377517" w:rsidP="34ED60EE" w:rsidRDefault="18377517" w14:paraId="5B288E23" w14:textId="1C9DFE36">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Selection was based on relevance to the research question, clarity of methodology and contribution to understanding clinical or behavioural outcomes. UK studies were prioritised where available, while international evidence was included when it provided useful information about digital interventions.</w:t>
      </w:r>
    </w:p>
    <w:p w:rsidR="18377517" w:rsidP="34ED60EE" w:rsidRDefault="18377517" w14:paraId="5C9005D2" w14:textId="39393236">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3.4 Data extraction and synthesis</w:t>
      </w:r>
    </w:p>
    <w:p w:rsidR="18377517" w:rsidP="34ED60EE" w:rsidRDefault="18377517" w14:paraId="6FE8B77C" w14:textId="263F2E1E">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selected publications were organised according to study design, population, intervention characteristics, outcomes and principal findings. A descriptive and thematic approach was used to identify similarities and differences across the three intervention categories.</w:t>
      </w:r>
    </w:p>
    <w:p w:rsidR="18377517" w:rsidP="34ED60EE" w:rsidRDefault="18377517" w14:paraId="1F2CBD71" w14:textId="626FB047">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Findings were grouped into clinical outcomes, behavioural and psychological outcomes, and implementation or accessibility. This structure allowed the evidence to be considered in relation to the research question without assuming that interventions delivered in different contexts were directly comparable.</w:t>
      </w:r>
    </w:p>
    <w:p w:rsidR="18377517" w:rsidP="34ED60EE" w:rsidRDefault="18377517" w14:paraId="60F057CE" w14:textId="1067F1E7">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No new pooled effect estimate was calculated. The included publications differed in intervention design, follow-up and outcome measurement, making a single estimate inappropriate for this focused review. Instead, reported findings were interpreted alongside study characteristics and methodological limitations.</w:t>
      </w:r>
    </w:p>
    <w:p w:rsidR="18377517" w:rsidP="34ED60EE" w:rsidRDefault="18377517" w14:paraId="5727D57B" w14:textId="39464B77">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3.5 Ethical considerations</w:t>
      </w:r>
    </w:p>
    <w:p w:rsidR="18377517" w:rsidP="34ED60EE" w:rsidRDefault="18377517" w14:paraId="2F4C958B" w14:textId="2D471418">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review uses published research and publicly available guidance and does not involve recruiting participants or collecting new personal health information. Direct human-participant research was therefore not undertaken.</w:t>
      </w:r>
    </w:p>
    <w:p w:rsidR="18377517" w:rsidP="34ED60EE" w:rsidRDefault="18377517" w14:paraId="5695A400" w14:textId="5884103C">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Ethical scholarship nevertheless requires accurate attribution, transparent reporting and balanced interpretation. The review distinguishes reported findings from interpretation and avoids treating associations as proof of causation. Limitations in the search and selection process are also acknowledged to avoid overstating the completeness of the evidence.</w:t>
      </w:r>
    </w:p>
    <w:p w:rsidR="18377517" w:rsidP="34ED60EE" w:rsidRDefault="18377517" w14:paraId="3FC667A7" w14:textId="691F59AB">
      <w:pPr>
        <w:pStyle w:val="Heading2"/>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36"/>
          <w:szCs w:val="36"/>
          <w:lang w:val="ro-RO"/>
        </w:rPr>
        <w:t>4. Results</w:t>
      </w:r>
    </w:p>
    <w:p w:rsidR="18377517" w:rsidP="34ED60EE" w:rsidRDefault="18377517" w14:paraId="487A0539" w14:textId="363934A0">
      <w:pPr>
        <w:pStyle w:val="Heading3"/>
        <w:shd w:val="clear" w:color="auto" w:fill="FFFFFF" w:themeFill="background1"/>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4.1 Overview of the selected evidence</w:t>
      </w:r>
    </w:p>
    <w:p w:rsidR="18377517" w:rsidP="34ED60EE" w:rsidRDefault="18377517" w14:paraId="096B4A53" w14:textId="20989141">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Four key publications were selected to illustrate structured education, peer support and digital self-management. Three examined UK-based interventions or follow-up outcomes, while one synthesised international randomised controlled trials of digital health interventions.</w:t>
      </w:r>
    </w:p>
    <w:p w:rsidR="18377517" w:rsidP="34ED60EE" w:rsidRDefault="18377517" w14:paraId="698987D7" w14:textId="69807AED">
      <w:pPr>
        <w:shd w:val="clear" w:color="auto" w:fill="FFFFFF" w:themeFill="background1"/>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studies varied in population, intervention delivery, duration and outcome measurement. Their findings therefore provide complementary evidence rather than a direct comparison of three equivalent treatments.</w:t>
      </w:r>
    </w:p>
    <w:p w:rsidR="18377517" w:rsidP="34ED60EE" w:rsidRDefault="18377517" w14:paraId="27E8F281" w14:textId="38371BCE">
      <w:pPr>
        <w:shd w:val="clear" w:color="auto" w:fill="FFFFFF" w:themeFill="background1"/>
        <w:spacing w:before="18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Table 1. Summary of selected studies</w:t>
      </w:r>
    </w:p>
    <w:tbl>
      <w:tblPr>
        <w:tblStyle w:val="TableNormal"/>
        <w:bidiVisual w:val="0"/>
        <w:tblW w:w="0" w:type="auto"/>
        <w:tblLook w:val="06A0" w:firstRow="1" w:lastRow="0" w:firstColumn="1" w:lastColumn="0" w:noHBand="1" w:noVBand="1"/>
      </w:tblPr>
      <w:tblGrid>
        <w:gridCol w:w="1806"/>
        <w:gridCol w:w="2403"/>
        <w:gridCol w:w="2403"/>
        <w:gridCol w:w="2403"/>
      </w:tblGrid>
      <w:tr w:rsidR="34ED60EE" w:rsidTr="34ED60EE" w14:paraId="592FBD67">
        <w:trPr>
          <w:trHeight w:val="300"/>
        </w:trPr>
        <w:tc>
          <w:tcPr>
            <w:tcW w:w="1806" w:type="dxa"/>
            <w:tcBorders>
              <w:bottom w:val="single" w:sz="6"/>
            </w:tcBorders>
            <w:tcMar/>
            <w:vAlign w:val="bottom"/>
          </w:tcPr>
          <w:p w:rsidR="34ED60EE" w:rsidP="34ED60EE" w:rsidRDefault="34ED60EE" w14:paraId="201201CC" w14:textId="13A01395">
            <w:pPr>
              <w:shd w:val="clear" w:color="auto" w:fill="FFFFFF" w:themeFill="background1"/>
              <w:spacing w:before="0" w:beforeAutospacing="off" w:after="0" w:afterAutospacing="off"/>
              <w:jc w:val="center"/>
            </w:pPr>
            <w:r w:rsidRPr="34ED60EE" w:rsidR="34ED60EE">
              <w:rPr>
                <w:b w:val="1"/>
                <w:bCs w:val="1"/>
              </w:rPr>
              <w:t>Study</w:t>
            </w:r>
          </w:p>
        </w:tc>
        <w:tc>
          <w:tcPr>
            <w:tcW w:w="2403" w:type="dxa"/>
            <w:tcBorders>
              <w:bottom w:val="single" w:sz="6"/>
            </w:tcBorders>
            <w:tcMar/>
            <w:vAlign w:val="bottom"/>
          </w:tcPr>
          <w:p w:rsidR="34ED60EE" w:rsidP="34ED60EE" w:rsidRDefault="34ED60EE" w14:paraId="79E40C1F" w14:textId="523030F4">
            <w:pPr>
              <w:shd w:val="clear" w:color="auto" w:fill="FFFFFF" w:themeFill="background1"/>
              <w:spacing w:before="0" w:beforeAutospacing="off" w:after="0" w:afterAutospacing="off"/>
              <w:jc w:val="center"/>
            </w:pPr>
            <w:r w:rsidRPr="34ED60EE" w:rsidR="34ED60EE">
              <w:rPr>
                <w:b w:val="1"/>
                <w:bCs w:val="1"/>
              </w:rPr>
              <w:t>Design and population</w:t>
            </w:r>
          </w:p>
        </w:tc>
        <w:tc>
          <w:tcPr>
            <w:tcW w:w="2403" w:type="dxa"/>
            <w:tcBorders>
              <w:bottom w:val="single" w:sz="6"/>
            </w:tcBorders>
            <w:tcMar/>
            <w:vAlign w:val="bottom"/>
          </w:tcPr>
          <w:p w:rsidR="34ED60EE" w:rsidP="34ED60EE" w:rsidRDefault="34ED60EE" w14:paraId="3CC74E27" w14:textId="232D94B5">
            <w:pPr>
              <w:shd w:val="clear" w:color="auto" w:fill="FFFFFF" w:themeFill="background1"/>
              <w:spacing w:before="0" w:beforeAutospacing="off" w:after="0" w:afterAutospacing="off"/>
              <w:jc w:val="center"/>
            </w:pPr>
            <w:r w:rsidRPr="34ED60EE" w:rsidR="34ED60EE">
              <w:rPr>
                <w:b w:val="1"/>
                <w:bCs w:val="1"/>
              </w:rPr>
              <w:t>Intervention</w:t>
            </w:r>
          </w:p>
        </w:tc>
        <w:tc>
          <w:tcPr>
            <w:tcW w:w="2403" w:type="dxa"/>
            <w:tcBorders>
              <w:bottom w:val="single" w:sz="6"/>
            </w:tcBorders>
            <w:tcMar/>
            <w:vAlign w:val="bottom"/>
          </w:tcPr>
          <w:p w:rsidR="34ED60EE" w:rsidP="34ED60EE" w:rsidRDefault="34ED60EE" w14:paraId="2222D3D0" w14:textId="57CFD0B4">
            <w:pPr>
              <w:shd w:val="clear" w:color="auto" w:fill="FFFFFF" w:themeFill="background1"/>
              <w:spacing w:before="0" w:beforeAutospacing="off" w:after="0" w:afterAutospacing="off"/>
              <w:jc w:val="center"/>
            </w:pPr>
            <w:r w:rsidRPr="34ED60EE" w:rsidR="34ED60EE">
              <w:rPr>
                <w:b w:val="1"/>
                <w:bCs w:val="1"/>
              </w:rPr>
              <w:t>Main findings</w:t>
            </w:r>
          </w:p>
        </w:tc>
      </w:tr>
      <w:tr w:rsidR="34ED60EE" w:rsidTr="34ED60EE" w14:paraId="07B87C7B">
        <w:trPr>
          <w:trHeight w:val="300"/>
        </w:trPr>
        <w:tc>
          <w:tcPr>
            <w:tcW w:w="1806" w:type="dxa"/>
            <w:tcBorders>
              <w:bottom w:val="single" w:sz="6"/>
            </w:tcBorders>
            <w:tcMar/>
            <w:vAlign w:val="top"/>
          </w:tcPr>
          <w:p w:rsidR="34ED60EE" w:rsidP="34ED60EE" w:rsidRDefault="34ED60EE" w14:paraId="49D31A67" w14:textId="2E178364">
            <w:pPr>
              <w:shd w:val="clear" w:color="auto" w:fill="FFFFFF" w:themeFill="background1"/>
              <w:spacing w:before="0" w:beforeAutospacing="off" w:after="0" w:afterAutospacing="off"/>
            </w:pPr>
            <w:r w:rsidR="34ED60EE">
              <w:rPr/>
              <w:t>Davies et al. (2008)</w:t>
            </w:r>
          </w:p>
        </w:tc>
        <w:tc>
          <w:tcPr>
            <w:tcW w:w="2403" w:type="dxa"/>
            <w:tcBorders>
              <w:bottom w:val="single" w:sz="6"/>
            </w:tcBorders>
            <w:tcMar/>
            <w:vAlign w:val="top"/>
          </w:tcPr>
          <w:p w:rsidR="34ED60EE" w:rsidP="34ED60EE" w:rsidRDefault="34ED60EE" w14:paraId="62F26D32" w14:textId="7CA702AA">
            <w:pPr>
              <w:shd w:val="clear" w:color="auto" w:fill="FFFFFF" w:themeFill="background1"/>
              <w:spacing w:before="0" w:beforeAutospacing="off" w:after="0" w:afterAutospacing="off"/>
            </w:pPr>
            <w:r w:rsidR="34ED60EE">
              <w:rPr/>
              <w:t>Cluster randomised controlled trial involving 824 adults with newly diagnosed T2DM in the UK</w:t>
            </w:r>
          </w:p>
        </w:tc>
        <w:tc>
          <w:tcPr>
            <w:tcW w:w="2403" w:type="dxa"/>
            <w:tcBorders>
              <w:bottom w:val="single" w:sz="6"/>
            </w:tcBorders>
            <w:tcMar/>
            <w:vAlign w:val="top"/>
          </w:tcPr>
          <w:p w:rsidR="34ED60EE" w:rsidP="34ED60EE" w:rsidRDefault="34ED60EE" w14:paraId="0540400B" w14:textId="5BF9B5BD">
            <w:pPr>
              <w:shd w:val="clear" w:color="auto" w:fill="FFFFFF" w:themeFill="background1"/>
              <w:spacing w:before="0" w:beforeAutospacing="off" w:after="0" w:afterAutospacing="off"/>
            </w:pPr>
            <w:r w:rsidR="34ED60EE">
              <w:rPr/>
              <w:t>DESMOND structured group education</w:t>
            </w:r>
          </w:p>
        </w:tc>
        <w:tc>
          <w:tcPr>
            <w:tcW w:w="2403" w:type="dxa"/>
            <w:tcBorders>
              <w:bottom w:val="single" w:sz="6"/>
            </w:tcBorders>
            <w:tcMar/>
            <w:vAlign w:val="top"/>
          </w:tcPr>
          <w:p w:rsidR="34ED60EE" w:rsidP="34ED60EE" w:rsidRDefault="34ED60EE" w14:paraId="16D5FCD6" w14:textId="64F135D1">
            <w:pPr>
              <w:shd w:val="clear" w:color="auto" w:fill="FFFFFF" w:themeFill="background1"/>
              <w:spacing w:before="0" w:beforeAutospacing="off" w:after="0" w:afterAutospacing="off"/>
            </w:pPr>
            <w:r w:rsidR="34ED60EE">
              <w:rPr/>
              <w:t>Greater weight loss and improvements in diabetes-related understanding and smoking outcomes; no significant between-group difference in HbA1c at 12 months.</w:t>
            </w:r>
          </w:p>
        </w:tc>
      </w:tr>
      <w:tr w:rsidR="34ED60EE" w:rsidTr="34ED60EE" w14:paraId="0A0DC7F9">
        <w:trPr>
          <w:trHeight w:val="300"/>
        </w:trPr>
        <w:tc>
          <w:tcPr>
            <w:tcW w:w="1806" w:type="dxa"/>
            <w:tcBorders>
              <w:bottom w:val="single" w:sz="6"/>
            </w:tcBorders>
            <w:tcMar/>
            <w:vAlign w:val="top"/>
          </w:tcPr>
          <w:p w:rsidR="34ED60EE" w:rsidP="34ED60EE" w:rsidRDefault="34ED60EE" w14:paraId="28DA1BE5" w14:textId="68D0E33F">
            <w:pPr>
              <w:shd w:val="clear" w:color="auto" w:fill="FFFFFF" w:themeFill="background1"/>
              <w:spacing w:before="0" w:beforeAutospacing="off" w:after="0" w:afterAutospacing="off"/>
            </w:pPr>
            <w:r w:rsidR="34ED60EE">
              <w:rPr/>
              <w:t>Simmons et al. (2015)</w:t>
            </w:r>
          </w:p>
        </w:tc>
        <w:tc>
          <w:tcPr>
            <w:tcW w:w="2403" w:type="dxa"/>
            <w:tcBorders>
              <w:bottom w:val="single" w:sz="6"/>
            </w:tcBorders>
            <w:tcMar/>
            <w:vAlign w:val="top"/>
          </w:tcPr>
          <w:p w:rsidR="34ED60EE" w:rsidP="34ED60EE" w:rsidRDefault="34ED60EE" w14:paraId="0EA796CF" w14:textId="28358AB5">
            <w:pPr>
              <w:shd w:val="clear" w:color="auto" w:fill="FFFFFF" w:themeFill="background1"/>
              <w:spacing w:before="0" w:beforeAutospacing="off" w:after="0" w:afterAutospacing="off"/>
            </w:pPr>
            <w:r w:rsidR="34ED60EE">
              <w:rPr/>
              <w:t>Cluster randomised controlled trial involving 1,299 adults in rural English communities</w:t>
            </w:r>
          </w:p>
        </w:tc>
        <w:tc>
          <w:tcPr>
            <w:tcW w:w="2403" w:type="dxa"/>
            <w:tcBorders>
              <w:bottom w:val="single" w:sz="6"/>
            </w:tcBorders>
            <w:tcMar/>
            <w:vAlign w:val="top"/>
          </w:tcPr>
          <w:p w:rsidR="34ED60EE" w:rsidP="34ED60EE" w:rsidRDefault="34ED60EE" w14:paraId="293415FE" w14:textId="29610386">
            <w:pPr>
              <w:shd w:val="clear" w:color="auto" w:fill="FFFFFF" w:themeFill="background1"/>
              <w:spacing w:before="0" w:beforeAutospacing="off" w:after="0" w:afterAutospacing="off"/>
            </w:pPr>
            <w:r w:rsidR="34ED60EE">
              <w:rPr/>
              <w:t>Individual, group or combined peer support</w:t>
            </w:r>
          </w:p>
        </w:tc>
        <w:tc>
          <w:tcPr>
            <w:tcW w:w="2403" w:type="dxa"/>
            <w:tcBorders>
              <w:bottom w:val="single" w:sz="6"/>
            </w:tcBorders>
            <w:tcMar/>
            <w:vAlign w:val="top"/>
          </w:tcPr>
          <w:p w:rsidR="34ED60EE" w:rsidP="34ED60EE" w:rsidRDefault="34ED60EE" w14:paraId="3CAFFAC1" w14:textId="53A3C322">
            <w:pPr>
              <w:shd w:val="clear" w:color="auto" w:fill="FFFFFF" w:themeFill="background1"/>
              <w:spacing w:before="0" w:beforeAutospacing="off" w:after="0" w:afterAutospacing="off"/>
            </w:pPr>
            <w:r w:rsidR="34ED60EE">
              <w:rPr/>
              <w:t>No significant overall improvement in HbA1c or most measured outcomes; group support was associated with a small improvement in systolic blood pressure.</w:t>
            </w:r>
          </w:p>
        </w:tc>
      </w:tr>
      <w:tr w:rsidR="34ED60EE" w:rsidTr="34ED60EE" w14:paraId="3FB07E58">
        <w:trPr>
          <w:trHeight w:val="300"/>
        </w:trPr>
        <w:tc>
          <w:tcPr>
            <w:tcW w:w="1806" w:type="dxa"/>
            <w:tcBorders>
              <w:bottom w:val="single" w:sz="6"/>
            </w:tcBorders>
            <w:tcMar/>
            <w:vAlign w:val="top"/>
          </w:tcPr>
          <w:p w:rsidR="34ED60EE" w:rsidP="34ED60EE" w:rsidRDefault="34ED60EE" w14:paraId="54E0B76C" w14:textId="0CCB5B8F">
            <w:pPr>
              <w:shd w:val="clear" w:color="auto" w:fill="FFFFFF" w:themeFill="background1"/>
              <w:spacing w:before="0" w:beforeAutospacing="off" w:after="0" w:afterAutospacing="off"/>
            </w:pPr>
            <w:r w:rsidR="34ED60EE">
              <w:rPr/>
              <w:t>Moschonis et al. (2023)</w:t>
            </w:r>
          </w:p>
        </w:tc>
        <w:tc>
          <w:tcPr>
            <w:tcW w:w="2403" w:type="dxa"/>
            <w:tcBorders>
              <w:bottom w:val="single" w:sz="6"/>
            </w:tcBorders>
            <w:tcMar/>
            <w:vAlign w:val="top"/>
          </w:tcPr>
          <w:p w:rsidR="34ED60EE" w:rsidP="34ED60EE" w:rsidRDefault="34ED60EE" w14:paraId="61ABE0F7" w14:textId="04605CAF">
            <w:pPr>
              <w:shd w:val="clear" w:color="auto" w:fill="FFFFFF" w:themeFill="background1"/>
              <w:spacing w:before="0" w:beforeAutospacing="off" w:after="0" w:afterAutospacing="off"/>
            </w:pPr>
            <w:r w:rsidR="34ED60EE">
              <w:rPr/>
              <w:t>Systematic review of 56 randomised controlled trials, with 26 contributing to meta-analysis</w:t>
            </w:r>
          </w:p>
        </w:tc>
        <w:tc>
          <w:tcPr>
            <w:tcW w:w="2403" w:type="dxa"/>
            <w:tcBorders>
              <w:bottom w:val="single" w:sz="6"/>
            </w:tcBorders>
            <w:tcMar/>
            <w:vAlign w:val="top"/>
          </w:tcPr>
          <w:p w:rsidR="34ED60EE" w:rsidP="34ED60EE" w:rsidRDefault="34ED60EE" w14:paraId="3314B8FA" w14:textId="1658E7DD">
            <w:pPr>
              <w:shd w:val="clear" w:color="auto" w:fill="FFFFFF" w:themeFill="background1"/>
              <w:spacing w:before="0" w:beforeAutospacing="off" w:after="0" w:afterAutospacing="off"/>
            </w:pPr>
            <w:r w:rsidR="34ED60EE">
              <w:rPr/>
              <w:t>Digital interventions, including applications, text messages and websites</w:t>
            </w:r>
          </w:p>
        </w:tc>
        <w:tc>
          <w:tcPr>
            <w:tcW w:w="2403" w:type="dxa"/>
            <w:tcBorders>
              <w:bottom w:val="single" w:sz="6"/>
            </w:tcBorders>
            <w:tcMar/>
            <w:vAlign w:val="top"/>
          </w:tcPr>
          <w:p w:rsidR="34ED60EE" w:rsidP="34ED60EE" w:rsidRDefault="34ED60EE" w14:paraId="3758193D" w14:textId="77BCB336">
            <w:pPr>
              <w:shd w:val="clear" w:color="auto" w:fill="FFFFFF" w:themeFill="background1"/>
              <w:spacing w:before="0" w:beforeAutospacing="off" w:after="0" w:afterAutospacing="off"/>
            </w:pPr>
            <w:r w:rsidR="34ED60EE">
              <w:rPr/>
              <w:t>The pooled analysis reported an average HbA1c reduction approximately 0.30 percentage points greater than in control groups.</w:t>
            </w:r>
          </w:p>
        </w:tc>
      </w:tr>
      <w:tr w:rsidR="34ED60EE" w:rsidTr="34ED60EE" w14:paraId="391236D8">
        <w:trPr>
          <w:trHeight w:val="300"/>
        </w:trPr>
        <w:tc>
          <w:tcPr>
            <w:tcW w:w="1806" w:type="dxa"/>
            <w:tcBorders>
              <w:bottom w:val="single" w:sz="6"/>
            </w:tcBorders>
            <w:tcMar/>
            <w:vAlign w:val="top"/>
          </w:tcPr>
          <w:p w:rsidR="34ED60EE" w:rsidP="34ED60EE" w:rsidRDefault="34ED60EE" w14:paraId="39D28403" w14:textId="14485316">
            <w:pPr>
              <w:shd w:val="clear" w:color="auto" w:fill="FFFFFF" w:themeFill="background1"/>
              <w:spacing w:before="0" w:beforeAutospacing="off" w:after="0" w:afterAutospacing="off"/>
            </w:pPr>
            <w:r w:rsidR="34ED60EE">
              <w:rPr/>
              <w:t>Khunti et al. (2012)</w:t>
            </w:r>
          </w:p>
        </w:tc>
        <w:tc>
          <w:tcPr>
            <w:tcW w:w="2403" w:type="dxa"/>
            <w:tcBorders>
              <w:bottom w:val="single" w:sz="6"/>
            </w:tcBorders>
            <w:tcMar/>
            <w:vAlign w:val="top"/>
          </w:tcPr>
          <w:p w:rsidR="34ED60EE" w:rsidP="34ED60EE" w:rsidRDefault="34ED60EE" w14:paraId="0A1681A4" w14:textId="4B6A285C">
            <w:pPr>
              <w:shd w:val="clear" w:color="auto" w:fill="FFFFFF" w:themeFill="background1"/>
              <w:spacing w:before="0" w:beforeAutospacing="off" w:after="0" w:afterAutospacing="off"/>
            </w:pPr>
            <w:r w:rsidR="34ED60EE">
              <w:rPr/>
              <w:t>Three-year follow-up of the DESMOND cluster randomised trial</w:t>
            </w:r>
          </w:p>
        </w:tc>
        <w:tc>
          <w:tcPr>
            <w:tcW w:w="2403" w:type="dxa"/>
            <w:tcBorders>
              <w:bottom w:val="single" w:sz="6"/>
            </w:tcBorders>
            <w:tcMar/>
            <w:vAlign w:val="top"/>
          </w:tcPr>
          <w:p w:rsidR="34ED60EE" w:rsidP="34ED60EE" w:rsidRDefault="34ED60EE" w14:paraId="51BF0155" w14:textId="63A60AD4">
            <w:pPr>
              <w:shd w:val="clear" w:color="auto" w:fill="FFFFFF" w:themeFill="background1"/>
              <w:spacing w:before="0" w:beforeAutospacing="off" w:after="0" w:afterAutospacing="off"/>
            </w:pPr>
            <w:r w:rsidR="34ED60EE">
              <w:rPr/>
              <w:t>Follow-up of structured group education</w:t>
            </w:r>
          </w:p>
        </w:tc>
        <w:tc>
          <w:tcPr>
            <w:tcW w:w="2403" w:type="dxa"/>
            <w:tcBorders>
              <w:bottom w:val="single" w:sz="6"/>
            </w:tcBorders>
            <w:tcMar/>
            <w:vAlign w:val="top"/>
          </w:tcPr>
          <w:p w:rsidR="34ED60EE" w:rsidP="34ED60EE" w:rsidRDefault="34ED60EE" w14:paraId="2903075A" w14:textId="4E1E5D83">
            <w:pPr>
              <w:shd w:val="clear" w:color="auto" w:fill="FFFFFF" w:themeFill="background1"/>
              <w:spacing w:before="0" w:beforeAutospacing="off" w:after="0" w:afterAutospacing="off"/>
            </w:pPr>
            <w:r w:rsidR="34ED60EE">
              <w:rPr/>
              <w:t>No significant between-group difference in HbA1c or most biomedical outcomes; some differences in illness-related beliefs persisted.</w:t>
            </w:r>
          </w:p>
        </w:tc>
      </w:tr>
    </w:tbl>
    <w:p w:rsidR="18377517" w:rsidP="34ED60EE" w:rsidRDefault="18377517" w14:paraId="62211D4F" w14:textId="554FBB57">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1"/>
          <w:iCs w:val="1"/>
          <w:caps w:val="0"/>
          <w:smallCaps w:val="0"/>
          <w:noProof w:val="0"/>
          <w:color w:val="0D0D0D" w:themeColor="text1" w:themeTint="F2" w:themeShade="FF"/>
          <w:sz w:val="24"/>
          <w:szCs w:val="24"/>
          <w:lang w:val="ro-RO"/>
        </w:rPr>
        <w:t>Source: Davies et al. (2008); Simmons et al. (2015); Moschonis et al. (2023); Khunti et al. (2012).</w:t>
      </w:r>
    </w:p>
    <w:p w:rsidR="18377517" w:rsidP="34ED60EE" w:rsidRDefault="18377517" w14:paraId="6EDC83C3" w14:textId="10339656">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4.2 Structured diabetes education</w:t>
      </w:r>
    </w:p>
    <w:p w:rsidR="18377517" w:rsidP="34ED60EE" w:rsidRDefault="18377517" w14:paraId="329BD1E9" w14:textId="618938BB">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Davies et al. (2008) evaluated the Diabetes Education and Self Management for Ongoing and Newly Diagnosed (DESMOND) programme. The cluster randomised controlled trial included 824 adults with newly diagnosed T2DM recruited through 207 general practices across 13 UK primary care sites.</w:t>
      </w:r>
    </w:p>
    <w:p w:rsidR="18377517" w:rsidP="34ED60EE" w:rsidRDefault="18377517" w14:paraId="2F279811" w14:textId="037C3672">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Participants allocated to the intervention received a structured six-hour group education programme delivered by trained healthcare professionals, while the comparison group received usual care. Outcomes included HbA1c, weight, blood pressure, lipid levels, smoking behaviour, physical activity and psychological measures.</w:t>
      </w:r>
    </w:p>
    <w:p w:rsidR="18377517" w:rsidP="34ED60EE" w:rsidRDefault="18377517" w14:paraId="4638A6FC" w14:textId="79E676AA">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At 12 months, HbA1c had improved in both groups, but the adjusted difference between the intervention and control groups was not statistically significant. The intervention group achieved greater weight loss and showed improvements in diabetes-related understanding and beliefs. The study also reported a higher likelihood of smoking cessation and a small improvement in depression scores (Davies et al., 2008).</w:t>
      </w:r>
    </w:p>
    <w:p w:rsidR="18377517" w:rsidP="34ED60EE" w:rsidRDefault="18377517" w14:paraId="307F4D29" w14:textId="28687C7A">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These findings indicate that the effects of education should not be assessed exclusively through glycaemic outcomes. Increased understanding may help individuals make informed decisions, while changes in weight and smoking behaviour may contribute to longer-term health. However, these potential benefits should not be interpreted as proof that education necessarily produces sustained metabolic improvement.</w:t>
      </w:r>
    </w:p>
    <w:p w:rsidR="18377517" w:rsidP="34ED60EE" w:rsidRDefault="18377517" w14:paraId="4589F99B" w14:textId="7251520B">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4.3 Peer support interventions</w:t>
      </w:r>
    </w:p>
    <w:p w:rsidR="18377517" w:rsidP="34ED60EE" w:rsidRDefault="18377517" w14:paraId="53DF9D33" w14:textId="4A57DC43">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Simmons et al. (2015) investigated community-based peer support in a cluster randomised controlled trial involving 1,299 adults with T2DM in rural England. The study compared individual peer support, group support, a combination of both approaches and a control condition.</w:t>
      </w:r>
    </w:p>
    <w:p w:rsidR="18377517" w:rsidP="34ED60EE" w:rsidRDefault="18377517" w14:paraId="2D69572A" w14:textId="45669404">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Peer supporters received training and worked with support from diabetes educators. Their role was to facilitate discussion, encourage practical problem-solving and help participants address everyday difficulties associated with diabetes. This approach was intended to complement clinical care rather than replace professional advice.</w:t>
      </w:r>
    </w:p>
    <w:p w:rsidR="18377517" w:rsidP="34ED60EE" w:rsidRDefault="18377517" w14:paraId="139BE334" w14:textId="7D8E26D4">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study found no significant overall improvement in HbA1c across the intervention groups. Most other outcomes, including self-reported medication adherence, also showed no significant differences. Group peer support was associated with a small reduction in systolic blood pressure, but the findings did not demonstrate consistent clinical benefits across outcomes (Simmons et al., 2015).</w:t>
      </w:r>
    </w:p>
    <w:p w:rsidR="18377517" w:rsidP="34ED60EE" w:rsidRDefault="18377517" w14:paraId="1F19A9AE" w14:textId="0F574337">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Peer support may offer social connection, reassurance and opportunities to exchange coping strategies. These outcomes can be meaningful even when clinical measures show little change. Nevertheless, potential psychological benefits should be distinguished from outcomes directly demonstrated by the trial. The evidence does not justify assuming that peer support will automatically improve adherence, wellbeing or glycaemic control.</w:t>
      </w:r>
    </w:p>
    <w:p w:rsidR="18377517" w:rsidP="34ED60EE" w:rsidRDefault="18377517" w14:paraId="12F097CE" w14:textId="6EAF61F8">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findings support careful attention to accessibility and delivery. Some participants may prefer individual contact, whereas others may value group discussion. Flexible options, including telephone contact where appropriate, could make participation easier. Their effectiveness would, however, need to be evaluated rather than assumed.</w:t>
      </w:r>
    </w:p>
    <w:p w:rsidR="18377517" w:rsidP="34ED60EE" w:rsidRDefault="18377517" w14:paraId="497CEB2B" w14:textId="54C0C490">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4.4 Digital self-management interventions</w:t>
      </w:r>
    </w:p>
    <w:p w:rsidR="18377517" w:rsidP="34ED60EE" w:rsidRDefault="18377517" w14:paraId="28246B40" w14:textId="14CB81B0">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Moschonis et al. (2023) conducted a systematic review and meta-analysis examining digital health interventions for adults with T2DM. The review identified 56 randomised controlled trials across 24 regions, with 26 studies involving 4,546 participants contributing to the meta-analysis.</w:t>
      </w:r>
    </w:p>
    <w:p w:rsidR="18377517" w:rsidP="34ED60EE" w:rsidRDefault="18377517" w14:paraId="0C257A8F" w14:textId="619A1392">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interventions included smartphone applications, text messaging and website-based programmes. The pooled findings indicated an average HbA1c reduction approximately 0.30 percentage points greater in intervention groups than in control groups. The review also considered reach, uptake and feasibility, demonstrating that implementation involves more than measuring clinical effectiveness.</w:t>
      </w:r>
    </w:p>
    <w:p w:rsidR="18377517" w:rsidP="34ED60EE" w:rsidRDefault="18377517" w14:paraId="6F94919D" w14:textId="5BFC0C99">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review also identified differences between reach and uptake. Reach concerns the population an intervention manages to involve, whereas uptake concerns participation or use after an intervention is made available. A programme may be accessible to many people but used inconsistently, limiting its potential benefit.</w:t>
      </w:r>
    </w:p>
    <w:p w:rsidR="18377517" w:rsidP="34ED60EE" w:rsidRDefault="18377517" w14:paraId="19595AF2" w14:textId="79C357F6">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international nature of the evidence creates additional considerations for UK implementation. Differences in healthcare systems, digital infrastructure and participant characteristics may affect transferability. Services should therefore evaluate whether digital programmes are appropriate for their own populations rather than adopting them solely because positive average effects have been reported.</w:t>
      </w:r>
    </w:p>
    <w:p w:rsidR="18377517" w:rsidP="34ED60EE" w:rsidRDefault="18377517" w14:paraId="51161C39" w14:textId="0B8A896C">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Digital interventions should also be assessed in relation to accessibility, usability, privacy and the availability of alternatives. Individuals without suitable devices or reliable internet access may be disadvantaged, while others may require support to navigate applications or understand online health information. Maintaining non-digital options is important for avoiding exclusion.</w:t>
      </w:r>
    </w:p>
    <w:p w:rsidR="18377517" w:rsidP="34ED60EE" w:rsidRDefault="18377517" w14:paraId="05BEAF3D" w14:textId="45ECCBBE">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Overall, the evidence supports the cautious use of digital interventions as part of a broader self-management strategy. Their effectiveness depends on programme design, sustained engagement and integration with appropriate clinical care.</w:t>
      </w:r>
    </w:p>
    <w:p w:rsidR="18377517" w:rsidP="34ED60EE" w:rsidRDefault="18377517" w14:paraId="5B74844E" w14:textId="2B22A1ED">
      <w:pPr>
        <w:pStyle w:val="Heading2"/>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36"/>
          <w:szCs w:val="36"/>
          <w:lang w:val="ro-RO"/>
        </w:rPr>
        <w:t>5. Discussion</w:t>
      </w:r>
    </w:p>
    <w:p w:rsidR="18377517" w:rsidP="34ED60EE" w:rsidRDefault="18377517" w14:paraId="781D7E6A" w14:textId="0FD14CAD">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5.1 Interpretation of the main findings</w:t>
      </w:r>
    </w:p>
    <w:p w:rsidR="18377517" w:rsidP="34ED60EE" w:rsidRDefault="18377517" w14:paraId="2247E6E5" w14:textId="26DF430D">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selected evidence indicates that structured education, peer support and digital interventions may contribute to diabetes self-management, but their reported effects vary according to outcome and context. An important distinction is that improvements in knowledge, behaviour and psychological wellbeing do not necessarily occur alongside measurable improvements in HbA1c.</w:t>
      </w:r>
    </w:p>
    <w:p w:rsidR="18377517" w:rsidP="34ED60EE" w:rsidRDefault="18377517" w14:paraId="1CF4A892" w14:textId="53A1485E">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DESMOND findings illustrate this complexity. Structured education improved selected lifestyle outcomes and diabetes-related understanding, yet it did not produce a statistically significant between-group difference in HbA1c at 12 months. The three-year follow-up similarly found persistent differences in some illness-related beliefs without sustained differences in most biomedical outcomes (Davies et al., 2008; Khunti et al., 2012).</w:t>
      </w:r>
    </w:p>
    <w:p w:rsidR="18377517" w:rsidP="34ED60EE" w:rsidRDefault="18377517" w14:paraId="495E7379" w14:textId="60328C58">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These findings are consistent with the understanding that glycaemic control is influenced by several factors, including medication, disease progression, diet, physical activity and other health conditions. Education may strengthen an individual's ability to make informed decisions without producing an immediate or sustained difference in a particular clinical measure. Its value should therefore be assessed through a range of relevant outcomes.</w:t>
      </w:r>
    </w:p>
    <w:p w:rsidR="18377517" w:rsidP="34ED60EE" w:rsidRDefault="18377517" w14:paraId="32238BBC" w14:textId="2B7DFDAE">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peer-support trial reinforces the importance of distinguishing potential benefits from demonstrated effectiveness. Social support may provide opportunities for encouragement and practical problem-solving, but Simmons et al. (2015) did not find consistent improvements in HbA1c or most other measured outcomes. Limited attendance may have affected exposure to the intervention, although this alone cannot establish why the results were not statistically significant.</w:t>
      </w:r>
    </w:p>
    <w:p w:rsidR="18377517" w:rsidP="34ED60EE" w:rsidRDefault="18377517" w14:paraId="35B920FE" w14:textId="64380F95">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5.2 The importance of person-centred care</w:t>
      </w:r>
    </w:p>
    <w:p w:rsidR="18377517" w:rsidP="34ED60EE" w:rsidRDefault="18377517" w14:paraId="7373C894" w14:textId="569ABA88">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Person-centred care requires interventions to reflect individual preferences, circumstances and clinical needs. Adults with T2DM differ in health literacy, confidence, cultural background, employment commitments, family responsibilities and experience of living with a chronic condition. These differences influence the suitability of different support options.</w:t>
      </w:r>
    </w:p>
    <w:p w:rsidR="18377517" w:rsidP="34ED60EE" w:rsidRDefault="18377517" w14:paraId="2D27125E" w14:textId="1F29E68C">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Structured group education may provide a useful introduction for some individuals, while others may prefer individual discussions or additional explanations. Peer support may be attractive to people who value shared experience, whereas remote support may be more practical for those with mobility difficulties or limited time.</w:t>
      </w:r>
    </w:p>
    <w:p w:rsidR="18377517" w:rsidP="34ED60EE" w:rsidRDefault="18377517" w14:paraId="578A5289" w14:textId="6DFBF026">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Healthcare professionals should discuss these options rather than assume that a single approach will suit everyone. Goals should be realistic, jointly agreed and reviewed as circumstances change. Treatment plans should also reflect clinical risks and other health conditions.</w:t>
      </w:r>
    </w:p>
    <w:p w:rsidR="18377517" w:rsidP="34ED60EE" w:rsidRDefault="18377517" w14:paraId="122EC370" w14:textId="345AA4E9">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Importantly, person-centred care should not place sole responsibility for outcomes on the individual. People may understand recommendations but lack the resources needed to implement them. Food costs, insecure employment, caring duties and limited access to exercise facilities can create substantial barriers. Recognising these circumstances can help professionals develop achievable plans and identify appropriate additional support.</w:t>
      </w:r>
    </w:p>
    <w:p w:rsidR="18377517" w:rsidP="34ED60EE" w:rsidRDefault="18377517" w14:paraId="6AA85F5F" w14:textId="43B9AB38">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5.3 Implications for UK health and social care practice</w:t>
      </w:r>
    </w:p>
    <w:p w:rsidR="18377517" w:rsidP="34ED60EE" w:rsidRDefault="18377517" w14:paraId="3A9AB80C" w14:textId="60D4210A">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findings support an integrated approach in which education, peer support and digital tools complement routine clinical management.</w:t>
      </w:r>
    </w:p>
    <w:p w:rsidR="18377517" w:rsidP="34ED60EE" w:rsidRDefault="18377517" w14:paraId="57881AF7" w14:textId="649E426E">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First, structured diabetes education should provide understandable information and practical opportunities to develop self-management skills. Support may be particularly useful following diagnosis, but individuals with established T2DM may also require further education when their treatment or circumstances change. Services should consider opportunities for reinforcement rather than treating education as a one-off event.</w:t>
      </w:r>
    </w:p>
    <w:p w:rsidR="18377517" w:rsidP="34ED60EE" w:rsidRDefault="18377517" w14:paraId="29926DD2" w14:textId="20D8988B">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Second, peer-support programmes should have clear boundaries, appropriate training and supervision. Facilitators need to understand confidentiality, communication and when to refer concerns to a healthcare professional. Peer supporters should not diagnose complications or recommend changes to prescribed medication. Clear referral arrangements can help maintain safety and ensure that social support complements clinical care.</w:t>
      </w:r>
    </w:p>
    <w:p w:rsidR="18377517" w:rsidP="34ED60EE" w:rsidRDefault="18377517" w14:paraId="07F3E255" w14:textId="7A891805">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Third, digital interventions should be selected according to evidence of effectiveness, usability and suitability for the intended population. Services should consider whether participants can access the required technology, understand the information and obtain assistance when problems arise. Data protection and the role of professional oversight should also be considered. Digital delivery should expand choice rather than become the only route to support.</w:t>
      </w:r>
    </w:p>
    <w:p w:rsidR="18377517" w:rsidP="34ED60EE" w:rsidRDefault="18377517" w14:paraId="0235BAB9" w14:textId="61DA87C1">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Finally, evaluation should extend beyond HbA1c. Depending on the intervention, relevant measures may include weight, blood pressure, self-management confidence, medication adherence, diabetes-related distress, quality of life and participant experience. Services should select proportionate measures that provide useful information without placing unnecessary demands on individuals.</w:t>
      </w:r>
    </w:p>
    <w:p w:rsidR="18377517" w:rsidP="34ED60EE" w:rsidRDefault="18377517" w14:paraId="1083DF7E" w14:textId="34C63C08">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5.4 Health inequalities and accessibility</w:t>
      </w:r>
    </w:p>
    <w:p w:rsidR="18377517" w:rsidP="34ED60EE" w:rsidRDefault="18377517" w14:paraId="1C0008FA" w14:textId="66965E42">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Accessibility affects whether interventions reach the people who may benefit from them. Group education can be difficult to attend for individuals with inflexible working hours, mobility limitations or caring responsibilities. Peer-support sessions may be less accessible where transport is limited or participants are uncomfortable discussing health concerns in groups. Digital programmes can create barriers for people without reliable internet access, suitable devices or sufficient digital confidence.</w:t>
      </w:r>
    </w:p>
    <w:p w:rsidR="18377517" w:rsidP="34ED60EE" w:rsidRDefault="18377517" w14:paraId="64549DE5" w14:textId="716911E3">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Availability should therefore not be confused with equitable access. Services should consider whether different socioeconomic and cultural groups can participate meaningfully and whether outcomes vary between groups.</w:t>
      </w:r>
    </w:p>
    <w:p w:rsidR="18377517" w:rsidP="34ED60EE" w:rsidRDefault="18377517" w14:paraId="1D763EBA" w14:textId="693DBAF8">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Potential adaptations include offering appointments at different times, providing accessible and translated materials, using plain English and helping individuals navigate digital platforms. Community partnerships may also improve engagement among people who find conventional healthcare settings difficult to access.</w:t>
      </w:r>
    </w:p>
    <w:p w:rsidR="18377517" w:rsidP="34ED60EE" w:rsidRDefault="18377517" w14:paraId="4A775038" w14:textId="778CD5CD">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selected evidence does not establish which adaptations will be most effective in every setting. Nevertheless, the implementation of self-management interventions should be assessed in relation to both outcomes and participation. A programme may produce favourable results among regular participants while having limited population-level impact if it fails to reach people facing the greatest barriers.</w:t>
      </w:r>
    </w:p>
    <w:p w:rsidR="18377517" w:rsidP="34ED60EE" w:rsidRDefault="18377517" w14:paraId="26BC0BF7" w14:textId="5B7754AB">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5.5 Methodological strengths and limitations</w:t>
      </w:r>
    </w:p>
    <w:p w:rsidR="18377517" w:rsidP="34ED60EE" w:rsidRDefault="18377517" w14:paraId="273AC729" w14:textId="6EC36668">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selected evidence includes randomised controlled trials and a systematic review with meta-analysis. Randomised designs strengthen the assessment of intervention effects, while longer-term follow-up provides insight into whether differences persist. The inclusion of UK research also supports the relevance of the discussion to local health and social care practice.</w:t>
      </w:r>
    </w:p>
    <w:p w:rsidR="18377517" w:rsidP="34ED60EE" w:rsidRDefault="18377517" w14:paraId="086FF317" w14:textId="1BD9681F">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However, several limitations affect the conclusions. First, the interventions and outcome measures differed substantially. The findings cannot be interpreted as a direct comparison of education, peer support and digital programmes because the studies did not test all three approaches under equivalent conditions.</w:t>
      </w:r>
    </w:p>
    <w:p w:rsidR="18377517" w:rsidP="34ED60EE" w:rsidRDefault="18377517" w14:paraId="31D6F0FB" w14:textId="7B416A29">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Second, the reported benefits were not consistent across outcomes. DESMOND improved selected behavioural and psychological measures without demonstrating sustained differences in HbA1c. The peer-support trial similarly found limited overall clinical improvement. These results indicate that intervention effectiveness should not be assumed from its rationale alone.</w:t>
      </w:r>
    </w:p>
    <w:p w:rsidR="18377517" w:rsidP="34ED60EE" w:rsidRDefault="18377517" w14:paraId="0E7EA85C" w14:textId="430686B4">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Third, participation and engagement may influence outcomes. Individuals who attend sessions or use digital tools consistently may receive more of the intended intervention. However, engagement can also reflect personal circumstances, motivation and available resources, making it difficult to determine its independent contribution.</w:t>
      </w:r>
    </w:p>
    <w:p w:rsidR="18377517" w:rsidP="34ED60EE" w:rsidRDefault="18377517" w14:paraId="11EB8736" w14:textId="20859428">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Finally, the selected studies cannot establish which intervention is best for every adult with T2DM. Differences in disease duration, baseline HbA1c, psychological needs and access to resources may influence outcomes. A more extensive review would be required to establish whether particular interventions are especially effective for specific populations.</w:t>
      </w:r>
    </w:p>
    <w:p w:rsidR="18377517" w:rsidP="34ED60EE" w:rsidRDefault="18377517" w14:paraId="526CED2C" w14:textId="0050FCAF">
      <w:pPr>
        <w:pStyle w:val="Heading3"/>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28"/>
          <w:szCs w:val="28"/>
          <w:lang w:val="ro-RO"/>
        </w:rPr>
        <w:t>5.6 Recommendations for future research</w:t>
      </w:r>
    </w:p>
    <w:p w:rsidR="18377517" w:rsidP="34ED60EE" w:rsidRDefault="18377517" w14:paraId="54445BDD" w14:textId="7E183AC4">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Future research should investigate how structured education, peer support and digital tools can be combined to meet different needs. Comparative studies could examine whether ongoing coaching or peer support improves outcomes beyond those achieved through education alone.</w:t>
      </w:r>
    </w:p>
    <w:p w:rsidR="18377517" w:rsidP="34ED60EE" w:rsidRDefault="18377517" w14:paraId="4E41E8A5" w14:textId="345BF0EF">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Longer follow-up is also needed to establish whether benefits are sustained. Research should consider clinical outcomes alongside quality of life, psychological wellbeing, healthcare use and participants' experiences. These measures would provide a broader understanding of the contribution of self-management interventions.</w:t>
      </w:r>
    </w:p>
    <w:p w:rsidR="18377517" w:rsidP="34ED60EE" w:rsidRDefault="18377517" w14:paraId="0E5523B5" w14:textId="144C632B">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Studies should report intervention content, costs, engagement and implementation processes more clearly. Understanding why people discontinue digital programmes or do not attend peer-support sessions could help services develop more accessible alternatives.</w:t>
      </w:r>
    </w:p>
    <w:p w:rsidR="18377517" w:rsidP="34ED60EE" w:rsidRDefault="18377517" w14:paraId="2ABF22A0" w14:textId="351848FF">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Finally, research should examine outcomes across socioeconomic and demographic groups. This would help establish whether interventions reduce existing inequalities or disproportionately benefit individuals who already have greater access to healthcare, technology and other resources.</w:t>
      </w:r>
    </w:p>
    <w:p w:rsidR="18377517" w:rsidP="34ED60EE" w:rsidRDefault="18377517" w14:paraId="0E2CCDA2" w14:textId="67D18084">
      <w:pPr>
        <w:pStyle w:val="Heading2"/>
        <w:shd w:val="clear" w:color="auto" w:fill="FFFFFF" w:themeFill="background1"/>
        <w:bidi w:val="0"/>
        <w:spacing w:before="300" w:beforeAutospacing="off" w:after="180" w:afterAutospacing="off"/>
      </w:pPr>
      <w:r w:rsidRPr="34ED60EE" w:rsidR="4998EFF7">
        <w:rPr>
          <w:rFonts w:ascii="system-ui" w:hAnsi="system-ui" w:eastAsia="system-ui" w:cs="system-ui"/>
          <w:b w:val="1"/>
          <w:bCs w:val="1"/>
          <w:i w:val="0"/>
          <w:iCs w:val="0"/>
          <w:caps w:val="0"/>
          <w:smallCaps w:val="0"/>
          <w:noProof w:val="0"/>
          <w:color w:val="0D0D0D" w:themeColor="text1" w:themeTint="F2" w:themeShade="FF"/>
          <w:sz w:val="36"/>
          <w:szCs w:val="36"/>
          <w:lang w:val="ro-RO"/>
        </w:rPr>
        <w:t>6. Conclusion and Recommendations</w:t>
      </w:r>
    </w:p>
    <w:p w:rsidR="18377517" w:rsidP="34ED60EE" w:rsidRDefault="18377517" w14:paraId="2027230E" w14:textId="531D0DDC">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This scoping review examined selected evidence concerning structured diabetes education, peer support and digital health interventions for adults with T2DM. The findings suggest that all three approaches may contribute to self-management, although the strength and consistency of reported benefits vary.</w:t>
      </w:r>
    </w:p>
    <w:p w:rsidR="18377517" w:rsidP="34ED60EE" w:rsidRDefault="18377517" w14:paraId="1705E129" w14:textId="496A2365">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Structured education can improve diabetes-related understanding and selected lifestyle outcomes, but the DESMOND trial and its longer-term follow-up did not demonstrate sustained between-group improvements in HbA1c. Peer support may provide opportunities for shared experience and practical encouragement, although a large English trial found no significant overall improvement in HbA1c or most other measured outcomes. Digital interventions were associated with a modest average improvement in HbA1c in a systematic review and meta-analysis, but outcomes varied according to programme characteristics and engagement.</w:t>
      </w:r>
    </w:p>
    <w:p w:rsidR="18377517" w:rsidP="34ED60EE" w:rsidRDefault="18377517" w14:paraId="6FC8CDF6" w14:textId="7F67BAAC">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The following recommendations arise from the review:</w:t>
      </w:r>
    </w:p>
    <w:p w:rsidR="18377517" w:rsidP="34ED60EE" w:rsidRDefault="18377517" w14:paraId="0A34A393" w14:textId="059EFFF6">
      <w:pPr>
        <w:pStyle w:val="ListParagraph"/>
        <w:numPr>
          <w:ilvl w:val="0"/>
          <w:numId w:val="7"/>
        </w:numPr>
        <w:shd w:val="clear" w:color="auto" w:fill="FFFFFF" w:themeFill="background1"/>
        <w:bidi w:val="0"/>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Provide structured education:</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Offer practical, accessible diabetes education and opportunities for reinforcement when individuals' needs change.</w:t>
      </w:r>
    </w:p>
    <w:p w:rsidR="18377517" w:rsidP="34ED60EE" w:rsidRDefault="18377517" w14:paraId="248E617F" w14:textId="7687B34E">
      <w:pPr>
        <w:pStyle w:val="ListParagraph"/>
        <w:numPr>
          <w:ilvl w:val="0"/>
          <w:numId w:val="7"/>
        </w:numPr>
        <w:shd w:val="clear" w:color="auto" w:fill="FFFFFF" w:themeFill="background1"/>
        <w:bidi w:val="0"/>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Develop supported peer programmes: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Establish appropriate training, supervision and referral arrangements, and evaluate participation alongside outcomes.</w:t>
      </w:r>
    </w:p>
    <w:p w:rsidR="18377517" w:rsidP="34ED60EE" w:rsidRDefault="18377517" w14:paraId="0FB806CC" w14:textId="54336AEE">
      <w:pPr>
        <w:pStyle w:val="ListParagraph"/>
        <w:numPr>
          <w:ilvl w:val="0"/>
          <w:numId w:val="7"/>
        </w:numPr>
        <w:shd w:val="clear" w:color="auto" w:fill="FFFFFF" w:themeFill="background1"/>
        <w:bidi w:val="0"/>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Use digital interventions selectively:</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Prioritise evidence-informed tools that are accessible, usable and appropriately integrated with professional support.</w:t>
      </w:r>
    </w:p>
    <w:p w:rsidR="18377517" w:rsidP="34ED60EE" w:rsidRDefault="18377517" w14:paraId="5E727559" w14:textId="151435E5">
      <w:pPr>
        <w:pStyle w:val="ListParagraph"/>
        <w:numPr>
          <w:ilvl w:val="0"/>
          <w:numId w:val="7"/>
        </w:numPr>
        <w:shd w:val="clear" w:color="auto" w:fill="FFFFFF" w:themeFill="background1"/>
        <w:bidi w:val="0"/>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Maintain person-centred care: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Adapt interventions to individual preferences, health literacy, clinical needs and social circumstances.</w:t>
      </w:r>
    </w:p>
    <w:p w:rsidR="18377517" w:rsidP="34ED60EE" w:rsidRDefault="18377517" w14:paraId="5E3DFC33" w14:textId="2BAB77BD">
      <w:pPr>
        <w:pStyle w:val="ListParagraph"/>
        <w:numPr>
          <w:ilvl w:val="0"/>
          <w:numId w:val="7"/>
        </w:numPr>
        <w:shd w:val="clear" w:color="auto" w:fill="FFFFFF" w:themeFill="background1"/>
        <w:bidi w:val="0"/>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Address barriers to participation:</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Provide reasonable adjustments and non-digital alternatives to reduce exclusion.</w:t>
      </w:r>
    </w:p>
    <w:p w:rsidR="18377517" w:rsidP="34ED60EE" w:rsidRDefault="18377517" w14:paraId="1305B0F5" w14:textId="47794710">
      <w:pPr>
        <w:pStyle w:val="ListParagraph"/>
        <w:numPr>
          <w:ilvl w:val="0"/>
          <w:numId w:val="7"/>
        </w:numPr>
        <w:shd w:val="clear" w:color="auto" w:fill="FFFFFF" w:themeFill="background1"/>
        <w:bidi w:val="0"/>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Evaluate a broad range of outcomes:</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Consider HbA1c alongside psychological wellbeing, quality of life, health behaviours and participant experience.</w:t>
      </w:r>
    </w:p>
    <w:p w:rsidR="18377517" w:rsidP="34ED60EE" w:rsidRDefault="18377517" w14:paraId="7E657694" w14:textId="0688EEF8">
      <w:pPr>
        <w:pStyle w:val="ListParagraph"/>
        <w:numPr>
          <w:ilvl w:val="0"/>
          <w:numId w:val="7"/>
        </w:numPr>
        <w:shd w:val="clear" w:color="auto" w:fill="FFFFFF" w:themeFill="background1"/>
        <w:bidi w:val="0"/>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ro-RO"/>
        </w:rPr>
      </w:pPr>
      <w:r w:rsidRPr="34ED60EE" w:rsidR="4998EFF7">
        <w:rPr>
          <w:rFonts w:ascii="system-ui" w:hAnsi="system-ui" w:eastAsia="system-ui" w:cs="system-ui"/>
          <w:b w:val="1"/>
          <w:bCs w:val="1"/>
          <w:i w:val="0"/>
          <w:iCs w:val="0"/>
          <w:caps w:val="0"/>
          <w:smallCaps w:val="0"/>
          <w:noProof w:val="0"/>
          <w:color w:val="0D0D0D" w:themeColor="text1" w:themeTint="F2" w:themeShade="FF"/>
          <w:sz w:val="24"/>
          <w:szCs w:val="24"/>
          <w:lang w:val="ro-RO"/>
        </w:rPr>
        <w:t>Strengthen the evidence base:</w:t>
      </w: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 xml:space="preserve"> Undertake transparent, longer-term research examining intervention combinations, costs, engagement and health inequalities.</w:t>
      </w:r>
    </w:p>
    <w:p w:rsidR="18377517" w:rsidP="34ED60EE" w:rsidRDefault="18377517" w14:paraId="64DFEF05" w14:textId="1DEE9FAB">
      <w:pPr>
        <w:shd w:val="clear" w:color="auto" w:fill="FFFFFF" w:themeFill="background1"/>
        <w:bidi w:val="0"/>
        <w:spacing w:before="180" w:beforeAutospacing="off" w:after="180" w:afterAutospacing="off"/>
      </w:pPr>
      <w:r w:rsidRPr="34ED60EE" w:rsidR="4998EFF7">
        <w:rPr>
          <w:rFonts w:ascii="system-ui" w:hAnsi="system-ui" w:eastAsia="system-ui" w:cs="system-ui"/>
          <w:b w:val="0"/>
          <w:bCs w:val="0"/>
          <w:i w:val="0"/>
          <w:iCs w:val="0"/>
          <w:caps w:val="0"/>
          <w:smallCaps w:val="0"/>
          <w:noProof w:val="0"/>
          <w:color w:val="0D0D0D" w:themeColor="text1" w:themeTint="F2" w:themeShade="FF"/>
          <w:sz w:val="24"/>
          <w:szCs w:val="24"/>
          <w:lang w:val="ro-RO"/>
        </w:rPr>
        <w:t>For UK health and social care services, the principal implication is that effective diabetes management requires more than providing clinical information. It requires continuing, coordinated support that enables individuals to understand their condition, make realistic decisions and maintain self-care within the circumstances of their everyday lives.</w:t>
      </w:r>
    </w:p>
    <w:p w:rsidR="18377517" w:rsidP="34ED60EE" w:rsidRDefault="18377517" w14:paraId="7907C233" w14:textId="4F4EA1AF">
      <w:pPr>
        <w:ind w:left="708"/>
      </w:pPr>
    </w:p>
    <w:p w:rsidR="18377517" w:rsidP="34ED60EE" w:rsidRDefault="18377517" w14:paraId="512291FD" w14:textId="6E93C2E1">
      <w:pPr>
        <w:ind w:left="708"/>
        <w:rPr>
          <w:rFonts w:ascii="Arial Nova" w:hAnsi="Arial Nova" w:eastAsia="Arial Nova" w:cs="Arial Nova"/>
          <w:sz w:val="40"/>
          <w:szCs w:val="40"/>
        </w:rPr>
      </w:pPr>
    </w:p>
    <w:p w:rsidR="49383F28" w:rsidP="34ED60EE" w:rsidRDefault="49383F28" w14:paraId="7926E63C" w14:textId="6EB5EDA2">
      <w:pPr>
        <w:pStyle w:val="Normal"/>
        <w:ind w:left="708"/>
      </w:pPr>
      <w:r w:rsidR="03EC4574">
        <w:drawing>
          <wp:inline wp14:editId="0654FDE1" wp14:anchorId="27600423">
            <wp:extent cx="2447925" cy="5724525"/>
            <wp:effectExtent l="0" t="0" r="0" b="0"/>
            <wp:docPr id="9778549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7854952" name="Picture 977854952"/>
                    <pic:cNvPicPr/>
                  </pic:nvPicPr>
                  <pic:blipFill>
                    <a:blip xmlns:r="http://schemas.openxmlformats.org/officeDocument/2006/relationships" r:embed="rId456334577">
                      <a:extLst>
                        <a:ext uri="{28A0092B-C50C-407E-A947-70E740481C1C}">
                          <a14:useLocalDpi xmlns:a14="http://schemas.microsoft.com/office/drawing/2010/main"/>
                        </a:ext>
                      </a:extLst>
                    </a:blip>
                    <a:stretch>
                      <a:fillRect/>
                    </a:stretch>
                  </pic:blipFill>
                  <pic:spPr>
                    <a:xfrm>
                      <a:off x="0" y="0"/>
                      <a:ext cx="2447925" cy="5724525"/>
                    </a:xfrm>
                    <a:prstGeom prst="rect">
                      <a:avLst/>
                    </a:prstGeom>
                  </pic:spPr>
                </pic:pic>
              </a:graphicData>
            </a:graphic>
          </wp:inline>
        </w:drawing>
      </w:r>
    </w:p>
    <w:p w:rsidR="0CAD3A25" w:rsidP="34ED60EE" w:rsidRDefault="0CAD3A25" w14:paraId="31D2680A" w14:textId="514DE416">
      <w:pPr>
        <w:pStyle w:val="Normal"/>
        <w:ind w:left="708"/>
      </w:pPr>
      <w:r w:rsidR="4DA89B35">
        <w:rPr/>
        <w:t xml:space="preserve"> </w:t>
      </w:r>
    </w:p>
    <w:p w:rsidR="0CAD3A25" w:rsidP="34ED60EE" w:rsidRDefault="0CAD3A25" w14:paraId="496F7980" w14:textId="5A17C264">
      <w:pPr>
        <w:pStyle w:val="Normal"/>
        <w:ind w:left="708"/>
      </w:pPr>
      <w:r w:rsidR="4DA89B35">
        <w:rPr/>
        <w:t>References</w:t>
      </w:r>
    </w:p>
    <w:p w:rsidR="47B0CE7A" w:rsidP="2B0D0C73" w:rsidRDefault="47B0CE7A" w14:paraId="13DC59F2" w14:textId="5D9727B8">
      <w:pPr>
        <w:pStyle w:val="ListParagraph"/>
        <w:numPr>
          <w:ilvl w:val="0"/>
          <w:numId w:val="1"/>
        </w:numPr>
        <w:spacing w:before="0" w:beforeAutospacing="off" w:after="0" w:afterAutospacing="off"/>
        <w:rPr>
          <w:rFonts w:ascii="Aptos" w:hAnsi="Aptos" w:eastAsia="Aptos" w:cs="Aptos"/>
          <w:noProof w:val="0"/>
          <w:sz w:val="24"/>
          <w:szCs w:val="24"/>
          <w:lang w:val="ro-RO"/>
        </w:rPr>
      </w:pPr>
      <w:r w:rsidRPr="2B0D0C73" w:rsidR="47B0CE7A">
        <w:rPr>
          <w:rFonts w:ascii="Aptos" w:hAnsi="Aptos" w:eastAsia="Aptos" w:cs="Aptos"/>
          <w:noProof w:val="0"/>
          <w:sz w:val="24"/>
          <w:szCs w:val="24"/>
          <w:lang w:val="ro-RO"/>
        </w:rPr>
        <w:t xml:space="preserve">Arksey, H. and O’Malley, L. (2005) ‘Scoping studies: towards a methodological framework’, International Journal of Social Research Methodology, 8(1), pp. 19–32. Available at: </w:t>
      </w:r>
      <w:hyperlink r:id="R16cb4817007a47b0">
        <w:r w:rsidRPr="2B0D0C73" w:rsidR="47B0CE7A">
          <w:rPr>
            <w:rStyle w:val="Hyperlink"/>
            <w:noProof w:val="0"/>
            <w:lang w:val="ro-RO"/>
          </w:rPr>
          <w:t>https://doi.org/10.1080/1364557032000119616⁠</w:t>
        </w:r>
      </w:hyperlink>
      <w:r w:rsidRPr="2B0D0C73" w:rsidR="47B0CE7A">
        <w:rPr>
          <w:rFonts w:ascii="Aptos" w:hAnsi="Aptos" w:eastAsia="Aptos" w:cs="Aptos"/>
          <w:noProof w:val="0"/>
          <w:sz w:val="24"/>
          <w:szCs w:val="24"/>
          <w:lang w:val="ro-RO"/>
        </w:rPr>
        <w:t>.</w:t>
      </w:r>
    </w:p>
    <w:p w:rsidR="47B0CE7A" w:rsidP="2B0D0C73" w:rsidRDefault="47B0CE7A" w14:paraId="75F5D4EC" w14:textId="64DCD09F">
      <w:pPr>
        <w:pStyle w:val="ListParagraph"/>
        <w:numPr>
          <w:ilvl w:val="0"/>
          <w:numId w:val="1"/>
        </w:numPr>
        <w:spacing w:before="0" w:beforeAutospacing="off" w:after="0" w:afterAutospacing="off"/>
        <w:rPr>
          <w:rFonts w:ascii="Aptos" w:hAnsi="Aptos" w:eastAsia="Aptos" w:cs="Aptos"/>
          <w:noProof w:val="0"/>
          <w:sz w:val="24"/>
          <w:szCs w:val="24"/>
          <w:lang w:val="ro-RO"/>
        </w:rPr>
      </w:pPr>
      <w:r w:rsidRPr="2B0D0C73" w:rsidR="47B0CE7A">
        <w:rPr>
          <w:rFonts w:ascii="Aptos" w:hAnsi="Aptos" w:eastAsia="Aptos" w:cs="Aptos"/>
          <w:noProof w:val="0"/>
          <w:sz w:val="24"/>
          <w:szCs w:val="24"/>
          <w:lang w:val="ro-RO"/>
        </w:rPr>
        <w:t xml:space="preserve">Azmiardi, A., Murti, B., Febrinasari, R.P. and Tamtomo, D.G. (2021) ‘The effect of peer support in diabetes self-management education on glycemic control in patients with type 2 diabetes: a systematic review and meta-analysis’, Epidemiology and Health, 43, e2021090. Available at: </w:t>
      </w:r>
      <w:hyperlink r:id="R945ae395fb9a4fe1">
        <w:r w:rsidRPr="2B0D0C73" w:rsidR="47B0CE7A">
          <w:rPr>
            <w:rStyle w:val="Hyperlink"/>
            <w:noProof w:val="0"/>
            <w:lang w:val="ro-RO"/>
          </w:rPr>
          <w:t>https://doi.org/10.4178/epih.e2021090⁠</w:t>
        </w:r>
      </w:hyperlink>
      <w:r w:rsidRPr="2B0D0C73" w:rsidR="47B0CE7A">
        <w:rPr>
          <w:rFonts w:ascii="Aptos" w:hAnsi="Aptos" w:eastAsia="Aptos" w:cs="Aptos"/>
          <w:noProof w:val="0"/>
          <w:sz w:val="24"/>
          <w:szCs w:val="24"/>
          <w:lang w:val="ro-RO"/>
        </w:rPr>
        <w:t xml:space="preserve">. </w:t>
      </w:r>
    </w:p>
    <w:p w:rsidR="47B0CE7A" w:rsidP="2B0D0C73" w:rsidRDefault="47B0CE7A" w14:paraId="1537B4AA" w14:textId="5186952A">
      <w:pPr>
        <w:pStyle w:val="ListParagraph"/>
        <w:numPr>
          <w:ilvl w:val="0"/>
          <w:numId w:val="1"/>
        </w:numPr>
        <w:spacing w:before="0" w:beforeAutospacing="off" w:after="0" w:afterAutospacing="off"/>
        <w:rPr>
          <w:rFonts w:ascii="Aptos" w:hAnsi="Aptos" w:eastAsia="Aptos" w:cs="Aptos"/>
          <w:noProof w:val="0"/>
          <w:sz w:val="24"/>
          <w:szCs w:val="24"/>
          <w:lang w:val="ro-RO"/>
        </w:rPr>
      </w:pPr>
      <w:r w:rsidRPr="2B0D0C73" w:rsidR="47B0CE7A">
        <w:rPr>
          <w:rFonts w:ascii="Aptos" w:hAnsi="Aptos" w:eastAsia="Aptos" w:cs="Aptos"/>
          <w:noProof w:val="0"/>
          <w:sz w:val="24"/>
          <w:szCs w:val="24"/>
          <w:lang w:val="ro-RO"/>
        </w:rPr>
        <w:t xml:space="preserve">Davies, M.J. et al. (2008) ‘Effectiveness of the diabetes education and self management for ongoing and newly diagnosed (DESMOND) programme for people with newly diagnosed type 2 diabetes: cluster randomised controlled trial’, BMJ, 336, pp. 491–495. Available at: </w:t>
      </w:r>
      <w:hyperlink r:id="R1fc1a414fb614afb">
        <w:r w:rsidRPr="2B0D0C73" w:rsidR="47B0CE7A">
          <w:rPr>
            <w:rStyle w:val="Hyperlink"/>
            <w:noProof w:val="0"/>
            <w:lang w:val="ro-RO"/>
          </w:rPr>
          <w:t>https://doi.org/10.1136/bmj.39474.922025.BE⁠</w:t>
        </w:r>
      </w:hyperlink>
    </w:p>
    <w:p w:rsidR="2B0D0C73" w:rsidP="34ED60EE" w:rsidRDefault="2B0D0C73" w14:paraId="6374B41B" w14:textId="1DBB3A21">
      <w:pPr>
        <w:pStyle w:val="Normal"/>
        <w:ind w:left="708"/>
      </w:pPr>
    </w:p>
    <w:p w:rsidR="05B19F81" w:rsidP="34ED60EE" w:rsidRDefault="05B19F81" w14:paraId="5633B9B9" w14:textId="72502B3D">
      <w:pPr>
        <w:pStyle w:val="Normal"/>
        <w:ind w:left="708"/>
        <w:rPr>
          <w:rFonts w:ascii="Aptos" w:hAnsi="Aptos" w:eastAsia="Aptos" w:cs="Aptos"/>
          <w:noProof w:val="0"/>
          <w:sz w:val="24"/>
          <w:szCs w:val="24"/>
          <w:lang w:val="ro-RO"/>
        </w:rPr>
      </w:pPr>
      <w:r w:rsidR="67053222">
        <w:rPr/>
        <w:t>4.</w:t>
      </w:r>
      <w:r w:rsidR="4DA89B35">
        <w:rPr/>
        <w:t xml:space="preserve"> </w:t>
      </w:r>
      <w:r w:rsidRPr="34ED60EE" w:rsidR="0B52A1BF">
        <w:rPr>
          <w:rFonts w:ascii="Aptos" w:hAnsi="Aptos" w:eastAsia="Aptos" w:cs="Aptos"/>
          <w:noProof w:val="0"/>
          <w:sz w:val="24"/>
          <w:szCs w:val="24"/>
          <w:lang w:val="ro-RO"/>
        </w:rPr>
        <w:t xml:space="preserve">Ebrahim, S. et al. (2011) ‘Multiple risk factor interventions for primary prevention of coronary heart disease’, Cochrane Database of Systematic Reviews. Available at: </w:t>
      </w:r>
      <w:hyperlink r:id="R4ac5a9cafc754239">
        <w:r w:rsidRPr="34ED60EE" w:rsidR="0B52A1BF">
          <w:rPr>
            <w:rStyle w:val="Hyperlink"/>
            <w:noProof w:val="0"/>
            <w:lang w:val="ro-RO"/>
          </w:rPr>
          <w:t>https://doi.org/10.1002/14651858.CD001561.pub3⁠</w:t>
        </w:r>
      </w:hyperlink>
      <w:r w:rsidRPr="34ED60EE" w:rsidR="0B52A1BF">
        <w:rPr>
          <w:rFonts w:ascii="Aptos" w:hAnsi="Aptos" w:eastAsia="Aptos" w:cs="Aptos"/>
          <w:noProof w:val="0"/>
          <w:sz w:val="24"/>
          <w:szCs w:val="24"/>
          <w:lang w:val="ro-RO"/>
        </w:rPr>
        <w:t>.</w:t>
      </w:r>
    </w:p>
    <w:p w:rsidR="3BDA69A5" w:rsidP="34ED60EE" w:rsidRDefault="3BDA69A5" w14:paraId="553A2B06" w14:textId="54365376">
      <w:pPr>
        <w:pStyle w:val="ListParagraph"/>
        <w:spacing w:before="0" w:beforeAutospacing="off" w:after="0" w:afterAutospacing="off"/>
        <w:ind w:left="1416"/>
        <w:rPr>
          <w:rFonts w:ascii="Aptos" w:hAnsi="Aptos" w:eastAsia="Aptos" w:cs="Aptos"/>
          <w:noProof w:val="0"/>
          <w:sz w:val="24"/>
          <w:szCs w:val="24"/>
          <w:lang w:val="ro-RO"/>
        </w:rPr>
      </w:pPr>
      <w:r w:rsidRPr="34ED60EE" w:rsidR="2F78FF29">
        <w:rPr>
          <w:rFonts w:ascii="Aptos" w:hAnsi="Aptos" w:eastAsia="Aptos" w:cs="Aptos"/>
          <w:noProof w:val="0"/>
          <w:sz w:val="24"/>
          <w:szCs w:val="24"/>
          <w:lang w:val="ro-RO"/>
        </w:rPr>
        <w:t>5.</w:t>
      </w:r>
      <w:r w:rsidRPr="34ED60EE" w:rsidR="0B52A1BF">
        <w:rPr>
          <w:rFonts w:ascii="Aptos" w:hAnsi="Aptos" w:eastAsia="Aptos" w:cs="Aptos"/>
          <w:noProof w:val="0"/>
          <w:sz w:val="24"/>
          <w:szCs w:val="24"/>
          <w:lang w:val="ro-RO"/>
        </w:rPr>
        <w:t xml:space="preserve">Heinrich, E., Schaper, N.C. and de Vries, N.K. (2010) ‘Self-management interventions for type 2 diabetes: a systematic review’, International Diabetes Nursing. Available at: </w:t>
      </w:r>
      <w:hyperlink r:id="Rb03b7542b7b347f9">
        <w:r w:rsidRPr="34ED60EE" w:rsidR="0B52A1BF">
          <w:rPr>
            <w:rStyle w:val="Hyperlink"/>
            <w:noProof w:val="0"/>
            <w:lang w:val="ro-RO"/>
          </w:rPr>
          <w:t>https://doi.org/10.1002/edn.160⁠</w:t>
        </w:r>
      </w:hyperlink>
      <w:r w:rsidRPr="34ED60EE" w:rsidR="0B52A1BF">
        <w:rPr>
          <w:rFonts w:ascii="Aptos" w:hAnsi="Aptos" w:eastAsia="Aptos" w:cs="Aptos"/>
          <w:noProof w:val="0"/>
          <w:sz w:val="24"/>
          <w:szCs w:val="24"/>
          <w:lang w:val="ro-RO"/>
        </w:rPr>
        <w:t xml:space="preserve">. </w:t>
      </w:r>
    </w:p>
    <w:p w:rsidR="0F0AD555" w:rsidP="34ED60EE" w:rsidRDefault="0F0AD555" w14:paraId="2C57ACE9" w14:textId="06C91BE1">
      <w:pPr>
        <w:pStyle w:val="ListParagraph"/>
        <w:spacing w:before="0" w:beforeAutospacing="off" w:after="0" w:afterAutospacing="off"/>
        <w:ind w:left="1416"/>
        <w:rPr>
          <w:rFonts w:ascii="Aptos" w:hAnsi="Aptos" w:eastAsia="Aptos" w:cs="Aptos"/>
          <w:noProof w:val="0"/>
          <w:sz w:val="24"/>
          <w:szCs w:val="24"/>
          <w:lang w:val="en-US"/>
        </w:rPr>
      </w:pPr>
      <w:r w:rsidRPr="34ED60EE" w:rsidR="7E8392BC">
        <w:rPr>
          <w:rFonts w:ascii="Aptos" w:hAnsi="Aptos" w:eastAsia="Aptos" w:cs="Aptos"/>
          <w:noProof w:val="0"/>
          <w:sz w:val="24"/>
          <w:szCs w:val="24"/>
          <w:lang w:val="en-US"/>
        </w:rPr>
        <w:t>6.</w:t>
      </w:r>
      <w:r w:rsidRPr="34ED60EE" w:rsidR="0B52A1BF">
        <w:rPr>
          <w:rFonts w:ascii="Aptos" w:hAnsi="Aptos" w:eastAsia="Aptos" w:cs="Aptos"/>
          <w:noProof w:val="0"/>
          <w:sz w:val="24"/>
          <w:szCs w:val="24"/>
          <w:lang w:val="en-US"/>
        </w:rPr>
        <w:t xml:space="preserve">International Diabetes Federation (2025) IDF Diabetes Atlas. 11th </w:t>
      </w:r>
      <w:r w:rsidRPr="34ED60EE" w:rsidR="0B52A1BF">
        <w:rPr>
          <w:rFonts w:ascii="Aptos" w:hAnsi="Aptos" w:eastAsia="Aptos" w:cs="Aptos"/>
          <w:noProof w:val="0"/>
          <w:sz w:val="24"/>
          <w:szCs w:val="24"/>
          <w:lang w:val="en-US"/>
        </w:rPr>
        <w:t>edn</w:t>
      </w:r>
      <w:r w:rsidRPr="34ED60EE" w:rsidR="0B52A1BF">
        <w:rPr>
          <w:rFonts w:ascii="Aptos" w:hAnsi="Aptos" w:eastAsia="Aptos" w:cs="Aptos"/>
          <w:noProof w:val="0"/>
          <w:sz w:val="24"/>
          <w:szCs w:val="24"/>
          <w:lang w:val="en-US"/>
        </w:rPr>
        <w:t xml:space="preserve">. Brussels: International Diabetes Federation. Available at: </w:t>
      </w:r>
      <w:hyperlink r:id="R0d9331f3ed6544d2">
        <w:r w:rsidRPr="34ED60EE" w:rsidR="0B52A1BF">
          <w:rPr>
            <w:rStyle w:val="Hyperlink"/>
            <w:noProof w:val="0"/>
            <w:lang w:val="en-US"/>
          </w:rPr>
          <w:t>https://diabetesatlas.org/⁠</w:t>
        </w:r>
      </w:hyperlink>
      <w:r w:rsidRPr="34ED60EE" w:rsidR="0B52A1BF">
        <w:rPr>
          <w:rFonts w:ascii="Aptos" w:hAnsi="Aptos" w:eastAsia="Aptos" w:cs="Aptos"/>
          <w:noProof w:val="0"/>
          <w:sz w:val="24"/>
          <w:szCs w:val="24"/>
          <w:lang w:val="en-US"/>
        </w:rPr>
        <w:t>.</w:t>
      </w:r>
    </w:p>
    <w:p w:rsidR="10686492" w:rsidP="34ED60EE" w:rsidRDefault="10686492" w14:paraId="053F56DB" w14:textId="66F2F4F7">
      <w:pPr>
        <w:pStyle w:val="ListParagraph"/>
        <w:spacing w:before="0" w:beforeAutospacing="off" w:after="0" w:afterAutospacing="off"/>
        <w:ind w:left="1416"/>
        <w:rPr>
          <w:rFonts w:ascii="Aptos" w:hAnsi="Aptos" w:eastAsia="Aptos" w:cs="Aptos"/>
          <w:noProof w:val="0"/>
          <w:sz w:val="24"/>
          <w:szCs w:val="24"/>
          <w:lang w:val="ro-RO"/>
        </w:rPr>
      </w:pPr>
      <w:r w:rsidRPr="34ED60EE" w:rsidR="73CF27AE">
        <w:rPr>
          <w:rFonts w:ascii="Aptos" w:hAnsi="Aptos" w:eastAsia="Aptos" w:cs="Aptos"/>
          <w:noProof w:val="0"/>
          <w:sz w:val="24"/>
          <w:szCs w:val="24"/>
          <w:lang w:val="ro-RO"/>
        </w:rPr>
        <w:t>7.</w:t>
      </w:r>
      <w:r w:rsidRPr="34ED60EE" w:rsidR="0B52A1BF">
        <w:rPr>
          <w:rFonts w:ascii="Aptos" w:hAnsi="Aptos" w:eastAsia="Aptos" w:cs="Aptos"/>
          <w:noProof w:val="0"/>
          <w:sz w:val="24"/>
          <w:szCs w:val="24"/>
          <w:lang w:val="ro-RO"/>
        </w:rPr>
        <w:t xml:space="preserve">Kerr, D. et al. (2024) ‘Digital interventions for self-management of type 2 diabetes mellitus: systematic literature review and meta-analysis’, Journal of Medical Internet Research, 26, e55757. Available at: </w:t>
      </w:r>
      <w:hyperlink r:id="R23972e5c98f7403d">
        <w:r w:rsidRPr="34ED60EE" w:rsidR="0B52A1BF">
          <w:rPr>
            <w:rStyle w:val="Hyperlink"/>
            <w:noProof w:val="0"/>
            <w:lang w:val="ro-RO"/>
          </w:rPr>
          <w:t>https://doi.org/10.2196/55757⁠</w:t>
        </w:r>
      </w:hyperlink>
      <w:r w:rsidRPr="34ED60EE" w:rsidR="0B52A1BF">
        <w:rPr>
          <w:rFonts w:ascii="Aptos" w:hAnsi="Aptos" w:eastAsia="Aptos" w:cs="Aptos"/>
          <w:noProof w:val="0"/>
          <w:sz w:val="24"/>
          <w:szCs w:val="24"/>
          <w:lang w:val="ro-RO"/>
        </w:rPr>
        <w:t>.</w:t>
      </w:r>
    </w:p>
    <w:p w:rsidR="2F2C5D13" w:rsidP="2B0D0C73" w:rsidRDefault="2F2C5D13" w14:paraId="2AE7D13E" w14:textId="3113F234">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 xml:space="preserve">Khunti, K. et al. (2012) ‘Effectiveness of a diabetes education and self management programme (DESMOND) for people with newly diagnosed type 2 diabetes mellitus: three year follow-up of a cluster randomised controlled trial in primary care’, BMJ, 344, e2333. Available at: </w:t>
      </w:r>
      <w:hyperlink r:id="R63ab43c6c4f24e4c">
        <w:r w:rsidRPr="2B0D0C73" w:rsidR="2F2C5D13">
          <w:rPr>
            <w:rStyle w:val="Hyperlink"/>
            <w:noProof w:val="0"/>
            <w:lang w:val="ro-RO"/>
          </w:rPr>
          <w:t>https://doi.org/10.1136/bmj.e2333⁠</w:t>
        </w:r>
      </w:hyperlink>
      <w:r w:rsidRPr="2B0D0C73" w:rsidR="2F2C5D13">
        <w:rPr>
          <w:rFonts w:ascii="Aptos" w:hAnsi="Aptos" w:eastAsia="Aptos" w:cs="Aptos"/>
          <w:noProof w:val="0"/>
          <w:sz w:val="24"/>
          <w:szCs w:val="24"/>
          <w:lang w:val="ro-RO"/>
        </w:rPr>
        <w:t>.</w:t>
      </w:r>
    </w:p>
    <w:p w:rsidR="2F2C5D13" w:rsidP="2B0D0C73" w:rsidRDefault="2F2C5D13" w14:paraId="7F2692C8" w14:textId="7A8FB5B0">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 xml:space="preserve">Levac, D., Colquhoun, H. and O’Brien, K.K. (2010) ‘Scoping studies: advancing the methodology’, Implementation Science, 5, article 69. Available at: </w:t>
      </w:r>
      <w:hyperlink r:id="R22a96715ef61498d">
        <w:r w:rsidRPr="2B0D0C73" w:rsidR="2F2C5D13">
          <w:rPr>
            <w:rStyle w:val="Hyperlink"/>
            <w:noProof w:val="0"/>
            <w:lang w:val="ro-RO"/>
          </w:rPr>
          <w:t>https://doi.org/10.1186/1748-5908-5-69⁠</w:t>
        </w:r>
      </w:hyperlink>
      <w:r w:rsidRPr="2B0D0C73" w:rsidR="2F2C5D13">
        <w:rPr>
          <w:rFonts w:ascii="Aptos" w:hAnsi="Aptos" w:eastAsia="Aptos" w:cs="Aptos"/>
          <w:noProof w:val="0"/>
          <w:sz w:val="24"/>
          <w:szCs w:val="24"/>
          <w:lang w:val="ro-RO"/>
        </w:rPr>
        <w:t>.</w:t>
      </w:r>
    </w:p>
    <w:p w:rsidR="2F2C5D13" w:rsidP="2B0D0C73" w:rsidRDefault="2F2C5D13" w14:paraId="470C8572" w14:textId="49E8D4D4">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 xml:space="preserve">Michie, S., van Stralen, M.M. and West, R. (2011) ‘The behaviour change wheel: a new method for characterising and designing behaviour change interventions’, Implementation Science, 6, article 42. Available at: </w:t>
      </w:r>
      <w:hyperlink r:id="R15f274e4980f4f8d">
        <w:r w:rsidRPr="2B0D0C73" w:rsidR="2F2C5D13">
          <w:rPr>
            <w:rStyle w:val="Hyperlink"/>
            <w:noProof w:val="0"/>
            <w:lang w:val="ro-RO"/>
          </w:rPr>
          <w:t>https://doi.org/10.1186/1748-5908-6-42⁠</w:t>
        </w:r>
      </w:hyperlink>
      <w:r w:rsidRPr="2B0D0C73" w:rsidR="2F2C5D13">
        <w:rPr>
          <w:rFonts w:ascii="Aptos" w:hAnsi="Aptos" w:eastAsia="Aptos" w:cs="Aptos"/>
          <w:noProof w:val="0"/>
          <w:sz w:val="24"/>
          <w:szCs w:val="24"/>
          <w:lang w:val="ro-RO"/>
        </w:rPr>
        <w:t>.</w:t>
      </w:r>
    </w:p>
    <w:p w:rsidR="2F2C5D13" w:rsidP="2B0D0C73" w:rsidRDefault="2F2C5D13" w14:paraId="3743DB49" w14:textId="3DA35528">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 xml:space="preserve">Moschonis, G. et al. (2023) ‘Effectiveness, reach, uptake, and feasibility of digital health interventions for adults with type 2 diabetes: a systematic review and meta-analysis of randomised controlled trials’, The Lancet Digital Health, 5(3), pp. e125–e143. Available at: </w:t>
      </w:r>
      <w:hyperlink r:id="Rd23acc3fbadc4ea2">
        <w:r w:rsidRPr="2B0D0C73" w:rsidR="2F2C5D13">
          <w:rPr>
            <w:rStyle w:val="Hyperlink"/>
            <w:noProof w:val="0"/>
            <w:lang w:val="ro-RO"/>
          </w:rPr>
          <w:t>https://doi.org/10.1016/S2589-7500(22)00233-3⁠</w:t>
        </w:r>
      </w:hyperlink>
      <w:r w:rsidRPr="2B0D0C73" w:rsidR="2F2C5D13">
        <w:rPr>
          <w:rFonts w:ascii="Aptos" w:hAnsi="Aptos" w:eastAsia="Aptos" w:cs="Aptos"/>
          <w:noProof w:val="0"/>
          <w:sz w:val="24"/>
          <w:szCs w:val="24"/>
          <w:lang w:val="ro-RO"/>
        </w:rPr>
        <w:t>.</w:t>
      </w:r>
    </w:p>
    <w:p w:rsidR="2F2C5D13" w:rsidP="2B0D0C73" w:rsidRDefault="2F2C5D13" w14:paraId="6E6B8055" w14:textId="574D49C8">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 xml:space="preserve">National Institute for Health and Care Excellence (NICE) (2022) Type 2 diabetes in adults: management—Recommendations. Available at: </w:t>
      </w:r>
      <w:hyperlink r:id="Rbdf12f4a03cf4422">
        <w:r w:rsidRPr="2B0D0C73" w:rsidR="2F2C5D13">
          <w:rPr>
            <w:rStyle w:val="Hyperlink"/>
            <w:noProof w:val="0"/>
            <w:lang w:val="ro-RO"/>
          </w:rPr>
          <w:t>https://www.nice.org.uk/guidance/ng28/chapter/Recommendations⁠</w:t>
        </w:r>
      </w:hyperlink>
      <w:r w:rsidRPr="2B0D0C73" w:rsidR="2F2C5D13">
        <w:rPr>
          <w:rFonts w:ascii="Aptos" w:hAnsi="Aptos" w:eastAsia="Aptos" w:cs="Aptos"/>
          <w:noProof w:val="0"/>
          <w:sz w:val="24"/>
          <w:szCs w:val="24"/>
          <w:lang w:val="ro-RO"/>
        </w:rPr>
        <w:t>.</w:t>
      </w:r>
    </w:p>
    <w:p w:rsidR="2F2C5D13" w:rsidP="2B0D0C73" w:rsidRDefault="2F2C5D13" w14:paraId="217C1207" w14:textId="7D23E3D9">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 xml:space="preserve">Pienaar, M. and Reid, M. (2020) ‘Self-management in face-to-face peer support for adults with type 2 diabetes living in low- or middle-income countries: a systematic review’, BMC Public Health, 20, article 1834. Available at: </w:t>
      </w:r>
      <w:hyperlink r:id="Rebe50c7ebd5a4da4">
        <w:r w:rsidRPr="2B0D0C73" w:rsidR="2F2C5D13">
          <w:rPr>
            <w:rStyle w:val="Hyperlink"/>
            <w:noProof w:val="0"/>
            <w:lang w:val="ro-RO"/>
          </w:rPr>
          <w:t>https://doi.org/10.1186/s12889-020-09954-1⁠</w:t>
        </w:r>
      </w:hyperlink>
      <w:r w:rsidRPr="2B0D0C73" w:rsidR="2F2C5D13">
        <w:rPr>
          <w:rFonts w:ascii="Aptos" w:hAnsi="Aptos" w:eastAsia="Aptos" w:cs="Aptos"/>
          <w:noProof w:val="0"/>
          <w:sz w:val="24"/>
          <w:szCs w:val="24"/>
          <w:lang w:val="ro-RO"/>
        </w:rPr>
        <w:t xml:space="preserve">. </w:t>
      </w:r>
    </w:p>
    <w:p w:rsidR="2F2C5D13" w:rsidP="2B0D0C73" w:rsidRDefault="2F2C5D13" w14:paraId="0246CA84" w14:textId="73023676">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Protheroe, J. et al. (2017) ‘Health literacy, associated lifestyle and demographic factors in adult patients with type 2 diabetes’, Primary Care Diabetes. Verify the publication details and DOI through your university library before including this reference.</w:t>
      </w:r>
    </w:p>
    <w:p w:rsidR="2F2C5D13" w:rsidP="2B0D0C73" w:rsidRDefault="2F2C5D13" w14:paraId="29EF5812" w14:textId="1F62646D">
      <w:pPr>
        <w:pStyle w:val="ListParagraph"/>
        <w:numPr>
          <w:ilvl w:val="0"/>
          <w:numId w:val="4"/>
        </w:numPr>
        <w:spacing w:before="0" w:beforeAutospacing="off" w:after="0" w:afterAutospacing="off"/>
        <w:rPr>
          <w:rFonts w:ascii="Aptos" w:hAnsi="Aptos" w:eastAsia="Aptos" w:cs="Aptos"/>
          <w:noProof w:val="0"/>
          <w:sz w:val="24"/>
          <w:szCs w:val="24"/>
          <w:lang w:val="ro-RO"/>
        </w:rPr>
      </w:pPr>
      <w:r w:rsidRPr="2B0D0C73" w:rsidR="2F2C5D13">
        <w:rPr>
          <w:rFonts w:ascii="Aptos" w:hAnsi="Aptos" w:eastAsia="Aptos" w:cs="Aptos"/>
          <w:noProof w:val="0"/>
          <w:sz w:val="24"/>
          <w:szCs w:val="24"/>
          <w:lang w:val="ro-RO"/>
        </w:rPr>
        <w:t>Simmons</w:t>
      </w:r>
      <w:r w:rsidRPr="2B0D0C73" w:rsidR="2F2C5D13">
        <w:rPr>
          <w:rFonts w:ascii="Aptos" w:hAnsi="Aptos" w:eastAsia="Aptos" w:cs="Aptos"/>
          <w:noProof w:val="0"/>
          <w:sz w:val="24"/>
          <w:szCs w:val="24"/>
          <w:lang w:val="ro-RO"/>
        </w:rPr>
        <w:t xml:space="preserve">, D. et al. (2015) ‘Impact of </w:t>
      </w:r>
      <w:r w:rsidRPr="2B0D0C73" w:rsidR="2F2C5D13">
        <w:rPr>
          <w:rFonts w:ascii="Aptos" w:hAnsi="Aptos" w:eastAsia="Aptos" w:cs="Aptos"/>
          <w:noProof w:val="0"/>
          <w:sz w:val="24"/>
          <w:szCs w:val="24"/>
          <w:lang w:val="ro-RO"/>
        </w:rPr>
        <w:t>community</w:t>
      </w:r>
      <w:r w:rsidRPr="2B0D0C73" w:rsidR="2F2C5D13">
        <w:rPr>
          <w:rFonts w:ascii="Aptos" w:hAnsi="Aptos" w:eastAsia="Aptos" w:cs="Aptos"/>
          <w:noProof w:val="0"/>
          <w:sz w:val="24"/>
          <w:szCs w:val="24"/>
          <w:lang w:val="ro-RO"/>
        </w:rPr>
        <w:t xml:space="preserve"> </w:t>
      </w:r>
      <w:r w:rsidRPr="2B0D0C73" w:rsidR="2F2C5D13">
        <w:rPr>
          <w:rFonts w:ascii="Aptos" w:hAnsi="Aptos" w:eastAsia="Aptos" w:cs="Aptos"/>
          <w:noProof w:val="0"/>
          <w:sz w:val="24"/>
          <w:szCs w:val="24"/>
          <w:lang w:val="ro-RO"/>
        </w:rPr>
        <w:t>based</w:t>
      </w:r>
      <w:r w:rsidRPr="2B0D0C73" w:rsidR="2F2C5D13">
        <w:rPr>
          <w:rFonts w:ascii="Aptos" w:hAnsi="Aptos" w:eastAsia="Aptos" w:cs="Aptos"/>
          <w:noProof w:val="0"/>
          <w:sz w:val="24"/>
          <w:szCs w:val="24"/>
          <w:lang w:val="ro-RO"/>
        </w:rPr>
        <w:t xml:space="preserve"> </w:t>
      </w:r>
      <w:r w:rsidRPr="2B0D0C73" w:rsidR="2F2C5D13">
        <w:rPr>
          <w:rFonts w:ascii="Aptos" w:hAnsi="Aptos" w:eastAsia="Aptos" w:cs="Aptos"/>
          <w:noProof w:val="0"/>
          <w:sz w:val="24"/>
          <w:szCs w:val="24"/>
          <w:lang w:val="ro-RO"/>
        </w:rPr>
        <w:t>peer</w:t>
      </w:r>
      <w:r w:rsidRPr="2B0D0C73" w:rsidR="2F2C5D13">
        <w:rPr>
          <w:rFonts w:ascii="Aptos" w:hAnsi="Aptos" w:eastAsia="Aptos" w:cs="Aptos"/>
          <w:noProof w:val="0"/>
          <w:sz w:val="24"/>
          <w:szCs w:val="24"/>
          <w:lang w:val="ro-RO"/>
        </w:rPr>
        <w:t xml:space="preserve"> </w:t>
      </w:r>
      <w:r w:rsidRPr="2B0D0C73" w:rsidR="2F2C5D13">
        <w:rPr>
          <w:rFonts w:ascii="Aptos" w:hAnsi="Aptos" w:eastAsia="Aptos" w:cs="Aptos"/>
          <w:noProof w:val="0"/>
          <w:sz w:val="24"/>
          <w:szCs w:val="24"/>
          <w:lang w:val="ro-RO"/>
        </w:rPr>
        <w:t>support</w:t>
      </w:r>
      <w:r w:rsidRPr="2B0D0C73" w:rsidR="2F2C5D13">
        <w:rPr>
          <w:rFonts w:ascii="Aptos" w:hAnsi="Aptos" w:eastAsia="Aptos" w:cs="Aptos"/>
          <w:noProof w:val="0"/>
          <w:sz w:val="24"/>
          <w:szCs w:val="24"/>
          <w:lang w:val="ro-RO"/>
        </w:rPr>
        <w:t xml:space="preserve"> in </w:t>
      </w:r>
      <w:r w:rsidRPr="2B0D0C73" w:rsidR="2F2C5D13">
        <w:rPr>
          <w:rFonts w:ascii="Aptos" w:hAnsi="Aptos" w:eastAsia="Aptos" w:cs="Aptos"/>
          <w:noProof w:val="0"/>
          <w:sz w:val="24"/>
          <w:szCs w:val="24"/>
          <w:lang w:val="ro-RO"/>
        </w:rPr>
        <w:t>type</w:t>
      </w:r>
      <w:r w:rsidRPr="2B0D0C73" w:rsidR="2F2C5D13">
        <w:rPr>
          <w:rFonts w:ascii="Aptos" w:hAnsi="Aptos" w:eastAsia="Aptos" w:cs="Aptos"/>
          <w:noProof w:val="0"/>
          <w:sz w:val="24"/>
          <w:szCs w:val="24"/>
          <w:lang w:val="ro-RO"/>
        </w:rPr>
        <w:t xml:space="preserve"> 2 </w:t>
      </w:r>
      <w:r w:rsidRPr="2B0D0C73" w:rsidR="2F2C5D13">
        <w:rPr>
          <w:rFonts w:ascii="Aptos" w:hAnsi="Aptos" w:eastAsia="Aptos" w:cs="Aptos"/>
          <w:noProof w:val="0"/>
          <w:sz w:val="24"/>
          <w:szCs w:val="24"/>
          <w:lang w:val="ro-RO"/>
        </w:rPr>
        <w:t>diabetes</w:t>
      </w:r>
      <w:r w:rsidRPr="2B0D0C73" w:rsidR="2F2C5D13">
        <w:rPr>
          <w:rFonts w:ascii="Aptos" w:hAnsi="Aptos" w:eastAsia="Aptos" w:cs="Aptos"/>
          <w:noProof w:val="0"/>
          <w:sz w:val="24"/>
          <w:szCs w:val="24"/>
          <w:lang w:val="ro-RO"/>
        </w:rPr>
        <w:t xml:space="preserve">: a cluster </w:t>
      </w:r>
      <w:r w:rsidRPr="2B0D0C73" w:rsidR="2F2C5D13">
        <w:rPr>
          <w:rFonts w:ascii="Aptos" w:hAnsi="Aptos" w:eastAsia="Aptos" w:cs="Aptos"/>
          <w:noProof w:val="0"/>
          <w:sz w:val="24"/>
          <w:szCs w:val="24"/>
          <w:lang w:val="ro-RO"/>
        </w:rPr>
        <w:t>randomised</w:t>
      </w:r>
      <w:r w:rsidRPr="2B0D0C73" w:rsidR="2F2C5D13">
        <w:rPr>
          <w:rFonts w:ascii="Aptos" w:hAnsi="Aptos" w:eastAsia="Aptos" w:cs="Aptos"/>
          <w:noProof w:val="0"/>
          <w:sz w:val="24"/>
          <w:szCs w:val="24"/>
          <w:lang w:val="ro-RO"/>
        </w:rPr>
        <w:t xml:space="preserve"> </w:t>
      </w:r>
      <w:r w:rsidRPr="2B0D0C73" w:rsidR="2F2C5D13">
        <w:rPr>
          <w:rFonts w:ascii="Aptos" w:hAnsi="Aptos" w:eastAsia="Aptos" w:cs="Aptos"/>
          <w:noProof w:val="0"/>
          <w:sz w:val="24"/>
          <w:szCs w:val="24"/>
          <w:lang w:val="ro-RO"/>
        </w:rPr>
        <w:t>controlled</w:t>
      </w:r>
      <w:r w:rsidRPr="2B0D0C73" w:rsidR="2F2C5D13">
        <w:rPr>
          <w:rFonts w:ascii="Aptos" w:hAnsi="Aptos" w:eastAsia="Aptos" w:cs="Aptos"/>
          <w:noProof w:val="0"/>
          <w:sz w:val="24"/>
          <w:szCs w:val="24"/>
          <w:lang w:val="ro-RO"/>
        </w:rPr>
        <w:t xml:space="preserve"> trial of individual </w:t>
      </w:r>
      <w:r w:rsidRPr="2B0D0C73" w:rsidR="2F2C5D13">
        <w:rPr>
          <w:rFonts w:ascii="Aptos" w:hAnsi="Aptos" w:eastAsia="Aptos" w:cs="Aptos"/>
          <w:noProof w:val="0"/>
          <w:sz w:val="24"/>
          <w:szCs w:val="24"/>
          <w:lang w:val="ro-RO"/>
        </w:rPr>
        <w:t>and</w:t>
      </w:r>
      <w:r w:rsidRPr="2B0D0C73" w:rsidR="2F2C5D13">
        <w:rPr>
          <w:rFonts w:ascii="Aptos" w:hAnsi="Aptos" w:eastAsia="Aptos" w:cs="Aptos"/>
          <w:noProof w:val="0"/>
          <w:sz w:val="24"/>
          <w:szCs w:val="24"/>
          <w:lang w:val="ro-RO"/>
        </w:rPr>
        <w:t xml:space="preserve">/or </w:t>
      </w:r>
      <w:r w:rsidRPr="2B0D0C73" w:rsidR="2F2C5D13">
        <w:rPr>
          <w:rFonts w:ascii="Aptos" w:hAnsi="Aptos" w:eastAsia="Aptos" w:cs="Aptos"/>
          <w:noProof w:val="0"/>
          <w:sz w:val="24"/>
          <w:szCs w:val="24"/>
          <w:lang w:val="ro-RO"/>
        </w:rPr>
        <w:t>group</w:t>
      </w:r>
      <w:r w:rsidRPr="2B0D0C73" w:rsidR="2F2C5D13">
        <w:rPr>
          <w:rFonts w:ascii="Aptos" w:hAnsi="Aptos" w:eastAsia="Aptos" w:cs="Aptos"/>
          <w:noProof w:val="0"/>
          <w:sz w:val="24"/>
          <w:szCs w:val="24"/>
          <w:lang w:val="ro-RO"/>
        </w:rPr>
        <w:t xml:space="preserve"> </w:t>
      </w:r>
      <w:r w:rsidRPr="2B0D0C73" w:rsidR="2F2C5D13">
        <w:rPr>
          <w:rFonts w:ascii="Aptos" w:hAnsi="Aptos" w:eastAsia="Aptos" w:cs="Aptos"/>
          <w:noProof w:val="0"/>
          <w:sz w:val="24"/>
          <w:szCs w:val="24"/>
          <w:lang w:val="ro-RO"/>
        </w:rPr>
        <w:t>approaches</w:t>
      </w:r>
      <w:r w:rsidRPr="2B0D0C73" w:rsidR="2F2C5D13">
        <w:rPr>
          <w:rFonts w:ascii="Aptos" w:hAnsi="Aptos" w:eastAsia="Aptos" w:cs="Aptos"/>
          <w:noProof w:val="0"/>
          <w:sz w:val="24"/>
          <w:szCs w:val="24"/>
          <w:lang w:val="ro-RO"/>
        </w:rPr>
        <w:t xml:space="preserve">’, PLOS ONE, 10(3), e0120277. </w:t>
      </w:r>
      <w:r w:rsidRPr="2B0D0C73" w:rsidR="2F2C5D13">
        <w:rPr>
          <w:rFonts w:ascii="Aptos" w:hAnsi="Aptos" w:eastAsia="Aptos" w:cs="Aptos"/>
          <w:noProof w:val="0"/>
          <w:sz w:val="24"/>
          <w:szCs w:val="24"/>
          <w:lang w:val="ro-RO"/>
        </w:rPr>
        <w:t>Available</w:t>
      </w:r>
      <w:r w:rsidRPr="2B0D0C73" w:rsidR="2F2C5D13">
        <w:rPr>
          <w:rFonts w:ascii="Aptos" w:hAnsi="Aptos" w:eastAsia="Aptos" w:cs="Aptos"/>
          <w:noProof w:val="0"/>
          <w:sz w:val="24"/>
          <w:szCs w:val="24"/>
          <w:lang w:val="ro-RO"/>
        </w:rPr>
        <w:t xml:space="preserve"> at: </w:t>
      </w:r>
      <w:hyperlink r:id="R1668eda24b6c4dfe">
        <w:r w:rsidRPr="2B0D0C73" w:rsidR="2F2C5D13">
          <w:rPr>
            <w:rStyle w:val="Hyperlink"/>
            <w:noProof w:val="0"/>
            <w:lang w:val="ro-RO"/>
          </w:rPr>
          <w:t>https://doi.org/10.1371/journal.pone.0120277⁠</w:t>
        </w:r>
      </w:hyperlink>
      <w:r w:rsidRPr="2B0D0C73" w:rsidR="2F2C5D13">
        <w:rPr>
          <w:rFonts w:ascii="Aptos" w:hAnsi="Aptos" w:eastAsia="Aptos" w:cs="Aptos"/>
          <w:noProof w:val="0"/>
          <w:sz w:val="24"/>
          <w:szCs w:val="24"/>
          <w:lang w:val="ro-RO"/>
        </w:rPr>
        <w:t xml:space="preserve">. </w:t>
      </w:r>
    </w:p>
    <w:p w:rsidR="2F2C5D13" w:rsidP="2B0D0C73" w:rsidRDefault="2F2C5D13" w14:paraId="5233DD41" w14:textId="2B12A2BF">
      <w:pPr>
        <w:pStyle w:val="ListParagraph"/>
        <w:numPr>
          <w:ilvl w:val="0"/>
          <w:numId w:val="4"/>
        </w:numPr>
        <w:spacing w:before="0" w:beforeAutospacing="off" w:after="0" w:afterAutospacing="off"/>
        <w:rPr>
          <w:lang w:val="en-US"/>
        </w:rPr>
      </w:pPr>
      <w:r w:rsidRPr="2B0D0C73" w:rsidR="2F2C5D13">
        <w:rPr>
          <w:lang w:val="en-US"/>
        </w:rPr>
        <w:t xml:space="preserve">Simmons, D. et al. (2015) ‘Impact of </w:t>
      </w:r>
      <w:r w:rsidRPr="2B0D0C73" w:rsidR="2F2C5D13">
        <w:rPr>
          <w:lang w:val="en-US"/>
        </w:rPr>
        <w:t>community based</w:t>
      </w:r>
      <w:r w:rsidRPr="2B0D0C73" w:rsidR="2F2C5D13">
        <w:rPr>
          <w:lang w:val="en-US"/>
        </w:rPr>
        <w:t xml:space="preserve"> peer support in type 2 diabetes: a cluster </w:t>
      </w:r>
      <w:r w:rsidRPr="2B0D0C73" w:rsidR="2F2C5D13">
        <w:rPr>
          <w:lang w:val="en-US"/>
        </w:rPr>
        <w:t>randomised</w:t>
      </w:r>
      <w:r w:rsidRPr="2B0D0C73" w:rsidR="2F2C5D13">
        <w:rPr>
          <w:lang w:val="en-US"/>
        </w:rPr>
        <w:t xml:space="preserve"> controlled trial of individual and/or group approaches’, PLOS ONE, 10(3), e0120277. Available at: </w:t>
      </w:r>
      <w:hyperlink r:id="R00303c3caef54f8f">
        <w:r w:rsidRPr="2B0D0C73" w:rsidR="2F2C5D13">
          <w:rPr>
            <w:rStyle w:val="Hyperlink"/>
            <w:lang w:val="en-US"/>
          </w:rPr>
          <w:t>https://doi.org/10.1371/journal.pone.0120277⁠</w:t>
        </w:r>
      </w:hyperlink>
      <w:r w:rsidRPr="2B0D0C73" w:rsidR="2F2C5D13">
        <w:rPr>
          <w:lang w:val="en-US"/>
        </w:rPr>
        <w:t>.</w:t>
      </w:r>
    </w:p>
    <w:p w:rsidR="2F2C5D13" w:rsidP="2B0D0C73" w:rsidRDefault="2F2C5D13" w14:paraId="5657C749" w14:textId="0E1B7C72">
      <w:pPr>
        <w:pStyle w:val="ListParagraph"/>
        <w:numPr>
          <w:ilvl w:val="0"/>
          <w:numId w:val="4"/>
        </w:numPr>
        <w:spacing w:before="0" w:beforeAutospacing="off" w:after="0" w:afterAutospacing="off"/>
        <w:rPr>
          <w:noProof w:val="0"/>
          <w:lang w:val="en-US"/>
        </w:rPr>
      </w:pPr>
      <w:r w:rsidRPr="2B0D0C73" w:rsidR="2F2C5D13">
        <w:rPr>
          <w:noProof w:val="0"/>
          <w:lang w:val="en-US"/>
        </w:rPr>
        <w:t xml:space="preserve">Skivington, K. et al. (2021) ‘A new framework for developing and evaluating complex interventions: update of Medical Research Council guidance’, BMJ, 374, n2061. Available at: </w:t>
      </w:r>
      <w:hyperlink r:id="R98f090ffe0274b13">
        <w:r w:rsidRPr="2B0D0C73" w:rsidR="2F2C5D13">
          <w:rPr>
            <w:rStyle w:val="Hyperlink"/>
            <w:noProof w:val="0"/>
            <w:lang w:val="en-US"/>
          </w:rPr>
          <w:t>https://doi.org/10.1136/bmj.n2061⁠</w:t>
        </w:r>
      </w:hyperlink>
      <w:r w:rsidRPr="2B0D0C73" w:rsidR="2F2C5D13">
        <w:rPr>
          <w:noProof w:val="0"/>
          <w:lang w:val="en-US"/>
        </w:rPr>
        <w:t>.</w:t>
      </w:r>
    </w:p>
    <w:p w:rsidR="2F2C5D13" w:rsidP="2B0D0C73" w:rsidRDefault="2F2C5D13" w14:paraId="1A469D24" w14:textId="626D6551">
      <w:pPr>
        <w:pStyle w:val="ListParagraph"/>
        <w:numPr>
          <w:ilvl w:val="0"/>
          <w:numId w:val="4"/>
        </w:numPr>
        <w:spacing w:before="0" w:beforeAutospacing="off" w:after="0" w:afterAutospacing="off"/>
        <w:rPr>
          <w:noProof w:val="0"/>
          <w:lang w:val="en-US"/>
        </w:rPr>
      </w:pPr>
      <w:r w:rsidRPr="2B0D0C73" w:rsidR="2F2C5D13">
        <w:rPr>
          <w:noProof w:val="0"/>
          <w:lang w:val="en-US"/>
        </w:rPr>
        <w:t xml:space="preserve">Versluis, A. et al. (2025) ‘Diabetes self-management education and support delivered by mobile health (mHealth) interventions for adults with type 2 diabetes—a systematic review and meta-analysis’, Diabetic Medicine, 42(5), e70002. Available at: </w:t>
      </w:r>
      <w:hyperlink r:id="R5fa30316817e4cbd">
        <w:r w:rsidRPr="2B0D0C73" w:rsidR="2F2C5D13">
          <w:rPr>
            <w:rStyle w:val="Hyperlink"/>
            <w:noProof w:val="0"/>
            <w:lang w:val="en-US"/>
          </w:rPr>
          <w:t>https://doi.org/10.1111/dme.70002⁠</w:t>
        </w:r>
      </w:hyperlink>
      <w:r w:rsidRPr="2B0D0C73" w:rsidR="2F2C5D13">
        <w:rPr>
          <w:noProof w:val="0"/>
          <w:lang w:val="en-US"/>
        </w:rPr>
        <w:t xml:space="preserve">. </w:t>
      </w:r>
    </w:p>
    <w:p w:rsidR="2F2C5D13" w:rsidP="2B0D0C73" w:rsidRDefault="2F2C5D13" w14:paraId="7080643F" w14:textId="08E1EE91">
      <w:pPr>
        <w:pStyle w:val="ListParagraph"/>
        <w:numPr>
          <w:ilvl w:val="0"/>
          <w:numId w:val="4"/>
        </w:numPr>
        <w:spacing w:before="0" w:beforeAutospacing="off" w:after="0" w:afterAutospacing="off"/>
        <w:rPr>
          <w:noProof w:val="0"/>
          <w:lang w:val="en-US"/>
        </w:rPr>
      </w:pPr>
      <w:r w:rsidRPr="3CF0D412" w:rsidR="5D021F46">
        <w:rPr>
          <w:noProof w:val="0"/>
          <w:lang w:val="en-US"/>
        </w:rPr>
        <w:t xml:space="preserve">World Health Organization (2022) Global report on diabetes. Geneva: World Health Organization. Available at: </w:t>
      </w:r>
      <w:hyperlink r:id="Rc86ecead1832430d">
        <w:r w:rsidRPr="3CF0D412" w:rsidR="5D021F46">
          <w:rPr>
            <w:rStyle w:val="Hyperlink"/>
            <w:noProof w:val="0"/>
            <w:lang w:val="en-US"/>
          </w:rPr>
          <w:t>https://www.who.int/health-topics/diabetes⁠</w:t>
        </w:r>
      </w:hyperlink>
      <w:r w:rsidRPr="3CF0D412" w:rsidR="5D021F46">
        <w:rPr>
          <w:noProof w:val="0"/>
          <w:lang w:val="en-US"/>
        </w:rPr>
        <w:t>.</w:t>
      </w:r>
    </w:p>
    <w:p w:rsidR="2F2C5D13" w:rsidP="34ED60EE" w:rsidRDefault="2F2C5D13" w14:paraId="35426200" w14:textId="0B329B30">
      <w:pPr>
        <w:pStyle w:val="Normal"/>
        <w:spacing w:before="0" w:beforeAutospacing="off" w:after="0" w:afterAutospacing="off"/>
        <w:ind w:left="708"/>
      </w:pPr>
      <w:r w:rsidRPr="34ED60EE" w:rsidR="0F584D31">
        <w:rPr>
          <w:noProof w:val="0"/>
          <w:lang w:val="en-US"/>
        </w:rPr>
        <w:t xml:space="preserve"> 20.World Health Organization (2023) Global report on hypertension: the race against a silent killer. Geneva: World Health Organization. Available at: https://www.who.int/publications/</w:t>
      </w:r>
      <w:r w:rsidRPr="34ED60EE" w:rsidR="0F584D31">
        <w:rPr>
          <w:noProof w:val="0"/>
          <w:lang w:val="en-US"/>
        </w:rPr>
        <w:t>i</w:t>
      </w:r>
      <w:r w:rsidRPr="34ED60EE" w:rsidR="0F584D31">
        <w:rPr>
          <w:noProof w:val="0"/>
          <w:lang w:val="en-US"/>
        </w:rPr>
        <w:t>/item/9789240081062⁠</w:t>
      </w:r>
    </w:p>
    <w:p w:rsidR="2B0D0C73" w:rsidP="34ED60EE" w:rsidRDefault="2B0D0C73" w14:paraId="4E9A8EA1" w14:textId="02441E21">
      <w:pPr>
        <w:pStyle w:val="Normal"/>
        <w:ind w:left="708"/>
      </w:pPr>
    </w:p>
    <w:p w:rsidR="2B0D0C73" w:rsidP="34ED60EE" w:rsidRDefault="2B0D0C73" w14:paraId="177E16BC" w14:textId="7F822022">
      <w:pPr>
        <w:pStyle w:val="Normal"/>
        <w:ind w:left="708"/>
      </w:pPr>
    </w:p>
    <w:p w:rsidR="2B0D0C73" w:rsidP="34ED60EE" w:rsidRDefault="2B0D0C73" w14:paraId="62DD51CB" w14:textId="5E1393A0">
      <w:pPr>
        <w:pStyle w:val="Normal"/>
        <w:ind w:left="708"/>
      </w:pPr>
    </w:p>
    <w:p w:rsidR="2B0D0C73" w:rsidP="34ED60EE" w:rsidRDefault="2B0D0C73" w14:paraId="545BBDE3" w14:textId="02441E21">
      <w:pPr>
        <w:pStyle w:val="Normal"/>
        <w:ind w:left="708"/>
        <w:rPr>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64f03d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e643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1acf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eaad59b"/>
    <w:multiLevelType xmlns:w="http://schemas.openxmlformats.org/wordprocessingml/2006/main" w:val="hybridMultilevel"/>
    <w:lvl xmlns:w="http://schemas.openxmlformats.org/wordprocessingml/2006/main" w:ilvl="0">
      <w:start w:val="8"/>
      <w:numFmt w:val="decimal"/>
      <w:lvlText w:val="%1."/>
      <w:lvlJc w:val="left"/>
      <w:pPr>
        <w:ind w:left="1068" w:hanging="360"/>
      </w:pPr>
    </w:lvl>
    <w:lvl xmlns:w="http://schemas.openxmlformats.org/wordprocessingml/2006/main" w:ilvl="1">
      <w:start w:val="1"/>
      <w:numFmt w:val="lowerLetter"/>
      <w:lvlText w:val="%2."/>
      <w:lvlJc w:val="left"/>
      <w:pPr>
        <w:ind w:left="1788" w:hanging="360"/>
      </w:pPr>
    </w:lvl>
    <w:lvl xmlns:w="http://schemas.openxmlformats.org/wordprocessingml/2006/main" w:ilvl="2">
      <w:start w:val="1"/>
      <w:numFmt w:val="lowerRoman"/>
      <w:lvlText w:val="%3."/>
      <w:lvlJc w:val="right"/>
      <w:pPr>
        <w:ind w:left="2508" w:hanging="180"/>
      </w:pPr>
    </w:lvl>
    <w:lvl xmlns:w="http://schemas.openxmlformats.org/wordprocessingml/2006/main" w:ilvl="3">
      <w:start w:val="1"/>
      <w:numFmt w:val="decimal"/>
      <w:lvlText w:val="%4."/>
      <w:lvlJc w:val="left"/>
      <w:pPr>
        <w:ind w:left="3228" w:hanging="360"/>
      </w:pPr>
    </w:lvl>
    <w:lvl xmlns:w="http://schemas.openxmlformats.org/wordprocessingml/2006/main" w:ilvl="4">
      <w:start w:val="1"/>
      <w:numFmt w:val="lowerLetter"/>
      <w:lvlText w:val="%5."/>
      <w:lvlJc w:val="left"/>
      <w:pPr>
        <w:ind w:left="3948" w:hanging="360"/>
      </w:pPr>
    </w:lvl>
    <w:lvl xmlns:w="http://schemas.openxmlformats.org/wordprocessingml/2006/main" w:ilvl="5">
      <w:start w:val="1"/>
      <w:numFmt w:val="lowerRoman"/>
      <w:lvlText w:val="%6."/>
      <w:lvlJc w:val="right"/>
      <w:pPr>
        <w:ind w:left="4668" w:hanging="180"/>
      </w:pPr>
    </w:lvl>
    <w:lvl xmlns:w="http://schemas.openxmlformats.org/wordprocessingml/2006/main" w:ilvl="6">
      <w:start w:val="1"/>
      <w:numFmt w:val="decimal"/>
      <w:lvlText w:val="%7."/>
      <w:lvlJc w:val="left"/>
      <w:pPr>
        <w:ind w:left="5388" w:hanging="360"/>
      </w:pPr>
    </w:lvl>
    <w:lvl xmlns:w="http://schemas.openxmlformats.org/wordprocessingml/2006/main" w:ilvl="7">
      <w:start w:val="1"/>
      <w:numFmt w:val="lowerLetter"/>
      <w:lvlText w:val="%8."/>
      <w:lvlJc w:val="left"/>
      <w:pPr>
        <w:ind w:left="6108" w:hanging="360"/>
      </w:pPr>
    </w:lvl>
    <w:lvl xmlns:w="http://schemas.openxmlformats.org/wordprocessingml/2006/main" w:ilvl="8">
      <w:start w:val="1"/>
      <w:numFmt w:val="lowerRoman"/>
      <w:lvlText w:val="%9."/>
      <w:lvlJc w:val="right"/>
      <w:pPr>
        <w:ind w:left="6828" w:hanging="180"/>
      </w:pPr>
    </w:lvl>
  </w:abstractNum>
  <w:abstractNum xmlns:w="http://schemas.openxmlformats.org/wordprocessingml/2006/main" w:abstractNumId="3">
    <w:nsid w:val="31e49a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0397b2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49fbaa4"/>
    <w:multiLevelType xmlns:w="http://schemas.openxmlformats.org/wordprocessingml/2006/main" w:val="hybridMultilevel"/>
    <w:lvl xmlns:w="http://schemas.openxmlformats.org/wordprocessingml/2006/main" w:ilvl="0">
      <w:start w:val="1"/>
      <w:numFmt w:val="decimal"/>
      <w:lvlText w:val="%1."/>
      <w:lvlJc w:val="left"/>
      <w:pPr>
        <w:ind w:left="1068" w:hanging="360"/>
      </w:pPr>
    </w:lvl>
    <w:lvl xmlns:w="http://schemas.openxmlformats.org/wordprocessingml/2006/main" w:ilvl="1">
      <w:start w:val="1"/>
      <w:numFmt w:val="lowerLetter"/>
      <w:lvlText w:val="%2."/>
      <w:lvlJc w:val="left"/>
      <w:pPr>
        <w:ind w:left="1788" w:hanging="360"/>
      </w:pPr>
    </w:lvl>
    <w:lvl xmlns:w="http://schemas.openxmlformats.org/wordprocessingml/2006/main" w:ilvl="2">
      <w:start w:val="1"/>
      <w:numFmt w:val="lowerRoman"/>
      <w:lvlText w:val="%3."/>
      <w:lvlJc w:val="right"/>
      <w:pPr>
        <w:ind w:left="2508" w:hanging="180"/>
      </w:pPr>
    </w:lvl>
    <w:lvl xmlns:w="http://schemas.openxmlformats.org/wordprocessingml/2006/main" w:ilvl="3">
      <w:start w:val="1"/>
      <w:numFmt w:val="decimal"/>
      <w:lvlText w:val="%4."/>
      <w:lvlJc w:val="left"/>
      <w:pPr>
        <w:ind w:left="3228" w:hanging="360"/>
      </w:pPr>
    </w:lvl>
    <w:lvl xmlns:w="http://schemas.openxmlformats.org/wordprocessingml/2006/main" w:ilvl="4">
      <w:start w:val="1"/>
      <w:numFmt w:val="lowerLetter"/>
      <w:lvlText w:val="%5."/>
      <w:lvlJc w:val="left"/>
      <w:pPr>
        <w:ind w:left="3948" w:hanging="360"/>
      </w:pPr>
    </w:lvl>
    <w:lvl xmlns:w="http://schemas.openxmlformats.org/wordprocessingml/2006/main" w:ilvl="5">
      <w:start w:val="1"/>
      <w:numFmt w:val="lowerRoman"/>
      <w:lvlText w:val="%6."/>
      <w:lvlJc w:val="right"/>
      <w:pPr>
        <w:ind w:left="4668" w:hanging="180"/>
      </w:pPr>
    </w:lvl>
    <w:lvl xmlns:w="http://schemas.openxmlformats.org/wordprocessingml/2006/main" w:ilvl="6">
      <w:start w:val="1"/>
      <w:numFmt w:val="decimal"/>
      <w:lvlText w:val="%7."/>
      <w:lvlJc w:val="left"/>
      <w:pPr>
        <w:ind w:left="5388" w:hanging="360"/>
      </w:pPr>
    </w:lvl>
    <w:lvl xmlns:w="http://schemas.openxmlformats.org/wordprocessingml/2006/main" w:ilvl="7">
      <w:start w:val="1"/>
      <w:numFmt w:val="lowerLetter"/>
      <w:lvlText w:val="%8."/>
      <w:lvlJc w:val="left"/>
      <w:pPr>
        <w:ind w:left="6108" w:hanging="360"/>
      </w:pPr>
    </w:lvl>
    <w:lvl xmlns:w="http://schemas.openxmlformats.org/wordprocessingml/2006/main" w:ilvl="8">
      <w:start w:val="1"/>
      <w:numFmt w:val="lowerRoman"/>
      <w:lvlText w:val="%9."/>
      <w:lvlJc w:val="right"/>
      <w:pPr>
        <w:ind w:left="6828"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954901"/>
    <w:rsid w:val="0092FCBD"/>
    <w:rsid w:val="030D5B6C"/>
    <w:rsid w:val="03EC4574"/>
    <w:rsid w:val="05B19F81"/>
    <w:rsid w:val="05FADC63"/>
    <w:rsid w:val="088081BC"/>
    <w:rsid w:val="0B52A1BF"/>
    <w:rsid w:val="0CAD3A25"/>
    <w:rsid w:val="0F0AD555"/>
    <w:rsid w:val="0F584D31"/>
    <w:rsid w:val="0FCE261C"/>
    <w:rsid w:val="103F82A8"/>
    <w:rsid w:val="10686492"/>
    <w:rsid w:val="127DAA6B"/>
    <w:rsid w:val="175D446D"/>
    <w:rsid w:val="180D01C1"/>
    <w:rsid w:val="18377517"/>
    <w:rsid w:val="1EC4CA65"/>
    <w:rsid w:val="218B0E6D"/>
    <w:rsid w:val="2423888A"/>
    <w:rsid w:val="250513B8"/>
    <w:rsid w:val="29B329BF"/>
    <w:rsid w:val="29B329BF"/>
    <w:rsid w:val="2B0D0C73"/>
    <w:rsid w:val="2DAE0562"/>
    <w:rsid w:val="2DE41B2A"/>
    <w:rsid w:val="2E60570E"/>
    <w:rsid w:val="2EBB9693"/>
    <w:rsid w:val="2F2C5D13"/>
    <w:rsid w:val="2F78FF29"/>
    <w:rsid w:val="3226F935"/>
    <w:rsid w:val="34ED60EE"/>
    <w:rsid w:val="39FFDD17"/>
    <w:rsid w:val="3BA07B71"/>
    <w:rsid w:val="3BDA69A5"/>
    <w:rsid w:val="3CF0D412"/>
    <w:rsid w:val="3D576D33"/>
    <w:rsid w:val="3E983054"/>
    <w:rsid w:val="45523AD8"/>
    <w:rsid w:val="47B0CE7A"/>
    <w:rsid w:val="48CA0D12"/>
    <w:rsid w:val="49383F28"/>
    <w:rsid w:val="493A43E5"/>
    <w:rsid w:val="4998EFF7"/>
    <w:rsid w:val="4A9D7201"/>
    <w:rsid w:val="4AC8CAB2"/>
    <w:rsid w:val="4BA759C5"/>
    <w:rsid w:val="4DA89B35"/>
    <w:rsid w:val="4E6920F4"/>
    <w:rsid w:val="4E72D702"/>
    <w:rsid w:val="4EE8D9D2"/>
    <w:rsid w:val="4F07EBE9"/>
    <w:rsid w:val="4F2CDE86"/>
    <w:rsid w:val="5253AEFB"/>
    <w:rsid w:val="53B3888C"/>
    <w:rsid w:val="53B3888C"/>
    <w:rsid w:val="5D021F46"/>
    <w:rsid w:val="61B263D4"/>
    <w:rsid w:val="656A1238"/>
    <w:rsid w:val="65954901"/>
    <w:rsid w:val="67053222"/>
    <w:rsid w:val="67494DC7"/>
    <w:rsid w:val="68294834"/>
    <w:rsid w:val="6BFF4E75"/>
    <w:rsid w:val="6CF8F570"/>
    <w:rsid w:val="6CF8F570"/>
    <w:rsid w:val="73CF27AE"/>
    <w:rsid w:val="76D3EB99"/>
    <w:rsid w:val="7A1A4686"/>
    <w:rsid w:val="7B89ABE4"/>
    <w:rsid w:val="7D9AE684"/>
    <w:rsid w:val="7E0A4024"/>
    <w:rsid w:val="7E8392B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1B2C9"/>
  <w15:chartTrackingRefBased/>
  <w15:docId w15:val="{5FCB05EF-5D00-449F-8600-9D8704F88D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B0D0C73"/>
    <w:pPr>
      <w:spacing/>
      <w:ind w:left="720"/>
      <w:contextualSpacing/>
    </w:pPr>
  </w:style>
  <w:style w:type="character" w:styleId="Hyperlink">
    <w:uiPriority w:val="99"/>
    <w:name w:val="Hyperlink"/>
    <w:basedOn w:val="DefaultParagraphFont"/>
    <w:unhideWhenUsed/>
    <w:rsid w:val="2B0D0C73"/>
    <w:rPr>
      <w:color w:val="467886"/>
      <w:u w:val="single"/>
    </w:rPr>
  </w:style>
  <w:style w:type="paragraph" w:styleId="Heading1">
    <w:uiPriority w:val="9"/>
    <w:name w:val="heading 1"/>
    <w:basedOn w:val="Normal"/>
    <w:next w:val="Normal"/>
    <w:qFormat/>
    <w:rsid w:val="34ED60E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4ED60E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ED60EE"/>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1364557032000119616%E2%81%A0" TargetMode="External" Id="R16cb4817007a47b0" /><Relationship Type="http://schemas.openxmlformats.org/officeDocument/2006/relationships/hyperlink" Target="https://doi.org/10.4178/epih.e2021090%E2%81%A0" TargetMode="External" Id="R945ae395fb9a4fe1" /><Relationship Type="http://schemas.openxmlformats.org/officeDocument/2006/relationships/hyperlink" Target="https://doi.org/10.1136/bmj.39474.922025.BE%E2%81%A0" TargetMode="External" Id="R1fc1a414fb614afb" /><Relationship Type="http://schemas.openxmlformats.org/officeDocument/2006/relationships/hyperlink" Target="https://doi.org/10.1136/bmj.e2333%E2%81%A0" TargetMode="External" Id="R63ab43c6c4f24e4c" /><Relationship Type="http://schemas.openxmlformats.org/officeDocument/2006/relationships/hyperlink" Target="https://doi.org/10.1186/1748-5908-5-69%E2%81%A0" TargetMode="External" Id="R22a96715ef61498d" /><Relationship Type="http://schemas.openxmlformats.org/officeDocument/2006/relationships/hyperlink" Target="https://doi.org/10.1186/1748-5908-6-42%E2%81%A0" TargetMode="External" Id="R15f274e4980f4f8d" /><Relationship Type="http://schemas.openxmlformats.org/officeDocument/2006/relationships/hyperlink" Target="https://doi.org/10.1016/S2589-7500(22)00233-3%E2%81%A0" TargetMode="External" Id="Rd23acc3fbadc4ea2" /><Relationship Type="http://schemas.openxmlformats.org/officeDocument/2006/relationships/hyperlink" Target="https://www.nice.org.uk/guidance/ng28/chapter/Recommendations%E2%81%A0" TargetMode="External" Id="Rbdf12f4a03cf4422" /><Relationship Type="http://schemas.openxmlformats.org/officeDocument/2006/relationships/hyperlink" Target="https://doi.org/10.1186/s12889-020-09954-1%E2%81%A0" TargetMode="External" Id="Rebe50c7ebd5a4da4" /><Relationship Type="http://schemas.openxmlformats.org/officeDocument/2006/relationships/hyperlink" Target="https://doi.org/10.1371/journal.pone.0120277%E2%81%A0" TargetMode="External" Id="R1668eda24b6c4dfe" /><Relationship Type="http://schemas.openxmlformats.org/officeDocument/2006/relationships/hyperlink" Target="https://doi.org/10.1371/journal.pone.0120277&#8288;" TargetMode="External" Id="R00303c3caef54f8f" /><Relationship Type="http://schemas.openxmlformats.org/officeDocument/2006/relationships/hyperlink" Target="https://doi.org/10.1136/bmj.n2061%E2%81%A0" TargetMode="External" Id="R98f090ffe0274b13" /><Relationship Type="http://schemas.openxmlformats.org/officeDocument/2006/relationships/hyperlink" Target="https://doi.org/10.1111/dme.70002%E2%81%A0" TargetMode="External" Id="R5fa30316817e4cbd" /><Relationship Type="http://schemas.openxmlformats.org/officeDocument/2006/relationships/numbering" Target="numbering.xml" Id="R8dc5990c2f244c61" /><Relationship Type="http://schemas.openxmlformats.org/officeDocument/2006/relationships/image" Target="/media/image.jpg" Id="rId456334577" /><Relationship Type="http://schemas.openxmlformats.org/officeDocument/2006/relationships/hyperlink" Target="https://www.who.int/health-topics/diabetes%E2%81%A0" TargetMode="External" Id="Rc86ecead1832430d" /><Relationship Type="http://schemas.openxmlformats.org/officeDocument/2006/relationships/hyperlink" Target="https://doi.org/10.1002/14651858.CD001561.pub3%E2%81%A0" TargetMode="External" Id="R4ac5a9cafc754239" /><Relationship Type="http://schemas.openxmlformats.org/officeDocument/2006/relationships/hyperlink" Target="https://doi.org/10.1002/edn.160%E2%81%A0" TargetMode="External" Id="Rb03b7542b7b347f9" /><Relationship Type="http://schemas.openxmlformats.org/officeDocument/2006/relationships/hyperlink" Target="https://diabetesatlas.org/%E2%81%A0" TargetMode="External" Id="R0d9331f3ed6544d2" /><Relationship Type="http://schemas.openxmlformats.org/officeDocument/2006/relationships/hyperlink" Target="https://doi.org/10.2196/55757%E2%81%A0" TargetMode="External" Id="R23972e5c98f740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2026-10-17T14:25:27.1085197Z</dcterms:created>
  <dcterms:modified xsi:type="dcterms:W3CDTF">2026-10-21T18:37:15.5053688Z</dcterms:modified>
  <dc:creator>Cristi Vantu (2417457)</dc:creator>
  <lastModifiedBy>Cristi Vantu (2417457)</lastModifiedBy>
</coreProperties>
</file>