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351672" w14:textId="16ECA7E0" w:rsidR="003F6311" w:rsidRDefault="003F6311" w:rsidP="208D9DA6">
      <w:pPr>
        <w:spacing w:line="360" w:lineRule="auto"/>
        <w:rPr>
          <w:rFonts w:ascii="Arial" w:eastAsia="Arial" w:hAnsi="Arial" w:cs="Arial"/>
        </w:rPr>
      </w:pPr>
    </w:p>
    <w:p w14:paraId="58828922" w14:textId="77777777" w:rsidR="003F6311" w:rsidRDefault="003F6311">
      <w:pPr>
        <w:rPr>
          <w:sz w:val="56"/>
          <w:szCs w:val="56"/>
        </w:rPr>
      </w:pPr>
    </w:p>
    <w:p w14:paraId="5F920A03" w14:textId="59452F4C" w:rsidR="00AC61A8" w:rsidRDefault="00C8727F">
      <w:pPr>
        <w:rPr>
          <w:sz w:val="56"/>
          <w:szCs w:val="56"/>
        </w:rPr>
      </w:pPr>
      <w:r>
        <w:rPr>
          <w:sz w:val="56"/>
          <w:szCs w:val="56"/>
        </w:rPr>
        <w:t xml:space="preserve">         </w:t>
      </w:r>
      <w:r>
        <w:rPr>
          <w:noProof/>
        </w:rPr>
        <w:drawing>
          <wp:inline distT="0" distB="0" distL="0" distR="0" wp14:anchorId="42A8AE58" wp14:editId="358BF05C">
            <wp:extent cx="4533900" cy="1821180"/>
            <wp:effectExtent l="0" t="0" r="0" b="0"/>
            <wp:docPr id="18419467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3900" cy="1821180"/>
                    </a:xfrm>
                    <a:prstGeom prst="rect">
                      <a:avLst/>
                    </a:prstGeom>
                    <a:noFill/>
                    <a:ln>
                      <a:noFill/>
                    </a:ln>
                  </pic:spPr>
                </pic:pic>
              </a:graphicData>
            </a:graphic>
          </wp:inline>
        </w:drawing>
      </w:r>
    </w:p>
    <w:p w14:paraId="682E504D" w14:textId="77777777" w:rsidR="00AC61A8" w:rsidRDefault="00AC61A8">
      <w:pPr>
        <w:rPr>
          <w:sz w:val="56"/>
          <w:szCs w:val="56"/>
        </w:rPr>
      </w:pPr>
    </w:p>
    <w:p w14:paraId="42D599D1" w14:textId="77777777" w:rsidR="00AC61A8" w:rsidRPr="004965D6" w:rsidRDefault="00AC61A8">
      <w:pPr>
        <w:rPr>
          <w:sz w:val="56"/>
          <w:szCs w:val="56"/>
        </w:rPr>
      </w:pPr>
    </w:p>
    <w:p w14:paraId="11F0555E" w14:textId="05B9535B" w:rsidR="0034447B" w:rsidRPr="00AC61A8" w:rsidRDefault="000873DC">
      <w:pPr>
        <w:rPr>
          <w:rFonts w:ascii="Arial" w:hAnsi="Arial" w:cs="Arial"/>
          <w:b/>
          <w:bCs/>
          <w:sz w:val="36"/>
          <w:szCs w:val="36"/>
        </w:rPr>
      </w:pPr>
      <w:r w:rsidRPr="00AC61A8">
        <w:rPr>
          <w:rFonts w:ascii="Arial" w:hAnsi="Arial" w:cs="Arial"/>
          <w:b/>
          <w:bCs/>
          <w:sz w:val="36"/>
          <w:szCs w:val="36"/>
        </w:rPr>
        <w:t xml:space="preserve">Student </w:t>
      </w:r>
      <w:r w:rsidR="009F0DFC" w:rsidRPr="00AC61A8">
        <w:rPr>
          <w:rFonts w:ascii="Arial" w:hAnsi="Arial" w:cs="Arial"/>
          <w:b/>
          <w:bCs/>
          <w:sz w:val="36"/>
          <w:szCs w:val="36"/>
        </w:rPr>
        <w:t>Name: -</w:t>
      </w:r>
      <w:r w:rsidR="008759F3" w:rsidRPr="00AC61A8">
        <w:rPr>
          <w:rFonts w:ascii="Arial" w:hAnsi="Arial" w:cs="Arial"/>
          <w:b/>
          <w:bCs/>
          <w:sz w:val="36"/>
          <w:szCs w:val="36"/>
        </w:rPr>
        <w:t xml:space="preserve"> Samina Bibi</w:t>
      </w:r>
    </w:p>
    <w:p w14:paraId="0B966616" w14:textId="09AB15CA" w:rsidR="00B164CB" w:rsidRPr="00AC61A8" w:rsidRDefault="00B164CB">
      <w:pPr>
        <w:rPr>
          <w:rFonts w:ascii="Arial" w:hAnsi="Arial" w:cs="Arial"/>
          <w:b/>
          <w:bCs/>
          <w:sz w:val="36"/>
          <w:szCs w:val="36"/>
        </w:rPr>
      </w:pPr>
      <w:r w:rsidRPr="00AC61A8">
        <w:rPr>
          <w:rFonts w:ascii="Arial" w:hAnsi="Arial" w:cs="Arial"/>
          <w:b/>
          <w:bCs/>
          <w:sz w:val="36"/>
          <w:szCs w:val="36"/>
        </w:rPr>
        <w:t xml:space="preserve">Student </w:t>
      </w:r>
      <w:r w:rsidR="009F0DFC" w:rsidRPr="00AC61A8">
        <w:rPr>
          <w:rFonts w:ascii="Arial" w:hAnsi="Arial" w:cs="Arial"/>
          <w:b/>
          <w:bCs/>
          <w:sz w:val="36"/>
          <w:szCs w:val="36"/>
        </w:rPr>
        <w:t>Number: -</w:t>
      </w:r>
      <w:r w:rsidRPr="00AC61A8">
        <w:rPr>
          <w:rFonts w:ascii="Arial" w:hAnsi="Arial" w:cs="Arial"/>
          <w:b/>
          <w:bCs/>
          <w:sz w:val="36"/>
          <w:szCs w:val="36"/>
        </w:rPr>
        <w:t xml:space="preserve"> 2412887</w:t>
      </w:r>
    </w:p>
    <w:p w14:paraId="64A14DC8" w14:textId="746069CA" w:rsidR="00B164CB" w:rsidRPr="00AC61A8" w:rsidRDefault="009F0DFC">
      <w:pPr>
        <w:rPr>
          <w:rFonts w:ascii="Arial" w:hAnsi="Arial" w:cs="Arial"/>
          <w:b/>
          <w:bCs/>
          <w:sz w:val="36"/>
          <w:szCs w:val="36"/>
        </w:rPr>
      </w:pPr>
      <w:r w:rsidRPr="00AC61A8">
        <w:rPr>
          <w:rFonts w:ascii="Arial" w:hAnsi="Arial" w:cs="Arial"/>
          <w:b/>
          <w:bCs/>
          <w:sz w:val="36"/>
          <w:szCs w:val="36"/>
        </w:rPr>
        <w:t>Module: -</w:t>
      </w:r>
      <w:r w:rsidR="00B164CB" w:rsidRPr="00AC61A8">
        <w:rPr>
          <w:rFonts w:ascii="Arial" w:hAnsi="Arial" w:cs="Arial"/>
          <w:b/>
          <w:bCs/>
          <w:sz w:val="36"/>
          <w:szCs w:val="36"/>
        </w:rPr>
        <w:t xml:space="preserve"> </w:t>
      </w:r>
      <w:r w:rsidR="00861273" w:rsidRPr="00AC61A8">
        <w:rPr>
          <w:rFonts w:ascii="Arial" w:hAnsi="Arial" w:cs="Arial"/>
          <w:b/>
          <w:bCs/>
          <w:sz w:val="36"/>
          <w:szCs w:val="36"/>
        </w:rPr>
        <w:t>Digital Trans</w:t>
      </w:r>
      <w:r w:rsidR="00526707" w:rsidRPr="00AC61A8">
        <w:rPr>
          <w:rFonts w:ascii="Arial" w:hAnsi="Arial" w:cs="Arial"/>
          <w:b/>
          <w:bCs/>
          <w:sz w:val="36"/>
          <w:szCs w:val="36"/>
        </w:rPr>
        <w:t xml:space="preserve">formation </w:t>
      </w:r>
      <w:r w:rsidRPr="00AC61A8">
        <w:rPr>
          <w:rFonts w:ascii="Arial" w:hAnsi="Arial" w:cs="Arial"/>
          <w:b/>
          <w:bCs/>
          <w:sz w:val="36"/>
          <w:szCs w:val="36"/>
        </w:rPr>
        <w:t>in</w:t>
      </w:r>
      <w:r w:rsidR="00526707" w:rsidRPr="00AC61A8">
        <w:rPr>
          <w:rFonts w:ascii="Arial" w:hAnsi="Arial" w:cs="Arial"/>
          <w:b/>
          <w:bCs/>
          <w:sz w:val="36"/>
          <w:szCs w:val="36"/>
        </w:rPr>
        <w:t xml:space="preserve"> Health </w:t>
      </w:r>
      <w:r w:rsidRPr="00AC61A8">
        <w:rPr>
          <w:rFonts w:ascii="Arial" w:hAnsi="Arial" w:cs="Arial"/>
          <w:b/>
          <w:bCs/>
          <w:sz w:val="36"/>
          <w:szCs w:val="36"/>
        </w:rPr>
        <w:t>and</w:t>
      </w:r>
      <w:r w:rsidR="00526707" w:rsidRPr="00AC61A8">
        <w:rPr>
          <w:rFonts w:ascii="Arial" w:hAnsi="Arial" w:cs="Arial"/>
          <w:b/>
          <w:bCs/>
          <w:sz w:val="36"/>
          <w:szCs w:val="36"/>
        </w:rPr>
        <w:t xml:space="preserve"> </w:t>
      </w:r>
      <w:r w:rsidR="00C60E42" w:rsidRPr="00AC61A8">
        <w:rPr>
          <w:rFonts w:ascii="Arial" w:hAnsi="Arial" w:cs="Arial"/>
          <w:b/>
          <w:bCs/>
          <w:sz w:val="36"/>
          <w:szCs w:val="36"/>
        </w:rPr>
        <w:t xml:space="preserve">care </w:t>
      </w:r>
      <w:r w:rsidR="00CB296F" w:rsidRPr="00AC61A8">
        <w:rPr>
          <w:rFonts w:ascii="Arial" w:hAnsi="Arial" w:cs="Arial"/>
          <w:b/>
          <w:bCs/>
          <w:sz w:val="36"/>
          <w:szCs w:val="36"/>
        </w:rPr>
        <w:t>Prof</w:t>
      </w:r>
      <w:r w:rsidR="00905461" w:rsidRPr="00AC61A8">
        <w:rPr>
          <w:rFonts w:ascii="Arial" w:hAnsi="Arial" w:cs="Arial"/>
          <w:b/>
          <w:bCs/>
          <w:sz w:val="36"/>
          <w:szCs w:val="36"/>
        </w:rPr>
        <w:t>essions</w:t>
      </w:r>
    </w:p>
    <w:p w14:paraId="121DF848" w14:textId="77B7B9B0" w:rsidR="00E168D1" w:rsidRDefault="00E168D1">
      <w:pPr>
        <w:rPr>
          <w:rFonts w:ascii="Arial" w:hAnsi="Arial" w:cs="Arial"/>
          <w:b/>
          <w:bCs/>
          <w:sz w:val="36"/>
          <w:szCs w:val="36"/>
        </w:rPr>
      </w:pPr>
      <w:r w:rsidRPr="00AC61A8">
        <w:rPr>
          <w:rFonts w:ascii="Arial" w:hAnsi="Arial" w:cs="Arial"/>
          <w:b/>
          <w:bCs/>
          <w:sz w:val="36"/>
          <w:szCs w:val="36"/>
        </w:rPr>
        <w:t xml:space="preserve">Module </w:t>
      </w:r>
      <w:r w:rsidR="009F0DFC" w:rsidRPr="00AC61A8">
        <w:rPr>
          <w:rFonts w:ascii="Arial" w:hAnsi="Arial" w:cs="Arial"/>
          <w:b/>
          <w:bCs/>
          <w:sz w:val="36"/>
          <w:szCs w:val="36"/>
        </w:rPr>
        <w:t>Code: - BMHP6026</w:t>
      </w:r>
    </w:p>
    <w:p w14:paraId="7384B7EB" w14:textId="41A7158E" w:rsidR="00F70FD6" w:rsidRPr="00AC61A8" w:rsidRDefault="005E3EC8">
      <w:pPr>
        <w:rPr>
          <w:rFonts w:ascii="Arial" w:hAnsi="Arial" w:cs="Arial"/>
          <w:b/>
          <w:bCs/>
          <w:sz w:val="36"/>
          <w:szCs w:val="36"/>
        </w:rPr>
      </w:pPr>
      <w:r>
        <w:rPr>
          <w:rFonts w:ascii="Arial" w:hAnsi="Arial" w:cs="Arial"/>
          <w:b/>
          <w:bCs/>
          <w:sz w:val="36"/>
          <w:szCs w:val="36"/>
        </w:rPr>
        <w:t>Lecturer: -</w:t>
      </w:r>
      <w:r w:rsidR="00F70FD6">
        <w:rPr>
          <w:rFonts w:ascii="Arial" w:hAnsi="Arial" w:cs="Arial"/>
          <w:b/>
          <w:bCs/>
          <w:sz w:val="36"/>
          <w:szCs w:val="36"/>
        </w:rPr>
        <w:t xml:space="preserve"> Tomy Adattu </w:t>
      </w:r>
      <w:r w:rsidR="00446396">
        <w:rPr>
          <w:rFonts w:ascii="Arial" w:hAnsi="Arial" w:cs="Arial"/>
          <w:b/>
          <w:bCs/>
          <w:sz w:val="36"/>
          <w:szCs w:val="36"/>
        </w:rPr>
        <w:t>Chacko</w:t>
      </w:r>
    </w:p>
    <w:p w14:paraId="68EB3489" w14:textId="0A71CF2E" w:rsidR="00985EA5" w:rsidRPr="00AC61A8" w:rsidRDefault="340A4357" w:rsidP="00E542D0">
      <w:pPr>
        <w:rPr>
          <w:rFonts w:ascii="Arial" w:hAnsi="Arial" w:cs="Arial"/>
          <w:b/>
          <w:bCs/>
          <w:sz w:val="36"/>
          <w:szCs w:val="36"/>
        </w:rPr>
      </w:pPr>
      <w:r w:rsidRPr="208D9DA6">
        <w:rPr>
          <w:rFonts w:ascii="Arial" w:hAnsi="Arial" w:cs="Arial"/>
          <w:b/>
          <w:bCs/>
          <w:sz w:val="36"/>
          <w:szCs w:val="36"/>
        </w:rPr>
        <w:t xml:space="preserve">Component </w:t>
      </w:r>
      <w:bookmarkStart w:id="0" w:name="_Toc240355984"/>
      <w:r w:rsidR="190DC80C" w:rsidRPr="208D9DA6">
        <w:rPr>
          <w:rFonts w:ascii="Arial" w:hAnsi="Arial" w:cs="Arial"/>
          <w:b/>
          <w:bCs/>
          <w:sz w:val="36"/>
          <w:szCs w:val="36"/>
        </w:rPr>
        <w:t>1: -</w:t>
      </w:r>
      <w:r w:rsidR="5EEFAAF8" w:rsidRPr="208D9DA6">
        <w:rPr>
          <w:rFonts w:ascii="Arial" w:hAnsi="Arial" w:cs="Arial"/>
          <w:b/>
          <w:bCs/>
          <w:sz w:val="36"/>
          <w:szCs w:val="36"/>
        </w:rPr>
        <w:t xml:space="preserve"> </w:t>
      </w:r>
      <w:r w:rsidR="426EC548" w:rsidRPr="208D9DA6">
        <w:rPr>
          <w:rFonts w:ascii="Arial" w:hAnsi="Arial" w:cs="Arial"/>
          <w:b/>
          <w:bCs/>
          <w:sz w:val="36"/>
          <w:szCs w:val="36"/>
        </w:rPr>
        <w:t xml:space="preserve">Parkinson’s </w:t>
      </w:r>
      <w:r w:rsidR="37F49D93" w:rsidRPr="208D9DA6">
        <w:rPr>
          <w:rFonts w:ascii="Arial" w:hAnsi="Arial" w:cs="Arial"/>
          <w:b/>
          <w:bCs/>
          <w:sz w:val="36"/>
          <w:szCs w:val="36"/>
        </w:rPr>
        <w:t>Kinet</w:t>
      </w:r>
      <w:r w:rsidR="3E74C599" w:rsidRPr="208D9DA6">
        <w:rPr>
          <w:rFonts w:ascii="Arial" w:hAnsi="Arial" w:cs="Arial"/>
          <w:b/>
          <w:bCs/>
          <w:sz w:val="36"/>
          <w:szCs w:val="36"/>
        </w:rPr>
        <w:t>i</w:t>
      </w:r>
      <w:r w:rsidR="37F49D93" w:rsidRPr="208D9DA6">
        <w:rPr>
          <w:rFonts w:ascii="Arial" w:hAnsi="Arial" w:cs="Arial"/>
          <w:b/>
          <w:bCs/>
          <w:sz w:val="36"/>
          <w:szCs w:val="36"/>
        </w:rPr>
        <w:t>graph: Digital innovation in UK Healthcare.</w:t>
      </w:r>
    </w:p>
    <w:p w14:paraId="41F2E735" w14:textId="2FD81EFC" w:rsidR="00985EA5" w:rsidRDefault="00985EA5" w:rsidP="00C2318F">
      <w:pPr>
        <w:pStyle w:val="Heading1"/>
        <w:rPr>
          <w:rFonts w:eastAsia="Times New Roman"/>
          <w:b/>
          <w:color w:val="000000" w:themeColor="text1"/>
          <w:sz w:val="36"/>
        </w:rPr>
      </w:pPr>
    </w:p>
    <w:p w14:paraId="4F6849F5" w14:textId="06152EA1" w:rsidR="00C8727F" w:rsidRPr="00345E95" w:rsidRDefault="00C8727F" w:rsidP="208D9DA6">
      <w:pPr>
        <w:rPr>
          <w:rFonts w:ascii="Arial" w:eastAsia="Arial" w:hAnsi="Arial" w:cs="Arial"/>
          <w:b/>
          <w:bCs/>
        </w:rPr>
      </w:pPr>
    </w:p>
    <w:p w14:paraId="06949645" w14:textId="7F4E55CC" w:rsidR="00F96476" w:rsidRDefault="00F96476" w:rsidP="208D9DA6">
      <w:pPr>
        <w:rPr>
          <w:rFonts w:ascii="Arial" w:eastAsia="Arial" w:hAnsi="Arial" w:cs="Arial"/>
          <w:b/>
          <w:bCs/>
        </w:rPr>
      </w:pPr>
    </w:p>
    <w:p w14:paraId="6D6D822B" w14:textId="3F6E910A" w:rsidR="30539922" w:rsidRDefault="30539922" w:rsidP="30539922">
      <w:pPr>
        <w:rPr>
          <w:rFonts w:ascii="Arial" w:eastAsia="Arial" w:hAnsi="Arial" w:cs="Arial"/>
          <w:b/>
          <w:bCs/>
        </w:rPr>
      </w:pPr>
    </w:p>
    <w:p w14:paraId="73707518" w14:textId="77777777" w:rsidR="00AA06AB" w:rsidRDefault="00AA06AB" w:rsidP="208D9DA6">
      <w:pPr>
        <w:rPr>
          <w:rFonts w:ascii="Arial" w:eastAsia="Arial" w:hAnsi="Arial" w:cs="Arial"/>
          <w:b/>
          <w:bCs/>
        </w:rPr>
      </w:pPr>
    </w:p>
    <w:p w14:paraId="3C3B2FF8" w14:textId="592F4C72" w:rsidR="00C8727F" w:rsidRPr="00E36C89" w:rsidRDefault="102D154D" w:rsidP="208D9DA6">
      <w:pPr>
        <w:rPr>
          <w:rFonts w:ascii="Arial" w:eastAsia="Arial" w:hAnsi="Arial" w:cs="Arial"/>
          <w:b/>
          <w:bCs/>
          <w:sz w:val="28"/>
          <w:szCs w:val="28"/>
        </w:rPr>
      </w:pPr>
      <w:r w:rsidRPr="00E36C89">
        <w:rPr>
          <w:rFonts w:ascii="Arial" w:eastAsia="Arial" w:hAnsi="Arial" w:cs="Arial"/>
          <w:b/>
          <w:bCs/>
          <w:sz w:val="28"/>
          <w:szCs w:val="28"/>
        </w:rPr>
        <w:lastRenderedPageBreak/>
        <w:t>Table of Contents</w:t>
      </w:r>
    </w:p>
    <w:sdt>
      <w:sdtPr>
        <w:rPr>
          <w:rFonts w:asciiTheme="minorHAnsi" w:hAnsiTheme="minorHAnsi" w:cstheme="minorBidi"/>
          <w:b w:val="0"/>
          <w:noProof w:val="0"/>
          <w:sz w:val="22"/>
          <w:szCs w:val="22"/>
        </w:rPr>
        <w:id w:val="1488104073"/>
        <w:docPartObj>
          <w:docPartGallery w:val="Table of Contents"/>
          <w:docPartUnique/>
        </w:docPartObj>
      </w:sdtPr>
      <w:sdtEndPr/>
      <w:sdtContent>
        <w:p w14:paraId="7CE3C4FC" w14:textId="359E7BEE" w:rsidR="00F53ACA" w:rsidRPr="00EB5A10" w:rsidRDefault="47100891">
          <w:pPr>
            <w:pStyle w:val="TOC1"/>
            <w:rPr>
              <w:rFonts w:eastAsiaTheme="minorEastAsia"/>
              <w:b w:val="0"/>
              <w:kern w:val="2"/>
              <w:sz w:val="22"/>
              <w:szCs w:val="22"/>
              <w:lang w:eastAsia="en-GB"/>
              <w14:ligatures w14:val="standardContextual"/>
            </w:rPr>
          </w:pPr>
          <w:r w:rsidRPr="00EB5A10">
            <w:rPr>
              <w:sz w:val="22"/>
              <w:szCs w:val="22"/>
            </w:rPr>
            <w:fldChar w:fldCharType="begin"/>
          </w:r>
          <w:r w:rsidRPr="00EB5A10">
            <w:rPr>
              <w:sz w:val="22"/>
              <w:szCs w:val="22"/>
            </w:rPr>
            <w:instrText>TOC \o \z \u \h</w:instrText>
          </w:r>
          <w:r w:rsidRPr="00EB5A10">
            <w:rPr>
              <w:sz w:val="22"/>
              <w:szCs w:val="22"/>
            </w:rPr>
            <w:fldChar w:fldCharType="separate"/>
          </w:r>
          <w:hyperlink w:anchor="_Toc240561368" w:history="1">
            <w:r w:rsidR="00F53ACA" w:rsidRPr="00EB5A10">
              <w:rPr>
                <w:rStyle w:val="Hyperlink"/>
                <w:rFonts w:eastAsia="Arial"/>
                <w:sz w:val="22"/>
                <w:szCs w:val="22"/>
              </w:rPr>
              <w:t>1. Introduction</w:t>
            </w:r>
            <w:r w:rsidR="00F53ACA" w:rsidRPr="00EB5A10">
              <w:rPr>
                <w:webHidden/>
                <w:sz w:val="22"/>
                <w:szCs w:val="22"/>
              </w:rPr>
              <w:tab/>
            </w:r>
            <w:r w:rsidR="00F53ACA" w:rsidRPr="00EB5A10">
              <w:rPr>
                <w:webHidden/>
                <w:sz w:val="22"/>
                <w:szCs w:val="22"/>
              </w:rPr>
              <w:fldChar w:fldCharType="begin"/>
            </w:r>
            <w:r w:rsidR="00F53ACA" w:rsidRPr="00EB5A10">
              <w:rPr>
                <w:webHidden/>
                <w:sz w:val="22"/>
                <w:szCs w:val="22"/>
              </w:rPr>
              <w:instrText xml:space="preserve"> PAGEREF _Toc240561368 \h </w:instrText>
            </w:r>
            <w:r w:rsidR="00F53ACA" w:rsidRPr="00EB5A10">
              <w:rPr>
                <w:webHidden/>
                <w:sz w:val="22"/>
                <w:szCs w:val="22"/>
              </w:rPr>
            </w:r>
            <w:r w:rsidR="00F53ACA" w:rsidRPr="00EB5A10">
              <w:rPr>
                <w:webHidden/>
                <w:sz w:val="22"/>
                <w:szCs w:val="22"/>
              </w:rPr>
              <w:fldChar w:fldCharType="separate"/>
            </w:r>
            <w:r w:rsidR="00F53ACA" w:rsidRPr="00EB5A10">
              <w:rPr>
                <w:webHidden/>
                <w:sz w:val="22"/>
                <w:szCs w:val="22"/>
              </w:rPr>
              <w:t>2</w:t>
            </w:r>
            <w:r w:rsidR="00F53ACA" w:rsidRPr="00EB5A10">
              <w:rPr>
                <w:webHidden/>
                <w:sz w:val="22"/>
                <w:szCs w:val="22"/>
              </w:rPr>
              <w:fldChar w:fldCharType="end"/>
            </w:r>
          </w:hyperlink>
        </w:p>
        <w:p w14:paraId="4908EFF5" w14:textId="0E5A24FA" w:rsidR="00F53ACA" w:rsidRPr="00EB5A10" w:rsidRDefault="00F53ACA">
          <w:pPr>
            <w:pStyle w:val="TOC1"/>
            <w:rPr>
              <w:rFonts w:eastAsiaTheme="minorEastAsia"/>
              <w:b w:val="0"/>
              <w:kern w:val="2"/>
              <w:sz w:val="22"/>
              <w:szCs w:val="22"/>
              <w:lang w:eastAsia="en-GB"/>
              <w14:ligatures w14:val="standardContextual"/>
            </w:rPr>
          </w:pPr>
          <w:hyperlink w:anchor="_Toc240561369" w:history="1">
            <w:r w:rsidRPr="00EB5A10">
              <w:rPr>
                <w:rStyle w:val="Hyperlink"/>
                <w:rFonts w:eastAsia="Arial"/>
                <w:sz w:val="22"/>
                <w:szCs w:val="22"/>
              </w:rPr>
              <w:t>2. Critical Evaluation: Impact on the Workforce</w:t>
            </w:r>
            <w:r w:rsidRPr="00EB5A10">
              <w:rPr>
                <w:webHidden/>
                <w:sz w:val="22"/>
                <w:szCs w:val="22"/>
              </w:rPr>
              <w:tab/>
            </w:r>
            <w:r w:rsidRPr="00EB5A10">
              <w:rPr>
                <w:webHidden/>
                <w:sz w:val="22"/>
                <w:szCs w:val="22"/>
              </w:rPr>
              <w:fldChar w:fldCharType="begin"/>
            </w:r>
            <w:r w:rsidRPr="00EB5A10">
              <w:rPr>
                <w:webHidden/>
                <w:sz w:val="22"/>
                <w:szCs w:val="22"/>
              </w:rPr>
              <w:instrText xml:space="preserve"> PAGEREF _Toc240561369 \h </w:instrText>
            </w:r>
            <w:r w:rsidRPr="00EB5A10">
              <w:rPr>
                <w:webHidden/>
                <w:sz w:val="22"/>
                <w:szCs w:val="22"/>
              </w:rPr>
            </w:r>
            <w:r w:rsidRPr="00EB5A10">
              <w:rPr>
                <w:webHidden/>
                <w:sz w:val="22"/>
                <w:szCs w:val="22"/>
              </w:rPr>
              <w:fldChar w:fldCharType="separate"/>
            </w:r>
            <w:r w:rsidRPr="00EB5A10">
              <w:rPr>
                <w:webHidden/>
                <w:sz w:val="22"/>
                <w:szCs w:val="22"/>
              </w:rPr>
              <w:t>2</w:t>
            </w:r>
            <w:r w:rsidRPr="00EB5A10">
              <w:rPr>
                <w:webHidden/>
                <w:sz w:val="22"/>
                <w:szCs w:val="22"/>
              </w:rPr>
              <w:fldChar w:fldCharType="end"/>
            </w:r>
          </w:hyperlink>
        </w:p>
        <w:p w14:paraId="76EA5FF2" w14:textId="1B74C075" w:rsidR="00F53ACA" w:rsidRPr="00EB5A10" w:rsidRDefault="00F53ACA">
          <w:pPr>
            <w:pStyle w:val="TOC2"/>
            <w:rPr>
              <w:rFonts w:eastAsiaTheme="minorEastAsia"/>
              <w:kern w:val="2"/>
              <w:lang w:eastAsia="en-GB"/>
              <w14:ligatures w14:val="standardContextual"/>
            </w:rPr>
          </w:pPr>
          <w:hyperlink w:anchor="_Toc240561370" w:history="1">
            <w:r w:rsidRPr="00EB5A10">
              <w:rPr>
                <w:rStyle w:val="Hyperlink"/>
                <w:rFonts w:eastAsia="Arial"/>
              </w:rPr>
              <w:t>2.1 Transformation of Professional Practice</w:t>
            </w:r>
            <w:r w:rsidRPr="00EB5A10">
              <w:rPr>
                <w:webHidden/>
              </w:rPr>
              <w:tab/>
            </w:r>
            <w:r w:rsidRPr="00EB5A10">
              <w:rPr>
                <w:webHidden/>
              </w:rPr>
              <w:fldChar w:fldCharType="begin"/>
            </w:r>
            <w:r w:rsidRPr="00EB5A10">
              <w:rPr>
                <w:webHidden/>
              </w:rPr>
              <w:instrText xml:space="preserve"> PAGEREF _Toc240561370 \h </w:instrText>
            </w:r>
            <w:r w:rsidRPr="00EB5A10">
              <w:rPr>
                <w:webHidden/>
              </w:rPr>
            </w:r>
            <w:r w:rsidRPr="00EB5A10">
              <w:rPr>
                <w:webHidden/>
              </w:rPr>
              <w:fldChar w:fldCharType="separate"/>
            </w:r>
            <w:r w:rsidRPr="00EB5A10">
              <w:rPr>
                <w:webHidden/>
              </w:rPr>
              <w:t>2</w:t>
            </w:r>
            <w:r w:rsidRPr="00EB5A10">
              <w:rPr>
                <w:webHidden/>
              </w:rPr>
              <w:fldChar w:fldCharType="end"/>
            </w:r>
          </w:hyperlink>
        </w:p>
        <w:p w14:paraId="186FADDE" w14:textId="73FE4AF9" w:rsidR="00F53ACA" w:rsidRPr="00EB5A10" w:rsidRDefault="00F53ACA">
          <w:pPr>
            <w:pStyle w:val="TOC2"/>
            <w:rPr>
              <w:rFonts w:eastAsiaTheme="minorEastAsia"/>
              <w:kern w:val="2"/>
              <w:lang w:eastAsia="en-GB"/>
              <w14:ligatures w14:val="standardContextual"/>
            </w:rPr>
          </w:pPr>
          <w:hyperlink w:anchor="_Toc240561371" w:history="1">
            <w:r w:rsidRPr="00EB5A10">
              <w:rPr>
                <w:rStyle w:val="Hyperlink"/>
                <w:rFonts w:eastAsia="Arial"/>
              </w:rPr>
              <w:t>2.2 Workforce Skills and Digital Competence</w:t>
            </w:r>
            <w:r w:rsidRPr="00EB5A10">
              <w:rPr>
                <w:webHidden/>
              </w:rPr>
              <w:tab/>
            </w:r>
            <w:r w:rsidRPr="00EB5A10">
              <w:rPr>
                <w:webHidden/>
              </w:rPr>
              <w:fldChar w:fldCharType="begin"/>
            </w:r>
            <w:r w:rsidRPr="00EB5A10">
              <w:rPr>
                <w:webHidden/>
              </w:rPr>
              <w:instrText xml:space="preserve"> PAGEREF _Toc240561371 \h </w:instrText>
            </w:r>
            <w:r w:rsidRPr="00EB5A10">
              <w:rPr>
                <w:webHidden/>
              </w:rPr>
            </w:r>
            <w:r w:rsidRPr="00EB5A10">
              <w:rPr>
                <w:webHidden/>
              </w:rPr>
              <w:fldChar w:fldCharType="separate"/>
            </w:r>
            <w:r w:rsidRPr="00EB5A10">
              <w:rPr>
                <w:webHidden/>
              </w:rPr>
              <w:t>3</w:t>
            </w:r>
            <w:r w:rsidRPr="00EB5A10">
              <w:rPr>
                <w:webHidden/>
              </w:rPr>
              <w:fldChar w:fldCharType="end"/>
            </w:r>
          </w:hyperlink>
        </w:p>
        <w:p w14:paraId="0F6DE74E" w14:textId="7597FD2E" w:rsidR="00F53ACA" w:rsidRPr="00EB5A10" w:rsidRDefault="00F53ACA">
          <w:pPr>
            <w:pStyle w:val="TOC2"/>
            <w:rPr>
              <w:rFonts w:eastAsiaTheme="minorEastAsia"/>
              <w:kern w:val="2"/>
              <w:lang w:eastAsia="en-GB"/>
              <w14:ligatures w14:val="standardContextual"/>
            </w:rPr>
          </w:pPr>
          <w:hyperlink w:anchor="_Toc240561372" w:history="1">
            <w:r w:rsidRPr="00EB5A10">
              <w:rPr>
                <w:rStyle w:val="Hyperlink"/>
                <w:rFonts w:eastAsia="Arial"/>
              </w:rPr>
              <w:t>2.3 Workload, Roles and Responsibilities</w:t>
            </w:r>
            <w:r w:rsidRPr="00EB5A10">
              <w:rPr>
                <w:webHidden/>
              </w:rPr>
              <w:tab/>
            </w:r>
            <w:r w:rsidRPr="00EB5A10">
              <w:rPr>
                <w:webHidden/>
              </w:rPr>
              <w:fldChar w:fldCharType="begin"/>
            </w:r>
            <w:r w:rsidRPr="00EB5A10">
              <w:rPr>
                <w:webHidden/>
              </w:rPr>
              <w:instrText xml:space="preserve"> PAGEREF _Toc240561372 \h </w:instrText>
            </w:r>
            <w:r w:rsidRPr="00EB5A10">
              <w:rPr>
                <w:webHidden/>
              </w:rPr>
            </w:r>
            <w:r w:rsidRPr="00EB5A10">
              <w:rPr>
                <w:webHidden/>
              </w:rPr>
              <w:fldChar w:fldCharType="separate"/>
            </w:r>
            <w:r w:rsidRPr="00EB5A10">
              <w:rPr>
                <w:webHidden/>
              </w:rPr>
              <w:t>3</w:t>
            </w:r>
            <w:r w:rsidRPr="00EB5A10">
              <w:rPr>
                <w:webHidden/>
              </w:rPr>
              <w:fldChar w:fldCharType="end"/>
            </w:r>
          </w:hyperlink>
        </w:p>
        <w:p w14:paraId="064F6405" w14:textId="2F02028E" w:rsidR="00F53ACA" w:rsidRPr="00EB5A10" w:rsidRDefault="00F53ACA">
          <w:pPr>
            <w:pStyle w:val="TOC2"/>
            <w:rPr>
              <w:rFonts w:eastAsiaTheme="minorEastAsia"/>
              <w:kern w:val="2"/>
              <w:lang w:eastAsia="en-GB"/>
              <w14:ligatures w14:val="standardContextual"/>
            </w:rPr>
          </w:pPr>
          <w:hyperlink w:anchor="_Toc240561373" w:history="1">
            <w:r w:rsidRPr="00EB5A10">
              <w:rPr>
                <w:rStyle w:val="Hyperlink"/>
                <w:rFonts w:eastAsia="Arial"/>
              </w:rPr>
              <w:t>2.4 Professional Accountability and Workforce Sustainability</w:t>
            </w:r>
            <w:r w:rsidRPr="00EB5A10">
              <w:rPr>
                <w:webHidden/>
              </w:rPr>
              <w:tab/>
            </w:r>
            <w:r w:rsidRPr="00EB5A10">
              <w:rPr>
                <w:webHidden/>
              </w:rPr>
              <w:fldChar w:fldCharType="begin"/>
            </w:r>
            <w:r w:rsidRPr="00EB5A10">
              <w:rPr>
                <w:webHidden/>
              </w:rPr>
              <w:instrText xml:space="preserve"> PAGEREF _Toc240561373 \h </w:instrText>
            </w:r>
            <w:r w:rsidRPr="00EB5A10">
              <w:rPr>
                <w:webHidden/>
              </w:rPr>
            </w:r>
            <w:r w:rsidRPr="00EB5A10">
              <w:rPr>
                <w:webHidden/>
              </w:rPr>
              <w:fldChar w:fldCharType="separate"/>
            </w:r>
            <w:r w:rsidRPr="00EB5A10">
              <w:rPr>
                <w:webHidden/>
              </w:rPr>
              <w:t>3</w:t>
            </w:r>
            <w:r w:rsidRPr="00EB5A10">
              <w:rPr>
                <w:webHidden/>
              </w:rPr>
              <w:fldChar w:fldCharType="end"/>
            </w:r>
          </w:hyperlink>
        </w:p>
        <w:p w14:paraId="2EBCCEA3" w14:textId="65FE7E3B" w:rsidR="00F53ACA" w:rsidRPr="00EB5A10" w:rsidRDefault="00F53ACA">
          <w:pPr>
            <w:pStyle w:val="TOC1"/>
            <w:rPr>
              <w:rFonts w:eastAsiaTheme="minorEastAsia"/>
              <w:b w:val="0"/>
              <w:kern w:val="2"/>
              <w:sz w:val="22"/>
              <w:szCs w:val="22"/>
              <w:lang w:eastAsia="en-GB"/>
              <w14:ligatures w14:val="standardContextual"/>
            </w:rPr>
          </w:pPr>
          <w:hyperlink w:anchor="_Toc240561374" w:history="1">
            <w:r w:rsidRPr="00EB5A10">
              <w:rPr>
                <w:rStyle w:val="Hyperlink"/>
                <w:rFonts w:eastAsia="Arial"/>
                <w:sz w:val="22"/>
                <w:szCs w:val="22"/>
              </w:rPr>
              <w:t>3. Critical Evaluation: Impact on Service Delivery</w:t>
            </w:r>
            <w:r w:rsidRPr="00EB5A10">
              <w:rPr>
                <w:webHidden/>
                <w:sz w:val="22"/>
                <w:szCs w:val="22"/>
              </w:rPr>
              <w:tab/>
            </w:r>
            <w:r w:rsidRPr="00EB5A10">
              <w:rPr>
                <w:webHidden/>
                <w:sz w:val="22"/>
                <w:szCs w:val="22"/>
              </w:rPr>
              <w:fldChar w:fldCharType="begin"/>
            </w:r>
            <w:r w:rsidRPr="00EB5A10">
              <w:rPr>
                <w:webHidden/>
                <w:sz w:val="22"/>
                <w:szCs w:val="22"/>
              </w:rPr>
              <w:instrText xml:space="preserve"> PAGEREF _Toc240561374 \h </w:instrText>
            </w:r>
            <w:r w:rsidRPr="00EB5A10">
              <w:rPr>
                <w:webHidden/>
                <w:sz w:val="22"/>
                <w:szCs w:val="22"/>
              </w:rPr>
            </w:r>
            <w:r w:rsidRPr="00EB5A10">
              <w:rPr>
                <w:webHidden/>
                <w:sz w:val="22"/>
                <w:szCs w:val="22"/>
              </w:rPr>
              <w:fldChar w:fldCharType="separate"/>
            </w:r>
            <w:r w:rsidRPr="00EB5A10">
              <w:rPr>
                <w:webHidden/>
                <w:sz w:val="22"/>
                <w:szCs w:val="22"/>
              </w:rPr>
              <w:t>4</w:t>
            </w:r>
            <w:r w:rsidRPr="00EB5A10">
              <w:rPr>
                <w:webHidden/>
                <w:sz w:val="22"/>
                <w:szCs w:val="22"/>
              </w:rPr>
              <w:fldChar w:fldCharType="end"/>
            </w:r>
          </w:hyperlink>
        </w:p>
        <w:p w14:paraId="1C500D3F" w14:textId="2523BDF2" w:rsidR="00F53ACA" w:rsidRPr="00EB5A10" w:rsidRDefault="00F53ACA">
          <w:pPr>
            <w:pStyle w:val="TOC2"/>
            <w:rPr>
              <w:rFonts w:eastAsiaTheme="minorEastAsia"/>
              <w:kern w:val="2"/>
              <w:lang w:eastAsia="en-GB"/>
              <w14:ligatures w14:val="standardContextual"/>
            </w:rPr>
          </w:pPr>
          <w:hyperlink w:anchor="_Toc240561375" w:history="1">
            <w:r w:rsidRPr="00EB5A10">
              <w:rPr>
                <w:rStyle w:val="Hyperlink"/>
                <w:rFonts w:eastAsia="Arial"/>
              </w:rPr>
              <w:t>3.1 From Episodic to Longitudinal Service Delivery</w:t>
            </w:r>
            <w:r w:rsidRPr="00EB5A10">
              <w:rPr>
                <w:webHidden/>
              </w:rPr>
              <w:tab/>
            </w:r>
            <w:r w:rsidRPr="00EB5A10">
              <w:rPr>
                <w:webHidden/>
              </w:rPr>
              <w:fldChar w:fldCharType="begin"/>
            </w:r>
            <w:r w:rsidRPr="00EB5A10">
              <w:rPr>
                <w:webHidden/>
              </w:rPr>
              <w:instrText xml:space="preserve"> PAGEREF _Toc240561375 \h </w:instrText>
            </w:r>
            <w:r w:rsidRPr="00EB5A10">
              <w:rPr>
                <w:webHidden/>
              </w:rPr>
            </w:r>
            <w:r w:rsidRPr="00EB5A10">
              <w:rPr>
                <w:webHidden/>
              </w:rPr>
              <w:fldChar w:fldCharType="separate"/>
            </w:r>
            <w:r w:rsidRPr="00EB5A10">
              <w:rPr>
                <w:webHidden/>
              </w:rPr>
              <w:t>4</w:t>
            </w:r>
            <w:r w:rsidRPr="00EB5A10">
              <w:rPr>
                <w:webHidden/>
              </w:rPr>
              <w:fldChar w:fldCharType="end"/>
            </w:r>
          </w:hyperlink>
        </w:p>
        <w:p w14:paraId="4618EF0C" w14:textId="5446B307" w:rsidR="00F53ACA" w:rsidRPr="00EB5A10" w:rsidRDefault="00F53ACA">
          <w:pPr>
            <w:pStyle w:val="TOC2"/>
            <w:rPr>
              <w:rFonts w:eastAsiaTheme="minorEastAsia"/>
              <w:kern w:val="2"/>
              <w:lang w:eastAsia="en-GB"/>
              <w14:ligatures w14:val="standardContextual"/>
            </w:rPr>
          </w:pPr>
          <w:hyperlink w:anchor="_Toc240561376" w:history="1">
            <w:r w:rsidRPr="00EB5A10">
              <w:rPr>
                <w:rStyle w:val="Hyperlink"/>
                <w:rFonts w:eastAsia="Arial"/>
              </w:rPr>
              <w:t>3.2 Clinical Decision-Making and Personalised Care</w:t>
            </w:r>
            <w:r w:rsidRPr="00EB5A10">
              <w:rPr>
                <w:webHidden/>
              </w:rPr>
              <w:tab/>
            </w:r>
            <w:r w:rsidRPr="00EB5A10">
              <w:rPr>
                <w:webHidden/>
              </w:rPr>
              <w:fldChar w:fldCharType="begin"/>
            </w:r>
            <w:r w:rsidRPr="00EB5A10">
              <w:rPr>
                <w:webHidden/>
              </w:rPr>
              <w:instrText xml:space="preserve"> PAGEREF _Toc240561376 \h </w:instrText>
            </w:r>
            <w:r w:rsidRPr="00EB5A10">
              <w:rPr>
                <w:webHidden/>
              </w:rPr>
            </w:r>
            <w:r w:rsidRPr="00EB5A10">
              <w:rPr>
                <w:webHidden/>
              </w:rPr>
              <w:fldChar w:fldCharType="separate"/>
            </w:r>
            <w:r w:rsidRPr="00EB5A10">
              <w:rPr>
                <w:webHidden/>
              </w:rPr>
              <w:t>5</w:t>
            </w:r>
            <w:r w:rsidRPr="00EB5A10">
              <w:rPr>
                <w:webHidden/>
              </w:rPr>
              <w:fldChar w:fldCharType="end"/>
            </w:r>
          </w:hyperlink>
        </w:p>
        <w:p w14:paraId="45976BF0" w14:textId="69FB5A03" w:rsidR="00F53ACA" w:rsidRPr="00EB5A10" w:rsidRDefault="00F53ACA">
          <w:pPr>
            <w:pStyle w:val="TOC2"/>
            <w:rPr>
              <w:rFonts w:eastAsiaTheme="minorEastAsia"/>
              <w:kern w:val="2"/>
              <w:lang w:eastAsia="en-GB"/>
              <w14:ligatures w14:val="standardContextual"/>
            </w:rPr>
          </w:pPr>
          <w:hyperlink w:anchor="_Toc240561377" w:history="1">
            <w:r w:rsidRPr="00EB5A10">
              <w:rPr>
                <w:rStyle w:val="Hyperlink"/>
                <w:rFonts w:eastAsia="Arial"/>
              </w:rPr>
              <w:t>3.3 Efficiency, Access and Hybrid Care</w:t>
            </w:r>
            <w:r w:rsidRPr="00EB5A10">
              <w:rPr>
                <w:webHidden/>
              </w:rPr>
              <w:tab/>
            </w:r>
            <w:r w:rsidRPr="00EB5A10">
              <w:rPr>
                <w:webHidden/>
              </w:rPr>
              <w:fldChar w:fldCharType="begin"/>
            </w:r>
            <w:r w:rsidRPr="00EB5A10">
              <w:rPr>
                <w:webHidden/>
              </w:rPr>
              <w:instrText xml:space="preserve"> PAGEREF _Toc240561377 \h </w:instrText>
            </w:r>
            <w:r w:rsidRPr="00EB5A10">
              <w:rPr>
                <w:webHidden/>
              </w:rPr>
            </w:r>
            <w:r w:rsidRPr="00EB5A10">
              <w:rPr>
                <w:webHidden/>
              </w:rPr>
              <w:fldChar w:fldCharType="separate"/>
            </w:r>
            <w:r w:rsidRPr="00EB5A10">
              <w:rPr>
                <w:webHidden/>
              </w:rPr>
              <w:t>5</w:t>
            </w:r>
            <w:r w:rsidRPr="00EB5A10">
              <w:rPr>
                <w:webHidden/>
              </w:rPr>
              <w:fldChar w:fldCharType="end"/>
            </w:r>
          </w:hyperlink>
        </w:p>
        <w:p w14:paraId="5D14A217" w14:textId="5A8B0EEB" w:rsidR="00F53ACA" w:rsidRPr="00EB5A10" w:rsidRDefault="00F53ACA">
          <w:pPr>
            <w:pStyle w:val="TOC2"/>
            <w:rPr>
              <w:rFonts w:eastAsiaTheme="minorEastAsia"/>
              <w:kern w:val="2"/>
              <w:lang w:eastAsia="en-GB"/>
              <w14:ligatures w14:val="standardContextual"/>
            </w:rPr>
          </w:pPr>
          <w:hyperlink w:anchor="_Toc240561378" w:history="1">
            <w:r w:rsidRPr="00EB5A10">
              <w:rPr>
                <w:rStyle w:val="Hyperlink"/>
                <w:rFonts w:eastAsia="Arial"/>
              </w:rPr>
              <w:t>3.4 Integration, Resources and Sustainability</w:t>
            </w:r>
            <w:r w:rsidRPr="00EB5A10">
              <w:rPr>
                <w:webHidden/>
              </w:rPr>
              <w:tab/>
            </w:r>
            <w:r w:rsidRPr="00EB5A10">
              <w:rPr>
                <w:webHidden/>
              </w:rPr>
              <w:fldChar w:fldCharType="begin"/>
            </w:r>
            <w:r w:rsidRPr="00EB5A10">
              <w:rPr>
                <w:webHidden/>
              </w:rPr>
              <w:instrText xml:space="preserve"> PAGEREF _Toc240561378 \h </w:instrText>
            </w:r>
            <w:r w:rsidRPr="00EB5A10">
              <w:rPr>
                <w:webHidden/>
              </w:rPr>
            </w:r>
            <w:r w:rsidRPr="00EB5A10">
              <w:rPr>
                <w:webHidden/>
              </w:rPr>
              <w:fldChar w:fldCharType="separate"/>
            </w:r>
            <w:r w:rsidRPr="00EB5A10">
              <w:rPr>
                <w:webHidden/>
              </w:rPr>
              <w:t>5</w:t>
            </w:r>
            <w:r w:rsidRPr="00EB5A10">
              <w:rPr>
                <w:webHidden/>
              </w:rPr>
              <w:fldChar w:fldCharType="end"/>
            </w:r>
          </w:hyperlink>
        </w:p>
        <w:p w14:paraId="7B9B2644" w14:textId="532A368B" w:rsidR="00F53ACA" w:rsidRPr="00EB5A10" w:rsidRDefault="00F53ACA">
          <w:pPr>
            <w:pStyle w:val="TOC1"/>
            <w:rPr>
              <w:rFonts w:eastAsiaTheme="minorEastAsia"/>
              <w:b w:val="0"/>
              <w:kern w:val="2"/>
              <w:sz w:val="22"/>
              <w:szCs w:val="22"/>
              <w:lang w:eastAsia="en-GB"/>
              <w14:ligatures w14:val="standardContextual"/>
            </w:rPr>
          </w:pPr>
          <w:hyperlink w:anchor="_Toc240561379" w:history="1">
            <w:r w:rsidRPr="00EB5A10">
              <w:rPr>
                <w:rStyle w:val="Hyperlink"/>
                <w:rFonts w:eastAsia="Arial"/>
                <w:sz w:val="22"/>
                <w:szCs w:val="22"/>
              </w:rPr>
              <w:t>4. Critical Evaluation: Impact on Patients and Service Users</w:t>
            </w:r>
            <w:r w:rsidRPr="00EB5A10">
              <w:rPr>
                <w:webHidden/>
                <w:sz w:val="22"/>
                <w:szCs w:val="22"/>
              </w:rPr>
              <w:tab/>
            </w:r>
            <w:r w:rsidRPr="00EB5A10">
              <w:rPr>
                <w:webHidden/>
                <w:sz w:val="22"/>
                <w:szCs w:val="22"/>
              </w:rPr>
              <w:fldChar w:fldCharType="begin"/>
            </w:r>
            <w:r w:rsidRPr="00EB5A10">
              <w:rPr>
                <w:webHidden/>
                <w:sz w:val="22"/>
                <w:szCs w:val="22"/>
              </w:rPr>
              <w:instrText xml:space="preserve"> PAGEREF _Toc240561379 \h </w:instrText>
            </w:r>
            <w:r w:rsidRPr="00EB5A10">
              <w:rPr>
                <w:webHidden/>
                <w:sz w:val="22"/>
                <w:szCs w:val="22"/>
              </w:rPr>
            </w:r>
            <w:r w:rsidRPr="00EB5A10">
              <w:rPr>
                <w:webHidden/>
                <w:sz w:val="22"/>
                <w:szCs w:val="22"/>
              </w:rPr>
              <w:fldChar w:fldCharType="separate"/>
            </w:r>
            <w:r w:rsidRPr="00EB5A10">
              <w:rPr>
                <w:webHidden/>
                <w:sz w:val="22"/>
                <w:szCs w:val="22"/>
              </w:rPr>
              <w:t>5</w:t>
            </w:r>
            <w:r w:rsidRPr="00EB5A10">
              <w:rPr>
                <w:webHidden/>
                <w:sz w:val="22"/>
                <w:szCs w:val="22"/>
              </w:rPr>
              <w:fldChar w:fldCharType="end"/>
            </w:r>
          </w:hyperlink>
        </w:p>
        <w:p w14:paraId="0A17FDB6" w14:textId="37CA3E4B" w:rsidR="00F53ACA" w:rsidRPr="00EB5A10" w:rsidRDefault="00F53ACA">
          <w:pPr>
            <w:pStyle w:val="TOC2"/>
            <w:rPr>
              <w:rFonts w:eastAsiaTheme="minorEastAsia"/>
              <w:kern w:val="2"/>
              <w:lang w:eastAsia="en-GB"/>
              <w14:ligatures w14:val="standardContextual"/>
            </w:rPr>
          </w:pPr>
          <w:hyperlink w:anchor="_Toc240561380" w:history="1">
            <w:r w:rsidRPr="00EB5A10">
              <w:rPr>
                <w:rStyle w:val="Hyperlink"/>
                <w:rFonts w:eastAsia="Arial"/>
              </w:rPr>
              <w:t>4.1 Symptom Recognition and Personalised Care</w:t>
            </w:r>
            <w:r w:rsidRPr="00EB5A10">
              <w:rPr>
                <w:webHidden/>
              </w:rPr>
              <w:tab/>
            </w:r>
            <w:r w:rsidRPr="00EB5A10">
              <w:rPr>
                <w:webHidden/>
              </w:rPr>
              <w:fldChar w:fldCharType="begin"/>
            </w:r>
            <w:r w:rsidRPr="00EB5A10">
              <w:rPr>
                <w:webHidden/>
              </w:rPr>
              <w:instrText xml:space="preserve"> PAGEREF _Toc240561380 \h </w:instrText>
            </w:r>
            <w:r w:rsidRPr="00EB5A10">
              <w:rPr>
                <w:webHidden/>
              </w:rPr>
            </w:r>
            <w:r w:rsidRPr="00EB5A10">
              <w:rPr>
                <w:webHidden/>
              </w:rPr>
              <w:fldChar w:fldCharType="separate"/>
            </w:r>
            <w:r w:rsidRPr="00EB5A10">
              <w:rPr>
                <w:webHidden/>
              </w:rPr>
              <w:t>6</w:t>
            </w:r>
            <w:r w:rsidRPr="00EB5A10">
              <w:rPr>
                <w:webHidden/>
              </w:rPr>
              <w:fldChar w:fldCharType="end"/>
            </w:r>
          </w:hyperlink>
        </w:p>
        <w:p w14:paraId="556CDE19" w14:textId="6308067A" w:rsidR="00F53ACA" w:rsidRPr="00EB5A10" w:rsidRDefault="00F53ACA">
          <w:pPr>
            <w:pStyle w:val="TOC2"/>
            <w:rPr>
              <w:rFonts w:eastAsiaTheme="minorEastAsia"/>
              <w:kern w:val="2"/>
              <w:lang w:eastAsia="en-GB"/>
              <w14:ligatures w14:val="standardContextual"/>
            </w:rPr>
          </w:pPr>
          <w:hyperlink w:anchor="_Toc240561381" w:history="1">
            <w:r w:rsidRPr="00EB5A10">
              <w:rPr>
                <w:rStyle w:val="Hyperlink"/>
                <w:rFonts w:eastAsia="Arial"/>
              </w:rPr>
              <w:t>4.2 Patient Experience, Convenience and Independence</w:t>
            </w:r>
            <w:r w:rsidRPr="00EB5A10">
              <w:rPr>
                <w:webHidden/>
              </w:rPr>
              <w:tab/>
            </w:r>
            <w:r w:rsidRPr="00EB5A10">
              <w:rPr>
                <w:webHidden/>
              </w:rPr>
              <w:fldChar w:fldCharType="begin"/>
            </w:r>
            <w:r w:rsidRPr="00EB5A10">
              <w:rPr>
                <w:webHidden/>
              </w:rPr>
              <w:instrText xml:space="preserve"> PAGEREF _Toc240561381 \h </w:instrText>
            </w:r>
            <w:r w:rsidRPr="00EB5A10">
              <w:rPr>
                <w:webHidden/>
              </w:rPr>
            </w:r>
            <w:r w:rsidRPr="00EB5A10">
              <w:rPr>
                <w:webHidden/>
              </w:rPr>
              <w:fldChar w:fldCharType="separate"/>
            </w:r>
            <w:r w:rsidRPr="00EB5A10">
              <w:rPr>
                <w:webHidden/>
              </w:rPr>
              <w:t>6</w:t>
            </w:r>
            <w:r w:rsidRPr="00EB5A10">
              <w:rPr>
                <w:webHidden/>
              </w:rPr>
              <w:fldChar w:fldCharType="end"/>
            </w:r>
          </w:hyperlink>
        </w:p>
        <w:p w14:paraId="4C913AA6" w14:textId="3E8A6B26" w:rsidR="00F53ACA" w:rsidRPr="00EB5A10" w:rsidRDefault="00F53ACA">
          <w:pPr>
            <w:pStyle w:val="TOC2"/>
            <w:rPr>
              <w:rFonts w:eastAsiaTheme="minorEastAsia"/>
              <w:kern w:val="2"/>
              <w:lang w:eastAsia="en-GB"/>
              <w14:ligatures w14:val="standardContextual"/>
            </w:rPr>
          </w:pPr>
          <w:hyperlink w:anchor="_Toc240561382" w:history="1">
            <w:r w:rsidRPr="00EB5A10">
              <w:rPr>
                <w:rStyle w:val="Hyperlink"/>
                <w:rFonts w:eastAsia="Arial"/>
              </w:rPr>
              <w:t>4.3 Accessibility, Inclusion and Digital Inequality</w:t>
            </w:r>
            <w:r w:rsidRPr="00EB5A10">
              <w:rPr>
                <w:webHidden/>
              </w:rPr>
              <w:tab/>
            </w:r>
            <w:r w:rsidRPr="00EB5A10">
              <w:rPr>
                <w:webHidden/>
              </w:rPr>
              <w:fldChar w:fldCharType="begin"/>
            </w:r>
            <w:r w:rsidRPr="00EB5A10">
              <w:rPr>
                <w:webHidden/>
              </w:rPr>
              <w:instrText xml:space="preserve"> PAGEREF _Toc240561382 \h </w:instrText>
            </w:r>
            <w:r w:rsidRPr="00EB5A10">
              <w:rPr>
                <w:webHidden/>
              </w:rPr>
            </w:r>
            <w:r w:rsidRPr="00EB5A10">
              <w:rPr>
                <w:webHidden/>
              </w:rPr>
              <w:fldChar w:fldCharType="separate"/>
            </w:r>
            <w:r w:rsidRPr="00EB5A10">
              <w:rPr>
                <w:webHidden/>
              </w:rPr>
              <w:t>6</w:t>
            </w:r>
            <w:r w:rsidRPr="00EB5A10">
              <w:rPr>
                <w:webHidden/>
              </w:rPr>
              <w:fldChar w:fldCharType="end"/>
            </w:r>
          </w:hyperlink>
        </w:p>
        <w:p w14:paraId="7A83DCC6" w14:textId="536D3F63" w:rsidR="00F53ACA" w:rsidRPr="00EB5A10" w:rsidRDefault="00F53ACA">
          <w:pPr>
            <w:pStyle w:val="TOC2"/>
            <w:rPr>
              <w:rFonts w:eastAsiaTheme="minorEastAsia"/>
              <w:kern w:val="2"/>
              <w:lang w:eastAsia="en-GB"/>
              <w14:ligatures w14:val="standardContextual"/>
            </w:rPr>
          </w:pPr>
          <w:hyperlink w:anchor="_Toc240561383" w:history="1">
            <w:r w:rsidRPr="00EB5A10">
              <w:rPr>
                <w:rStyle w:val="Hyperlink"/>
                <w:rFonts w:eastAsia="Arial"/>
              </w:rPr>
              <w:t>4.4 Autonomy, Privacy and Meaningful Outcomes</w:t>
            </w:r>
            <w:r w:rsidRPr="00EB5A10">
              <w:rPr>
                <w:webHidden/>
              </w:rPr>
              <w:tab/>
            </w:r>
            <w:r w:rsidRPr="00EB5A10">
              <w:rPr>
                <w:webHidden/>
              </w:rPr>
              <w:fldChar w:fldCharType="begin"/>
            </w:r>
            <w:r w:rsidRPr="00EB5A10">
              <w:rPr>
                <w:webHidden/>
              </w:rPr>
              <w:instrText xml:space="preserve"> PAGEREF _Toc240561383 \h </w:instrText>
            </w:r>
            <w:r w:rsidRPr="00EB5A10">
              <w:rPr>
                <w:webHidden/>
              </w:rPr>
            </w:r>
            <w:r w:rsidRPr="00EB5A10">
              <w:rPr>
                <w:webHidden/>
              </w:rPr>
              <w:fldChar w:fldCharType="separate"/>
            </w:r>
            <w:r w:rsidRPr="00EB5A10">
              <w:rPr>
                <w:webHidden/>
              </w:rPr>
              <w:t>6</w:t>
            </w:r>
            <w:r w:rsidRPr="00EB5A10">
              <w:rPr>
                <w:webHidden/>
              </w:rPr>
              <w:fldChar w:fldCharType="end"/>
            </w:r>
          </w:hyperlink>
        </w:p>
        <w:p w14:paraId="2FB99C67" w14:textId="3A7AAF21" w:rsidR="00F53ACA" w:rsidRPr="00EB5A10" w:rsidRDefault="00F53ACA">
          <w:pPr>
            <w:pStyle w:val="TOC1"/>
            <w:rPr>
              <w:rFonts w:eastAsiaTheme="minorEastAsia"/>
              <w:b w:val="0"/>
              <w:kern w:val="2"/>
              <w:sz w:val="22"/>
              <w:szCs w:val="22"/>
              <w:lang w:eastAsia="en-GB"/>
              <w14:ligatures w14:val="standardContextual"/>
            </w:rPr>
          </w:pPr>
          <w:hyperlink w:anchor="_Toc240561384" w:history="1">
            <w:r w:rsidRPr="00EB5A10">
              <w:rPr>
                <w:rStyle w:val="Hyperlink"/>
                <w:rFonts w:eastAsia="Arial"/>
                <w:sz w:val="22"/>
                <w:szCs w:val="22"/>
              </w:rPr>
              <w:t>5. Critical Evaluation: Impact on the Community</w:t>
            </w:r>
            <w:r w:rsidRPr="00EB5A10">
              <w:rPr>
                <w:webHidden/>
                <w:sz w:val="22"/>
                <w:szCs w:val="22"/>
              </w:rPr>
              <w:tab/>
            </w:r>
            <w:r w:rsidRPr="00EB5A10">
              <w:rPr>
                <w:webHidden/>
                <w:sz w:val="22"/>
                <w:szCs w:val="22"/>
              </w:rPr>
              <w:fldChar w:fldCharType="begin"/>
            </w:r>
            <w:r w:rsidRPr="00EB5A10">
              <w:rPr>
                <w:webHidden/>
                <w:sz w:val="22"/>
                <w:szCs w:val="22"/>
              </w:rPr>
              <w:instrText xml:space="preserve"> PAGEREF _Toc240561384 \h </w:instrText>
            </w:r>
            <w:r w:rsidRPr="00EB5A10">
              <w:rPr>
                <w:webHidden/>
                <w:sz w:val="22"/>
                <w:szCs w:val="22"/>
              </w:rPr>
            </w:r>
            <w:r w:rsidRPr="00EB5A10">
              <w:rPr>
                <w:webHidden/>
                <w:sz w:val="22"/>
                <w:szCs w:val="22"/>
              </w:rPr>
              <w:fldChar w:fldCharType="separate"/>
            </w:r>
            <w:r w:rsidRPr="00EB5A10">
              <w:rPr>
                <w:webHidden/>
                <w:sz w:val="22"/>
                <w:szCs w:val="22"/>
              </w:rPr>
              <w:t>7</w:t>
            </w:r>
            <w:r w:rsidRPr="00EB5A10">
              <w:rPr>
                <w:webHidden/>
                <w:sz w:val="22"/>
                <w:szCs w:val="22"/>
              </w:rPr>
              <w:fldChar w:fldCharType="end"/>
            </w:r>
          </w:hyperlink>
        </w:p>
        <w:p w14:paraId="7EB1FAA6" w14:textId="209F9B78" w:rsidR="00F53ACA" w:rsidRPr="00EB5A10" w:rsidRDefault="00F53ACA">
          <w:pPr>
            <w:pStyle w:val="TOC2"/>
            <w:rPr>
              <w:rFonts w:eastAsiaTheme="minorEastAsia"/>
              <w:kern w:val="2"/>
              <w:lang w:eastAsia="en-GB"/>
              <w14:ligatures w14:val="standardContextual"/>
            </w:rPr>
          </w:pPr>
          <w:hyperlink w:anchor="_Toc240561385" w:history="1">
            <w:r w:rsidRPr="00EB5A10">
              <w:rPr>
                <w:rStyle w:val="Hyperlink"/>
                <w:rFonts w:eastAsia="Arial"/>
              </w:rPr>
              <w:t>5.1 Geographical Access and Community-Based Care</w:t>
            </w:r>
            <w:r w:rsidRPr="00EB5A10">
              <w:rPr>
                <w:webHidden/>
              </w:rPr>
              <w:tab/>
            </w:r>
            <w:r w:rsidRPr="00EB5A10">
              <w:rPr>
                <w:webHidden/>
              </w:rPr>
              <w:fldChar w:fldCharType="begin"/>
            </w:r>
            <w:r w:rsidRPr="00EB5A10">
              <w:rPr>
                <w:webHidden/>
              </w:rPr>
              <w:instrText xml:space="preserve"> PAGEREF _Toc240561385 \h </w:instrText>
            </w:r>
            <w:r w:rsidRPr="00EB5A10">
              <w:rPr>
                <w:webHidden/>
              </w:rPr>
            </w:r>
            <w:r w:rsidRPr="00EB5A10">
              <w:rPr>
                <w:webHidden/>
              </w:rPr>
              <w:fldChar w:fldCharType="separate"/>
            </w:r>
            <w:r w:rsidRPr="00EB5A10">
              <w:rPr>
                <w:webHidden/>
              </w:rPr>
              <w:t>7</w:t>
            </w:r>
            <w:r w:rsidRPr="00EB5A10">
              <w:rPr>
                <w:webHidden/>
              </w:rPr>
              <w:fldChar w:fldCharType="end"/>
            </w:r>
          </w:hyperlink>
        </w:p>
        <w:p w14:paraId="0CE9AD57" w14:textId="1E1F257C" w:rsidR="00F53ACA" w:rsidRPr="00EB5A10" w:rsidRDefault="00F53ACA">
          <w:pPr>
            <w:pStyle w:val="TOC2"/>
            <w:rPr>
              <w:rFonts w:eastAsiaTheme="minorEastAsia"/>
              <w:kern w:val="2"/>
              <w:lang w:eastAsia="en-GB"/>
              <w14:ligatures w14:val="standardContextual"/>
            </w:rPr>
          </w:pPr>
          <w:hyperlink w:anchor="_Toc240561386" w:history="1">
            <w:r w:rsidRPr="00EB5A10">
              <w:rPr>
                <w:rStyle w:val="Hyperlink"/>
                <w:rFonts w:eastAsia="Arial"/>
              </w:rPr>
              <w:t>5.2 Families and Informal Carers</w:t>
            </w:r>
            <w:r w:rsidRPr="00EB5A10">
              <w:rPr>
                <w:webHidden/>
              </w:rPr>
              <w:tab/>
            </w:r>
            <w:r w:rsidRPr="00EB5A10">
              <w:rPr>
                <w:webHidden/>
              </w:rPr>
              <w:fldChar w:fldCharType="begin"/>
            </w:r>
            <w:r w:rsidRPr="00EB5A10">
              <w:rPr>
                <w:webHidden/>
              </w:rPr>
              <w:instrText xml:space="preserve"> PAGEREF _Toc240561386 \h </w:instrText>
            </w:r>
            <w:r w:rsidRPr="00EB5A10">
              <w:rPr>
                <w:webHidden/>
              </w:rPr>
            </w:r>
            <w:r w:rsidRPr="00EB5A10">
              <w:rPr>
                <w:webHidden/>
              </w:rPr>
              <w:fldChar w:fldCharType="separate"/>
            </w:r>
            <w:r w:rsidRPr="00EB5A10">
              <w:rPr>
                <w:webHidden/>
              </w:rPr>
              <w:t>7</w:t>
            </w:r>
            <w:r w:rsidRPr="00EB5A10">
              <w:rPr>
                <w:webHidden/>
              </w:rPr>
              <w:fldChar w:fldCharType="end"/>
            </w:r>
          </w:hyperlink>
        </w:p>
        <w:p w14:paraId="7BAB9FF8" w14:textId="5CB63B89" w:rsidR="00F53ACA" w:rsidRPr="00EB5A10" w:rsidRDefault="00F53ACA">
          <w:pPr>
            <w:pStyle w:val="TOC2"/>
            <w:rPr>
              <w:rFonts w:eastAsiaTheme="minorEastAsia"/>
              <w:kern w:val="2"/>
              <w:lang w:eastAsia="en-GB"/>
              <w14:ligatures w14:val="standardContextual"/>
            </w:rPr>
          </w:pPr>
          <w:hyperlink w:anchor="_Toc240561387" w:history="1">
            <w:r w:rsidRPr="00EB5A10">
              <w:rPr>
                <w:rStyle w:val="Hyperlink"/>
                <w:rFonts w:eastAsia="Arial"/>
              </w:rPr>
              <w:t>5.3 Digital Exclusion and Health Inequalities</w:t>
            </w:r>
            <w:r w:rsidRPr="00EB5A10">
              <w:rPr>
                <w:webHidden/>
              </w:rPr>
              <w:tab/>
            </w:r>
            <w:r w:rsidRPr="00EB5A10">
              <w:rPr>
                <w:webHidden/>
              </w:rPr>
              <w:fldChar w:fldCharType="begin"/>
            </w:r>
            <w:r w:rsidRPr="00EB5A10">
              <w:rPr>
                <w:webHidden/>
              </w:rPr>
              <w:instrText xml:space="preserve"> PAGEREF _Toc240561387 \h </w:instrText>
            </w:r>
            <w:r w:rsidRPr="00EB5A10">
              <w:rPr>
                <w:webHidden/>
              </w:rPr>
            </w:r>
            <w:r w:rsidRPr="00EB5A10">
              <w:rPr>
                <w:webHidden/>
              </w:rPr>
              <w:fldChar w:fldCharType="separate"/>
            </w:r>
            <w:r w:rsidRPr="00EB5A10">
              <w:rPr>
                <w:webHidden/>
              </w:rPr>
              <w:t>8</w:t>
            </w:r>
            <w:r w:rsidRPr="00EB5A10">
              <w:rPr>
                <w:webHidden/>
              </w:rPr>
              <w:fldChar w:fldCharType="end"/>
            </w:r>
          </w:hyperlink>
        </w:p>
        <w:p w14:paraId="0224E43C" w14:textId="47899D19" w:rsidR="00F53ACA" w:rsidRPr="00EB5A10" w:rsidRDefault="00F53ACA">
          <w:pPr>
            <w:pStyle w:val="TOC2"/>
            <w:rPr>
              <w:rFonts w:eastAsiaTheme="minorEastAsia"/>
              <w:kern w:val="2"/>
              <w:lang w:eastAsia="en-GB"/>
              <w14:ligatures w14:val="standardContextual"/>
            </w:rPr>
          </w:pPr>
          <w:hyperlink w:anchor="_Toc240561388" w:history="1">
            <w:r w:rsidRPr="00EB5A10">
              <w:rPr>
                <w:rStyle w:val="Hyperlink"/>
                <w:rFonts w:eastAsia="Arial"/>
              </w:rPr>
              <w:t>5.4 Wider Community and NHS Impact</w:t>
            </w:r>
            <w:r w:rsidRPr="00EB5A10">
              <w:rPr>
                <w:webHidden/>
              </w:rPr>
              <w:tab/>
            </w:r>
            <w:r w:rsidRPr="00EB5A10">
              <w:rPr>
                <w:webHidden/>
              </w:rPr>
              <w:fldChar w:fldCharType="begin"/>
            </w:r>
            <w:r w:rsidRPr="00EB5A10">
              <w:rPr>
                <w:webHidden/>
              </w:rPr>
              <w:instrText xml:space="preserve"> PAGEREF _Toc240561388 \h </w:instrText>
            </w:r>
            <w:r w:rsidRPr="00EB5A10">
              <w:rPr>
                <w:webHidden/>
              </w:rPr>
            </w:r>
            <w:r w:rsidRPr="00EB5A10">
              <w:rPr>
                <w:webHidden/>
              </w:rPr>
              <w:fldChar w:fldCharType="separate"/>
            </w:r>
            <w:r w:rsidRPr="00EB5A10">
              <w:rPr>
                <w:webHidden/>
              </w:rPr>
              <w:t>8</w:t>
            </w:r>
            <w:r w:rsidRPr="00EB5A10">
              <w:rPr>
                <w:webHidden/>
              </w:rPr>
              <w:fldChar w:fldCharType="end"/>
            </w:r>
          </w:hyperlink>
        </w:p>
        <w:p w14:paraId="5C547E14" w14:textId="4E07690B" w:rsidR="00F53ACA" w:rsidRPr="00EB5A10" w:rsidRDefault="00F53ACA">
          <w:pPr>
            <w:pStyle w:val="TOC1"/>
            <w:rPr>
              <w:rFonts w:eastAsiaTheme="minorEastAsia"/>
              <w:b w:val="0"/>
              <w:kern w:val="2"/>
              <w:sz w:val="22"/>
              <w:szCs w:val="22"/>
              <w:lang w:eastAsia="en-GB"/>
              <w14:ligatures w14:val="standardContextual"/>
            </w:rPr>
          </w:pPr>
          <w:hyperlink w:anchor="_Toc240561389" w:history="1">
            <w:r w:rsidRPr="00EB5A10">
              <w:rPr>
                <w:rStyle w:val="Hyperlink"/>
                <w:rFonts w:eastAsia="Arial"/>
                <w:sz w:val="22"/>
                <w:szCs w:val="22"/>
              </w:rPr>
              <w:t>6. Recommendations</w:t>
            </w:r>
            <w:r w:rsidRPr="00EB5A10">
              <w:rPr>
                <w:webHidden/>
                <w:sz w:val="22"/>
                <w:szCs w:val="22"/>
              </w:rPr>
              <w:tab/>
            </w:r>
            <w:r w:rsidRPr="00EB5A10">
              <w:rPr>
                <w:webHidden/>
                <w:sz w:val="22"/>
                <w:szCs w:val="22"/>
              </w:rPr>
              <w:fldChar w:fldCharType="begin"/>
            </w:r>
            <w:r w:rsidRPr="00EB5A10">
              <w:rPr>
                <w:webHidden/>
                <w:sz w:val="22"/>
                <w:szCs w:val="22"/>
              </w:rPr>
              <w:instrText xml:space="preserve"> PAGEREF _Toc240561389 \h </w:instrText>
            </w:r>
            <w:r w:rsidRPr="00EB5A10">
              <w:rPr>
                <w:webHidden/>
                <w:sz w:val="22"/>
                <w:szCs w:val="22"/>
              </w:rPr>
            </w:r>
            <w:r w:rsidRPr="00EB5A10">
              <w:rPr>
                <w:webHidden/>
                <w:sz w:val="22"/>
                <w:szCs w:val="22"/>
              </w:rPr>
              <w:fldChar w:fldCharType="separate"/>
            </w:r>
            <w:r w:rsidRPr="00EB5A10">
              <w:rPr>
                <w:webHidden/>
                <w:sz w:val="22"/>
                <w:szCs w:val="22"/>
              </w:rPr>
              <w:t>9</w:t>
            </w:r>
            <w:r w:rsidRPr="00EB5A10">
              <w:rPr>
                <w:webHidden/>
                <w:sz w:val="22"/>
                <w:szCs w:val="22"/>
              </w:rPr>
              <w:fldChar w:fldCharType="end"/>
            </w:r>
          </w:hyperlink>
        </w:p>
        <w:p w14:paraId="3075AC85" w14:textId="2AC0EA7C" w:rsidR="00F53ACA" w:rsidRPr="00EB5A10" w:rsidRDefault="00F53ACA">
          <w:pPr>
            <w:pStyle w:val="TOC2"/>
            <w:rPr>
              <w:rFonts w:eastAsiaTheme="minorEastAsia"/>
              <w:kern w:val="2"/>
              <w:lang w:eastAsia="en-GB"/>
              <w14:ligatures w14:val="standardContextual"/>
            </w:rPr>
          </w:pPr>
          <w:hyperlink w:anchor="_Toc240561390" w:history="1">
            <w:r w:rsidRPr="00EB5A10">
              <w:rPr>
                <w:rStyle w:val="Hyperlink"/>
                <w:rFonts w:eastAsia="Arial"/>
              </w:rPr>
              <w:t>6.1 Workforce</w:t>
            </w:r>
            <w:r w:rsidRPr="00EB5A10">
              <w:rPr>
                <w:webHidden/>
              </w:rPr>
              <w:tab/>
            </w:r>
            <w:r w:rsidRPr="00EB5A10">
              <w:rPr>
                <w:webHidden/>
              </w:rPr>
              <w:fldChar w:fldCharType="begin"/>
            </w:r>
            <w:r w:rsidRPr="00EB5A10">
              <w:rPr>
                <w:webHidden/>
              </w:rPr>
              <w:instrText xml:space="preserve"> PAGEREF _Toc240561390 \h </w:instrText>
            </w:r>
            <w:r w:rsidRPr="00EB5A10">
              <w:rPr>
                <w:webHidden/>
              </w:rPr>
            </w:r>
            <w:r w:rsidRPr="00EB5A10">
              <w:rPr>
                <w:webHidden/>
              </w:rPr>
              <w:fldChar w:fldCharType="separate"/>
            </w:r>
            <w:r w:rsidRPr="00EB5A10">
              <w:rPr>
                <w:webHidden/>
              </w:rPr>
              <w:t>9</w:t>
            </w:r>
            <w:r w:rsidRPr="00EB5A10">
              <w:rPr>
                <w:webHidden/>
              </w:rPr>
              <w:fldChar w:fldCharType="end"/>
            </w:r>
          </w:hyperlink>
        </w:p>
        <w:p w14:paraId="1339D60B" w14:textId="4456300A" w:rsidR="00F53ACA" w:rsidRPr="00EB5A10" w:rsidRDefault="004E5DD4" w:rsidP="006849F2">
          <w:pPr>
            <w:pStyle w:val="TOC2"/>
          </w:pPr>
          <w:r w:rsidRPr="00EB5A10">
            <w:t>6.2</w:t>
          </w:r>
          <w:r w:rsidR="00F563E1" w:rsidRPr="00EB5A10">
            <w:t xml:space="preserve"> Service Delive</w:t>
          </w:r>
          <w:r w:rsidR="0027476F" w:rsidRPr="00EB5A10">
            <w:t>ry</w:t>
          </w:r>
          <w:r w:rsidR="00D5280E">
            <w:t xml:space="preserve"> </w:t>
          </w:r>
          <w:r w:rsidR="00D9597C" w:rsidRPr="00EB5A10">
            <w:t>………………………………………………………………………………</w:t>
          </w:r>
          <w:r w:rsidR="001549EA">
            <w:t>…</w:t>
          </w:r>
          <w:r w:rsidR="00F20F59" w:rsidRPr="00EB5A10">
            <w:t>10</w:t>
          </w:r>
        </w:p>
        <w:p w14:paraId="00F4188A" w14:textId="0D1238B1" w:rsidR="00103DA6" w:rsidRDefault="00777839" w:rsidP="00103DA6">
          <w:pPr>
            <w:rPr>
              <w:rFonts w:ascii="Arial" w:hAnsi="Arial" w:cs="Arial"/>
              <w:lang w:eastAsia="en-GB"/>
            </w:rPr>
          </w:pPr>
          <w:r w:rsidRPr="00EB5A10">
            <w:rPr>
              <w:rFonts w:ascii="Arial" w:hAnsi="Arial" w:cs="Arial"/>
              <w:lang w:eastAsia="en-GB"/>
            </w:rPr>
            <w:t xml:space="preserve">    6.3</w:t>
          </w:r>
          <w:r w:rsidR="00DD47A1" w:rsidRPr="00EB5A10">
            <w:rPr>
              <w:rFonts w:ascii="Arial" w:hAnsi="Arial" w:cs="Arial"/>
              <w:lang w:eastAsia="en-GB"/>
            </w:rPr>
            <w:t xml:space="preserve"> </w:t>
          </w:r>
          <w:r w:rsidR="00BE0B59" w:rsidRPr="00EB5A10">
            <w:rPr>
              <w:rFonts w:ascii="Arial" w:hAnsi="Arial" w:cs="Arial"/>
              <w:lang w:eastAsia="en-GB"/>
            </w:rPr>
            <w:t xml:space="preserve">Patients and </w:t>
          </w:r>
          <w:r w:rsidR="003840C7">
            <w:rPr>
              <w:rFonts w:ascii="Arial" w:hAnsi="Arial" w:cs="Arial"/>
              <w:lang w:eastAsia="en-GB"/>
            </w:rPr>
            <w:t>se</w:t>
          </w:r>
          <w:r w:rsidR="00106705">
            <w:rPr>
              <w:rFonts w:ascii="Arial" w:hAnsi="Arial" w:cs="Arial"/>
              <w:lang w:eastAsia="en-GB"/>
            </w:rPr>
            <w:t>rvice users…………………………………………………………………</w:t>
          </w:r>
          <w:r w:rsidR="00FA35BC">
            <w:rPr>
              <w:rFonts w:ascii="Arial" w:hAnsi="Arial" w:cs="Arial"/>
              <w:lang w:eastAsia="en-GB"/>
            </w:rPr>
            <w:t>….</w:t>
          </w:r>
          <w:r w:rsidR="0079616F">
            <w:rPr>
              <w:rFonts w:ascii="Arial" w:hAnsi="Arial" w:cs="Arial"/>
              <w:lang w:eastAsia="en-GB"/>
            </w:rPr>
            <w:t>10</w:t>
          </w:r>
        </w:p>
        <w:p w14:paraId="348A0E12" w14:textId="4AAAC107" w:rsidR="0079616F" w:rsidRDefault="00105E1C" w:rsidP="00103DA6">
          <w:pPr>
            <w:rPr>
              <w:rFonts w:ascii="Arial" w:hAnsi="Arial" w:cs="Arial"/>
              <w:lang w:eastAsia="en-GB"/>
            </w:rPr>
          </w:pPr>
          <w:r w:rsidRPr="009C6988">
            <w:rPr>
              <w:rFonts w:ascii="Arial" w:hAnsi="Arial" w:cs="Arial"/>
              <w:b/>
              <w:bCs/>
              <w:lang w:eastAsia="en-GB"/>
            </w:rPr>
            <w:t>C</w:t>
          </w:r>
          <w:r w:rsidR="00B6216A" w:rsidRPr="009C6988">
            <w:rPr>
              <w:rFonts w:ascii="Arial" w:hAnsi="Arial" w:cs="Arial"/>
              <w:b/>
              <w:bCs/>
              <w:lang w:eastAsia="en-GB"/>
            </w:rPr>
            <w:t>onclusion</w:t>
          </w:r>
          <w:r w:rsidR="006D7E4A" w:rsidRPr="009C6988">
            <w:rPr>
              <w:rFonts w:ascii="Arial" w:hAnsi="Arial" w:cs="Arial"/>
              <w:b/>
              <w:bCs/>
              <w:lang w:eastAsia="en-GB"/>
            </w:rPr>
            <w:t xml:space="preserve"> and </w:t>
          </w:r>
          <w:r w:rsidR="002C27D3" w:rsidRPr="009C6988">
            <w:rPr>
              <w:rFonts w:ascii="Arial" w:hAnsi="Arial" w:cs="Arial"/>
              <w:b/>
              <w:bCs/>
              <w:lang w:eastAsia="en-GB"/>
            </w:rPr>
            <w:t>Reference List</w:t>
          </w:r>
          <w:r w:rsidR="00F15B3E" w:rsidRPr="009C6988">
            <w:rPr>
              <w:rFonts w:ascii="Arial" w:hAnsi="Arial" w:cs="Arial"/>
              <w:b/>
              <w:bCs/>
              <w:lang w:eastAsia="en-GB"/>
            </w:rPr>
            <w:t>…………</w:t>
          </w:r>
          <w:r w:rsidR="00F15B3E">
            <w:rPr>
              <w:rFonts w:ascii="Arial" w:hAnsi="Arial" w:cs="Arial"/>
              <w:lang w:eastAsia="en-GB"/>
            </w:rPr>
            <w:t>……………………………………………………</w:t>
          </w:r>
          <w:r w:rsidR="002477E9">
            <w:rPr>
              <w:rFonts w:ascii="Arial" w:hAnsi="Arial" w:cs="Arial"/>
              <w:lang w:eastAsia="en-GB"/>
            </w:rPr>
            <w:t>…10-11</w:t>
          </w:r>
        </w:p>
        <w:p w14:paraId="55978763" w14:textId="7ABE0E07" w:rsidR="00424FFD" w:rsidRPr="00EB5A10" w:rsidRDefault="00424FFD" w:rsidP="00103DA6">
          <w:pPr>
            <w:rPr>
              <w:rFonts w:ascii="Arial" w:hAnsi="Arial" w:cs="Arial"/>
              <w:lang w:eastAsia="en-GB"/>
            </w:rPr>
          </w:pPr>
        </w:p>
        <w:p w14:paraId="5AD9D268" w14:textId="5DE2FD01" w:rsidR="6F6E8C43" w:rsidRPr="00EB5A10" w:rsidRDefault="47100891" w:rsidP="00345E95">
          <w:pPr>
            <w:spacing w:line="360" w:lineRule="auto"/>
            <w:rPr>
              <w:rFonts w:ascii="Arial" w:hAnsi="Arial" w:cs="Arial"/>
            </w:rPr>
          </w:pPr>
          <w:r w:rsidRPr="00EB5A10">
            <w:rPr>
              <w:rFonts w:ascii="Arial" w:hAnsi="Arial" w:cs="Arial"/>
            </w:rPr>
            <w:fldChar w:fldCharType="end"/>
          </w:r>
          <w:r w:rsidR="00340B76">
            <w:rPr>
              <w:rFonts w:ascii="Arial" w:hAnsi="Arial" w:cs="Arial"/>
            </w:rPr>
            <w:t xml:space="preserve"> </w:t>
          </w:r>
        </w:p>
      </w:sdtContent>
    </w:sdt>
    <w:p w14:paraId="4A85E070" w14:textId="224B6874" w:rsidR="00AF724B" w:rsidRPr="00C2318F" w:rsidRDefault="00AF724B" w:rsidP="00CC5A34">
      <w:pPr>
        <w:pStyle w:val="Heading1"/>
        <w:spacing w:line="360" w:lineRule="auto"/>
        <w:rPr>
          <w:rFonts w:ascii="Arial" w:eastAsia="Arial" w:hAnsi="Arial" w:cs="Arial"/>
          <w:b/>
          <w:color w:val="000000" w:themeColor="text1"/>
        </w:rPr>
      </w:pPr>
      <w:bookmarkStart w:id="1" w:name="_Toc240561368"/>
      <w:r w:rsidRPr="19CE7DE0">
        <w:rPr>
          <w:rFonts w:ascii="Arial" w:eastAsia="Arial" w:hAnsi="Arial" w:cs="Arial"/>
          <w:b/>
          <w:color w:val="000000" w:themeColor="text1"/>
        </w:rPr>
        <w:lastRenderedPageBreak/>
        <w:t>1. Introduction</w:t>
      </w:r>
      <w:bookmarkEnd w:id="0"/>
      <w:bookmarkEnd w:id="1"/>
    </w:p>
    <w:p w14:paraId="0D000E38" w14:textId="7E2666C8" w:rsidR="00F2047D" w:rsidRPr="00B874F7" w:rsidRDefault="00F2047D" w:rsidP="0082284A">
      <w:pPr>
        <w:spacing w:line="360" w:lineRule="auto"/>
        <w:rPr>
          <w:rStyle w:val="cursor-pointer"/>
          <w:rFonts w:ascii="Arial" w:eastAsia="Times New Roman" w:hAnsi="Arial" w:cs="Arial"/>
          <w:color w:val="000000" w:themeColor="text1"/>
        </w:rPr>
      </w:pPr>
      <w:r w:rsidRPr="763D9B2F">
        <w:rPr>
          <w:rFonts w:ascii="Arial" w:eastAsia="Arial" w:hAnsi="Arial" w:cs="Arial"/>
        </w:rPr>
        <w:t xml:space="preserve">The care provided for Parkinson's </w:t>
      </w:r>
      <w:r w:rsidR="66861CBD" w:rsidRPr="763D9B2F">
        <w:rPr>
          <w:rFonts w:ascii="Arial" w:eastAsia="Arial" w:hAnsi="Arial" w:cs="Arial"/>
        </w:rPr>
        <w:t xml:space="preserve">disease </w:t>
      </w:r>
      <w:r w:rsidRPr="763D9B2F">
        <w:rPr>
          <w:rFonts w:ascii="Arial" w:eastAsia="Arial" w:hAnsi="Arial" w:cs="Arial"/>
        </w:rPr>
        <w:t xml:space="preserve">reveals a basic weakness in episodic health care, namely that the symptoms of movement may not be well captured by a single health visit. Current assessment is largely based on the patient's recollection and/or observation of the symptoms at a given point in </w:t>
      </w:r>
      <w:r w:rsidR="00800B33" w:rsidRPr="763D9B2F">
        <w:rPr>
          <w:rFonts w:ascii="Arial" w:eastAsia="Arial" w:hAnsi="Arial" w:cs="Arial"/>
        </w:rPr>
        <w:t>time and</w:t>
      </w:r>
      <w:r w:rsidRPr="763D9B2F">
        <w:rPr>
          <w:rFonts w:ascii="Arial" w:eastAsia="Arial" w:hAnsi="Arial" w:cs="Arial"/>
        </w:rPr>
        <w:t xml:space="preserve"> may th</w:t>
      </w:r>
      <w:r w:rsidR="4FF6D5B5" w:rsidRPr="763D9B2F">
        <w:rPr>
          <w:rFonts w:ascii="Arial" w:eastAsia="Arial" w:hAnsi="Arial" w:cs="Arial"/>
        </w:rPr>
        <w:t>erefore</w:t>
      </w:r>
      <w:r w:rsidRPr="763D9B2F">
        <w:rPr>
          <w:rFonts w:ascii="Arial" w:eastAsia="Arial" w:hAnsi="Arial" w:cs="Arial"/>
        </w:rPr>
        <w:t xml:space="preserve"> overestimate or underestimate the severity of the symptoms</w:t>
      </w:r>
      <w:r w:rsidR="00651869" w:rsidRPr="763D9B2F">
        <w:rPr>
          <w:rFonts w:ascii="Arial" w:eastAsia="Arial" w:hAnsi="Arial" w:cs="Arial"/>
        </w:rPr>
        <w:t xml:space="preserve"> (NICE, 2023)</w:t>
      </w:r>
      <w:r w:rsidRPr="763D9B2F">
        <w:rPr>
          <w:rFonts w:ascii="Arial" w:eastAsia="Arial" w:hAnsi="Arial" w:cs="Arial"/>
        </w:rPr>
        <w:t xml:space="preserve">. The Personal </w:t>
      </w:r>
      <w:r w:rsidR="00800B33" w:rsidRPr="763D9B2F">
        <w:rPr>
          <w:rFonts w:ascii="Arial" w:eastAsia="Arial" w:hAnsi="Arial" w:cs="Arial"/>
        </w:rPr>
        <w:t>Kinetograph</w:t>
      </w:r>
      <w:r w:rsidRPr="763D9B2F">
        <w:rPr>
          <w:rFonts w:ascii="Arial" w:eastAsia="Arial" w:hAnsi="Arial" w:cs="Arial"/>
        </w:rPr>
        <w:t xml:space="preserve"> (PKG) </w:t>
      </w:r>
      <w:r w:rsidR="59C818F4" w:rsidRPr="763D9B2F">
        <w:rPr>
          <w:rFonts w:ascii="Arial" w:eastAsia="Arial" w:hAnsi="Arial" w:cs="Arial"/>
        </w:rPr>
        <w:t>addresses</w:t>
      </w:r>
      <w:r w:rsidRPr="763D9B2F">
        <w:rPr>
          <w:rFonts w:ascii="Arial" w:eastAsia="Arial" w:hAnsi="Arial" w:cs="Arial"/>
        </w:rPr>
        <w:t xml:space="preserve"> this by continuously monitoring </w:t>
      </w:r>
      <w:r w:rsidR="54392B61" w:rsidRPr="763D9B2F">
        <w:rPr>
          <w:rFonts w:ascii="Arial" w:eastAsia="Arial" w:hAnsi="Arial" w:cs="Arial"/>
        </w:rPr>
        <w:t xml:space="preserve">patients </w:t>
      </w:r>
      <w:r w:rsidRPr="763D9B2F">
        <w:rPr>
          <w:rFonts w:ascii="Arial" w:eastAsia="Arial" w:hAnsi="Arial" w:cs="Arial"/>
        </w:rPr>
        <w:t xml:space="preserve">for six days with a watch worn on the wrist to provide objective information to support clinical evaluation of bradykinesia, dyskinesia, </w:t>
      </w:r>
      <w:r w:rsidR="008C19B2" w:rsidRPr="763D9B2F">
        <w:rPr>
          <w:rFonts w:ascii="Arial" w:eastAsia="Arial" w:hAnsi="Arial" w:cs="Arial"/>
        </w:rPr>
        <w:t>tremors</w:t>
      </w:r>
      <w:r w:rsidR="072027B4" w:rsidRPr="763D9B2F">
        <w:rPr>
          <w:rFonts w:ascii="Arial" w:eastAsia="Arial" w:hAnsi="Arial" w:cs="Arial"/>
        </w:rPr>
        <w:t>,</w:t>
      </w:r>
      <w:r w:rsidRPr="763D9B2F">
        <w:rPr>
          <w:rFonts w:ascii="Arial" w:eastAsia="Arial" w:hAnsi="Arial" w:cs="Arial"/>
        </w:rPr>
        <w:t xml:space="preserve"> and motor fluctuations</w:t>
      </w:r>
      <w:r w:rsidR="00651869" w:rsidRPr="763D9B2F">
        <w:rPr>
          <w:rFonts w:ascii="Arial" w:eastAsia="Arial" w:hAnsi="Arial" w:cs="Arial"/>
        </w:rPr>
        <w:t xml:space="preserve"> (NICE, 2023)</w:t>
      </w:r>
      <w:r w:rsidRPr="763D9B2F">
        <w:rPr>
          <w:rFonts w:ascii="Arial" w:eastAsia="Arial" w:hAnsi="Arial" w:cs="Arial"/>
        </w:rPr>
        <w:t xml:space="preserve">. The integration </w:t>
      </w:r>
      <w:r w:rsidR="5C8B9554" w:rsidRPr="763D9B2F">
        <w:rPr>
          <w:rFonts w:ascii="Arial" w:eastAsia="Arial" w:hAnsi="Arial" w:cs="Arial"/>
        </w:rPr>
        <w:t xml:space="preserve">of PKG </w:t>
      </w:r>
      <w:r w:rsidRPr="763D9B2F">
        <w:rPr>
          <w:rFonts w:ascii="Arial" w:eastAsia="Arial" w:hAnsi="Arial" w:cs="Arial"/>
        </w:rPr>
        <w:t xml:space="preserve">into routine care at University Hospitals Plymouth NHS Trust </w:t>
      </w:r>
      <w:r w:rsidR="050F5A62" w:rsidRPr="763D9B2F">
        <w:rPr>
          <w:rFonts w:ascii="Arial" w:eastAsia="Arial" w:hAnsi="Arial" w:cs="Arial"/>
        </w:rPr>
        <w:t>demonstrates</w:t>
      </w:r>
      <w:r w:rsidRPr="763D9B2F">
        <w:rPr>
          <w:rFonts w:ascii="Arial" w:eastAsia="Arial" w:hAnsi="Arial" w:cs="Arial"/>
        </w:rPr>
        <w:t xml:space="preserve"> implementation in UK healthcare and </w:t>
      </w:r>
      <w:r w:rsidR="230C5CFB" w:rsidRPr="763D9B2F">
        <w:rPr>
          <w:rFonts w:ascii="Arial" w:eastAsia="Arial" w:hAnsi="Arial" w:cs="Arial"/>
        </w:rPr>
        <w:t xml:space="preserve">highlights </w:t>
      </w:r>
      <w:r w:rsidRPr="763D9B2F">
        <w:rPr>
          <w:rFonts w:ascii="Arial" w:eastAsia="Arial" w:hAnsi="Arial" w:cs="Arial"/>
        </w:rPr>
        <w:t xml:space="preserve">the potential of </w:t>
      </w:r>
      <w:r w:rsidR="230C5CFB" w:rsidRPr="763D9B2F">
        <w:rPr>
          <w:rFonts w:ascii="Arial" w:eastAsia="Arial" w:hAnsi="Arial" w:cs="Arial"/>
        </w:rPr>
        <w:t xml:space="preserve">digital </w:t>
      </w:r>
      <w:r w:rsidRPr="763D9B2F">
        <w:rPr>
          <w:rFonts w:ascii="Arial" w:eastAsia="Arial" w:hAnsi="Arial" w:cs="Arial"/>
        </w:rPr>
        <w:t>technology</w:t>
      </w:r>
      <w:r w:rsidR="00651869" w:rsidRPr="763D9B2F">
        <w:rPr>
          <w:rFonts w:ascii="Arial" w:eastAsia="Arial" w:hAnsi="Arial" w:cs="Arial"/>
        </w:rPr>
        <w:t xml:space="preserve"> (Reidy et al., 2025)</w:t>
      </w:r>
      <w:r w:rsidRPr="763D9B2F">
        <w:rPr>
          <w:rFonts w:ascii="Arial" w:eastAsia="Arial" w:hAnsi="Arial" w:cs="Arial"/>
        </w:rPr>
        <w:t>. But simply adopting</w:t>
      </w:r>
      <w:r w:rsidR="4414C6A0" w:rsidRPr="763D9B2F">
        <w:rPr>
          <w:rFonts w:ascii="Arial" w:eastAsia="Arial" w:hAnsi="Arial" w:cs="Arial"/>
        </w:rPr>
        <w:t xml:space="preserve"> the </w:t>
      </w:r>
      <w:r w:rsidR="0D09169E" w:rsidRPr="763D9B2F">
        <w:rPr>
          <w:rFonts w:ascii="Arial" w:eastAsia="Arial" w:hAnsi="Arial" w:cs="Arial"/>
        </w:rPr>
        <w:t>technology, rather</w:t>
      </w:r>
      <w:r w:rsidR="4414C6A0" w:rsidRPr="763D9B2F">
        <w:rPr>
          <w:rFonts w:ascii="Arial" w:eastAsia="Arial" w:hAnsi="Arial" w:cs="Arial"/>
        </w:rPr>
        <w:t xml:space="preserve"> than</w:t>
      </w:r>
      <w:r w:rsidRPr="763D9B2F">
        <w:rPr>
          <w:rFonts w:ascii="Arial" w:eastAsia="Arial" w:hAnsi="Arial" w:cs="Arial"/>
        </w:rPr>
        <w:t xml:space="preserve"> transforming</w:t>
      </w:r>
      <w:r w:rsidR="1AC12B25" w:rsidRPr="763D9B2F">
        <w:rPr>
          <w:rFonts w:ascii="Arial" w:eastAsia="Arial" w:hAnsi="Arial" w:cs="Arial"/>
        </w:rPr>
        <w:t xml:space="preserve"> </w:t>
      </w:r>
      <w:r w:rsidR="1CBC035D" w:rsidRPr="763D9B2F">
        <w:rPr>
          <w:rFonts w:ascii="Arial" w:eastAsia="Arial" w:hAnsi="Arial" w:cs="Arial"/>
        </w:rPr>
        <w:t>services, may</w:t>
      </w:r>
      <w:r w:rsidR="1AC12B25" w:rsidRPr="763D9B2F">
        <w:rPr>
          <w:rFonts w:ascii="Arial" w:eastAsia="Arial" w:hAnsi="Arial" w:cs="Arial"/>
        </w:rPr>
        <w:t xml:space="preserve"> not be sufficient</w:t>
      </w:r>
      <w:r w:rsidR="30663C94" w:rsidRPr="763D9B2F">
        <w:rPr>
          <w:rFonts w:ascii="Arial" w:eastAsia="Arial" w:hAnsi="Arial" w:cs="Arial"/>
        </w:rPr>
        <w:t>,</w:t>
      </w:r>
      <w:r w:rsidRPr="763D9B2F">
        <w:rPr>
          <w:rFonts w:ascii="Arial" w:eastAsia="Arial" w:hAnsi="Arial" w:cs="Arial"/>
        </w:rPr>
        <w:t xml:space="preserve"> and there </w:t>
      </w:r>
      <w:r w:rsidR="2B3FEAC8" w:rsidRPr="763D9B2F">
        <w:rPr>
          <w:rFonts w:ascii="Arial" w:eastAsia="Arial" w:hAnsi="Arial" w:cs="Arial"/>
        </w:rPr>
        <w:t>remains</w:t>
      </w:r>
      <w:r w:rsidRPr="763D9B2F">
        <w:rPr>
          <w:rFonts w:ascii="Arial" w:eastAsia="Arial" w:hAnsi="Arial" w:cs="Arial"/>
        </w:rPr>
        <w:t xml:space="preserve"> a lack of clarity about clinical outcomes, resource use</w:t>
      </w:r>
      <w:r w:rsidR="30663C94" w:rsidRPr="763D9B2F">
        <w:rPr>
          <w:rFonts w:ascii="Arial" w:eastAsia="Arial" w:hAnsi="Arial" w:cs="Arial"/>
        </w:rPr>
        <w:t>,</w:t>
      </w:r>
      <w:r w:rsidRPr="763D9B2F">
        <w:rPr>
          <w:rFonts w:ascii="Arial" w:eastAsia="Arial" w:hAnsi="Arial" w:cs="Arial"/>
        </w:rPr>
        <w:t xml:space="preserve"> and implementation</w:t>
      </w:r>
      <w:r w:rsidR="00651869" w:rsidRPr="763D9B2F">
        <w:rPr>
          <w:rFonts w:ascii="Arial" w:eastAsia="Arial" w:hAnsi="Arial" w:cs="Arial"/>
        </w:rPr>
        <w:t xml:space="preserve"> (NICE, 2023)</w:t>
      </w:r>
      <w:r w:rsidRPr="763D9B2F">
        <w:rPr>
          <w:rFonts w:ascii="Arial" w:eastAsia="Arial" w:hAnsi="Arial" w:cs="Arial"/>
        </w:rPr>
        <w:t>. It is therefore important to consider the implementation of PKG critically, across four key interconnected strands</w:t>
      </w:r>
      <w:r w:rsidR="5FA1A18C" w:rsidRPr="763D9B2F">
        <w:rPr>
          <w:rFonts w:ascii="Arial" w:eastAsia="Arial" w:hAnsi="Arial" w:cs="Arial"/>
        </w:rPr>
        <w:t>:</w:t>
      </w:r>
      <w:r w:rsidRPr="763D9B2F">
        <w:rPr>
          <w:rFonts w:ascii="Arial" w:eastAsia="Arial" w:hAnsi="Arial" w:cs="Arial"/>
        </w:rPr>
        <w:t xml:space="preserve"> workforce, service delivery, </w:t>
      </w:r>
      <w:r w:rsidR="7E33914A" w:rsidRPr="763D9B2F">
        <w:rPr>
          <w:rFonts w:ascii="Arial" w:eastAsia="Arial" w:hAnsi="Arial" w:cs="Arial"/>
        </w:rPr>
        <w:t>patient</w:t>
      </w:r>
      <w:r w:rsidRPr="763D9B2F">
        <w:rPr>
          <w:rFonts w:ascii="Arial" w:eastAsia="Arial" w:hAnsi="Arial" w:cs="Arial"/>
        </w:rPr>
        <w:t>/service users</w:t>
      </w:r>
      <w:r w:rsidR="7E33914A" w:rsidRPr="763D9B2F">
        <w:rPr>
          <w:rFonts w:ascii="Arial" w:eastAsia="Arial" w:hAnsi="Arial" w:cs="Arial"/>
        </w:rPr>
        <w:t>,</w:t>
      </w:r>
      <w:r w:rsidRPr="763D9B2F">
        <w:rPr>
          <w:rFonts w:ascii="Arial" w:eastAsia="Arial" w:hAnsi="Arial" w:cs="Arial"/>
        </w:rPr>
        <w:t xml:space="preserve"> and community</w:t>
      </w:r>
      <w:r w:rsidR="6D4B49D2" w:rsidRPr="763D9B2F">
        <w:rPr>
          <w:rFonts w:ascii="Arial" w:eastAsia="Arial" w:hAnsi="Arial" w:cs="Arial"/>
        </w:rPr>
        <w:t>. The</w:t>
      </w:r>
      <w:r w:rsidRPr="763D9B2F">
        <w:rPr>
          <w:rFonts w:ascii="Arial" w:eastAsia="Arial" w:hAnsi="Arial" w:cs="Arial"/>
        </w:rPr>
        <w:t xml:space="preserve"> benefits and limitations of PKG are discussed</w:t>
      </w:r>
      <w:r w:rsidR="7E33914A" w:rsidRPr="763D9B2F">
        <w:rPr>
          <w:rFonts w:ascii="Arial" w:eastAsia="Arial" w:hAnsi="Arial" w:cs="Arial"/>
        </w:rPr>
        <w:t>,</w:t>
      </w:r>
      <w:r w:rsidRPr="763D9B2F">
        <w:rPr>
          <w:rFonts w:ascii="Arial" w:eastAsia="Arial" w:hAnsi="Arial" w:cs="Arial"/>
        </w:rPr>
        <w:t xml:space="preserve"> a</w:t>
      </w:r>
      <w:r w:rsidR="6A7AF5CE" w:rsidRPr="763D9B2F">
        <w:rPr>
          <w:rFonts w:ascii="Arial" w:eastAsia="Arial" w:hAnsi="Arial" w:cs="Arial"/>
        </w:rPr>
        <w:t>longside</w:t>
      </w:r>
      <w:r w:rsidRPr="763D9B2F">
        <w:rPr>
          <w:rFonts w:ascii="Arial" w:eastAsia="Arial" w:hAnsi="Arial" w:cs="Arial"/>
        </w:rPr>
        <w:t xml:space="preserve"> consider</w:t>
      </w:r>
      <w:r w:rsidR="12E4B717" w:rsidRPr="763D9B2F">
        <w:rPr>
          <w:rFonts w:ascii="Arial" w:eastAsia="Arial" w:hAnsi="Arial" w:cs="Arial"/>
        </w:rPr>
        <w:t>ation of</w:t>
      </w:r>
      <w:r w:rsidRPr="763D9B2F">
        <w:rPr>
          <w:rFonts w:ascii="Arial" w:eastAsia="Arial" w:hAnsi="Arial" w:cs="Arial"/>
        </w:rPr>
        <w:t xml:space="preserve"> whether it has the potential to provide digitally transformed</w:t>
      </w:r>
      <w:r w:rsidR="26154C45" w:rsidRPr="763D9B2F">
        <w:rPr>
          <w:rFonts w:ascii="Arial" w:eastAsia="Arial" w:hAnsi="Arial" w:cs="Arial"/>
        </w:rPr>
        <w:t>,</w:t>
      </w:r>
      <w:r w:rsidRPr="763D9B2F">
        <w:rPr>
          <w:rFonts w:ascii="Arial" w:eastAsia="Arial" w:hAnsi="Arial" w:cs="Arial"/>
        </w:rPr>
        <w:t xml:space="preserve"> equitable, sustainable</w:t>
      </w:r>
      <w:r w:rsidR="7E33914A" w:rsidRPr="763D9B2F">
        <w:rPr>
          <w:rFonts w:ascii="Arial" w:eastAsia="Arial" w:hAnsi="Arial" w:cs="Arial"/>
        </w:rPr>
        <w:t>,</w:t>
      </w:r>
      <w:r w:rsidRPr="763D9B2F">
        <w:rPr>
          <w:rFonts w:ascii="Arial" w:eastAsia="Arial" w:hAnsi="Arial" w:cs="Arial"/>
        </w:rPr>
        <w:t xml:space="preserve"> and clinically meaningful service for UK care of people with Parkinson's.</w:t>
      </w:r>
    </w:p>
    <w:p w14:paraId="708ACD26" w14:textId="27F46BA8" w:rsidR="00AF724B" w:rsidRPr="00C2318F" w:rsidRDefault="00AF724B" w:rsidP="763D9B2F">
      <w:pPr>
        <w:pStyle w:val="Heading1"/>
        <w:spacing w:line="360" w:lineRule="auto"/>
        <w:rPr>
          <w:rFonts w:ascii="Arial" w:eastAsia="Arial" w:hAnsi="Arial" w:cs="Arial"/>
          <w:b/>
          <w:color w:val="000000" w:themeColor="text1"/>
        </w:rPr>
      </w:pPr>
      <w:bookmarkStart w:id="2" w:name="_Toc240355985"/>
      <w:bookmarkStart w:id="3" w:name="_Toc240561369"/>
      <w:r w:rsidRPr="19CE7DE0">
        <w:rPr>
          <w:rFonts w:ascii="Arial" w:eastAsia="Arial" w:hAnsi="Arial" w:cs="Arial"/>
          <w:b/>
          <w:color w:val="000000" w:themeColor="text1"/>
        </w:rPr>
        <w:t>2. Critical Evaluation: Impact on the Workforce</w:t>
      </w:r>
      <w:bookmarkEnd w:id="2"/>
      <w:bookmarkEnd w:id="3"/>
    </w:p>
    <w:p w14:paraId="583567BD" w14:textId="77777777" w:rsidR="00A147DB" w:rsidRDefault="00F2047D" w:rsidP="00A147DB">
      <w:pPr>
        <w:spacing w:line="360" w:lineRule="auto"/>
        <w:jc w:val="both"/>
        <w:rPr>
          <w:rFonts w:ascii="Arial" w:hAnsi="Arial" w:cs="Arial"/>
        </w:rPr>
      </w:pPr>
      <w:r w:rsidRPr="00C2318F">
        <w:rPr>
          <w:rFonts w:ascii="Arial" w:hAnsi="Arial" w:cs="Arial"/>
        </w:rPr>
        <w:t>Implementation of PKG transforms the workforce practice, which includes the interpretation of Parkinson's data, as well as how clinical decisions are being made and how the professional responsibilities and workload can be divided.</w:t>
      </w:r>
      <w:bookmarkStart w:id="4" w:name="_Toc240355986"/>
      <w:bookmarkStart w:id="5" w:name="_Toc240561370"/>
    </w:p>
    <w:p w14:paraId="04EC9FDF" w14:textId="69C8D237" w:rsidR="00AF724B" w:rsidRPr="00A147DB" w:rsidRDefault="00AF724B" w:rsidP="00A147DB">
      <w:pPr>
        <w:spacing w:line="360" w:lineRule="auto"/>
        <w:jc w:val="both"/>
        <w:rPr>
          <w:rFonts w:ascii="Arial" w:hAnsi="Arial" w:cs="Arial"/>
          <w:b/>
          <w:bCs/>
        </w:rPr>
      </w:pPr>
      <w:r w:rsidRPr="00A147DB">
        <w:rPr>
          <w:rFonts w:ascii="Arial" w:eastAsia="Arial" w:hAnsi="Arial" w:cs="Arial"/>
          <w:b/>
          <w:bCs/>
          <w:sz w:val="32"/>
          <w:szCs w:val="32"/>
        </w:rPr>
        <w:t>2.1 Transformation of Professional Practice</w:t>
      </w:r>
      <w:bookmarkEnd w:id="4"/>
      <w:bookmarkEnd w:id="5"/>
    </w:p>
    <w:p w14:paraId="04BDED7B" w14:textId="41D44CFE" w:rsidR="00F2047D" w:rsidRPr="00C2318F" w:rsidRDefault="00F2047D" w:rsidP="07A6F654">
      <w:pPr>
        <w:spacing w:line="360" w:lineRule="auto"/>
        <w:rPr>
          <w:rFonts w:ascii="Arial" w:hAnsi="Arial" w:cs="Arial"/>
        </w:rPr>
      </w:pPr>
      <w:r w:rsidRPr="00C2318F">
        <w:rPr>
          <w:rStyle w:val="cursor-pointer"/>
          <w:rFonts w:ascii="Arial" w:hAnsi="Arial" w:cs="Arial"/>
          <w:color w:val="000000" w:themeColor="text1"/>
        </w:rPr>
        <w:t>The PKG has</w:t>
      </w:r>
      <w:r w:rsidR="00651869" w:rsidRPr="00C2318F">
        <w:rPr>
          <w:rStyle w:val="cursor-pointer"/>
          <w:rFonts w:ascii="Arial" w:hAnsi="Arial" w:cs="Arial"/>
          <w:color w:val="000000" w:themeColor="text1"/>
        </w:rPr>
        <w:t xml:space="preserve"> change</w:t>
      </w:r>
      <w:r w:rsidR="004B548D">
        <w:rPr>
          <w:rStyle w:val="cursor-pointer"/>
          <w:rFonts w:ascii="Arial" w:hAnsi="Arial" w:cs="Arial"/>
          <w:color w:val="000000" w:themeColor="text1"/>
        </w:rPr>
        <w:t>d</w:t>
      </w:r>
      <w:r w:rsidRPr="00C2318F">
        <w:rPr>
          <w:rStyle w:val="cursor-pointer"/>
          <w:rFonts w:ascii="Arial" w:hAnsi="Arial" w:cs="Arial"/>
          <w:color w:val="000000" w:themeColor="text1"/>
        </w:rPr>
        <w:t xml:space="preserve"> professional practice by introducing </w:t>
      </w:r>
      <w:r w:rsidR="006C2201" w:rsidRPr="00C2318F">
        <w:rPr>
          <w:rStyle w:val="cursor-pointer"/>
          <w:rFonts w:ascii="Arial" w:hAnsi="Arial" w:cs="Arial"/>
          <w:color w:val="000000" w:themeColor="text1"/>
        </w:rPr>
        <w:t>assessments</w:t>
      </w:r>
      <w:r w:rsidRPr="00C2318F">
        <w:rPr>
          <w:rStyle w:val="cursor-pointer"/>
          <w:rFonts w:ascii="Arial" w:hAnsi="Arial" w:cs="Arial"/>
          <w:color w:val="000000" w:themeColor="text1"/>
        </w:rPr>
        <w:t xml:space="preserve"> that </w:t>
      </w:r>
      <w:r w:rsidR="00F52764" w:rsidRPr="00C2318F">
        <w:rPr>
          <w:rStyle w:val="cursor-pointer"/>
          <w:rFonts w:ascii="Arial" w:hAnsi="Arial" w:cs="Arial"/>
          <w:color w:val="000000" w:themeColor="text1"/>
        </w:rPr>
        <w:t>go</w:t>
      </w:r>
      <w:r w:rsidRPr="00C2318F">
        <w:rPr>
          <w:rStyle w:val="cursor-pointer"/>
          <w:rFonts w:ascii="Arial" w:hAnsi="Arial" w:cs="Arial"/>
          <w:color w:val="000000" w:themeColor="text1"/>
        </w:rPr>
        <w:t xml:space="preserve"> beyond </w:t>
      </w:r>
      <w:r w:rsidR="006C2201" w:rsidRPr="00C2318F">
        <w:rPr>
          <w:rStyle w:val="cursor-pointer"/>
          <w:rFonts w:ascii="Arial" w:hAnsi="Arial" w:cs="Arial"/>
          <w:color w:val="000000" w:themeColor="text1"/>
        </w:rPr>
        <w:t>observation</w:t>
      </w:r>
      <w:r w:rsidRPr="00C2318F">
        <w:rPr>
          <w:rStyle w:val="cursor-pointer"/>
          <w:rFonts w:ascii="Arial" w:hAnsi="Arial" w:cs="Arial"/>
          <w:color w:val="000000" w:themeColor="text1"/>
        </w:rPr>
        <w:t xml:space="preserve"> of a single episode of movement to a longitudinal monitoring of movement over six days</w:t>
      </w:r>
      <w:r w:rsidR="00651869" w:rsidRPr="00C2318F">
        <w:rPr>
          <w:rStyle w:val="cursor-pointer"/>
          <w:rFonts w:ascii="Arial" w:hAnsi="Arial" w:cs="Arial"/>
          <w:color w:val="000000" w:themeColor="text1"/>
        </w:rPr>
        <w:t xml:space="preserve"> </w:t>
      </w:r>
      <w:r w:rsidR="00651869" w:rsidRPr="00C2318F">
        <w:rPr>
          <w:rFonts w:ascii="Arial" w:hAnsi="Arial" w:cs="Arial"/>
        </w:rPr>
        <w:t>(Cox et al., 2024)</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152 (92%) of 166 evaluable PKG datasets had treatment recommendations made, and 83 (73%) of 114 evaluable treatment recommendations were implemented in the Plymouth NHS service</w:t>
      </w:r>
      <w:r w:rsidR="00651869" w:rsidRPr="00C2318F">
        <w:rPr>
          <w:rStyle w:val="cursor-pointer"/>
          <w:rFonts w:ascii="Arial" w:hAnsi="Arial" w:cs="Arial"/>
          <w:color w:val="000000" w:themeColor="text1"/>
        </w:rPr>
        <w:t xml:space="preserve"> </w:t>
      </w:r>
      <w:r w:rsidR="00651869" w:rsidRPr="00C2318F">
        <w:rPr>
          <w:rFonts w:ascii="Arial" w:hAnsi="Arial" w:cs="Arial"/>
        </w:rPr>
        <w:t xml:space="preserve">(Metta et al., 2026). </w:t>
      </w:r>
      <w:r w:rsidRPr="00C2318F">
        <w:rPr>
          <w:rStyle w:val="cursor-pointer"/>
          <w:rFonts w:ascii="Arial" w:hAnsi="Arial" w:cs="Arial"/>
          <w:color w:val="000000" w:themeColor="text1"/>
        </w:rPr>
        <w:t xml:space="preserve">The figures show that PKG information had a significant impact on clinical </w:t>
      </w:r>
      <w:r w:rsidR="00F52764" w:rsidRPr="00C2318F">
        <w:rPr>
          <w:rStyle w:val="cursor-pointer"/>
          <w:rFonts w:ascii="Arial" w:hAnsi="Arial" w:cs="Arial"/>
          <w:color w:val="000000" w:themeColor="text1"/>
        </w:rPr>
        <w:t>care but</w:t>
      </w:r>
      <w:r w:rsidRPr="00C2318F">
        <w:rPr>
          <w:rStyle w:val="cursor-pointer"/>
          <w:rFonts w:ascii="Arial" w:hAnsi="Arial" w:cs="Arial"/>
          <w:color w:val="000000" w:themeColor="text1"/>
        </w:rPr>
        <w:t xml:space="preserve"> does not necessarily equate to improved outcomes of treatment.</w:t>
      </w:r>
      <w:r w:rsidRPr="00C2318F">
        <w:rPr>
          <w:rFonts w:ascii="Arial" w:hAnsi="Arial" w:cs="Arial"/>
        </w:rPr>
        <w:t xml:space="preserve"> </w:t>
      </w:r>
      <w:r w:rsidRPr="00C2318F">
        <w:rPr>
          <w:rStyle w:val="cursor-pointer"/>
          <w:rFonts w:ascii="Arial" w:hAnsi="Arial" w:cs="Arial"/>
          <w:color w:val="000000" w:themeColor="text1"/>
        </w:rPr>
        <w:t xml:space="preserve">Its value to its workforce is in providing supplementary rather than replacement evidence </w:t>
      </w:r>
      <w:r w:rsidR="00F52764" w:rsidRPr="00C2318F">
        <w:rPr>
          <w:rStyle w:val="cursor-pointer"/>
          <w:rFonts w:ascii="Arial" w:hAnsi="Arial" w:cs="Arial"/>
          <w:color w:val="000000" w:themeColor="text1"/>
        </w:rPr>
        <w:t>with</w:t>
      </w:r>
      <w:r w:rsidRPr="00C2318F">
        <w:rPr>
          <w:rStyle w:val="cursor-pointer"/>
          <w:rFonts w:ascii="Arial" w:hAnsi="Arial" w:cs="Arial"/>
          <w:color w:val="000000" w:themeColor="text1"/>
        </w:rPr>
        <w:t xml:space="preserve"> clinical reasoning, not replacing it.</w:t>
      </w:r>
    </w:p>
    <w:p w14:paraId="054C3565" w14:textId="77777777" w:rsidR="00AF724B" w:rsidRPr="00C2318F" w:rsidRDefault="00AF724B" w:rsidP="00C2318F">
      <w:pPr>
        <w:pStyle w:val="Heading2"/>
        <w:rPr>
          <w:sz w:val="32"/>
          <w:szCs w:val="32"/>
        </w:rPr>
      </w:pPr>
      <w:bookmarkStart w:id="6" w:name="_Toc240355987"/>
      <w:bookmarkStart w:id="7" w:name="_Toc240561371"/>
      <w:r w:rsidRPr="19CE7DE0">
        <w:rPr>
          <w:rFonts w:ascii="Arial" w:eastAsia="Arial" w:hAnsi="Arial" w:cs="Arial"/>
          <w:sz w:val="32"/>
          <w:szCs w:val="32"/>
        </w:rPr>
        <w:lastRenderedPageBreak/>
        <w:t>2.2 Workforce Skills and Digital Competence</w:t>
      </w:r>
      <w:bookmarkEnd w:id="6"/>
      <w:bookmarkEnd w:id="7"/>
    </w:p>
    <w:p w14:paraId="57A90F86" w14:textId="462C65C5" w:rsidR="00F2047D" w:rsidRPr="00C2318F" w:rsidRDefault="00F2047D" w:rsidP="00C2318F">
      <w:pPr>
        <w:spacing w:line="360" w:lineRule="auto"/>
        <w:jc w:val="both"/>
        <w:rPr>
          <w:rFonts w:ascii="Arial" w:hAnsi="Arial" w:cs="Arial"/>
        </w:rPr>
      </w:pPr>
      <w:r w:rsidRPr="00C2318F">
        <w:rPr>
          <w:rStyle w:val="cursor-pointer"/>
          <w:rFonts w:ascii="Arial" w:hAnsi="Arial" w:cs="Arial"/>
          <w:color w:val="000000" w:themeColor="text1"/>
        </w:rPr>
        <w:t xml:space="preserve">These are specific competency requirements which arise when a clinician </w:t>
      </w:r>
      <w:r w:rsidR="04C896B7" w:rsidRPr="763D9B2F">
        <w:rPr>
          <w:rStyle w:val="cursor-pointer"/>
          <w:rFonts w:ascii="Arial" w:hAnsi="Arial" w:cs="Arial"/>
          <w:color w:val="000000" w:themeColor="text1"/>
        </w:rPr>
        <w:t>must</w:t>
      </w:r>
      <w:r w:rsidRPr="00C2318F">
        <w:rPr>
          <w:rStyle w:val="cursor-pointer"/>
          <w:rFonts w:ascii="Arial" w:hAnsi="Arial" w:cs="Arial"/>
          <w:color w:val="000000" w:themeColor="text1"/>
        </w:rPr>
        <w:t xml:space="preserve"> interpret the algorithm-generated measures of bradykinesia, </w:t>
      </w:r>
      <w:r w:rsidR="00E0260B" w:rsidRPr="00C2318F">
        <w:rPr>
          <w:rStyle w:val="cursor-pointer"/>
          <w:rFonts w:ascii="Arial" w:hAnsi="Arial" w:cs="Arial"/>
          <w:color w:val="000000" w:themeColor="text1"/>
        </w:rPr>
        <w:t>dyskinesia,</w:t>
      </w:r>
      <w:r w:rsidRPr="00C2318F">
        <w:rPr>
          <w:rStyle w:val="cursor-pointer"/>
          <w:rFonts w:ascii="Arial" w:hAnsi="Arial" w:cs="Arial"/>
          <w:color w:val="000000" w:themeColor="text1"/>
        </w:rPr>
        <w:t xml:space="preserve"> and motor fluctuations in the broader context of each patient</w:t>
      </w:r>
      <w:r w:rsidR="00982DED" w:rsidRPr="00C2318F">
        <w:rPr>
          <w:rStyle w:val="cursor-pointer"/>
          <w:rFonts w:ascii="Arial" w:hAnsi="Arial" w:cs="Arial"/>
          <w:color w:val="000000" w:themeColor="text1"/>
        </w:rPr>
        <w:t xml:space="preserve"> </w:t>
      </w:r>
      <w:r w:rsidR="00982DED" w:rsidRPr="00C2318F">
        <w:rPr>
          <w:rFonts w:ascii="Arial" w:hAnsi="Arial" w:cs="Arial"/>
        </w:rPr>
        <w:t>(Chaudhuri et al., 2022)</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Patient safety, rather than just a technical matter, is the issue of training.</w:t>
      </w:r>
      <w:r w:rsidRPr="00C2318F">
        <w:rPr>
          <w:rFonts w:ascii="Arial" w:hAnsi="Arial" w:cs="Arial"/>
        </w:rPr>
        <w:t xml:space="preserve"> </w:t>
      </w:r>
      <w:r w:rsidRPr="00C2318F">
        <w:rPr>
          <w:rStyle w:val="cursor-pointer"/>
          <w:rFonts w:ascii="Arial" w:hAnsi="Arial" w:cs="Arial"/>
          <w:color w:val="000000" w:themeColor="text1"/>
        </w:rPr>
        <w:t>A lack of competence may result in a failure to interpret the data and/or in a reliance on what may appear as objective numerical outputs</w:t>
      </w:r>
      <w:r w:rsidR="00982DED" w:rsidRPr="00C2318F">
        <w:rPr>
          <w:rStyle w:val="cursor-pointer"/>
          <w:rFonts w:ascii="Arial" w:hAnsi="Arial" w:cs="Arial"/>
          <w:color w:val="000000" w:themeColor="text1"/>
        </w:rPr>
        <w:t xml:space="preserve"> </w:t>
      </w:r>
      <w:r w:rsidR="00982DED" w:rsidRPr="00C2318F">
        <w:rPr>
          <w:rFonts w:ascii="Arial" w:hAnsi="Arial" w:cs="Arial"/>
        </w:rPr>
        <w:t>(Slawomirski and Klazinga, 2022)</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 xml:space="preserve">It is therefore essential to have </w:t>
      </w:r>
      <w:r w:rsidR="008C6148" w:rsidRPr="00C2318F">
        <w:rPr>
          <w:rStyle w:val="cursor-pointer"/>
          <w:rFonts w:ascii="Arial" w:hAnsi="Arial" w:cs="Arial"/>
          <w:color w:val="000000" w:themeColor="text1"/>
        </w:rPr>
        <w:t>standardized</w:t>
      </w:r>
      <w:r w:rsidRPr="00C2318F">
        <w:rPr>
          <w:rStyle w:val="cursor-pointer"/>
          <w:rFonts w:ascii="Arial" w:hAnsi="Arial" w:cs="Arial"/>
          <w:color w:val="000000" w:themeColor="text1"/>
        </w:rPr>
        <w:t xml:space="preserve"> training, ongoing digital competence development and understanding of the limitations of the technology if PKG is to support and not challenge the professional </w:t>
      </w:r>
      <w:r w:rsidR="00D66414" w:rsidRPr="00C2318F">
        <w:rPr>
          <w:rStyle w:val="cursor-pointer"/>
          <w:rFonts w:ascii="Arial" w:hAnsi="Arial" w:cs="Arial"/>
          <w:color w:val="000000" w:themeColor="text1"/>
        </w:rPr>
        <w:t>decision-making</w:t>
      </w:r>
      <w:r w:rsidRPr="00C2318F">
        <w:rPr>
          <w:rStyle w:val="cursor-pointer"/>
          <w:rFonts w:ascii="Arial" w:hAnsi="Arial" w:cs="Arial"/>
          <w:color w:val="000000" w:themeColor="text1"/>
        </w:rPr>
        <w:t xml:space="preserve"> process.</w:t>
      </w:r>
    </w:p>
    <w:p w14:paraId="0BC56B7D" w14:textId="7A1B238C" w:rsidR="00AF724B" w:rsidRPr="00C2318F" w:rsidRDefault="00AF724B" w:rsidP="00C2318F">
      <w:pPr>
        <w:pStyle w:val="Heading2"/>
        <w:rPr>
          <w:rFonts w:ascii="Arial" w:eastAsia="Arial" w:hAnsi="Arial" w:cs="Arial"/>
          <w:sz w:val="32"/>
          <w:szCs w:val="32"/>
        </w:rPr>
      </w:pPr>
      <w:bookmarkStart w:id="8" w:name="_Toc240355988"/>
      <w:bookmarkStart w:id="9" w:name="_Toc240561372"/>
      <w:r w:rsidRPr="19CE7DE0">
        <w:rPr>
          <w:rFonts w:ascii="Arial" w:eastAsia="Arial" w:hAnsi="Arial" w:cs="Arial"/>
          <w:sz w:val="32"/>
          <w:szCs w:val="32"/>
        </w:rPr>
        <w:t xml:space="preserve">2.3 Workload, </w:t>
      </w:r>
      <w:r w:rsidR="006F006E" w:rsidRPr="19CE7DE0">
        <w:rPr>
          <w:rFonts w:ascii="Arial" w:eastAsia="Arial" w:hAnsi="Arial" w:cs="Arial"/>
          <w:sz w:val="32"/>
          <w:szCs w:val="32"/>
        </w:rPr>
        <w:t>Roles,</w:t>
      </w:r>
      <w:r w:rsidRPr="19CE7DE0">
        <w:rPr>
          <w:rFonts w:ascii="Arial" w:eastAsia="Arial" w:hAnsi="Arial" w:cs="Arial"/>
          <w:sz w:val="32"/>
          <w:szCs w:val="32"/>
        </w:rPr>
        <w:t xml:space="preserve"> and Responsibilities</w:t>
      </w:r>
      <w:bookmarkEnd w:id="8"/>
      <w:bookmarkEnd w:id="9"/>
    </w:p>
    <w:p w14:paraId="2FB94BCA" w14:textId="5EF10A90" w:rsidR="00F2047D" w:rsidRPr="00C2318F" w:rsidRDefault="00F2047D" w:rsidP="00C2318F">
      <w:pPr>
        <w:spacing w:line="360" w:lineRule="auto"/>
        <w:jc w:val="both"/>
        <w:rPr>
          <w:rFonts w:ascii="Arial" w:hAnsi="Arial" w:cs="Arial"/>
        </w:rPr>
      </w:pPr>
      <w:r w:rsidRPr="00C2318F">
        <w:rPr>
          <w:rStyle w:val="cursor-pointer"/>
          <w:rFonts w:ascii="Arial" w:hAnsi="Arial" w:cs="Arial"/>
          <w:color w:val="000000" w:themeColor="text1"/>
        </w:rPr>
        <w:t xml:space="preserve">Digital monitoring can be a more efficient way of doing less </w:t>
      </w:r>
      <w:r w:rsidR="00D66414" w:rsidRPr="00C2318F">
        <w:rPr>
          <w:rStyle w:val="cursor-pointer"/>
          <w:rFonts w:ascii="Arial" w:hAnsi="Arial" w:cs="Arial"/>
          <w:color w:val="000000" w:themeColor="text1"/>
        </w:rPr>
        <w:t>work but</w:t>
      </w:r>
      <w:r w:rsidRPr="00C2318F">
        <w:rPr>
          <w:rStyle w:val="cursor-pointer"/>
          <w:rFonts w:ascii="Arial" w:hAnsi="Arial" w:cs="Arial"/>
          <w:color w:val="000000" w:themeColor="text1"/>
        </w:rPr>
        <w:t xml:space="preserve"> may require more targeted clinical reviews to be done</w:t>
      </w:r>
      <w:r w:rsidR="00982DED" w:rsidRPr="00C2318F">
        <w:rPr>
          <w:rStyle w:val="cursor-pointer"/>
          <w:rFonts w:ascii="Arial" w:hAnsi="Arial" w:cs="Arial"/>
          <w:color w:val="000000" w:themeColor="text1"/>
        </w:rPr>
        <w:t xml:space="preserve"> </w:t>
      </w:r>
      <w:r w:rsidR="00982DED" w:rsidRPr="00C2318F">
        <w:rPr>
          <w:rFonts w:ascii="Arial" w:hAnsi="Arial" w:cs="Arial"/>
        </w:rPr>
        <w:t>(De Angel et al., 2022)</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In addition to routine care, there will be added tasks in the following areas: report interpretation, device-related issues and support, documentation, and technical problems and communication with patients</w:t>
      </w:r>
      <w:r w:rsidR="00982DED" w:rsidRPr="00C2318F">
        <w:rPr>
          <w:rStyle w:val="cursor-pointer"/>
          <w:rFonts w:ascii="Arial" w:hAnsi="Arial" w:cs="Arial"/>
          <w:color w:val="000000" w:themeColor="text1"/>
        </w:rPr>
        <w:t xml:space="preserve"> </w:t>
      </w:r>
      <w:r w:rsidR="00982DED" w:rsidRPr="00C2318F">
        <w:rPr>
          <w:rFonts w:ascii="Arial" w:hAnsi="Arial" w:cs="Arial"/>
        </w:rPr>
        <w:t>(Mishali, Sheffer and Negev, 2025)</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Moreover, accountability needs to be set for the analysis of data and for raising any clinically significant results.</w:t>
      </w:r>
      <w:r w:rsidRPr="00C2318F">
        <w:rPr>
          <w:rFonts w:ascii="Arial" w:hAnsi="Arial" w:cs="Arial"/>
        </w:rPr>
        <w:t xml:space="preserve"> </w:t>
      </w:r>
      <w:r w:rsidRPr="00C2318F">
        <w:rPr>
          <w:rStyle w:val="cursor-pointer"/>
          <w:rFonts w:ascii="Arial" w:hAnsi="Arial" w:cs="Arial"/>
          <w:color w:val="000000" w:themeColor="text1"/>
        </w:rPr>
        <w:t>More information can lead to cognitive burden and/or operational burden if no protected capacity is established and roles are not clearly defined.</w:t>
      </w:r>
    </w:p>
    <w:p w14:paraId="729D52C1" w14:textId="77777777" w:rsidR="00AF724B" w:rsidRPr="00C2318F" w:rsidRDefault="00AF724B" w:rsidP="00C2318F">
      <w:pPr>
        <w:pStyle w:val="Heading2"/>
        <w:rPr>
          <w:rFonts w:ascii="Arial" w:eastAsia="Arial" w:hAnsi="Arial" w:cs="Arial"/>
          <w:b w:val="0"/>
          <w:sz w:val="32"/>
          <w:szCs w:val="32"/>
        </w:rPr>
      </w:pPr>
      <w:bookmarkStart w:id="10" w:name="_Toc240355989"/>
      <w:bookmarkStart w:id="11" w:name="_Toc240561373"/>
      <w:r w:rsidRPr="19CE7DE0">
        <w:rPr>
          <w:rFonts w:ascii="Arial" w:eastAsia="Arial" w:hAnsi="Arial" w:cs="Arial"/>
          <w:sz w:val="32"/>
          <w:szCs w:val="32"/>
        </w:rPr>
        <w:t>2.4 Professional Accountability and Workforce Sustainability</w:t>
      </w:r>
      <w:bookmarkEnd w:id="10"/>
      <w:bookmarkEnd w:id="11"/>
    </w:p>
    <w:p w14:paraId="187CB62B" w14:textId="584914AC" w:rsidR="00F2047D" w:rsidRPr="00C2318F" w:rsidRDefault="5C87AD5D" w:rsidP="00C2318F">
      <w:pPr>
        <w:spacing w:line="360" w:lineRule="auto"/>
        <w:jc w:val="both"/>
        <w:rPr>
          <w:rFonts w:ascii="Arial" w:hAnsi="Arial" w:cs="Arial"/>
        </w:rPr>
      </w:pPr>
      <w:r w:rsidRPr="208D9DA6">
        <w:rPr>
          <w:rStyle w:val="cursor-pointer"/>
          <w:rFonts w:ascii="Arial" w:hAnsi="Arial" w:cs="Arial"/>
          <w:color w:val="000000" w:themeColor="text1"/>
        </w:rPr>
        <w:t xml:space="preserve">Algorithmic monitoring adds to access to objective movement </w:t>
      </w:r>
      <w:r w:rsidR="5758D836" w:rsidRPr="208D9DA6">
        <w:rPr>
          <w:rStyle w:val="cursor-pointer"/>
          <w:rFonts w:ascii="Arial" w:hAnsi="Arial" w:cs="Arial"/>
          <w:color w:val="000000" w:themeColor="text1"/>
        </w:rPr>
        <w:t>information but</w:t>
      </w:r>
      <w:r w:rsidRPr="208D9DA6">
        <w:rPr>
          <w:rStyle w:val="cursor-pointer"/>
          <w:rFonts w:ascii="Arial" w:hAnsi="Arial" w:cs="Arial"/>
          <w:color w:val="000000" w:themeColor="text1"/>
        </w:rPr>
        <w:t xml:space="preserve"> does not capture the full clinical and lived experience of Parkinson's</w:t>
      </w:r>
      <w:r w:rsidR="4043F82F" w:rsidRPr="208D9DA6">
        <w:rPr>
          <w:rStyle w:val="cursor-pointer"/>
          <w:rFonts w:ascii="Arial" w:hAnsi="Arial" w:cs="Arial"/>
          <w:color w:val="000000" w:themeColor="text1"/>
        </w:rPr>
        <w:t xml:space="preserve"> </w:t>
      </w:r>
      <w:r w:rsidR="4043F82F" w:rsidRPr="208D9DA6">
        <w:rPr>
          <w:rStyle w:val="Strong"/>
          <w:rFonts w:ascii="Arial" w:hAnsi="Arial" w:cs="Arial"/>
          <w:b w:val="0"/>
          <w:bCs w:val="0"/>
          <w:color w:val="000000" w:themeColor="text1"/>
        </w:rPr>
        <w:t>(NICE, 2023)</w:t>
      </w:r>
      <w:r w:rsidRPr="208D9DA6">
        <w:rPr>
          <w:rStyle w:val="cursor-pointer"/>
          <w:rFonts w:ascii="Arial" w:hAnsi="Arial" w:cs="Arial"/>
          <w:color w:val="000000" w:themeColor="text1"/>
        </w:rPr>
        <w:t>.</w:t>
      </w:r>
      <w:r w:rsidRPr="208D9DA6">
        <w:rPr>
          <w:rFonts w:ascii="Arial" w:hAnsi="Arial" w:cs="Arial"/>
        </w:rPr>
        <w:t xml:space="preserve"> </w:t>
      </w:r>
      <w:r w:rsidRPr="208D9DA6">
        <w:rPr>
          <w:rStyle w:val="cursor-pointer"/>
          <w:rFonts w:ascii="Arial" w:hAnsi="Arial" w:cs="Arial"/>
          <w:color w:val="000000" w:themeColor="text1"/>
        </w:rPr>
        <w:t xml:space="preserve">Professionals are thus responsible for interpreting the outcome of PKG in conjunction with patient-reported symptoms, clinical </w:t>
      </w:r>
      <w:r w:rsidR="006324EC" w:rsidRPr="208D9DA6">
        <w:rPr>
          <w:rStyle w:val="cursor-pointer"/>
          <w:rFonts w:ascii="Arial" w:hAnsi="Arial" w:cs="Arial"/>
          <w:color w:val="000000" w:themeColor="text1"/>
        </w:rPr>
        <w:t>exam,</w:t>
      </w:r>
      <w:r w:rsidRPr="208D9DA6">
        <w:rPr>
          <w:rStyle w:val="cursor-pointer"/>
          <w:rFonts w:ascii="Arial" w:hAnsi="Arial" w:cs="Arial"/>
          <w:color w:val="000000" w:themeColor="text1"/>
        </w:rPr>
        <w:t xml:space="preserve"> and personal factors</w:t>
      </w:r>
      <w:r w:rsidR="4043F82F" w:rsidRPr="208D9DA6">
        <w:rPr>
          <w:rStyle w:val="cursor-pointer"/>
          <w:rFonts w:ascii="Arial" w:hAnsi="Arial" w:cs="Arial"/>
          <w:color w:val="000000" w:themeColor="text1"/>
        </w:rPr>
        <w:t xml:space="preserve"> </w:t>
      </w:r>
      <w:r w:rsidR="4043F82F" w:rsidRPr="208D9DA6">
        <w:rPr>
          <w:rFonts w:ascii="Arial" w:hAnsi="Arial" w:cs="Arial"/>
        </w:rPr>
        <w:t>(El-Masri et al., 2022)</w:t>
      </w:r>
      <w:r w:rsidRPr="208D9DA6">
        <w:rPr>
          <w:rStyle w:val="cursor-pointer"/>
          <w:rFonts w:ascii="Arial" w:hAnsi="Arial" w:cs="Arial"/>
          <w:color w:val="000000" w:themeColor="text1"/>
        </w:rPr>
        <w:t>.</w:t>
      </w:r>
      <w:r w:rsidRPr="208D9DA6">
        <w:rPr>
          <w:rFonts w:ascii="Arial" w:hAnsi="Arial" w:cs="Arial"/>
        </w:rPr>
        <w:t xml:space="preserve"> </w:t>
      </w:r>
      <w:r w:rsidRPr="208D9DA6">
        <w:rPr>
          <w:rStyle w:val="cursor-pointer"/>
          <w:rFonts w:ascii="Arial" w:hAnsi="Arial" w:cs="Arial"/>
          <w:color w:val="000000" w:themeColor="text1"/>
        </w:rPr>
        <w:t xml:space="preserve">Overall, PKG can support evidence-informed practice, provided that its staff understands how, and their competency and capacity is established; and </w:t>
      </w:r>
      <w:r w:rsidR="0D49349E" w:rsidRPr="208D9DA6">
        <w:rPr>
          <w:rStyle w:val="cursor-pointer"/>
          <w:rFonts w:ascii="Arial" w:hAnsi="Arial" w:cs="Arial"/>
          <w:color w:val="000000" w:themeColor="text1"/>
        </w:rPr>
        <w:t>the</w:t>
      </w:r>
      <w:r w:rsidRPr="208D9DA6">
        <w:rPr>
          <w:rStyle w:val="cursor-pointer"/>
          <w:rFonts w:ascii="Arial" w:hAnsi="Arial" w:cs="Arial"/>
          <w:color w:val="000000" w:themeColor="text1"/>
        </w:rPr>
        <w:t xml:space="preserve"> roles are defined and supervised by humans.</w:t>
      </w:r>
      <w:r w:rsidRPr="208D9DA6">
        <w:rPr>
          <w:rFonts w:ascii="Arial" w:hAnsi="Arial" w:cs="Arial"/>
        </w:rPr>
        <w:t xml:space="preserve"> </w:t>
      </w:r>
      <w:r w:rsidRPr="208D9DA6">
        <w:rPr>
          <w:rStyle w:val="cursor-pointer"/>
          <w:rFonts w:ascii="Arial" w:hAnsi="Arial" w:cs="Arial"/>
          <w:color w:val="000000" w:themeColor="text1"/>
        </w:rPr>
        <w:t>These organisational conditions are essential for implementation to be a workforce transformation and not technological adoption.</w:t>
      </w:r>
    </w:p>
    <w:p w14:paraId="0365536F" w14:textId="77777777" w:rsidR="00DD0760" w:rsidRPr="00C2318F" w:rsidRDefault="00DD0760" w:rsidP="00C2318F">
      <w:pPr>
        <w:pStyle w:val="Heading1"/>
        <w:rPr>
          <w:rFonts w:ascii="Arial" w:eastAsia="Arial" w:hAnsi="Arial" w:cs="Arial"/>
          <w:b/>
          <w:color w:val="000000" w:themeColor="text1"/>
        </w:rPr>
      </w:pPr>
      <w:bookmarkStart w:id="12" w:name="_Toc240561374"/>
      <w:r w:rsidRPr="19CE7DE0">
        <w:rPr>
          <w:rFonts w:ascii="Arial" w:eastAsia="Arial" w:hAnsi="Arial" w:cs="Arial"/>
          <w:b/>
          <w:color w:val="000000" w:themeColor="text1"/>
        </w:rPr>
        <w:t>3</w:t>
      </w:r>
      <w:bookmarkStart w:id="13" w:name="_Toc240355990"/>
      <w:r w:rsidRPr="19CE7DE0">
        <w:rPr>
          <w:rFonts w:ascii="Arial" w:eastAsia="Arial" w:hAnsi="Arial" w:cs="Arial"/>
          <w:b/>
          <w:color w:val="000000" w:themeColor="text1"/>
        </w:rPr>
        <w:t>. Critical Evaluation: Impact on Service Delivery</w:t>
      </w:r>
      <w:bookmarkEnd w:id="12"/>
      <w:bookmarkEnd w:id="13"/>
    </w:p>
    <w:p w14:paraId="613E8B8F" w14:textId="7449B8C1" w:rsidR="00DD0760" w:rsidRPr="00C2318F" w:rsidRDefault="00DD0760" w:rsidP="00C2318F">
      <w:pPr>
        <w:spacing w:line="360" w:lineRule="auto"/>
        <w:jc w:val="both"/>
        <w:rPr>
          <w:rFonts w:ascii="Arial" w:hAnsi="Arial" w:cs="Arial"/>
        </w:rPr>
      </w:pPr>
      <w:r w:rsidRPr="00C2318F">
        <w:rPr>
          <w:rFonts w:ascii="Arial" w:hAnsi="Arial" w:cs="Arial"/>
        </w:rPr>
        <w:t xml:space="preserve">The value of PKG overcomes the episodic nature of Parkinson's service delivery and shifts the focus towards longitudinal, data-driven care; </w:t>
      </w:r>
      <w:r w:rsidR="007805E6" w:rsidRPr="00C2318F">
        <w:rPr>
          <w:rFonts w:ascii="Arial" w:hAnsi="Arial" w:cs="Arial"/>
        </w:rPr>
        <w:t>but</w:t>
      </w:r>
      <w:r w:rsidRPr="00C2318F">
        <w:rPr>
          <w:rFonts w:ascii="Arial" w:hAnsi="Arial" w:cs="Arial"/>
        </w:rPr>
        <w:t xml:space="preserve"> the impact of PKG relies on what happens when extra information leads to clinically meaningful and sustainable changes.</w:t>
      </w:r>
    </w:p>
    <w:p w14:paraId="377CDCAB" w14:textId="77777777" w:rsidR="00DD0760" w:rsidRPr="00C2318F" w:rsidRDefault="00DD0760" w:rsidP="00C2318F">
      <w:pPr>
        <w:pStyle w:val="Heading2"/>
        <w:rPr>
          <w:rFonts w:ascii="Arial" w:eastAsia="Arial" w:hAnsi="Arial" w:cs="Arial"/>
          <w:sz w:val="32"/>
          <w:szCs w:val="32"/>
        </w:rPr>
      </w:pPr>
      <w:bookmarkStart w:id="14" w:name="_Toc240355991"/>
      <w:bookmarkStart w:id="15" w:name="_Toc240561375"/>
      <w:r w:rsidRPr="19CE7DE0">
        <w:rPr>
          <w:rFonts w:ascii="Arial" w:eastAsia="Arial" w:hAnsi="Arial" w:cs="Arial"/>
          <w:sz w:val="32"/>
          <w:szCs w:val="32"/>
        </w:rPr>
        <w:lastRenderedPageBreak/>
        <w:t>3.1 From Episodic to Longitudinal Service Delivery</w:t>
      </w:r>
      <w:bookmarkEnd w:id="14"/>
      <w:bookmarkEnd w:id="15"/>
    </w:p>
    <w:p w14:paraId="4C2A5F4B" w14:textId="7B43DDCF" w:rsidR="00DD0760" w:rsidRPr="00C2318F" w:rsidRDefault="6485B15C" w:rsidP="00C2318F">
      <w:pPr>
        <w:spacing w:line="360" w:lineRule="auto"/>
        <w:jc w:val="both"/>
        <w:rPr>
          <w:rStyle w:val="cursor-pointer"/>
          <w:rFonts w:ascii="Arial" w:hAnsi="Arial" w:cs="Arial"/>
          <w:color w:val="000000" w:themeColor="text1"/>
        </w:rPr>
      </w:pPr>
      <w:r w:rsidRPr="7B6ED19B">
        <w:rPr>
          <w:rStyle w:val="cursor-pointer"/>
          <w:rFonts w:ascii="Arial" w:hAnsi="Arial" w:cs="Arial"/>
          <w:color w:val="000000" w:themeColor="text1"/>
        </w:rPr>
        <w:t>Considerable reliance is placed on the traditional Parkinson's pathways for planned consultations, symptom reporting in retrospect and brief observation</w:t>
      </w:r>
      <w:r w:rsidR="26890C8E" w:rsidRPr="7B6ED19B">
        <w:rPr>
          <w:rStyle w:val="cursor-pointer"/>
          <w:rFonts w:ascii="Arial" w:hAnsi="Arial" w:cs="Arial"/>
          <w:color w:val="000000" w:themeColor="text1"/>
        </w:rPr>
        <w:t xml:space="preserve"> </w:t>
      </w:r>
      <w:r w:rsidR="26890C8E" w:rsidRPr="7B6ED19B">
        <w:rPr>
          <w:rFonts w:ascii="Arial" w:hAnsi="Arial" w:cs="Arial"/>
        </w:rPr>
        <w:t>(Lang et al., 2025</w:t>
      </w:r>
      <w:r w:rsidR="42BF4328" w:rsidRPr="7B6ED19B">
        <w:rPr>
          <w:rFonts w:ascii="Arial" w:hAnsi="Arial" w:cs="Arial"/>
        </w:rPr>
        <w:t>). In</w:t>
      </w:r>
      <w:r w:rsidR="6899A32B" w:rsidRPr="7B6ED19B">
        <w:rPr>
          <w:rStyle w:val="cursor-pointer"/>
          <w:rFonts w:ascii="Arial" w:hAnsi="Arial" w:cs="Arial"/>
          <w:color w:val="000000" w:themeColor="text1"/>
        </w:rPr>
        <w:t xml:space="preserve"> contrast</w:t>
      </w:r>
      <w:r w:rsidRPr="7B6ED19B">
        <w:rPr>
          <w:rStyle w:val="cursor-pointer"/>
          <w:rFonts w:ascii="Arial" w:hAnsi="Arial" w:cs="Arial"/>
          <w:color w:val="000000" w:themeColor="text1"/>
        </w:rPr>
        <w:t>, PKG records movements over a period of six days, while performing normal activities.</w:t>
      </w:r>
      <w:r w:rsidRPr="7B6ED19B">
        <w:rPr>
          <w:rFonts w:ascii="Arial" w:hAnsi="Arial" w:cs="Arial"/>
        </w:rPr>
        <w:t xml:space="preserve"> </w:t>
      </w:r>
      <w:r w:rsidRPr="7B6ED19B">
        <w:rPr>
          <w:rStyle w:val="cursor-pointer"/>
          <w:rFonts w:ascii="Arial" w:hAnsi="Arial" w:cs="Arial"/>
          <w:color w:val="000000" w:themeColor="text1"/>
        </w:rPr>
        <w:t>For the Plymouth NHS implementation, 217 recordings were made from July 2015 to January 2018 from a service with a waiting time of more than 18 months between appointments for some patients</w:t>
      </w:r>
      <w:r w:rsidR="26890C8E" w:rsidRPr="7B6ED19B">
        <w:rPr>
          <w:rStyle w:val="cursor-pointer"/>
          <w:rFonts w:ascii="Arial" w:hAnsi="Arial" w:cs="Arial"/>
          <w:color w:val="000000" w:themeColor="text1"/>
        </w:rPr>
        <w:t xml:space="preserve"> </w:t>
      </w:r>
      <w:r w:rsidR="26890C8E" w:rsidRPr="7B6ED19B">
        <w:rPr>
          <w:rFonts w:ascii="Arial" w:hAnsi="Arial" w:cs="Arial"/>
        </w:rPr>
        <w:t>(Cox et al., 2023)</w:t>
      </w:r>
      <w:r w:rsidRPr="7B6ED19B">
        <w:rPr>
          <w:rStyle w:val="cursor-pointer"/>
          <w:rFonts w:ascii="Arial" w:hAnsi="Arial" w:cs="Arial"/>
          <w:color w:val="000000" w:themeColor="text1"/>
        </w:rPr>
        <w:t>.</w:t>
      </w:r>
      <w:r w:rsidRPr="7B6ED19B">
        <w:rPr>
          <w:rFonts w:ascii="Arial" w:hAnsi="Arial" w:cs="Arial"/>
        </w:rPr>
        <w:t xml:space="preserve"> </w:t>
      </w:r>
      <w:r w:rsidRPr="7B6ED19B">
        <w:rPr>
          <w:rStyle w:val="cursor-pointer"/>
          <w:rFonts w:ascii="Arial" w:hAnsi="Arial" w:cs="Arial"/>
          <w:color w:val="000000" w:themeColor="text1"/>
        </w:rPr>
        <w:t xml:space="preserve">This is important because of an information </w:t>
      </w:r>
      <w:r w:rsidR="0195E712" w:rsidRPr="7B6ED19B">
        <w:rPr>
          <w:rStyle w:val="cursor-pointer"/>
          <w:rFonts w:ascii="Arial" w:hAnsi="Arial" w:cs="Arial"/>
          <w:color w:val="000000" w:themeColor="text1"/>
        </w:rPr>
        <w:t>gap,</w:t>
      </w:r>
      <w:r w:rsidRPr="7B6ED19B">
        <w:rPr>
          <w:rStyle w:val="cursor-pointer"/>
          <w:rFonts w:ascii="Arial" w:hAnsi="Arial" w:cs="Arial"/>
          <w:color w:val="000000" w:themeColor="text1"/>
        </w:rPr>
        <w:t xml:space="preserve"> but data collection is not a transformation of service unless they are reviewed and acted upon.</w:t>
      </w:r>
    </w:p>
    <w:p w14:paraId="10968B8D" w14:textId="77777777" w:rsidR="00C2318F" w:rsidRPr="00C2318F" w:rsidRDefault="00C2318F" w:rsidP="00C2318F">
      <w:pPr>
        <w:spacing w:line="360" w:lineRule="auto"/>
        <w:jc w:val="center"/>
        <w:rPr>
          <w:rFonts w:ascii="Arial" w:hAnsi="Arial" w:cs="Arial"/>
        </w:rPr>
      </w:pPr>
      <w:r w:rsidRPr="00C2318F">
        <w:rPr>
          <w:rFonts w:ascii="Arial" w:hAnsi="Arial" w:cs="Arial"/>
          <w:noProof/>
        </w:rPr>
        <w:drawing>
          <wp:inline distT="0" distB="0" distL="0" distR="0" wp14:anchorId="779E407A" wp14:editId="0D1C762B">
            <wp:extent cx="4838700" cy="201560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Sep 15, 2026, 09_00_14 A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45456" cy="2018422"/>
                    </a:xfrm>
                    <a:prstGeom prst="rect">
                      <a:avLst/>
                    </a:prstGeom>
                  </pic:spPr>
                </pic:pic>
              </a:graphicData>
            </a:graphic>
          </wp:inline>
        </w:drawing>
      </w:r>
    </w:p>
    <w:p w14:paraId="7A7468C0" w14:textId="37328333" w:rsidR="00C2318F" w:rsidRPr="00C2318F" w:rsidRDefault="00C2318F" w:rsidP="00C2318F">
      <w:pPr>
        <w:spacing w:line="360" w:lineRule="auto"/>
        <w:jc w:val="center"/>
        <w:rPr>
          <w:rFonts w:ascii="Arial" w:eastAsia="Arial" w:hAnsi="Arial" w:cs="Arial"/>
        </w:rPr>
      </w:pPr>
      <w:r w:rsidRPr="763D9B2F">
        <w:rPr>
          <w:rFonts w:ascii="Arial" w:eastAsia="Arial" w:hAnsi="Arial" w:cs="Arial"/>
        </w:rPr>
        <w:t xml:space="preserve">Figure </w:t>
      </w:r>
      <w:r w:rsidR="3F2C0DC4" w:rsidRPr="763D9B2F">
        <w:rPr>
          <w:rFonts w:ascii="Arial" w:eastAsia="Arial" w:hAnsi="Arial" w:cs="Arial"/>
        </w:rPr>
        <w:t>1.</w:t>
      </w:r>
      <w:r w:rsidRPr="763D9B2F">
        <w:rPr>
          <w:rFonts w:ascii="Arial" w:eastAsia="Arial" w:hAnsi="Arial" w:cs="Arial"/>
        </w:rPr>
        <w:t xml:space="preserve"> Transformation from episodic Parkinson’s assessment to a PKG-supported longitudinal care </w:t>
      </w:r>
      <w:r w:rsidR="00D40A17" w:rsidRPr="763D9B2F">
        <w:rPr>
          <w:rFonts w:ascii="Arial" w:eastAsia="Arial" w:hAnsi="Arial" w:cs="Arial"/>
        </w:rPr>
        <w:t>pathway.</w:t>
      </w:r>
      <w:r w:rsidR="00D40A17">
        <w:rPr>
          <w:rFonts w:ascii="Arial" w:eastAsia="Arial" w:hAnsi="Arial" w:cs="Arial"/>
        </w:rPr>
        <w:t xml:space="preserve"> (</w:t>
      </w:r>
      <w:r w:rsidR="00233C9B">
        <w:rPr>
          <w:rFonts w:ascii="Arial" w:eastAsia="Arial" w:hAnsi="Arial" w:cs="Arial"/>
        </w:rPr>
        <w:t>Howe et al.</w:t>
      </w:r>
      <w:r w:rsidR="00D40A17">
        <w:rPr>
          <w:rFonts w:ascii="Arial" w:eastAsia="Arial" w:hAnsi="Arial" w:cs="Arial"/>
        </w:rPr>
        <w:t>,</w:t>
      </w:r>
      <w:r w:rsidR="00233C9B">
        <w:rPr>
          <w:rFonts w:ascii="Arial" w:eastAsia="Arial" w:hAnsi="Arial" w:cs="Arial"/>
        </w:rPr>
        <w:t>2026)</w:t>
      </w:r>
      <w:r w:rsidR="00D40A17">
        <w:rPr>
          <w:rFonts w:ascii="Arial" w:eastAsia="Arial" w:hAnsi="Arial" w:cs="Arial"/>
        </w:rPr>
        <w:t>.</w:t>
      </w:r>
    </w:p>
    <w:p w14:paraId="5EE3875B" w14:textId="77777777" w:rsidR="00DD0760" w:rsidRPr="00C2318F" w:rsidRDefault="00DD0760" w:rsidP="00C2318F">
      <w:pPr>
        <w:pStyle w:val="Heading2"/>
        <w:rPr>
          <w:rFonts w:ascii="Arial" w:eastAsia="Arial" w:hAnsi="Arial" w:cs="Arial"/>
          <w:sz w:val="32"/>
          <w:szCs w:val="32"/>
        </w:rPr>
      </w:pPr>
      <w:bookmarkStart w:id="16" w:name="_Toc240355992"/>
      <w:bookmarkStart w:id="17" w:name="_Toc240561376"/>
      <w:r w:rsidRPr="19CE7DE0">
        <w:rPr>
          <w:rFonts w:ascii="Arial" w:eastAsia="Arial" w:hAnsi="Arial" w:cs="Arial"/>
          <w:sz w:val="32"/>
          <w:szCs w:val="32"/>
        </w:rPr>
        <w:t>3.2 Clinical Decision-Making and Personalised Care</w:t>
      </w:r>
      <w:bookmarkEnd w:id="16"/>
      <w:bookmarkEnd w:id="17"/>
    </w:p>
    <w:p w14:paraId="59CCA6C4" w14:textId="0BB314F7" w:rsidR="00DD0760" w:rsidRPr="00C2318F" w:rsidRDefault="00DD0760" w:rsidP="00C2318F">
      <w:pPr>
        <w:spacing w:line="360" w:lineRule="auto"/>
        <w:jc w:val="both"/>
        <w:rPr>
          <w:rFonts w:ascii="Arial" w:hAnsi="Arial" w:cs="Arial"/>
        </w:rPr>
      </w:pPr>
      <w:r w:rsidRPr="00C2318F">
        <w:rPr>
          <w:rStyle w:val="cursor-pointer"/>
          <w:rFonts w:ascii="Arial" w:hAnsi="Arial" w:cs="Arial"/>
          <w:color w:val="000000" w:themeColor="text1"/>
        </w:rPr>
        <w:t>In Plymouth, 152/166 (92%) of the evaluable datasets had a treatment recommendation and 83/114 (73%) of the evaluable recommendations were put in place</w:t>
      </w:r>
      <w:r w:rsidR="005C74AB" w:rsidRPr="00C2318F">
        <w:rPr>
          <w:rStyle w:val="cursor-pointer"/>
          <w:rFonts w:ascii="Arial" w:hAnsi="Arial" w:cs="Arial"/>
          <w:color w:val="000000" w:themeColor="text1"/>
        </w:rPr>
        <w:t xml:space="preserve"> </w:t>
      </w:r>
      <w:r w:rsidR="005C74AB" w:rsidRPr="00C2318F">
        <w:rPr>
          <w:rFonts w:ascii="Arial" w:hAnsi="Arial" w:cs="Arial"/>
        </w:rPr>
        <w:t>(Metta et al., 2026b)</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This means that the treatment has clinical usefulness and optimization.</w:t>
      </w:r>
      <w:r w:rsidRPr="00C2318F">
        <w:rPr>
          <w:rFonts w:ascii="Arial" w:hAnsi="Arial" w:cs="Arial"/>
        </w:rPr>
        <w:t xml:space="preserve"> </w:t>
      </w:r>
      <w:r w:rsidRPr="00C2318F">
        <w:rPr>
          <w:rStyle w:val="cursor-pointer"/>
          <w:rFonts w:ascii="Arial" w:hAnsi="Arial" w:cs="Arial"/>
          <w:color w:val="000000" w:themeColor="text1"/>
        </w:rPr>
        <w:t xml:space="preserve">But changing the treatment does not prove to be effective–these are treatment process statistics, not treatment effectiveness statistics, so they </w:t>
      </w:r>
      <w:r w:rsidR="00B90848" w:rsidRPr="00C2318F">
        <w:rPr>
          <w:rStyle w:val="cursor-pointer"/>
          <w:rFonts w:ascii="Arial" w:hAnsi="Arial" w:cs="Arial"/>
          <w:color w:val="000000" w:themeColor="text1"/>
        </w:rPr>
        <w:t>do not</w:t>
      </w:r>
      <w:r w:rsidRPr="00C2318F">
        <w:rPr>
          <w:rStyle w:val="cursor-pointer"/>
          <w:rFonts w:ascii="Arial" w:hAnsi="Arial" w:cs="Arial"/>
          <w:color w:val="000000" w:themeColor="text1"/>
        </w:rPr>
        <w:t xml:space="preserve"> prove sustained symptom improvement, improvement in quality of life or reduction in hospitalisation.</w:t>
      </w:r>
      <w:r w:rsidRPr="00C2318F">
        <w:rPr>
          <w:rFonts w:ascii="Arial" w:hAnsi="Arial" w:cs="Arial"/>
        </w:rPr>
        <w:t xml:space="preserve"> </w:t>
      </w:r>
      <w:r w:rsidRPr="00C2318F">
        <w:rPr>
          <w:rStyle w:val="cursor-pointer"/>
          <w:rFonts w:ascii="Arial" w:hAnsi="Arial" w:cs="Arial"/>
          <w:color w:val="000000" w:themeColor="text1"/>
        </w:rPr>
        <w:t>So</w:t>
      </w:r>
      <w:r w:rsidR="645D1695" w:rsidRPr="763D9B2F">
        <w:rPr>
          <w:rStyle w:val="cursor-pointer"/>
          <w:rFonts w:ascii="Arial" w:hAnsi="Arial" w:cs="Arial"/>
          <w:color w:val="000000" w:themeColor="text1"/>
        </w:rPr>
        <w:t>,</w:t>
      </w:r>
      <w:r w:rsidRPr="00C2318F">
        <w:rPr>
          <w:rStyle w:val="cursor-pointer"/>
          <w:rFonts w:ascii="Arial" w:hAnsi="Arial" w:cs="Arial"/>
          <w:color w:val="000000" w:themeColor="text1"/>
        </w:rPr>
        <w:t xml:space="preserve"> achieving implementation success needs to be separated from clinical success.</w:t>
      </w:r>
    </w:p>
    <w:p w14:paraId="1B269EF2" w14:textId="3AF68B05" w:rsidR="00DD0760" w:rsidRPr="00C2318F" w:rsidRDefault="00DD0760" w:rsidP="00C2318F">
      <w:pPr>
        <w:pStyle w:val="Heading2"/>
        <w:rPr>
          <w:rFonts w:ascii="Arial" w:eastAsia="Arial" w:hAnsi="Arial" w:cs="Arial"/>
          <w:sz w:val="32"/>
          <w:szCs w:val="32"/>
        </w:rPr>
      </w:pPr>
      <w:bookmarkStart w:id="18" w:name="_Toc240355993"/>
      <w:bookmarkStart w:id="19" w:name="_Toc240561377"/>
      <w:r w:rsidRPr="19CE7DE0">
        <w:rPr>
          <w:rFonts w:ascii="Arial" w:eastAsia="Arial" w:hAnsi="Arial" w:cs="Arial"/>
          <w:sz w:val="32"/>
          <w:szCs w:val="32"/>
        </w:rPr>
        <w:t xml:space="preserve">3.3 Efficiency, </w:t>
      </w:r>
      <w:r w:rsidR="006324EC" w:rsidRPr="19CE7DE0">
        <w:rPr>
          <w:rFonts w:ascii="Arial" w:eastAsia="Arial" w:hAnsi="Arial" w:cs="Arial"/>
          <w:sz w:val="32"/>
          <w:szCs w:val="32"/>
        </w:rPr>
        <w:t>Access,</w:t>
      </w:r>
      <w:r w:rsidRPr="19CE7DE0">
        <w:rPr>
          <w:rFonts w:ascii="Arial" w:eastAsia="Arial" w:hAnsi="Arial" w:cs="Arial"/>
          <w:sz w:val="32"/>
          <w:szCs w:val="32"/>
        </w:rPr>
        <w:t xml:space="preserve"> and Hybrid Care</w:t>
      </w:r>
      <w:bookmarkEnd w:id="18"/>
      <w:bookmarkEnd w:id="19"/>
    </w:p>
    <w:p w14:paraId="33AC796A" w14:textId="505913BA" w:rsidR="00BC2DF2" w:rsidRPr="00C2318F" w:rsidRDefault="00BC2DF2" w:rsidP="00C2318F">
      <w:pPr>
        <w:spacing w:line="360" w:lineRule="auto"/>
        <w:jc w:val="both"/>
        <w:rPr>
          <w:rFonts w:ascii="Arial" w:hAnsi="Arial" w:cs="Arial"/>
        </w:rPr>
      </w:pPr>
      <w:r w:rsidRPr="0DC58763">
        <w:rPr>
          <w:rStyle w:val="cursor-pointer"/>
          <w:rFonts w:ascii="Arial" w:hAnsi="Arial" w:cs="Arial"/>
          <w:color w:val="000000" w:themeColor="text1"/>
        </w:rPr>
        <w:t xml:space="preserve">In a virtual Parkinson's pathway set-up in the UK with 61 patients, the clinicians made treatment decisions </w:t>
      </w:r>
      <w:r w:rsidR="687D7CBD" w:rsidRPr="763D9B2F">
        <w:rPr>
          <w:rStyle w:val="cursor-pointer"/>
          <w:rFonts w:ascii="Arial" w:hAnsi="Arial" w:cs="Arial"/>
          <w:color w:val="000000" w:themeColor="text1"/>
        </w:rPr>
        <w:t>like</w:t>
      </w:r>
      <w:r w:rsidRPr="0DC58763">
        <w:rPr>
          <w:rStyle w:val="cursor-pointer"/>
          <w:rFonts w:ascii="Arial" w:hAnsi="Arial" w:cs="Arial"/>
          <w:color w:val="000000" w:themeColor="text1"/>
        </w:rPr>
        <w:t xml:space="preserve"> that which would be done in a face-to-face setting in 48 cases (79%)</w:t>
      </w:r>
      <w:r w:rsidR="005C74AB" w:rsidRPr="0DC58763">
        <w:rPr>
          <w:rStyle w:val="cursor-pointer"/>
          <w:rFonts w:ascii="Arial" w:hAnsi="Arial" w:cs="Arial"/>
          <w:color w:val="000000" w:themeColor="text1"/>
        </w:rPr>
        <w:t xml:space="preserve"> </w:t>
      </w:r>
      <w:r w:rsidR="005C74AB" w:rsidRPr="0DC58763">
        <w:rPr>
          <w:rFonts w:ascii="Arial" w:hAnsi="Arial" w:cs="Arial"/>
        </w:rPr>
        <w:t xml:space="preserve">(Howe et al., </w:t>
      </w:r>
      <w:r w:rsidR="005C74AB" w:rsidRPr="0DC58763">
        <w:rPr>
          <w:rFonts w:ascii="Arial" w:hAnsi="Arial" w:cs="Arial"/>
        </w:rPr>
        <w:lastRenderedPageBreak/>
        <w:t>2026)</w:t>
      </w:r>
      <w:r w:rsidRPr="0DC58763">
        <w:rPr>
          <w:rStyle w:val="cursor-pointer"/>
          <w:rFonts w:ascii="Arial" w:hAnsi="Arial" w:cs="Arial"/>
          <w:color w:val="000000" w:themeColor="text1"/>
        </w:rPr>
        <w:t>.</w:t>
      </w:r>
      <w:r w:rsidRPr="0DC58763">
        <w:rPr>
          <w:rFonts w:ascii="Arial" w:hAnsi="Arial" w:cs="Arial"/>
        </w:rPr>
        <w:t xml:space="preserve"> </w:t>
      </w:r>
      <w:r w:rsidRPr="0DC58763">
        <w:rPr>
          <w:rStyle w:val="cursor-pointer"/>
          <w:rFonts w:ascii="Arial" w:hAnsi="Arial" w:cs="Arial"/>
          <w:color w:val="000000" w:themeColor="text1"/>
        </w:rPr>
        <w:t>However, complex presentations, difficulties with PKG, physical-assessment needs and communication issues, precluded the feasibility of remote review for some patients</w:t>
      </w:r>
      <w:r w:rsidR="005C74AB" w:rsidRPr="0DC58763">
        <w:rPr>
          <w:rStyle w:val="cursor-pointer"/>
          <w:rFonts w:ascii="Arial" w:hAnsi="Arial" w:cs="Arial"/>
          <w:color w:val="000000" w:themeColor="text1"/>
        </w:rPr>
        <w:t xml:space="preserve"> </w:t>
      </w:r>
      <w:r w:rsidR="005C74AB" w:rsidRPr="0DC58763">
        <w:rPr>
          <w:rFonts w:ascii="Arial" w:hAnsi="Arial" w:cs="Arial"/>
        </w:rPr>
        <w:t>(Muhammad Alrwaily, 2025)</w:t>
      </w:r>
      <w:r w:rsidRPr="0DC58763">
        <w:rPr>
          <w:rStyle w:val="cursor-pointer"/>
          <w:rFonts w:ascii="Arial" w:hAnsi="Arial" w:cs="Arial"/>
          <w:color w:val="000000" w:themeColor="text1"/>
        </w:rPr>
        <w:t>.</w:t>
      </w:r>
      <w:r w:rsidRPr="0DC58763">
        <w:rPr>
          <w:rFonts w:ascii="Arial" w:hAnsi="Arial" w:cs="Arial"/>
        </w:rPr>
        <w:t xml:space="preserve"> </w:t>
      </w:r>
      <w:r w:rsidRPr="0DC58763">
        <w:rPr>
          <w:rStyle w:val="cursor-pointer"/>
          <w:rFonts w:ascii="Arial" w:hAnsi="Arial" w:cs="Arial"/>
          <w:color w:val="000000" w:themeColor="text1"/>
        </w:rPr>
        <w:t>The evidence thus indicates that hybrid care is good, not digital substitution, but rather targeted hybrid care.</w:t>
      </w:r>
    </w:p>
    <w:p w14:paraId="7ABAA6A1" w14:textId="77777777" w:rsidR="00DD0760" w:rsidRPr="00C2318F" w:rsidRDefault="00DD0760" w:rsidP="00C2318F">
      <w:pPr>
        <w:pStyle w:val="Heading2"/>
        <w:rPr>
          <w:rFonts w:ascii="Arial" w:eastAsia="Arial" w:hAnsi="Arial" w:cs="Arial"/>
          <w:sz w:val="32"/>
          <w:szCs w:val="32"/>
        </w:rPr>
      </w:pPr>
      <w:bookmarkStart w:id="20" w:name="_Toc240355994"/>
      <w:bookmarkStart w:id="21" w:name="_Toc240561378"/>
      <w:r w:rsidRPr="19CE7DE0">
        <w:rPr>
          <w:rFonts w:ascii="Arial" w:eastAsia="Arial" w:hAnsi="Arial" w:cs="Arial"/>
          <w:sz w:val="32"/>
          <w:szCs w:val="32"/>
        </w:rPr>
        <w:t>3.4 Integration, Resources and Sustainability</w:t>
      </w:r>
      <w:bookmarkEnd w:id="20"/>
      <w:bookmarkEnd w:id="21"/>
    </w:p>
    <w:p w14:paraId="6597677F" w14:textId="62FD6385" w:rsidR="00BC2DF2" w:rsidRPr="00C2318F" w:rsidRDefault="691521A4" w:rsidP="00C2318F">
      <w:pPr>
        <w:spacing w:line="360" w:lineRule="auto"/>
        <w:jc w:val="both"/>
        <w:rPr>
          <w:rFonts w:ascii="Arial" w:hAnsi="Arial" w:cs="Arial"/>
        </w:rPr>
      </w:pPr>
      <w:r w:rsidRPr="7B6ED19B">
        <w:rPr>
          <w:rStyle w:val="cursor-pointer"/>
          <w:rFonts w:ascii="Arial" w:hAnsi="Arial" w:cs="Arial"/>
          <w:color w:val="000000" w:themeColor="text1"/>
        </w:rPr>
        <w:t>It is important to have secure data transfer, integration with clinical workflows, clear responsibilities for data review and escalation</w:t>
      </w:r>
      <w:r w:rsidR="385EBA5D" w:rsidRPr="7B6ED19B">
        <w:rPr>
          <w:rStyle w:val="cursor-pointer"/>
          <w:rFonts w:ascii="Arial" w:hAnsi="Arial" w:cs="Arial"/>
          <w:color w:val="000000" w:themeColor="text1"/>
        </w:rPr>
        <w:t xml:space="preserve"> </w:t>
      </w:r>
      <w:r w:rsidR="385EBA5D" w:rsidRPr="7B6ED19B">
        <w:rPr>
          <w:rFonts w:ascii="Arial" w:hAnsi="Arial" w:cs="Arial"/>
        </w:rPr>
        <w:t>(Sriram et al., 2025)</w:t>
      </w:r>
      <w:r w:rsidRPr="7B6ED19B">
        <w:rPr>
          <w:rStyle w:val="cursor-pointer"/>
          <w:rFonts w:ascii="Arial" w:hAnsi="Arial" w:cs="Arial"/>
          <w:color w:val="000000" w:themeColor="text1"/>
        </w:rPr>
        <w:t>.</w:t>
      </w:r>
      <w:r w:rsidRPr="7B6ED19B">
        <w:rPr>
          <w:rFonts w:ascii="Arial" w:hAnsi="Arial" w:cs="Arial"/>
        </w:rPr>
        <w:t xml:space="preserve"> </w:t>
      </w:r>
      <w:r w:rsidRPr="7B6ED19B">
        <w:rPr>
          <w:rStyle w:val="cursor-pointer"/>
          <w:rFonts w:ascii="Arial" w:hAnsi="Arial" w:cs="Arial"/>
          <w:color w:val="000000" w:themeColor="text1"/>
        </w:rPr>
        <w:t xml:space="preserve">Any potential efficiencies </w:t>
      </w:r>
      <w:r w:rsidR="3051FFBF" w:rsidRPr="7B6ED19B">
        <w:rPr>
          <w:rStyle w:val="cursor-pointer"/>
          <w:rFonts w:ascii="Arial" w:hAnsi="Arial" w:cs="Arial"/>
          <w:color w:val="000000" w:themeColor="text1"/>
        </w:rPr>
        <w:t>must</w:t>
      </w:r>
      <w:r w:rsidRPr="7B6ED19B">
        <w:rPr>
          <w:rStyle w:val="cursor-pointer"/>
          <w:rFonts w:ascii="Arial" w:hAnsi="Arial" w:cs="Arial"/>
          <w:color w:val="000000" w:themeColor="text1"/>
        </w:rPr>
        <w:t xml:space="preserve"> be weighed against provision of devices, review time for clinicians, and support time.</w:t>
      </w:r>
      <w:r w:rsidRPr="7B6ED19B">
        <w:rPr>
          <w:rFonts w:ascii="Arial" w:hAnsi="Arial" w:cs="Arial"/>
        </w:rPr>
        <w:t xml:space="preserve"> </w:t>
      </w:r>
      <w:r w:rsidRPr="7B6ED19B">
        <w:rPr>
          <w:rStyle w:val="cursor-pointer"/>
          <w:rFonts w:ascii="Arial" w:hAnsi="Arial" w:cs="Arial"/>
          <w:color w:val="000000" w:themeColor="text1"/>
        </w:rPr>
        <w:t xml:space="preserve">Furthermore, the </w:t>
      </w:r>
      <w:r w:rsidR="381E365E" w:rsidRPr="7B6ED19B">
        <w:rPr>
          <w:rStyle w:val="cursor-pointer"/>
          <w:rFonts w:ascii="Arial" w:hAnsi="Arial" w:cs="Arial"/>
          <w:color w:val="000000" w:themeColor="text1"/>
        </w:rPr>
        <w:t>long-term</w:t>
      </w:r>
      <w:r w:rsidRPr="7B6ED19B">
        <w:rPr>
          <w:rStyle w:val="cursor-pointer"/>
          <w:rFonts w:ascii="Arial" w:hAnsi="Arial" w:cs="Arial"/>
          <w:color w:val="000000" w:themeColor="text1"/>
        </w:rPr>
        <w:t xml:space="preserve"> resource use, cost-effectiveness and health outcomes are not clear</w:t>
      </w:r>
      <w:r w:rsidR="385EBA5D" w:rsidRPr="7B6ED19B">
        <w:rPr>
          <w:rStyle w:val="cursor-pointer"/>
          <w:rFonts w:ascii="Arial" w:hAnsi="Arial" w:cs="Arial"/>
          <w:color w:val="000000" w:themeColor="text1"/>
        </w:rPr>
        <w:t xml:space="preserve"> </w:t>
      </w:r>
      <w:r w:rsidR="385EBA5D" w:rsidRPr="7B6ED19B">
        <w:rPr>
          <w:rFonts w:ascii="Arial" w:hAnsi="Arial" w:cs="Arial"/>
        </w:rPr>
        <w:t>(Chambers et al., 2021)</w:t>
      </w:r>
      <w:r w:rsidRPr="7B6ED19B">
        <w:rPr>
          <w:rStyle w:val="cursor-pointer"/>
          <w:rFonts w:ascii="Arial" w:hAnsi="Arial" w:cs="Arial"/>
          <w:color w:val="000000" w:themeColor="text1"/>
        </w:rPr>
        <w:t>.</w:t>
      </w:r>
      <w:r w:rsidRPr="7B6ED19B">
        <w:rPr>
          <w:rFonts w:ascii="Arial" w:hAnsi="Arial" w:cs="Arial"/>
        </w:rPr>
        <w:t xml:space="preserve"> </w:t>
      </w:r>
      <w:r w:rsidRPr="7B6ED19B">
        <w:rPr>
          <w:rStyle w:val="cursor-pointer"/>
          <w:rFonts w:ascii="Arial" w:hAnsi="Arial" w:cs="Arial"/>
          <w:color w:val="000000" w:themeColor="text1"/>
        </w:rPr>
        <w:t>While successful adoption of PKG can be demonstrated as a successful reorganisation of Parkinson monitoring overall, it is not enough to provide the service on its own to show successful reorganisation; it requires effective integration, patient selection, and clinical and economic benefits.</w:t>
      </w:r>
    </w:p>
    <w:p w14:paraId="5BD08026" w14:textId="449A3BFA" w:rsidR="00DD0760" w:rsidRDefault="00DD0760" w:rsidP="00C2318F">
      <w:pPr>
        <w:pStyle w:val="Heading1"/>
        <w:rPr>
          <w:rFonts w:ascii="Arial" w:eastAsia="Arial" w:hAnsi="Arial" w:cs="Arial"/>
          <w:b/>
          <w:color w:val="000000" w:themeColor="text1"/>
        </w:rPr>
      </w:pPr>
      <w:bookmarkStart w:id="22" w:name="_Toc240355995"/>
      <w:bookmarkStart w:id="23" w:name="_Toc240561379"/>
      <w:r w:rsidRPr="19CE7DE0">
        <w:rPr>
          <w:rFonts w:ascii="Arial" w:eastAsia="Arial" w:hAnsi="Arial" w:cs="Arial"/>
          <w:b/>
          <w:color w:val="000000" w:themeColor="text1"/>
        </w:rPr>
        <w:t>4. Critical Evaluation: Impact on Patients and Service Users</w:t>
      </w:r>
      <w:bookmarkEnd w:id="22"/>
      <w:bookmarkEnd w:id="23"/>
    </w:p>
    <w:p w14:paraId="171D4D37" w14:textId="13077713" w:rsidR="00BC2DF2" w:rsidRPr="00C2318F" w:rsidRDefault="00BC2DF2" w:rsidP="00C2318F">
      <w:pPr>
        <w:spacing w:line="360" w:lineRule="auto"/>
        <w:jc w:val="both"/>
        <w:rPr>
          <w:rFonts w:ascii="Arial" w:hAnsi="Arial" w:cs="Arial"/>
        </w:rPr>
      </w:pPr>
      <w:r w:rsidRPr="00C2318F">
        <w:rPr>
          <w:rFonts w:ascii="Arial" w:hAnsi="Arial" w:cs="Arial"/>
        </w:rPr>
        <w:t xml:space="preserve">Patient-centred value relies on the premise that objective monitoring is able to deliver better meaningful outcomes, without diminishing accessibility, </w:t>
      </w:r>
      <w:r w:rsidR="006416EB" w:rsidRPr="00C2318F">
        <w:rPr>
          <w:rFonts w:ascii="Arial" w:hAnsi="Arial" w:cs="Arial"/>
        </w:rPr>
        <w:t>autonomy,</w:t>
      </w:r>
      <w:r w:rsidRPr="00C2318F">
        <w:rPr>
          <w:rFonts w:ascii="Arial" w:hAnsi="Arial" w:cs="Arial"/>
        </w:rPr>
        <w:t xml:space="preserve"> or lived experience; although this may be possible for PKG, it can only gain a more representative account of Parkinson's symptoms.</w:t>
      </w:r>
    </w:p>
    <w:p w14:paraId="5A2803A1" w14:textId="066035E5" w:rsidR="00DD0760" w:rsidRPr="00C2318F" w:rsidRDefault="00DD0760" w:rsidP="00C2318F">
      <w:pPr>
        <w:pStyle w:val="Heading2"/>
        <w:rPr>
          <w:rFonts w:ascii="Arial" w:eastAsia="Arial" w:hAnsi="Arial" w:cs="Arial"/>
          <w:sz w:val="32"/>
          <w:szCs w:val="32"/>
        </w:rPr>
      </w:pPr>
      <w:bookmarkStart w:id="24" w:name="_Toc240355996"/>
      <w:bookmarkStart w:id="25" w:name="_Toc240561380"/>
      <w:r w:rsidRPr="19CE7DE0">
        <w:rPr>
          <w:rFonts w:ascii="Arial" w:eastAsia="Arial" w:hAnsi="Arial" w:cs="Arial"/>
          <w:sz w:val="32"/>
          <w:szCs w:val="32"/>
        </w:rPr>
        <w:t>4.1 Symptom Recognition and Personalised Care</w:t>
      </w:r>
      <w:bookmarkEnd w:id="24"/>
      <w:bookmarkEnd w:id="25"/>
    </w:p>
    <w:p w14:paraId="4C2030B9" w14:textId="5E38582D" w:rsidR="00DD0760" w:rsidRPr="00C2318F" w:rsidRDefault="00BC2DF2" w:rsidP="00C2318F">
      <w:pPr>
        <w:spacing w:line="360" w:lineRule="auto"/>
        <w:jc w:val="both"/>
        <w:rPr>
          <w:rFonts w:ascii="Arial" w:hAnsi="Arial" w:cs="Arial"/>
        </w:rPr>
      </w:pPr>
      <w:r w:rsidRPr="00C2318F">
        <w:rPr>
          <w:rStyle w:val="cursor-pointer"/>
          <w:rFonts w:ascii="Arial" w:hAnsi="Arial" w:cs="Arial"/>
          <w:color w:val="000000" w:themeColor="text1"/>
        </w:rPr>
        <w:t xml:space="preserve">Six-day monitoring can help to document bradykinesia, dyskinesia, </w:t>
      </w:r>
      <w:r w:rsidR="00585018" w:rsidRPr="00C2318F">
        <w:rPr>
          <w:rStyle w:val="cursor-pointer"/>
          <w:rFonts w:ascii="Arial" w:hAnsi="Arial" w:cs="Arial"/>
          <w:color w:val="000000" w:themeColor="text1"/>
        </w:rPr>
        <w:t>tremor,</w:t>
      </w:r>
      <w:r w:rsidRPr="00C2318F">
        <w:rPr>
          <w:rStyle w:val="cursor-pointer"/>
          <w:rFonts w:ascii="Arial" w:hAnsi="Arial" w:cs="Arial"/>
          <w:color w:val="000000" w:themeColor="text1"/>
        </w:rPr>
        <w:t xml:space="preserve"> and motor fluctuations in normal activity, thus minimizing reliance on memory and short-term examinations.</w:t>
      </w:r>
      <w:r w:rsidRPr="00C2318F">
        <w:rPr>
          <w:rFonts w:ascii="Arial" w:hAnsi="Arial" w:cs="Arial"/>
        </w:rPr>
        <w:t xml:space="preserve"> </w:t>
      </w:r>
      <w:r w:rsidRPr="00C2318F">
        <w:rPr>
          <w:rStyle w:val="cursor-pointer"/>
          <w:rFonts w:ascii="Arial" w:hAnsi="Arial" w:cs="Arial"/>
          <w:color w:val="000000" w:themeColor="text1"/>
        </w:rPr>
        <w:t>The evidence from the UK is also more complex than technological objectivity might indicate, however: On the one hand, some 60% of participants in an NHS cohort said that they found the results of the PKG to reflect their own experience, while 59% of them felt that the device gave their clinical team additional information</w:t>
      </w:r>
      <w:r w:rsidR="005C74AB" w:rsidRPr="00C2318F">
        <w:rPr>
          <w:rStyle w:val="cursor-pointer"/>
          <w:rFonts w:ascii="Arial" w:hAnsi="Arial" w:cs="Arial"/>
          <w:color w:val="000000" w:themeColor="text1"/>
        </w:rPr>
        <w:t xml:space="preserve"> </w:t>
      </w:r>
      <w:r w:rsidR="005C74AB" w:rsidRPr="00C2318F">
        <w:rPr>
          <w:rFonts w:ascii="Arial" w:hAnsi="Arial" w:cs="Arial"/>
        </w:rPr>
        <w:t>(Azoidou et al., 2026)</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 xml:space="preserve">Objective measurement can therefore have a positive impact on personalisation only if used in conjunction with non-motor symptoms, individual </w:t>
      </w:r>
      <w:r w:rsidR="00F32AC0" w:rsidRPr="00C2318F">
        <w:rPr>
          <w:rStyle w:val="cursor-pointer"/>
          <w:rFonts w:ascii="Arial" w:hAnsi="Arial" w:cs="Arial"/>
          <w:color w:val="000000" w:themeColor="text1"/>
        </w:rPr>
        <w:t>priorities,</w:t>
      </w:r>
      <w:r w:rsidRPr="00C2318F">
        <w:rPr>
          <w:rStyle w:val="cursor-pointer"/>
          <w:rFonts w:ascii="Arial" w:hAnsi="Arial" w:cs="Arial"/>
          <w:color w:val="000000" w:themeColor="text1"/>
        </w:rPr>
        <w:t xml:space="preserve"> and patient-reported experience.</w:t>
      </w:r>
    </w:p>
    <w:p w14:paraId="3A319B92" w14:textId="18057C33" w:rsidR="00F43338" w:rsidRDefault="00F43338" w:rsidP="00C2318F">
      <w:pPr>
        <w:pStyle w:val="Heading2"/>
        <w:rPr>
          <w:rFonts w:ascii="Arial" w:eastAsia="Arial" w:hAnsi="Arial" w:cs="Arial"/>
          <w:sz w:val="32"/>
          <w:szCs w:val="32"/>
        </w:rPr>
      </w:pPr>
      <w:bookmarkStart w:id="26" w:name="_Toc240355997"/>
      <w:bookmarkStart w:id="27" w:name="_Toc240561381"/>
    </w:p>
    <w:p w14:paraId="10D2F08E" w14:textId="72EFFD9A" w:rsidR="00F43338" w:rsidRDefault="00F43338" w:rsidP="00C2318F">
      <w:pPr>
        <w:pStyle w:val="Heading2"/>
        <w:rPr>
          <w:rFonts w:ascii="Arial" w:eastAsia="Arial" w:hAnsi="Arial" w:cs="Arial"/>
          <w:sz w:val="32"/>
          <w:szCs w:val="32"/>
        </w:rPr>
      </w:pPr>
    </w:p>
    <w:p w14:paraId="09F9FF01" w14:textId="653D49D0" w:rsidR="00DD0760" w:rsidRPr="00DF2912" w:rsidRDefault="7393FF43" w:rsidP="00C2318F">
      <w:pPr>
        <w:pStyle w:val="Heading2"/>
        <w:rPr>
          <w:rFonts w:ascii="Arial" w:eastAsia="Arial" w:hAnsi="Arial" w:cs="Arial"/>
          <w:sz w:val="32"/>
          <w:szCs w:val="32"/>
        </w:rPr>
      </w:pPr>
      <w:r w:rsidRPr="208D9DA6">
        <w:rPr>
          <w:rFonts w:ascii="Arial" w:eastAsia="Arial" w:hAnsi="Arial" w:cs="Arial"/>
          <w:sz w:val="32"/>
          <w:szCs w:val="32"/>
        </w:rPr>
        <w:lastRenderedPageBreak/>
        <w:t xml:space="preserve">4.2 Patient Experience, </w:t>
      </w:r>
      <w:r w:rsidR="00F32AC0" w:rsidRPr="208D9DA6">
        <w:rPr>
          <w:rFonts w:ascii="Arial" w:eastAsia="Arial" w:hAnsi="Arial" w:cs="Arial"/>
          <w:sz w:val="32"/>
          <w:szCs w:val="32"/>
        </w:rPr>
        <w:t>Convenience,</w:t>
      </w:r>
      <w:r w:rsidRPr="208D9DA6">
        <w:rPr>
          <w:rFonts w:ascii="Arial" w:eastAsia="Arial" w:hAnsi="Arial" w:cs="Arial"/>
          <w:sz w:val="32"/>
          <w:szCs w:val="32"/>
        </w:rPr>
        <w:t xml:space="preserve"> and Independence</w:t>
      </w:r>
      <w:bookmarkEnd w:id="26"/>
      <w:bookmarkEnd w:id="27"/>
    </w:p>
    <w:p w14:paraId="56B87C04" w14:textId="3C220B3D" w:rsidR="00BC2DF2" w:rsidRPr="00C2318F" w:rsidRDefault="00BC2DF2" w:rsidP="00C2318F">
      <w:pPr>
        <w:spacing w:line="360" w:lineRule="auto"/>
        <w:jc w:val="both"/>
        <w:rPr>
          <w:rStyle w:val="cursor-pointer"/>
          <w:rFonts w:ascii="Arial" w:eastAsia="Times New Roman" w:hAnsi="Arial" w:cs="Arial"/>
          <w:color w:val="000000" w:themeColor="text1"/>
        </w:rPr>
      </w:pPr>
      <w:r w:rsidRPr="00C2318F">
        <w:rPr>
          <w:rStyle w:val="cursor-pointer"/>
          <w:rFonts w:ascii="Arial" w:hAnsi="Arial" w:cs="Arial"/>
          <w:color w:val="000000" w:themeColor="text1"/>
        </w:rPr>
        <w:t>A total of 46 of 61 patients returned questionnaires in a virtual Parkinson's pathway in the UK, with 41 patients (89%) finding it satisfactory</w:t>
      </w:r>
      <w:r w:rsidR="00532ADD" w:rsidRPr="00C2318F">
        <w:rPr>
          <w:rStyle w:val="cursor-pointer"/>
          <w:rFonts w:ascii="Arial" w:hAnsi="Arial" w:cs="Arial"/>
          <w:color w:val="000000" w:themeColor="text1"/>
        </w:rPr>
        <w:t xml:space="preserve"> </w:t>
      </w:r>
      <w:r w:rsidR="00532ADD" w:rsidRPr="00C2318F">
        <w:rPr>
          <w:rFonts w:ascii="Arial" w:hAnsi="Arial" w:cs="Arial"/>
        </w:rPr>
        <w:t xml:space="preserve">(Seyed-Mohammad </w:t>
      </w:r>
      <w:r w:rsidR="00B2778B" w:rsidRPr="00C2318F">
        <w:rPr>
          <w:rFonts w:ascii="Arial" w:hAnsi="Arial" w:cs="Arial"/>
        </w:rPr>
        <w:t>Fereshteh Nejad</w:t>
      </w:r>
      <w:r w:rsidR="00532ADD" w:rsidRPr="00C2318F">
        <w:rPr>
          <w:rFonts w:ascii="Arial" w:hAnsi="Arial" w:cs="Arial"/>
        </w:rPr>
        <w:t xml:space="preserve"> and Johan Lokk, 2023)</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 xml:space="preserve">Patient experts have also linked remote monitoring with the concept of normality, </w:t>
      </w:r>
      <w:r w:rsidR="00830B7E" w:rsidRPr="00C2318F">
        <w:rPr>
          <w:rStyle w:val="cursor-pointer"/>
          <w:rFonts w:ascii="Arial" w:hAnsi="Arial" w:cs="Arial"/>
          <w:color w:val="000000" w:themeColor="text1"/>
        </w:rPr>
        <w:t>independence,</w:t>
      </w:r>
      <w:r w:rsidRPr="00C2318F">
        <w:rPr>
          <w:rStyle w:val="cursor-pointer"/>
          <w:rFonts w:ascii="Arial" w:hAnsi="Arial" w:cs="Arial"/>
          <w:color w:val="000000" w:themeColor="text1"/>
        </w:rPr>
        <w:t xml:space="preserve"> and decreased anxiety regarding in-person visits.</w:t>
      </w:r>
      <w:r w:rsidR="00532ADD" w:rsidRPr="00C2318F">
        <w:rPr>
          <w:rStyle w:val="cursor-pointer"/>
          <w:rFonts w:ascii="Arial" w:hAnsi="Arial" w:cs="Arial"/>
          <w:color w:val="000000" w:themeColor="text1"/>
        </w:rPr>
        <w:t xml:space="preserve"> </w:t>
      </w:r>
      <w:r w:rsidR="00532ADD" w:rsidRPr="00C2318F">
        <w:rPr>
          <w:rStyle w:val="Strong"/>
          <w:rFonts w:ascii="Arial" w:hAnsi="Arial" w:cs="Arial"/>
          <w:b w:val="0"/>
          <w:color w:val="000000" w:themeColor="text1"/>
        </w:rPr>
        <w:t>(NICE, 2023)</w:t>
      </w:r>
      <w:r w:rsidR="00532ADD" w:rsidRPr="00C2318F">
        <w:rPr>
          <w:rFonts w:ascii="Arial" w:hAnsi="Arial" w:cs="Arial"/>
        </w:rPr>
        <w:t>.</w:t>
      </w:r>
      <w:r w:rsidRPr="00C2318F">
        <w:rPr>
          <w:rFonts w:ascii="Arial" w:hAnsi="Arial" w:cs="Arial"/>
        </w:rPr>
        <w:t xml:space="preserve"> </w:t>
      </w:r>
      <w:r w:rsidRPr="00C2318F">
        <w:rPr>
          <w:rStyle w:val="cursor-pointer"/>
          <w:rFonts w:ascii="Arial" w:hAnsi="Arial" w:cs="Arial"/>
          <w:color w:val="000000" w:themeColor="text1"/>
        </w:rPr>
        <w:t>But 89% satisfaction is only for those that responded to a larger virtual-clinic model, and the sample size of a single service is limited, and of non-response, reducing generalisability of the PKG effectiveness itself.</w:t>
      </w:r>
      <w:r w:rsidRPr="00C2318F">
        <w:rPr>
          <w:rFonts w:ascii="Arial" w:hAnsi="Arial" w:cs="Arial"/>
        </w:rPr>
        <w:t xml:space="preserve"> </w:t>
      </w:r>
      <w:r w:rsidRPr="00C2318F">
        <w:rPr>
          <w:rStyle w:val="cursor-pointer"/>
          <w:rFonts w:ascii="Arial" w:hAnsi="Arial" w:cs="Arial"/>
          <w:color w:val="000000" w:themeColor="text1"/>
        </w:rPr>
        <w:t>The acceptability should thus not be interpreted as an indication of the health effects.</w:t>
      </w:r>
    </w:p>
    <w:p w14:paraId="7E7A7732" w14:textId="77777777" w:rsidR="00DD0760" w:rsidRPr="00C2318F" w:rsidRDefault="00DD0760" w:rsidP="00DF2912">
      <w:pPr>
        <w:pStyle w:val="Heading2"/>
        <w:rPr>
          <w:rFonts w:ascii="Arial" w:eastAsia="Arial" w:hAnsi="Arial" w:cs="Arial"/>
          <w:sz w:val="32"/>
          <w:szCs w:val="32"/>
        </w:rPr>
      </w:pPr>
      <w:bookmarkStart w:id="28" w:name="_Toc240355998"/>
      <w:bookmarkStart w:id="29" w:name="_Toc240561382"/>
      <w:r w:rsidRPr="19CE7DE0">
        <w:rPr>
          <w:rFonts w:ascii="Arial" w:eastAsia="Arial" w:hAnsi="Arial" w:cs="Arial"/>
          <w:sz w:val="32"/>
          <w:szCs w:val="32"/>
        </w:rPr>
        <w:t>4.3 Accessibility, Inclusion and Digital Inequality</w:t>
      </w:r>
      <w:bookmarkEnd w:id="28"/>
      <w:bookmarkEnd w:id="29"/>
    </w:p>
    <w:p w14:paraId="3B3BBFE3" w14:textId="34A0163E" w:rsidR="00BC2DF2" w:rsidRPr="00C2318F" w:rsidRDefault="3E6EBD9C" w:rsidP="00C2318F">
      <w:pPr>
        <w:spacing w:line="360" w:lineRule="auto"/>
        <w:jc w:val="both"/>
        <w:rPr>
          <w:rFonts w:ascii="Arial" w:hAnsi="Arial" w:cs="Arial"/>
        </w:rPr>
      </w:pPr>
      <w:r w:rsidRPr="208D9DA6">
        <w:rPr>
          <w:rStyle w:val="cursor-pointer"/>
          <w:rFonts w:ascii="Arial" w:hAnsi="Arial" w:cs="Arial"/>
          <w:color w:val="000000" w:themeColor="text1"/>
        </w:rPr>
        <w:t xml:space="preserve">While home monitoring can help to </w:t>
      </w:r>
      <w:r w:rsidR="16F90823" w:rsidRPr="208D9DA6">
        <w:rPr>
          <w:rStyle w:val="cursor-pointer"/>
          <w:rFonts w:ascii="Arial" w:hAnsi="Arial" w:cs="Arial"/>
          <w:color w:val="000000" w:themeColor="text1"/>
        </w:rPr>
        <w:t xml:space="preserve">reduce the </w:t>
      </w:r>
      <w:r w:rsidR="05290F55" w:rsidRPr="208D9DA6">
        <w:rPr>
          <w:rStyle w:val="cursor-pointer"/>
          <w:rFonts w:ascii="Arial" w:hAnsi="Arial" w:cs="Arial"/>
          <w:color w:val="000000" w:themeColor="text1"/>
        </w:rPr>
        <w:t>travel</w:t>
      </w:r>
      <w:r w:rsidRPr="208D9DA6">
        <w:rPr>
          <w:rStyle w:val="cursor-pointer"/>
          <w:rFonts w:ascii="Arial" w:hAnsi="Arial" w:cs="Arial"/>
          <w:color w:val="000000" w:themeColor="text1"/>
        </w:rPr>
        <w:t xml:space="preserve"> burden, </w:t>
      </w:r>
      <w:r w:rsidR="6B10CB00" w:rsidRPr="208D9DA6">
        <w:rPr>
          <w:rStyle w:val="cursor-pointer"/>
          <w:rFonts w:ascii="Arial" w:hAnsi="Arial" w:cs="Arial"/>
          <w:color w:val="000000" w:themeColor="text1"/>
        </w:rPr>
        <w:t>access</w:t>
      </w:r>
      <w:r w:rsidRPr="208D9DA6">
        <w:rPr>
          <w:rStyle w:val="cursor-pointer"/>
          <w:rFonts w:ascii="Arial" w:hAnsi="Arial" w:cs="Arial"/>
          <w:color w:val="000000" w:themeColor="text1"/>
        </w:rPr>
        <w:t xml:space="preserve"> to</w:t>
      </w:r>
      <w:r w:rsidR="5DC5BEF5" w:rsidRPr="208D9DA6">
        <w:rPr>
          <w:rStyle w:val="cursor-pointer"/>
          <w:rFonts w:ascii="Arial" w:hAnsi="Arial" w:cs="Arial"/>
          <w:color w:val="000000" w:themeColor="text1"/>
        </w:rPr>
        <w:t xml:space="preserve"> i</w:t>
      </w:r>
      <w:r w:rsidRPr="208D9DA6">
        <w:rPr>
          <w:rStyle w:val="cursor-pointer"/>
          <w:rFonts w:ascii="Arial" w:hAnsi="Arial" w:cs="Arial"/>
          <w:color w:val="000000" w:themeColor="text1"/>
        </w:rPr>
        <w:t>t is not necessarily equitable.</w:t>
      </w:r>
      <w:r w:rsidRPr="208D9DA6">
        <w:rPr>
          <w:rFonts w:ascii="Arial" w:hAnsi="Arial" w:cs="Arial"/>
        </w:rPr>
        <w:t xml:space="preserve"> </w:t>
      </w:r>
      <w:r w:rsidRPr="208D9DA6">
        <w:rPr>
          <w:rStyle w:val="cursor-pointer"/>
          <w:rFonts w:ascii="Arial" w:hAnsi="Arial" w:cs="Arial"/>
          <w:color w:val="000000" w:themeColor="text1"/>
        </w:rPr>
        <w:t xml:space="preserve">There may be limitations in effective use due to cognitive impairment, frailty, physical limitations, communication </w:t>
      </w:r>
      <w:r w:rsidR="007A0504" w:rsidRPr="208D9DA6">
        <w:rPr>
          <w:rStyle w:val="cursor-pointer"/>
          <w:rFonts w:ascii="Arial" w:hAnsi="Arial" w:cs="Arial"/>
          <w:color w:val="000000" w:themeColor="text1"/>
        </w:rPr>
        <w:t>difficulties,</w:t>
      </w:r>
      <w:r w:rsidRPr="208D9DA6">
        <w:rPr>
          <w:rStyle w:val="cursor-pointer"/>
          <w:rFonts w:ascii="Arial" w:hAnsi="Arial" w:cs="Arial"/>
          <w:color w:val="000000" w:themeColor="text1"/>
        </w:rPr>
        <w:t xml:space="preserve"> or dependency on carers.</w:t>
      </w:r>
      <w:r w:rsidRPr="208D9DA6">
        <w:rPr>
          <w:rFonts w:ascii="Arial" w:hAnsi="Arial" w:cs="Arial"/>
        </w:rPr>
        <w:t xml:space="preserve"> </w:t>
      </w:r>
      <w:r w:rsidRPr="208D9DA6">
        <w:rPr>
          <w:rStyle w:val="cursor-pointer"/>
          <w:rFonts w:ascii="Arial" w:hAnsi="Arial" w:cs="Arial"/>
          <w:color w:val="000000" w:themeColor="text1"/>
        </w:rPr>
        <w:t>97% of respondents (n=62) in one UK PKG study indicated a desire to continue using it, with 40% indicating a specific value of the avoidance of clinic travel.</w:t>
      </w:r>
      <w:r w:rsidRPr="208D9DA6">
        <w:rPr>
          <w:rFonts w:ascii="Arial" w:hAnsi="Arial" w:cs="Arial"/>
        </w:rPr>
        <w:t xml:space="preserve"> </w:t>
      </w:r>
      <w:r w:rsidRPr="208D9DA6">
        <w:rPr>
          <w:rStyle w:val="cursor-pointer"/>
          <w:rFonts w:ascii="Arial" w:hAnsi="Arial" w:cs="Arial"/>
          <w:color w:val="000000" w:themeColor="text1"/>
        </w:rPr>
        <w:t>The results here question th</w:t>
      </w:r>
      <w:r w:rsidR="503E5FD3" w:rsidRPr="208D9DA6">
        <w:rPr>
          <w:rStyle w:val="cursor-pointer"/>
          <w:rFonts w:ascii="Arial" w:hAnsi="Arial" w:cs="Arial"/>
          <w:color w:val="000000" w:themeColor="text1"/>
        </w:rPr>
        <w:t>e assumption that</w:t>
      </w:r>
      <w:r w:rsidRPr="208D9DA6">
        <w:rPr>
          <w:rStyle w:val="cursor-pointer"/>
          <w:rFonts w:ascii="Arial" w:hAnsi="Arial" w:cs="Arial"/>
          <w:color w:val="000000" w:themeColor="text1"/>
        </w:rPr>
        <w:t xml:space="preserve"> convenience </w:t>
      </w:r>
      <w:r w:rsidR="6317FC00" w:rsidRPr="208D9DA6">
        <w:rPr>
          <w:rStyle w:val="cursor-pointer"/>
          <w:rFonts w:ascii="Arial" w:hAnsi="Arial" w:cs="Arial"/>
          <w:color w:val="000000" w:themeColor="text1"/>
        </w:rPr>
        <w:t xml:space="preserve">is experienced equally by everyone and highlight </w:t>
      </w:r>
      <w:r w:rsidR="100CAF93" w:rsidRPr="208D9DA6">
        <w:rPr>
          <w:rStyle w:val="cursor-pointer"/>
          <w:rFonts w:ascii="Arial" w:hAnsi="Arial" w:cs="Arial"/>
          <w:color w:val="000000" w:themeColor="text1"/>
        </w:rPr>
        <w:t xml:space="preserve">the need for </w:t>
      </w:r>
      <w:r w:rsidR="3974B5F3" w:rsidRPr="208D9DA6">
        <w:rPr>
          <w:rStyle w:val="cursor-pointer"/>
          <w:rFonts w:ascii="Arial" w:hAnsi="Arial" w:cs="Arial"/>
          <w:color w:val="000000" w:themeColor="text1"/>
        </w:rPr>
        <w:t>individual assessment</w:t>
      </w:r>
      <w:r w:rsidRPr="208D9DA6">
        <w:rPr>
          <w:rStyle w:val="cursor-pointer"/>
          <w:rFonts w:ascii="Arial" w:hAnsi="Arial" w:cs="Arial"/>
          <w:color w:val="000000" w:themeColor="text1"/>
        </w:rPr>
        <w:t xml:space="preserve"> </w:t>
      </w:r>
      <w:r w:rsidR="04910AE3" w:rsidRPr="208D9DA6">
        <w:rPr>
          <w:rStyle w:val="cursor-pointer"/>
          <w:rFonts w:ascii="Arial" w:hAnsi="Arial" w:cs="Arial"/>
          <w:color w:val="000000" w:themeColor="text1"/>
        </w:rPr>
        <w:t xml:space="preserve">rather </w:t>
      </w:r>
      <w:r w:rsidR="579E3F33" w:rsidRPr="208D9DA6">
        <w:rPr>
          <w:rStyle w:val="cursor-pointer"/>
          <w:rFonts w:ascii="Arial" w:hAnsi="Arial" w:cs="Arial"/>
          <w:color w:val="000000" w:themeColor="text1"/>
        </w:rPr>
        <w:t>than digital</w:t>
      </w:r>
      <w:r w:rsidRPr="208D9DA6">
        <w:rPr>
          <w:rStyle w:val="cursor-pointer"/>
          <w:rFonts w:ascii="Arial" w:hAnsi="Arial" w:cs="Arial"/>
          <w:color w:val="000000" w:themeColor="text1"/>
        </w:rPr>
        <w:t>-only care.</w:t>
      </w:r>
    </w:p>
    <w:p w14:paraId="7E3D31B7" w14:textId="40B9161A" w:rsidR="00DD0760" w:rsidRPr="00DF2912" w:rsidRDefault="00DD0760" w:rsidP="00DF2912">
      <w:pPr>
        <w:pStyle w:val="Heading2"/>
        <w:rPr>
          <w:rFonts w:ascii="Arial" w:eastAsia="Arial" w:hAnsi="Arial" w:cs="Arial"/>
          <w:sz w:val="32"/>
          <w:szCs w:val="32"/>
        </w:rPr>
      </w:pPr>
      <w:bookmarkStart w:id="30" w:name="_Toc240355999"/>
      <w:bookmarkStart w:id="31" w:name="_Toc240561383"/>
      <w:r w:rsidRPr="19CE7DE0">
        <w:rPr>
          <w:rFonts w:ascii="Arial" w:eastAsia="Arial" w:hAnsi="Arial" w:cs="Arial"/>
          <w:sz w:val="32"/>
          <w:szCs w:val="32"/>
        </w:rPr>
        <w:t>4.4 Autonomy, Privacy and Meaningful Outcomes</w:t>
      </w:r>
      <w:bookmarkEnd w:id="30"/>
      <w:bookmarkEnd w:id="31"/>
    </w:p>
    <w:p w14:paraId="0CA939E9" w14:textId="292D2023" w:rsidR="00F2047D" w:rsidRPr="00C2318F" w:rsidRDefault="3E6EBD9C" w:rsidP="00C2318F">
      <w:pPr>
        <w:spacing w:line="360" w:lineRule="auto"/>
        <w:jc w:val="both"/>
        <w:rPr>
          <w:rStyle w:val="cursor-pointer"/>
          <w:rFonts w:ascii="Arial" w:eastAsia="Times New Roman" w:hAnsi="Arial" w:cs="Arial"/>
          <w:color w:val="000000" w:themeColor="text1"/>
        </w:rPr>
      </w:pPr>
      <w:r w:rsidRPr="208D9DA6">
        <w:rPr>
          <w:rStyle w:val="cursor-pointer"/>
          <w:rFonts w:ascii="Arial" w:hAnsi="Arial" w:cs="Arial"/>
          <w:color w:val="000000" w:themeColor="text1"/>
        </w:rPr>
        <w:t xml:space="preserve">Continuous monitoring could help to </w:t>
      </w:r>
      <w:r w:rsidR="20A183C0" w:rsidRPr="208D9DA6">
        <w:rPr>
          <w:rStyle w:val="cursor-pointer"/>
          <w:rFonts w:ascii="Arial" w:hAnsi="Arial" w:cs="Arial"/>
          <w:color w:val="000000" w:themeColor="text1"/>
        </w:rPr>
        <w:t>support</w:t>
      </w:r>
      <w:r w:rsidRPr="208D9DA6">
        <w:rPr>
          <w:rStyle w:val="cursor-pointer"/>
          <w:rFonts w:ascii="Arial" w:hAnsi="Arial" w:cs="Arial"/>
          <w:color w:val="000000" w:themeColor="text1"/>
        </w:rPr>
        <w:t xml:space="preserve"> autonomy </w:t>
      </w:r>
      <w:r w:rsidR="7D9AA376" w:rsidRPr="208D9DA6">
        <w:rPr>
          <w:rStyle w:val="cursor-pointer"/>
          <w:rFonts w:ascii="Arial" w:hAnsi="Arial" w:cs="Arial"/>
          <w:color w:val="000000" w:themeColor="text1"/>
        </w:rPr>
        <w:t>and</w:t>
      </w:r>
      <w:r w:rsidRPr="208D9DA6">
        <w:rPr>
          <w:rStyle w:val="cursor-pointer"/>
          <w:rFonts w:ascii="Arial" w:hAnsi="Arial" w:cs="Arial"/>
          <w:color w:val="000000" w:themeColor="text1"/>
        </w:rPr>
        <w:t xml:space="preserve"> autonomous decision making, but it is also essential that the movement data </w:t>
      </w:r>
      <w:r w:rsidR="53561B55" w:rsidRPr="208D9DA6">
        <w:rPr>
          <w:rStyle w:val="cursor-pointer"/>
          <w:rFonts w:ascii="Arial" w:hAnsi="Arial" w:cs="Arial"/>
          <w:color w:val="000000" w:themeColor="text1"/>
        </w:rPr>
        <w:t xml:space="preserve">collected </w:t>
      </w:r>
      <w:r w:rsidRPr="208D9DA6">
        <w:rPr>
          <w:rStyle w:val="cursor-pointer"/>
          <w:rFonts w:ascii="Arial" w:hAnsi="Arial" w:cs="Arial"/>
          <w:color w:val="000000" w:themeColor="text1"/>
        </w:rPr>
        <w:t>are</w:t>
      </w:r>
      <w:r w:rsidR="77D27C5F" w:rsidRPr="208D9DA6">
        <w:rPr>
          <w:rStyle w:val="cursor-pointer"/>
          <w:rFonts w:ascii="Arial" w:hAnsi="Arial" w:cs="Arial"/>
          <w:color w:val="000000" w:themeColor="text1"/>
        </w:rPr>
        <w:t xml:space="preserve"> treated as</w:t>
      </w:r>
      <w:r w:rsidRPr="208D9DA6">
        <w:rPr>
          <w:rStyle w:val="cursor-pointer"/>
          <w:rFonts w:ascii="Arial" w:hAnsi="Arial" w:cs="Arial"/>
          <w:color w:val="000000" w:themeColor="text1"/>
        </w:rPr>
        <w:t xml:space="preserve"> sensitive and are accompanied by informed consent, transparency, </w:t>
      </w:r>
      <w:r w:rsidR="005C0865" w:rsidRPr="208D9DA6">
        <w:rPr>
          <w:rStyle w:val="cursor-pointer"/>
          <w:rFonts w:ascii="Arial" w:hAnsi="Arial" w:cs="Arial"/>
          <w:color w:val="000000" w:themeColor="text1"/>
        </w:rPr>
        <w:t>confidentiality,</w:t>
      </w:r>
      <w:r w:rsidRPr="208D9DA6">
        <w:rPr>
          <w:rStyle w:val="cursor-pointer"/>
          <w:rFonts w:ascii="Arial" w:hAnsi="Arial" w:cs="Arial"/>
          <w:color w:val="000000" w:themeColor="text1"/>
        </w:rPr>
        <w:t xml:space="preserve"> and secure processes</w:t>
      </w:r>
      <w:r w:rsidR="4646E56B" w:rsidRPr="208D9DA6">
        <w:rPr>
          <w:rStyle w:val="cursor-pointer"/>
          <w:rFonts w:ascii="Arial" w:hAnsi="Arial" w:cs="Arial"/>
          <w:color w:val="000000" w:themeColor="text1"/>
        </w:rPr>
        <w:t xml:space="preserve"> </w:t>
      </w:r>
      <w:r w:rsidR="4646E56B" w:rsidRPr="208D9DA6">
        <w:rPr>
          <w:rFonts w:ascii="Arial" w:hAnsi="Arial" w:cs="Arial"/>
        </w:rPr>
        <w:t>(Narkhede, Wankhede and Kamble, 2025)</w:t>
      </w:r>
      <w:r w:rsidRPr="208D9DA6">
        <w:rPr>
          <w:rStyle w:val="cursor-pointer"/>
          <w:rFonts w:ascii="Arial" w:hAnsi="Arial" w:cs="Arial"/>
          <w:color w:val="000000" w:themeColor="text1"/>
        </w:rPr>
        <w:t>.</w:t>
      </w:r>
      <w:r w:rsidRPr="208D9DA6">
        <w:rPr>
          <w:rFonts w:ascii="Arial" w:hAnsi="Arial" w:cs="Arial"/>
        </w:rPr>
        <w:t xml:space="preserve"> </w:t>
      </w:r>
      <w:r w:rsidR="16B94787" w:rsidRPr="208D9DA6">
        <w:rPr>
          <w:rFonts w:ascii="Arial" w:hAnsi="Arial" w:cs="Arial"/>
        </w:rPr>
        <w:t>However</w:t>
      </w:r>
      <w:r w:rsidRPr="208D9DA6">
        <w:rPr>
          <w:rStyle w:val="cursor-pointer"/>
          <w:rFonts w:ascii="Arial" w:hAnsi="Arial" w:cs="Arial"/>
          <w:color w:val="000000" w:themeColor="text1"/>
        </w:rPr>
        <w:t xml:space="preserve">, there </w:t>
      </w:r>
      <w:r w:rsidR="2E5F784E" w:rsidRPr="208D9DA6">
        <w:rPr>
          <w:rStyle w:val="cursor-pointer"/>
          <w:rFonts w:ascii="Arial" w:hAnsi="Arial" w:cs="Arial"/>
          <w:color w:val="000000" w:themeColor="text1"/>
        </w:rPr>
        <w:t xml:space="preserve">are currently </w:t>
      </w:r>
      <w:r w:rsidRPr="208D9DA6">
        <w:rPr>
          <w:rStyle w:val="cursor-pointer"/>
          <w:rFonts w:ascii="Arial" w:hAnsi="Arial" w:cs="Arial"/>
          <w:color w:val="000000" w:themeColor="text1"/>
        </w:rPr>
        <w:t>more indications of feasibility and satisfaction than of sustained improvement in quality of life.</w:t>
      </w:r>
      <w:r w:rsidRPr="208D9DA6">
        <w:rPr>
          <w:rFonts w:ascii="Arial" w:hAnsi="Arial" w:cs="Arial"/>
        </w:rPr>
        <w:t xml:space="preserve"> </w:t>
      </w:r>
      <w:r w:rsidRPr="208D9DA6">
        <w:rPr>
          <w:rStyle w:val="cursor-pointer"/>
          <w:rFonts w:ascii="Arial" w:hAnsi="Arial" w:cs="Arial"/>
          <w:color w:val="000000" w:themeColor="text1"/>
        </w:rPr>
        <w:t xml:space="preserve">Therefore, PKG should </w:t>
      </w:r>
      <w:r w:rsidR="28315F1C" w:rsidRPr="208D9DA6">
        <w:rPr>
          <w:rStyle w:val="cursor-pointer"/>
          <w:rFonts w:ascii="Arial" w:hAnsi="Arial" w:cs="Arial"/>
          <w:color w:val="000000" w:themeColor="text1"/>
        </w:rPr>
        <w:t>complement rather replace patient</w:t>
      </w:r>
      <w:r w:rsidRPr="208D9DA6">
        <w:rPr>
          <w:rStyle w:val="cursor-pointer"/>
          <w:rFonts w:ascii="Arial" w:hAnsi="Arial" w:cs="Arial"/>
          <w:color w:val="000000" w:themeColor="text1"/>
        </w:rPr>
        <w:t xml:space="preserve"> narratives and shared decision</w:t>
      </w:r>
      <w:r w:rsidR="307724C8" w:rsidRPr="208D9DA6">
        <w:rPr>
          <w:rStyle w:val="cursor-pointer"/>
          <w:rFonts w:ascii="Arial" w:hAnsi="Arial" w:cs="Arial"/>
          <w:color w:val="000000" w:themeColor="text1"/>
        </w:rPr>
        <w:t>-</w:t>
      </w:r>
      <w:r w:rsidRPr="208D9DA6">
        <w:rPr>
          <w:rStyle w:val="cursor-pointer"/>
          <w:rFonts w:ascii="Arial" w:hAnsi="Arial" w:cs="Arial"/>
          <w:color w:val="000000" w:themeColor="text1"/>
        </w:rPr>
        <w:t xml:space="preserve"> </w:t>
      </w:r>
      <w:r w:rsidR="7F04D7B4" w:rsidRPr="208D9DA6">
        <w:rPr>
          <w:rStyle w:val="cursor-pointer"/>
          <w:rFonts w:ascii="Arial" w:hAnsi="Arial" w:cs="Arial"/>
          <w:color w:val="000000" w:themeColor="text1"/>
        </w:rPr>
        <w:t>making. Ultimately</w:t>
      </w:r>
      <w:r w:rsidR="179835D6" w:rsidRPr="208D9DA6">
        <w:rPr>
          <w:rStyle w:val="cursor-pointer"/>
          <w:rFonts w:ascii="Arial" w:hAnsi="Arial" w:cs="Arial"/>
          <w:color w:val="000000" w:themeColor="text1"/>
        </w:rPr>
        <w:t>,</w:t>
      </w:r>
      <w:r w:rsidRPr="208D9DA6">
        <w:rPr>
          <w:rStyle w:val="cursor-pointer"/>
          <w:rFonts w:ascii="Arial" w:hAnsi="Arial" w:cs="Arial"/>
          <w:color w:val="000000" w:themeColor="text1"/>
        </w:rPr>
        <w:t xml:space="preserve"> it</w:t>
      </w:r>
      <w:r w:rsidR="30B9E0EE" w:rsidRPr="208D9DA6">
        <w:rPr>
          <w:rStyle w:val="cursor-pointer"/>
          <w:rFonts w:ascii="Arial" w:hAnsi="Arial" w:cs="Arial"/>
          <w:color w:val="000000" w:themeColor="text1"/>
        </w:rPr>
        <w:t xml:space="preserve">s success should </w:t>
      </w:r>
      <w:r w:rsidRPr="208D9DA6">
        <w:rPr>
          <w:rStyle w:val="cursor-pointer"/>
          <w:rFonts w:ascii="Arial" w:hAnsi="Arial" w:cs="Arial"/>
          <w:color w:val="000000" w:themeColor="text1"/>
        </w:rPr>
        <w:t>be judged by the success and impact it has on the patient, and this is best seen through the lens of equitable access and meaningful health outcomes, rather than device uptake.</w:t>
      </w:r>
    </w:p>
    <w:p w14:paraId="531F6002" w14:textId="77777777" w:rsidR="00BC2DF2" w:rsidRPr="00DF2912" w:rsidRDefault="00BC2DF2" w:rsidP="00DF2912">
      <w:pPr>
        <w:pStyle w:val="Heading1"/>
        <w:rPr>
          <w:rFonts w:ascii="Arial" w:eastAsia="Arial" w:hAnsi="Arial" w:cs="Arial"/>
          <w:b/>
          <w:color w:val="000000" w:themeColor="text1"/>
          <w:sz w:val="36"/>
          <w:szCs w:val="36"/>
        </w:rPr>
      </w:pPr>
      <w:bookmarkStart w:id="32" w:name="_Toc240356000"/>
      <w:bookmarkStart w:id="33" w:name="_Toc240561384"/>
      <w:r w:rsidRPr="19CE7DE0">
        <w:rPr>
          <w:rFonts w:ascii="Arial" w:eastAsia="Arial" w:hAnsi="Arial" w:cs="Arial"/>
          <w:b/>
          <w:color w:val="000000" w:themeColor="text1"/>
        </w:rPr>
        <w:t>5. Critical Evaluation: Impact on the Community</w:t>
      </w:r>
      <w:bookmarkEnd w:id="32"/>
      <w:bookmarkEnd w:id="33"/>
    </w:p>
    <w:p w14:paraId="75B307B0" w14:textId="77777777" w:rsidR="00662607" w:rsidRPr="00C2318F" w:rsidRDefault="00662607" w:rsidP="00C2318F">
      <w:pPr>
        <w:spacing w:line="360" w:lineRule="auto"/>
        <w:jc w:val="both"/>
        <w:rPr>
          <w:rFonts w:ascii="Arial" w:hAnsi="Arial" w:cs="Arial"/>
        </w:rPr>
      </w:pPr>
      <w:r w:rsidRPr="00C2318F">
        <w:rPr>
          <w:rFonts w:ascii="Arial" w:hAnsi="Arial" w:cs="Arial"/>
        </w:rPr>
        <w:t>Improved geographical reach in the community is a goal of Parkinson's monitoring, but this is possible only if the benefit to the community does not accrue to the detriment of inequalities and/or exacerbate healthcare burden in the unpaid carer.</w:t>
      </w:r>
    </w:p>
    <w:p w14:paraId="703AD868" w14:textId="77777777" w:rsidR="00BC2DF2" w:rsidRPr="00DF2912" w:rsidRDefault="00BC2DF2" w:rsidP="00DF2912">
      <w:pPr>
        <w:pStyle w:val="Heading2"/>
        <w:rPr>
          <w:rFonts w:ascii="Arial" w:eastAsia="Arial" w:hAnsi="Arial" w:cs="Arial"/>
          <w:sz w:val="32"/>
          <w:szCs w:val="32"/>
        </w:rPr>
      </w:pPr>
      <w:bookmarkStart w:id="34" w:name="_Toc240356001"/>
      <w:bookmarkStart w:id="35" w:name="_Toc240561385"/>
      <w:r w:rsidRPr="19CE7DE0">
        <w:rPr>
          <w:rFonts w:ascii="Arial" w:eastAsia="Arial" w:hAnsi="Arial" w:cs="Arial"/>
          <w:sz w:val="32"/>
          <w:szCs w:val="32"/>
        </w:rPr>
        <w:lastRenderedPageBreak/>
        <w:t>5.1 Geographical Access and Community-Based Care</w:t>
      </w:r>
      <w:bookmarkEnd w:id="34"/>
      <w:bookmarkEnd w:id="35"/>
    </w:p>
    <w:p w14:paraId="1C8CF629" w14:textId="537804A9" w:rsidR="00662607" w:rsidRPr="00C2318F" w:rsidRDefault="00662607" w:rsidP="00C2318F">
      <w:pPr>
        <w:spacing w:line="360" w:lineRule="auto"/>
        <w:jc w:val="both"/>
        <w:rPr>
          <w:rStyle w:val="cursor-pointer"/>
          <w:rFonts w:ascii="Arial" w:eastAsia="Times New Roman" w:hAnsi="Arial" w:cs="Arial"/>
          <w:color w:val="000000" w:themeColor="text1"/>
        </w:rPr>
      </w:pPr>
      <w:r w:rsidRPr="00C2318F">
        <w:rPr>
          <w:rStyle w:val="cursor-pointer"/>
          <w:rFonts w:ascii="Arial" w:hAnsi="Arial" w:cs="Arial"/>
          <w:color w:val="000000" w:themeColor="text1"/>
        </w:rPr>
        <w:t xml:space="preserve">Home monitoring for 6 days may provide better support for those with difficulties moving around or who </w:t>
      </w:r>
      <w:r w:rsidR="000A7CE8" w:rsidRPr="00C2318F">
        <w:rPr>
          <w:rStyle w:val="cursor-pointer"/>
          <w:rFonts w:ascii="Arial" w:hAnsi="Arial" w:cs="Arial"/>
          <w:color w:val="000000" w:themeColor="text1"/>
        </w:rPr>
        <w:t>cannot</w:t>
      </w:r>
      <w:r w:rsidRPr="00C2318F">
        <w:rPr>
          <w:rStyle w:val="cursor-pointer"/>
          <w:rFonts w:ascii="Arial" w:hAnsi="Arial" w:cs="Arial"/>
          <w:color w:val="000000" w:themeColor="text1"/>
        </w:rPr>
        <w:t xml:space="preserve"> get to specialist services in time</w:t>
      </w:r>
      <w:r w:rsidR="00532ADD" w:rsidRPr="00C2318F">
        <w:rPr>
          <w:rStyle w:val="cursor-pointer"/>
          <w:rFonts w:ascii="Arial" w:hAnsi="Arial" w:cs="Arial"/>
          <w:color w:val="000000" w:themeColor="text1"/>
        </w:rPr>
        <w:t xml:space="preserve"> </w:t>
      </w:r>
      <w:r w:rsidR="00532ADD" w:rsidRPr="00C2318F">
        <w:rPr>
          <w:rFonts w:ascii="Arial" w:hAnsi="Arial" w:cs="Arial"/>
        </w:rPr>
        <w:t>(Walton et al., 2022)</w:t>
      </w:r>
      <w:r w:rsidRPr="00C2318F">
        <w:rPr>
          <w:rStyle w:val="cursor-pointer"/>
          <w:rFonts w:ascii="Arial" w:hAnsi="Arial" w:cs="Arial"/>
          <w:color w:val="000000" w:themeColor="text1"/>
        </w:rPr>
        <w:t>.</w:t>
      </w:r>
      <w:r w:rsidRPr="00C2318F">
        <w:rPr>
          <w:rFonts w:ascii="Arial" w:hAnsi="Arial" w:cs="Arial"/>
        </w:rPr>
        <w:t xml:space="preserve"> </w:t>
      </w:r>
      <w:r w:rsidRPr="00C2318F">
        <w:rPr>
          <w:rStyle w:val="cursor-pointer"/>
          <w:rFonts w:ascii="Arial" w:hAnsi="Arial" w:cs="Arial"/>
          <w:color w:val="000000" w:themeColor="text1"/>
        </w:rPr>
        <w:t xml:space="preserve">However, it is not enough to simply decentralise to make it accessible – device availability, connectivity, technical </w:t>
      </w:r>
      <w:r w:rsidR="005C0865" w:rsidRPr="00C2318F">
        <w:rPr>
          <w:rStyle w:val="cursor-pointer"/>
          <w:rFonts w:ascii="Arial" w:hAnsi="Arial" w:cs="Arial"/>
          <w:color w:val="000000" w:themeColor="text1"/>
        </w:rPr>
        <w:t>support,</w:t>
      </w:r>
      <w:r w:rsidRPr="00C2318F">
        <w:rPr>
          <w:rStyle w:val="cursor-pointer"/>
          <w:rFonts w:ascii="Arial" w:hAnsi="Arial" w:cs="Arial"/>
          <w:color w:val="000000" w:themeColor="text1"/>
        </w:rPr>
        <w:t xml:space="preserve"> and specialist review are all required.</w:t>
      </w:r>
      <w:r w:rsidRPr="00C2318F">
        <w:rPr>
          <w:rFonts w:ascii="Arial" w:hAnsi="Arial" w:cs="Arial"/>
        </w:rPr>
        <w:t xml:space="preserve"> </w:t>
      </w:r>
      <w:r w:rsidRPr="00C2318F">
        <w:rPr>
          <w:rStyle w:val="cursor-pointer"/>
          <w:rFonts w:ascii="Arial" w:hAnsi="Arial" w:cs="Arial"/>
          <w:color w:val="000000" w:themeColor="text1"/>
        </w:rPr>
        <w:t>Structural barriers can be left unaddressed, while geographical barriers can be addressed by PKG.</w:t>
      </w:r>
    </w:p>
    <w:p w14:paraId="66CC376B" w14:textId="77777777" w:rsidR="00BC2DF2" w:rsidRPr="00DF2912" w:rsidRDefault="00BC2DF2" w:rsidP="00DF2912">
      <w:pPr>
        <w:pStyle w:val="Heading2"/>
        <w:rPr>
          <w:rFonts w:ascii="Arial" w:eastAsia="Arial" w:hAnsi="Arial" w:cs="Arial"/>
          <w:sz w:val="32"/>
          <w:szCs w:val="32"/>
        </w:rPr>
      </w:pPr>
      <w:bookmarkStart w:id="36" w:name="_Toc240356002"/>
      <w:bookmarkStart w:id="37" w:name="_Toc240561386"/>
      <w:r w:rsidRPr="19CE7DE0">
        <w:rPr>
          <w:rFonts w:ascii="Arial" w:eastAsia="Arial" w:hAnsi="Arial" w:cs="Arial"/>
          <w:sz w:val="32"/>
          <w:szCs w:val="32"/>
        </w:rPr>
        <w:t>5.2 Families and Informal Carers</w:t>
      </w:r>
      <w:bookmarkEnd w:id="36"/>
      <w:bookmarkEnd w:id="37"/>
    </w:p>
    <w:p w14:paraId="4376EA60" w14:textId="2D50DF81" w:rsidR="00662607" w:rsidRPr="00C2318F" w:rsidRDefault="70DF34D0" w:rsidP="00C2318F">
      <w:pPr>
        <w:spacing w:line="360" w:lineRule="auto"/>
        <w:jc w:val="both"/>
        <w:rPr>
          <w:rStyle w:val="cursor-pointer"/>
          <w:rFonts w:ascii="Arial" w:eastAsia="Times New Roman" w:hAnsi="Arial" w:cs="Arial"/>
          <w:color w:val="000000" w:themeColor="text1"/>
        </w:rPr>
      </w:pPr>
      <w:r w:rsidRPr="208D9DA6">
        <w:rPr>
          <w:rStyle w:val="cursor-pointer"/>
          <w:rFonts w:ascii="Arial" w:hAnsi="Arial" w:cs="Arial"/>
          <w:color w:val="000000" w:themeColor="text1"/>
        </w:rPr>
        <w:t>The impact of Parkinson's goes beyond patients</w:t>
      </w:r>
      <w:r w:rsidR="7EB9F9AE" w:rsidRPr="208D9DA6">
        <w:rPr>
          <w:rStyle w:val="cursor-pointer"/>
          <w:rFonts w:ascii="Arial" w:hAnsi="Arial" w:cs="Arial"/>
          <w:color w:val="000000" w:themeColor="text1"/>
        </w:rPr>
        <w:t>,</w:t>
      </w:r>
      <w:r w:rsidRPr="208D9DA6">
        <w:rPr>
          <w:rStyle w:val="cursor-pointer"/>
          <w:rFonts w:ascii="Arial" w:hAnsi="Arial" w:cs="Arial"/>
          <w:color w:val="000000" w:themeColor="text1"/>
        </w:rPr>
        <w:t xml:space="preserve"> as Parkinson's is often a family </w:t>
      </w:r>
      <w:r w:rsidR="05534EF7" w:rsidRPr="208D9DA6">
        <w:rPr>
          <w:rStyle w:val="cursor-pointer"/>
          <w:rFonts w:ascii="Arial" w:hAnsi="Arial" w:cs="Arial"/>
          <w:color w:val="000000" w:themeColor="text1"/>
        </w:rPr>
        <w:t>issue</w:t>
      </w:r>
      <w:r w:rsidR="6F3010D4" w:rsidRPr="208D9DA6">
        <w:rPr>
          <w:rStyle w:val="cursor-pointer"/>
          <w:rFonts w:ascii="Arial" w:hAnsi="Arial" w:cs="Arial"/>
          <w:color w:val="000000" w:themeColor="text1"/>
        </w:rPr>
        <w:t xml:space="preserve"> </w:t>
      </w:r>
      <w:r w:rsidR="6F3010D4" w:rsidRPr="208D9DA6">
        <w:rPr>
          <w:rFonts w:ascii="Arial" w:hAnsi="Arial" w:cs="Arial"/>
        </w:rPr>
        <w:t>(Read et al., 2022)</w:t>
      </w:r>
      <w:r w:rsidRPr="208D9DA6">
        <w:rPr>
          <w:rStyle w:val="cursor-pointer"/>
          <w:rFonts w:ascii="Arial" w:hAnsi="Arial" w:cs="Arial"/>
          <w:color w:val="000000" w:themeColor="text1"/>
        </w:rPr>
        <w:t>.</w:t>
      </w:r>
      <w:r w:rsidRPr="208D9DA6">
        <w:rPr>
          <w:rFonts w:ascii="Arial" w:hAnsi="Arial" w:cs="Arial"/>
        </w:rPr>
        <w:t xml:space="preserve"> </w:t>
      </w:r>
      <w:r w:rsidRPr="208D9DA6">
        <w:rPr>
          <w:rStyle w:val="cursor-pointer"/>
          <w:rFonts w:ascii="Arial" w:hAnsi="Arial" w:cs="Arial"/>
          <w:color w:val="000000" w:themeColor="text1"/>
        </w:rPr>
        <w:t xml:space="preserve">Home monitoring and objective data can be used to minimise journeys and decrease dependence on carers recalling varying </w:t>
      </w:r>
      <w:r w:rsidR="06D52A25" w:rsidRPr="208D9DA6">
        <w:rPr>
          <w:rStyle w:val="cursor-pointer"/>
          <w:rFonts w:ascii="Arial" w:hAnsi="Arial" w:cs="Arial"/>
          <w:color w:val="000000" w:themeColor="text1"/>
        </w:rPr>
        <w:t>symptoms, while</w:t>
      </w:r>
      <w:r w:rsidR="75DDC168" w:rsidRPr="208D9DA6">
        <w:rPr>
          <w:rStyle w:val="cursor-pointer"/>
          <w:rFonts w:ascii="Arial" w:hAnsi="Arial" w:cs="Arial"/>
          <w:color w:val="000000" w:themeColor="text1"/>
        </w:rPr>
        <w:t xml:space="preserve"> also </w:t>
      </w:r>
      <w:r w:rsidRPr="208D9DA6">
        <w:rPr>
          <w:rStyle w:val="cursor-pointer"/>
          <w:rFonts w:ascii="Arial" w:hAnsi="Arial" w:cs="Arial"/>
          <w:color w:val="000000" w:themeColor="text1"/>
        </w:rPr>
        <w:t>support</w:t>
      </w:r>
      <w:r w:rsidR="0DF8B943" w:rsidRPr="208D9DA6">
        <w:rPr>
          <w:rStyle w:val="cursor-pointer"/>
          <w:rFonts w:ascii="Arial" w:hAnsi="Arial" w:cs="Arial"/>
          <w:color w:val="000000" w:themeColor="text1"/>
        </w:rPr>
        <w:t>ing</w:t>
      </w:r>
      <w:r w:rsidRPr="208D9DA6">
        <w:rPr>
          <w:rStyle w:val="cursor-pointer"/>
          <w:rFonts w:ascii="Arial" w:hAnsi="Arial" w:cs="Arial"/>
          <w:color w:val="000000" w:themeColor="text1"/>
        </w:rPr>
        <w:t xml:space="preserve"> discussions with clinicians.</w:t>
      </w:r>
      <w:r w:rsidRPr="208D9DA6">
        <w:rPr>
          <w:rFonts w:ascii="Arial" w:hAnsi="Arial" w:cs="Arial"/>
        </w:rPr>
        <w:t xml:space="preserve"> </w:t>
      </w:r>
      <w:r w:rsidRPr="208D9DA6">
        <w:rPr>
          <w:rStyle w:val="cursor-pointer"/>
          <w:rFonts w:ascii="Arial" w:hAnsi="Arial" w:cs="Arial"/>
          <w:color w:val="000000" w:themeColor="text1"/>
        </w:rPr>
        <w:t xml:space="preserve">On the other hand, the responsibility for the device's use, adherence, </w:t>
      </w:r>
      <w:r w:rsidR="005C0865" w:rsidRPr="208D9DA6">
        <w:rPr>
          <w:rStyle w:val="cursor-pointer"/>
          <w:rFonts w:ascii="Arial" w:hAnsi="Arial" w:cs="Arial"/>
          <w:color w:val="000000" w:themeColor="text1"/>
        </w:rPr>
        <w:t>troubleshooting,</w:t>
      </w:r>
      <w:r w:rsidRPr="208D9DA6">
        <w:rPr>
          <w:rStyle w:val="cursor-pointer"/>
          <w:rFonts w:ascii="Arial" w:hAnsi="Arial" w:cs="Arial"/>
          <w:color w:val="000000" w:themeColor="text1"/>
        </w:rPr>
        <w:t xml:space="preserve"> and communication can move to the home</w:t>
      </w:r>
      <w:r w:rsidR="1C071249" w:rsidRPr="208D9DA6">
        <w:rPr>
          <w:rStyle w:val="cursor-pointer"/>
          <w:rFonts w:ascii="Arial" w:hAnsi="Arial" w:cs="Arial"/>
          <w:color w:val="000000" w:themeColor="text1"/>
        </w:rPr>
        <w:t>,</w:t>
      </w:r>
      <w:r w:rsidRPr="208D9DA6">
        <w:rPr>
          <w:rStyle w:val="cursor-pointer"/>
          <w:rFonts w:ascii="Arial" w:hAnsi="Arial" w:cs="Arial"/>
          <w:color w:val="000000" w:themeColor="text1"/>
        </w:rPr>
        <w:t xml:space="preserve"> and the impairment can make independent use </w:t>
      </w:r>
      <w:r w:rsidR="7C917114" w:rsidRPr="208D9DA6">
        <w:rPr>
          <w:rStyle w:val="cursor-pointer"/>
          <w:rFonts w:ascii="Arial" w:hAnsi="Arial" w:cs="Arial"/>
          <w:color w:val="000000" w:themeColor="text1"/>
        </w:rPr>
        <w:t>difficult. Digital</w:t>
      </w:r>
      <w:r w:rsidRPr="208D9DA6">
        <w:rPr>
          <w:rStyle w:val="cursor-pointer"/>
          <w:rFonts w:ascii="Arial" w:hAnsi="Arial" w:cs="Arial"/>
          <w:color w:val="000000" w:themeColor="text1"/>
        </w:rPr>
        <w:t xml:space="preserve"> transformation can, therefore, lead to a re-distribution of tasks </w:t>
      </w:r>
      <w:r w:rsidR="04A8A1A9" w:rsidRPr="208D9DA6">
        <w:rPr>
          <w:rStyle w:val="cursor-pointer"/>
          <w:rFonts w:ascii="Arial" w:hAnsi="Arial" w:cs="Arial"/>
          <w:color w:val="000000" w:themeColor="text1"/>
        </w:rPr>
        <w:t>from</w:t>
      </w:r>
      <w:r w:rsidRPr="208D9DA6">
        <w:rPr>
          <w:rStyle w:val="cursor-pointer"/>
          <w:rFonts w:ascii="Arial" w:hAnsi="Arial" w:cs="Arial"/>
          <w:color w:val="000000" w:themeColor="text1"/>
        </w:rPr>
        <w:t xml:space="preserve"> formal services to unpaid carers and therefore have hidden social costs</w:t>
      </w:r>
      <w:r w:rsidR="6F3010D4" w:rsidRPr="208D9DA6">
        <w:rPr>
          <w:rStyle w:val="cursor-pointer"/>
          <w:rFonts w:ascii="Arial" w:hAnsi="Arial" w:cs="Arial"/>
          <w:color w:val="000000" w:themeColor="text1"/>
        </w:rPr>
        <w:t xml:space="preserve"> </w:t>
      </w:r>
      <w:r w:rsidR="6F3010D4" w:rsidRPr="208D9DA6">
        <w:rPr>
          <w:rFonts w:ascii="Arial" w:hAnsi="Arial" w:cs="Arial"/>
        </w:rPr>
        <w:t>(Vicario and Brookes, 2024)</w:t>
      </w:r>
      <w:r w:rsidRPr="208D9DA6">
        <w:rPr>
          <w:rStyle w:val="cursor-pointer"/>
          <w:rFonts w:ascii="Arial" w:hAnsi="Arial" w:cs="Arial"/>
          <w:color w:val="000000" w:themeColor="text1"/>
        </w:rPr>
        <w:t>.</w:t>
      </w:r>
    </w:p>
    <w:p w14:paraId="440A2AEF" w14:textId="77777777" w:rsidR="00662607" w:rsidRPr="00DF2912" w:rsidRDefault="00BC2DF2" w:rsidP="00DF2912">
      <w:pPr>
        <w:pStyle w:val="Heading2"/>
        <w:rPr>
          <w:sz w:val="32"/>
          <w:szCs w:val="32"/>
        </w:rPr>
      </w:pPr>
      <w:bookmarkStart w:id="38" w:name="_Toc240356003"/>
      <w:bookmarkStart w:id="39" w:name="_Toc240561387"/>
      <w:r w:rsidRPr="19CE7DE0">
        <w:rPr>
          <w:rFonts w:ascii="Arial" w:eastAsia="Arial" w:hAnsi="Arial" w:cs="Arial"/>
          <w:sz w:val="32"/>
          <w:szCs w:val="32"/>
        </w:rPr>
        <w:t>5.3 Digital Exclusion and Health Inequalities</w:t>
      </w:r>
      <w:bookmarkEnd w:id="38"/>
      <w:bookmarkEnd w:id="39"/>
    </w:p>
    <w:p w14:paraId="551DE64B" w14:textId="739DBABA" w:rsidR="00662607" w:rsidRPr="00C2318F" w:rsidRDefault="70DF34D0" w:rsidP="00C2318F">
      <w:pPr>
        <w:spacing w:line="360" w:lineRule="auto"/>
        <w:jc w:val="both"/>
        <w:rPr>
          <w:rFonts w:ascii="Arial" w:hAnsi="Arial" w:cs="Arial"/>
        </w:rPr>
      </w:pPr>
      <w:r w:rsidRPr="208D9DA6">
        <w:rPr>
          <w:rStyle w:val="cursor-pointer"/>
          <w:rFonts w:ascii="Arial" w:hAnsi="Arial" w:cs="Arial"/>
          <w:color w:val="000000" w:themeColor="text1"/>
        </w:rPr>
        <w:t xml:space="preserve">While PKG can help to diminish distance-related disadvantage, it can also exacerbate such disadvantage, due to inequalities in digital literacy, socioeconomic resources, communication needs, cognitive </w:t>
      </w:r>
      <w:r w:rsidR="005C0865" w:rsidRPr="208D9DA6">
        <w:rPr>
          <w:rStyle w:val="cursor-pointer"/>
          <w:rFonts w:ascii="Arial" w:hAnsi="Arial" w:cs="Arial"/>
          <w:color w:val="000000" w:themeColor="text1"/>
        </w:rPr>
        <w:t>ability,</w:t>
      </w:r>
      <w:r w:rsidRPr="208D9DA6">
        <w:rPr>
          <w:rStyle w:val="cursor-pointer"/>
          <w:rFonts w:ascii="Arial" w:hAnsi="Arial" w:cs="Arial"/>
          <w:color w:val="000000" w:themeColor="text1"/>
        </w:rPr>
        <w:t xml:space="preserve"> and/or carer support</w:t>
      </w:r>
      <w:r w:rsidR="6F3010D4" w:rsidRPr="208D9DA6">
        <w:rPr>
          <w:rStyle w:val="cursor-pointer"/>
          <w:rFonts w:ascii="Arial" w:hAnsi="Arial" w:cs="Arial"/>
          <w:color w:val="000000" w:themeColor="text1"/>
        </w:rPr>
        <w:t xml:space="preserve"> </w:t>
      </w:r>
      <w:r w:rsidR="6F3010D4" w:rsidRPr="208D9DA6">
        <w:rPr>
          <w:rFonts w:ascii="Arial" w:hAnsi="Arial" w:cs="Arial"/>
        </w:rPr>
        <w:t>(Chae, 2026)</w:t>
      </w:r>
      <w:r w:rsidRPr="208D9DA6">
        <w:rPr>
          <w:rStyle w:val="cursor-pointer"/>
          <w:rFonts w:ascii="Arial" w:hAnsi="Arial" w:cs="Arial"/>
          <w:color w:val="000000" w:themeColor="text1"/>
        </w:rPr>
        <w:t>.</w:t>
      </w:r>
      <w:r w:rsidRPr="208D9DA6">
        <w:rPr>
          <w:rFonts w:ascii="Arial" w:hAnsi="Arial" w:cs="Arial"/>
        </w:rPr>
        <w:t xml:space="preserve"> </w:t>
      </w:r>
      <w:r w:rsidR="413BDBC1" w:rsidRPr="208D9DA6">
        <w:rPr>
          <w:rFonts w:ascii="Arial" w:hAnsi="Arial" w:cs="Arial"/>
        </w:rPr>
        <w:t>A</w:t>
      </w:r>
      <w:r w:rsidRPr="208D9DA6">
        <w:rPr>
          <w:rStyle w:val="cursor-pointer"/>
          <w:rFonts w:ascii="Arial" w:hAnsi="Arial" w:cs="Arial"/>
          <w:color w:val="000000" w:themeColor="text1"/>
        </w:rPr>
        <w:t xml:space="preserve"> digital </w:t>
      </w:r>
      <w:r w:rsidR="755914E8" w:rsidRPr="208D9DA6">
        <w:rPr>
          <w:rStyle w:val="cursor-pointer"/>
          <w:rFonts w:ascii="Arial" w:hAnsi="Arial" w:cs="Arial"/>
          <w:color w:val="000000" w:themeColor="text1"/>
        </w:rPr>
        <w:t>-</w:t>
      </w:r>
      <w:r w:rsidRPr="208D9DA6">
        <w:rPr>
          <w:rStyle w:val="cursor-pointer"/>
          <w:rFonts w:ascii="Arial" w:hAnsi="Arial" w:cs="Arial"/>
          <w:color w:val="000000" w:themeColor="text1"/>
        </w:rPr>
        <w:t xml:space="preserve">first </w:t>
      </w:r>
      <w:r w:rsidR="7651137A" w:rsidRPr="208D9DA6">
        <w:rPr>
          <w:rStyle w:val="cursor-pointer"/>
          <w:rFonts w:ascii="Arial" w:hAnsi="Arial" w:cs="Arial"/>
          <w:color w:val="000000" w:themeColor="text1"/>
        </w:rPr>
        <w:t xml:space="preserve">approach </w:t>
      </w:r>
      <w:r w:rsidRPr="208D9DA6">
        <w:rPr>
          <w:rStyle w:val="cursor-pointer"/>
          <w:rFonts w:ascii="Arial" w:hAnsi="Arial" w:cs="Arial"/>
          <w:color w:val="000000" w:themeColor="text1"/>
        </w:rPr>
        <w:t xml:space="preserve">might therefore </w:t>
      </w:r>
      <w:r w:rsidR="16560275" w:rsidRPr="208D9DA6">
        <w:rPr>
          <w:rStyle w:val="cursor-pointer"/>
          <w:rFonts w:ascii="Arial" w:hAnsi="Arial" w:cs="Arial"/>
          <w:color w:val="000000" w:themeColor="text1"/>
        </w:rPr>
        <w:t>benefit</w:t>
      </w:r>
      <w:r w:rsidRPr="208D9DA6">
        <w:rPr>
          <w:rStyle w:val="cursor-pointer"/>
          <w:rFonts w:ascii="Arial" w:hAnsi="Arial" w:cs="Arial"/>
          <w:color w:val="000000" w:themeColor="text1"/>
        </w:rPr>
        <w:t xml:space="preserve"> those who are already supported but</w:t>
      </w:r>
      <w:r w:rsidR="47DC4802" w:rsidRPr="208D9DA6">
        <w:rPr>
          <w:rStyle w:val="cursor-pointer"/>
          <w:rFonts w:ascii="Arial" w:hAnsi="Arial" w:cs="Arial"/>
          <w:color w:val="000000" w:themeColor="text1"/>
        </w:rPr>
        <w:t xml:space="preserve"> could</w:t>
      </w:r>
      <w:r w:rsidRPr="208D9DA6">
        <w:rPr>
          <w:rStyle w:val="cursor-pointer"/>
          <w:rFonts w:ascii="Arial" w:hAnsi="Arial" w:cs="Arial"/>
          <w:color w:val="000000" w:themeColor="text1"/>
        </w:rPr>
        <w:t xml:space="preserve"> also create more </w:t>
      </w:r>
      <w:r w:rsidR="5EE52F91" w:rsidRPr="208D9DA6">
        <w:rPr>
          <w:rStyle w:val="cursor-pointer"/>
          <w:rFonts w:ascii="Arial" w:hAnsi="Arial" w:cs="Arial"/>
          <w:color w:val="000000" w:themeColor="text1"/>
        </w:rPr>
        <w:t xml:space="preserve">additional </w:t>
      </w:r>
      <w:r w:rsidRPr="208D9DA6">
        <w:rPr>
          <w:rStyle w:val="cursor-pointer"/>
          <w:rFonts w:ascii="Arial" w:hAnsi="Arial" w:cs="Arial"/>
          <w:color w:val="000000" w:themeColor="text1"/>
        </w:rPr>
        <w:t>barriers for vulnerable groups.</w:t>
      </w:r>
      <w:r w:rsidRPr="208D9DA6">
        <w:rPr>
          <w:rFonts w:ascii="Arial" w:hAnsi="Arial" w:cs="Arial"/>
        </w:rPr>
        <w:t xml:space="preserve"> </w:t>
      </w:r>
      <w:r w:rsidRPr="208D9DA6">
        <w:rPr>
          <w:rStyle w:val="cursor-pointer"/>
          <w:rFonts w:ascii="Arial" w:hAnsi="Arial" w:cs="Arial"/>
          <w:color w:val="000000" w:themeColor="text1"/>
        </w:rPr>
        <w:t xml:space="preserve">For implementation to be </w:t>
      </w:r>
      <w:r w:rsidR="54ECFBFE" w:rsidRPr="208D9DA6">
        <w:rPr>
          <w:rStyle w:val="cursor-pointer"/>
          <w:rFonts w:ascii="Arial" w:hAnsi="Arial" w:cs="Arial"/>
          <w:color w:val="000000" w:themeColor="text1"/>
        </w:rPr>
        <w:t>equitable, individual</w:t>
      </w:r>
      <w:r w:rsidRPr="208D9DA6">
        <w:rPr>
          <w:rStyle w:val="cursor-pointer"/>
          <w:rFonts w:ascii="Arial" w:hAnsi="Arial" w:cs="Arial"/>
          <w:color w:val="000000" w:themeColor="text1"/>
        </w:rPr>
        <w:t xml:space="preserve"> suitability assessment</w:t>
      </w:r>
      <w:r w:rsidR="0EEB4869" w:rsidRPr="208D9DA6">
        <w:rPr>
          <w:rStyle w:val="cursor-pointer"/>
          <w:rFonts w:ascii="Arial" w:hAnsi="Arial" w:cs="Arial"/>
          <w:color w:val="000000" w:themeColor="text1"/>
        </w:rPr>
        <w:t xml:space="preserve">s are </w:t>
      </w:r>
      <w:r w:rsidR="1BD7FB90" w:rsidRPr="208D9DA6">
        <w:rPr>
          <w:rStyle w:val="cursor-pointer"/>
          <w:rFonts w:ascii="Arial" w:hAnsi="Arial" w:cs="Arial"/>
          <w:color w:val="000000" w:themeColor="text1"/>
        </w:rPr>
        <w:t>needed, with</w:t>
      </w:r>
      <w:r w:rsidRPr="208D9DA6">
        <w:rPr>
          <w:rStyle w:val="cursor-pointer"/>
          <w:rFonts w:ascii="Arial" w:hAnsi="Arial" w:cs="Arial"/>
          <w:color w:val="000000" w:themeColor="text1"/>
        </w:rPr>
        <w:t xml:space="preserve"> appropriate adjustments in support</w:t>
      </w:r>
      <w:r w:rsidR="1FCB9E10" w:rsidRPr="208D9DA6">
        <w:rPr>
          <w:rStyle w:val="cursor-pointer"/>
          <w:rFonts w:ascii="Arial" w:hAnsi="Arial" w:cs="Arial"/>
          <w:color w:val="000000" w:themeColor="text1"/>
        </w:rPr>
        <w:t xml:space="preserve"> </w:t>
      </w:r>
      <w:r w:rsidRPr="208D9DA6">
        <w:rPr>
          <w:rStyle w:val="cursor-pointer"/>
          <w:rFonts w:ascii="Arial" w:hAnsi="Arial" w:cs="Arial"/>
          <w:color w:val="000000" w:themeColor="text1"/>
        </w:rPr>
        <w:t xml:space="preserve">and in non-digital means of </w:t>
      </w:r>
      <w:r w:rsidR="23BD5D8C" w:rsidRPr="208D9DA6">
        <w:rPr>
          <w:rStyle w:val="cursor-pointer"/>
          <w:rFonts w:ascii="Arial" w:hAnsi="Arial" w:cs="Arial"/>
          <w:color w:val="000000" w:themeColor="text1"/>
        </w:rPr>
        <w:t xml:space="preserve">participation. </w:t>
      </w:r>
      <w:r w:rsidR="09E8FB17" w:rsidRPr="208D9DA6">
        <w:rPr>
          <w:rStyle w:val="cursor-pointer"/>
          <w:rFonts w:ascii="Arial" w:hAnsi="Arial" w:cs="Arial"/>
          <w:color w:val="000000" w:themeColor="text1"/>
        </w:rPr>
        <w:t>Not all</w:t>
      </w:r>
      <w:r w:rsidRPr="208D9DA6">
        <w:rPr>
          <w:rStyle w:val="cursor-pointer"/>
          <w:rFonts w:ascii="Arial" w:hAnsi="Arial" w:cs="Arial"/>
          <w:color w:val="000000" w:themeColor="text1"/>
        </w:rPr>
        <w:t xml:space="preserve"> population groups have the capacity to participate in the same way.</w:t>
      </w:r>
    </w:p>
    <w:p w14:paraId="7718B26B" w14:textId="1CC02CE3" w:rsidR="00BC2DF2" w:rsidRPr="00DF2912" w:rsidRDefault="3E6EBD9C" w:rsidP="00DF2912">
      <w:pPr>
        <w:pStyle w:val="Heading2"/>
        <w:rPr>
          <w:sz w:val="32"/>
          <w:szCs w:val="32"/>
        </w:rPr>
      </w:pPr>
      <w:bookmarkStart w:id="40" w:name="_Toc240356004"/>
      <w:bookmarkStart w:id="41" w:name="_Toc240561388"/>
      <w:r w:rsidRPr="00E3A5ED">
        <w:rPr>
          <w:rFonts w:ascii="Arial" w:eastAsia="Arial" w:hAnsi="Arial" w:cs="Arial"/>
          <w:sz w:val="32"/>
          <w:szCs w:val="32"/>
        </w:rPr>
        <w:t>5.4 Wider Community and NHS Impact</w:t>
      </w:r>
      <w:bookmarkEnd w:id="40"/>
      <w:bookmarkEnd w:id="41"/>
    </w:p>
    <w:p w14:paraId="0981B7A6" w14:textId="22BA7F4B" w:rsidR="00532ADD" w:rsidRPr="00C2318F" w:rsidRDefault="6F3010D4" w:rsidP="00C2318F">
      <w:pPr>
        <w:spacing w:line="360" w:lineRule="auto"/>
        <w:jc w:val="both"/>
        <w:rPr>
          <w:rStyle w:val="cursor-pointer"/>
          <w:rFonts w:ascii="Arial" w:hAnsi="Arial" w:cs="Arial"/>
          <w:color w:val="000000" w:themeColor="text1"/>
        </w:rPr>
      </w:pPr>
      <w:r w:rsidRPr="208D9DA6">
        <w:rPr>
          <w:rStyle w:val="cursor-pointer"/>
          <w:rFonts w:ascii="Arial" w:hAnsi="Arial" w:cs="Arial"/>
          <w:color w:val="000000" w:themeColor="text1"/>
        </w:rPr>
        <w:t xml:space="preserve">Home monitoring will also minimise unnecessary journeys and help to prioritise access to specialist services, which may help to reduce pressure on outpatient services </w:t>
      </w:r>
      <w:r w:rsidRPr="208D9DA6">
        <w:rPr>
          <w:rFonts w:ascii="Arial" w:hAnsi="Arial" w:cs="Arial"/>
        </w:rPr>
        <w:t>(Cox et al., 2024)</w:t>
      </w:r>
      <w:r w:rsidRPr="208D9DA6">
        <w:rPr>
          <w:rStyle w:val="cursor-pointer"/>
          <w:rFonts w:ascii="Arial" w:hAnsi="Arial" w:cs="Arial"/>
          <w:color w:val="000000" w:themeColor="text1"/>
        </w:rPr>
        <w:t>.</w:t>
      </w:r>
      <w:r w:rsidRPr="208D9DA6">
        <w:rPr>
          <w:rFonts w:ascii="Arial" w:hAnsi="Arial" w:cs="Arial"/>
        </w:rPr>
        <w:t xml:space="preserve"> </w:t>
      </w:r>
      <w:r w:rsidR="2679F16D" w:rsidRPr="208D9DA6">
        <w:rPr>
          <w:rFonts w:ascii="Arial" w:hAnsi="Arial" w:cs="Arial"/>
        </w:rPr>
        <w:t>However,</w:t>
      </w:r>
      <w:r w:rsidR="1D8B29C9" w:rsidRPr="208D9DA6">
        <w:rPr>
          <w:rFonts w:ascii="Arial" w:hAnsi="Arial" w:cs="Arial"/>
        </w:rPr>
        <w:t xml:space="preserve"> </w:t>
      </w:r>
      <w:r w:rsidRPr="208D9DA6">
        <w:rPr>
          <w:rStyle w:val="cursor-pointer"/>
          <w:rFonts w:ascii="Arial" w:hAnsi="Arial" w:cs="Arial"/>
          <w:color w:val="000000" w:themeColor="text1"/>
        </w:rPr>
        <w:t>these are possibilit</w:t>
      </w:r>
      <w:r w:rsidR="6CD59A94" w:rsidRPr="208D9DA6">
        <w:rPr>
          <w:rStyle w:val="cursor-pointer"/>
          <w:rFonts w:ascii="Arial" w:hAnsi="Arial" w:cs="Arial"/>
          <w:color w:val="000000" w:themeColor="text1"/>
        </w:rPr>
        <w:t xml:space="preserve">ies rather than </w:t>
      </w:r>
      <w:r w:rsidRPr="208D9DA6">
        <w:rPr>
          <w:rStyle w:val="cursor-pointer"/>
          <w:rFonts w:ascii="Arial" w:hAnsi="Arial" w:cs="Arial"/>
          <w:color w:val="000000" w:themeColor="text1"/>
        </w:rPr>
        <w:t xml:space="preserve">proven as benefits of </w:t>
      </w:r>
      <w:r w:rsidR="1D6F4F7F" w:rsidRPr="208D9DA6">
        <w:rPr>
          <w:rStyle w:val="cursor-pointer"/>
          <w:rFonts w:ascii="Arial" w:hAnsi="Arial" w:cs="Arial"/>
          <w:color w:val="000000" w:themeColor="text1"/>
        </w:rPr>
        <w:t>the</w:t>
      </w:r>
      <w:r w:rsidRPr="208D9DA6">
        <w:rPr>
          <w:rStyle w:val="cursor-pointer"/>
          <w:rFonts w:ascii="Arial" w:hAnsi="Arial" w:cs="Arial"/>
          <w:color w:val="000000" w:themeColor="text1"/>
        </w:rPr>
        <w:t xml:space="preserve"> system.</w:t>
      </w:r>
      <w:r w:rsidRPr="208D9DA6">
        <w:rPr>
          <w:rFonts w:ascii="Arial" w:hAnsi="Arial" w:cs="Arial"/>
        </w:rPr>
        <w:t xml:space="preserve"> </w:t>
      </w:r>
      <w:r w:rsidRPr="208D9DA6">
        <w:rPr>
          <w:rStyle w:val="cursor-pointer"/>
          <w:rFonts w:ascii="Arial" w:hAnsi="Arial" w:cs="Arial"/>
          <w:color w:val="000000" w:themeColor="text1"/>
        </w:rPr>
        <w:t xml:space="preserve">Further evidence for the use of PKG for clinical use is more robust than for long-term resource use, cost-effectiveness and wider NHS outcomes which </w:t>
      </w:r>
      <w:r w:rsidR="31AD6B30" w:rsidRPr="208D9DA6">
        <w:rPr>
          <w:rStyle w:val="cursor-pointer"/>
          <w:rFonts w:ascii="Arial" w:hAnsi="Arial" w:cs="Arial"/>
          <w:color w:val="000000" w:themeColor="text1"/>
        </w:rPr>
        <w:t>remain</w:t>
      </w:r>
      <w:r w:rsidRPr="208D9DA6">
        <w:rPr>
          <w:rStyle w:val="cursor-pointer"/>
          <w:rFonts w:ascii="Arial" w:hAnsi="Arial" w:cs="Arial"/>
          <w:color w:val="000000" w:themeColor="text1"/>
        </w:rPr>
        <w:t xml:space="preserve"> unclear.</w:t>
      </w:r>
      <w:r w:rsidRPr="208D9DA6">
        <w:rPr>
          <w:rFonts w:ascii="Arial" w:hAnsi="Arial" w:cs="Arial"/>
        </w:rPr>
        <w:t xml:space="preserve"> </w:t>
      </w:r>
      <w:r w:rsidRPr="208D9DA6">
        <w:rPr>
          <w:rStyle w:val="cursor-pointer"/>
          <w:rFonts w:ascii="Arial" w:hAnsi="Arial" w:cs="Arial"/>
          <w:color w:val="000000" w:themeColor="text1"/>
        </w:rPr>
        <w:t>There is also little evidence showing that inequalities at the community level have been reduced.</w:t>
      </w:r>
      <w:r w:rsidRPr="208D9DA6">
        <w:rPr>
          <w:rFonts w:ascii="Arial" w:hAnsi="Arial" w:cs="Arial"/>
        </w:rPr>
        <w:t xml:space="preserve"> </w:t>
      </w:r>
      <w:r w:rsidRPr="208D9DA6">
        <w:rPr>
          <w:rStyle w:val="cursor-pointer"/>
          <w:rFonts w:ascii="Arial" w:hAnsi="Arial" w:cs="Arial"/>
          <w:color w:val="000000" w:themeColor="text1"/>
        </w:rPr>
        <w:t xml:space="preserve">However, to be considered </w:t>
      </w:r>
      <w:r w:rsidRPr="208D9DA6">
        <w:rPr>
          <w:rStyle w:val="cursor-pointer"/>
          <w:rFonts w:ascii="Arial" w:hAnsi="Arial" w:cs="Arial"/>
          <w:color w:val="000000" w:themeColor="text1"/>
        </w:rPr>
        <w:lastRenderedPageBreak/>
        <w:t>transformative, PKG needs to be implemented at a community level in ways that increase equitable access, rather than shifting responsibility to informal carers, and without extra costs.</w:t>
      </w:r>
      <w:r w:rsidRPr="208D9DA6">
        <w:rPr>
          <w:rFonts w:ascii="Arial" w:hAnsi="Arial" w:cs="Arial"/>
        </w:rPr>
        <w:t xml:space="preserve"> </w:t>
      </w:r>
      <w:r w:rsidRPr="208D9DA6">
        <w:rPr>
          <w:rStyle w:val="cursor-pointer"/>
          <w:rFonts w:ascii="Arial" w:hAnsi="Arial" w:cs="Arial"/>
          <w:color w:val="000000" w:themeColor="text1"/>
        </w:rPr>
        <w:t xml:space="preserve">Adoption </w:t>
      </w:r>
      <w:r w:rsidR="547B897F" w:rsidRPr="208D9DA6">
        <w:rPr>
          <w:rStyle w:val="cursor-pointer"/>
          <w:rFonts w:ascii="Arial" w:hAnsi="Arial" w:cs="Arial"/>
          <w:color w:val="000000" w:themeColor="text1"/>
        </w:rPr>
        <w:t>should</w:t>
      </w:r>
      <w:r w:rsidRPr="208D9DA6">
        <w:rPr>
          <w:rStyle w:val="cursor-pointer"/>
          <w:rFonts w:ascii="Arial" w:hAnsi="Arial" w:cs="Arial"/>
          <w:color w:val="000000" w:themeColor="text1"/>
        </w:rPr>
        <w:t xml:space="preserve"> not</w:t>
      </w:r>
      <w:r w:rsidR="679944E5" w:rsidRPr="208D9DA6">
        <w:rPr>
          <w:rStyle w:val="cursor-pointer"/>
          <w:rFonts w:ascii="Arial" w:hAnsi="Arial" w:cs="Arial"/>
          <w:color w:val="000000" w:themeColor="text1"/>
        </w:rPr>
        <w:t xml:space="preserve"> be</w:t>
      </w:r>
      <w:r w:rsidRPr="208D9DA6">
        <w:rPr>
          <w:rStyle w:val="cursor-pointer"/>
          <w:rFonts w:ascii="Arial" w:hAnsi="Arial" w:cs="Arial"/>
          <w:color w:val="000000" w:themeColor="text1"/>
        </w:rPr>
        <w:t xml:space="preserve"> the only criterion for wider</w:t>
      </w:r>
      <w:r w:rsidR="4EBE1779" w:rsidRPr="208D9DA6">
        <w:rPr>
          <w:rStyle w:val="cursor-pointer"/>
          <w:rFonts w:ascii="Arial" w:hAnsi="Arial" w:cs="Arial"/>
          <w:color w:val="000000" w:themeColor="text1"/>
        </w:rPr>
        <w:t xml:space="preserve"> implementation</w:t>
      </w:r>
      <w:r w:rsidR="2896742A" w:rsidRPr="208D9DA6">
        <w:rPr>
          <w:rStyle w:val="cursor-pointer"/>
          <w:rFonts w:ascii="Arial" w:hAnsi="Arial" w:cs="Arial"/>
          <w:color w:val="000000" w:themeColor="text1"/>
        </w:rPr>
        <w:t>;</w:t>
      </w:r>
      <w:r w:rsidRPr="208D9DA6">
        <w:rPr>
          <w:rStyle w:val="cursor-pointer"/>
          <w:rFonts w:ascii="Arial" w:hAnsi="Arial" w:cs="Arial"/>
          <w:color w:val="000000" w:themeColor="text1"/>
        </w:rPr>
        <w:t xml:space="preserve"> social and system outcomes should</w:t>
      </w:r>
      <w:r w:rsidR="46E53EE8" w:rsidRPr="208D9DA6">
        <w:rPr>
          <w:rStyle w:val="cursor-pointer"/>
          <w:rFonts w:ascii="Arial" w:hAnsi="Arial" w:cs="Arial"/>
          <w:color w:val="000000" w:themeColor="text1"/>
        </w:rPr>
        <w:t xml:space="preserve"> also</w:t>
      </w:r>
      <w:r w:rsidR="0298CD1D" w:rsidRPr="208D9DA6">
        <w:rPr>
          <w:rStyle w:val="cursor-pointer"/>
          <w:rFonts w:ascii="Arial" w:hAnsi="Arial" w:cs="Arial"/>
          <w:color w:val="000000" w:themeColor="text1"/>
        </w:rPr>
        <w:t xml:space="preserve"> be</w:t>
      </w:r>
      <w:r w:rsidRPr="208D9DA6">
        <w:rPr>
          <w:rStyle w:val="cursor-pointer"/>
          <w:rFonts w:ascii="Arial" w:hAnsi="Arial" w:cs="Arial"/>
          <w:color w:val="000000" w:themeColor="text1"/>
        </w:rPr>
        <w:t xml:space="preserve"> </w:t>
      </w:r>
      <w:r w:rsidR="435293AD" w:rsidRPr="208D9DA6">
        <w:rPr>
          <w:rStyle w:val="cursor-pointer"/>
          <w:rFonts w:ascii="Arial" w:hAnsi="Arial" w:cs="Arial"/>
          <w:color w:val="000000" w:themeColor="text1"/>
        </w:rPr>
        <w:t>considered</w:t>
      </w:r>
      <w:r w:rsidRPr="208D9DA6">
        <w:rPr>
          <w:rStyle w:val="cursor-pointer"/>
          <w:rFonts w:ascii="Arial" w:hAnsi="Arial" w:cs="Arial"/>
          <w:color w:val="000000" w:themeColor="text1"/>
        </w:rPr>
        <w:t>.</w:t>
      </w:r>
    </w:p>
    <w:p w14:paraId="506F09AF" w14:textId="3C7566CA" w:rsidR="00C2318F" w:rsidRPr="00DF2912" w:rsidRDefault="00C2318F" w:rsidP="00DF2912">
      <w:pPr>
        <w:spacing w:line="360" w:lineRule="auto"/>
        <w:rPr>
          <w:rFonts w:ascii="Arial" w:eastAsia="Arial" w:hAnsi="Arial" w:cs="Arial"/>
        </w:rPr>
      </w:pPr>
    </w:p>
    <w:p w14:paraId="4ED3691F" w14:textId="77777777" w:rsidR="00C2318F" w:rsidRPr="00C2318F" w:rsidRDefault="00C2318F" w:rsidP="00DF2912">
      <w:pPr>
        <w:spacing w:line="360" w:lineRule="auto"/>
        <w:jc w:val="center"/>
        <w:rPr>
          <w:rStyle w:val="cursor-pointer"/>
          <w:rFonts w:ascii="Arial" w:eastAsia="Times New Roman" w:hAnsi="Arial" w:cs="Arial"/>
          <w:color w:val="000000" w:themeColor="text1"/>
        </w:rPr>
      </w:pPr>
      <w:r>
        <w:rPr>
          <w:noProof/>
        </w:rPr>
        <w:drawing>
          <wp:inline distT="0" distB="0" distL="0" distR="0" wp14:anchorId="17EE0E30" wp14:editId="22A3149E">
            <wp:extent cx="4851400" cy="3758799"/>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9-15 090342.png"/>
                    <pic:cNvPicPr/>
                  </pic:nvPicPr>
                  <pic:blipFill>
                    <a:blip r:embed="rId10">
                      <a:extLst>
                        <a:ext uri="{28A0092B-C50C-407E-A947-70E740481C1C}">
                          <a14:useLocalDpi xmlns:a14="http://schemas.microsoft.com/office/drawing/2010/main" val="0"/>
                        </a:ext>
                      </a:extLst>
                    </a:blip>
                    <a:stretch>
                      <a:fillRect/>
                    </a:stretch>
                  </pic:blipFill>
                  <pic:spPr>
                    <a:xfrm>
                      <a:off x="0" y="0"/>
                      <a:ext cx="4856189" cy="3762509"/>
                    </a:xfrm>
                    <a:prstGeom prst="rect">
                      <a:avLst/>
                    </a:prstGeom>
                  </pic:spPr>
                </pic:pic>
              </a:graphicData>
            </a:graphic>
          </wp:inline>
        </w:drawing>
      </w:r>
    </w:p>
    <w:p w14:paraId="6293D3CE" w14:textId="7CE2A225" w:rsidR="5DEA7260" w:rsidRDefault="5DEA7260" w:rsidP="75A25095">
      <w:pPr>
        <w:spacing w:line="360" w:lineRule="auto"/>
        <w:rPr>
          <w:rStyle w:val="cursor-pointer"/>
          <w:rFonts w:ascii="Arial" w:eastAsia="Arial" w:hAnsi="Arial" w:cs="Arial"/>
          <w:color w:val="000000" w:themeColor="text1"/>
        </w:rPr>
      </w:pPr>
      <w:r w:rsidRPr="75A25095">
        <w:rPr>
          <w:rFonts w:ascii="Arial" w:eastAsia="Arial" w:hAnsi="Arial" w:cs="Arial"/>
        </w:rPr>
        <w:t xml:space="preserve">Table </w:t>
      </w:r>
      <w:r w:rsidRPr="6921CE3C">
        <w:rPr>
          <w:rFonts w:ascii="Arial" w:eastAsia="Arial" w:hAnsi="Arial" w:cs="Arial"/>
        </w:rPr>
        <w:t>1:</w:t>
      </w:r>
      <w:r w:rsidRPr="75A25095">
        <w:rPr>
          <w:rFonts w:ascii="Arial" w:eastAsia="Arial" w:hAnsi="Arial" w:cs="Arial"/>
        </w:rPr>
        <w:t xml:space="preserve"> Critical synthesis of PKG implementation across workforce, service delivery, patient/service-</w:t>
      </w:r>
      <w:r w:rsidR="00217709" w:rsidRPr="75A25095">
        <w:rPr>
          <w:rFonts w:ascii="Arial" w:eastAsia="Arial" w:hAnsi="Arial" w:cs="Arial"/>
        </w:rPr>
        <w:t>user,</w:t>
      </w:r>
      <w:r w:rsidRPr="75A25095">
        <w:rPr>
          <w:rFonts w:ascii="Arial" w:eastAsia="Arial" w:hAnsi="Arial" w:cs="Arial"/>
        </w:rPr>
        <w:t xml:space="preserve"> and community domains</w:t>
      </w:r>
    </w:p>
    <w:p w14:paraId="326519D2" w14:textId="2B460E2A" w:rsidR="752B821A" w:rsidRDefault="752B821A" w:rsidP="75A25095"/>
    <w:p w14:paraId="1F74AF58" w14:textId="77777777" w:rsidR="00662607" w:rsidRPr="00DF2912" w:rsidRDefault="00662607" w:rsidP="00DF2912">
      <w:pPr>
        <w:pStyle w:val="Heading1"/>
        <w:rPr>
          <w:rFonts w:ascii="Arial" w:eastAsia="Arial" w:hAnsi="Arial" w:cs="Arial"/>
          <w:b/>
          <w:color w:val="000000" w:themeColor="text1"/>
          <w:sz w:val="36"/>
          <w:szCs w:val="36"/>
        </w:rPr>
      </w:pPr>
      <w:bookmarkStart w:id="42" w:name="_Toc240356005"/>
      <w:bookmarkStart w:id="43" w:name="_Toc240561389"/>
      <w:r w:rsidRPr="19CE7DE0">
        <w:rPr>
          <w:rFonts w:ascii="Arial" w:eastAsia="Arial" w:hAnsi="Arial" w:cs="Arial"/>
          <w:b/>
          <w:color w:val="000000" w:themeColor="text1"/>
          <w:sz w:val="36"/>
          <w:szCs w:val="36"/>
        </w:rPr>
        <w:t>6. Recommendations</w:t>
      </w:r>
      <w:bookmarkEnd w:id="42"/>
      <w:bookmarkEnd w:id="43"/>
    </w:p>
    <w:p w14:paraId="5A7777B8" w14:textId="77777777" w:rsidR="00662607" w:rsidRPr="00DF2912" w:rsidRDefault="00662607" w:rsidP="00DF2912">
      <w:pPr>
        <w:pStyle w:val="Heading2"/>
        <w:rPr>
          <w:rFonts w:ascii="Arial" w:eastAsia="Arial" w:hAnsi="Arial" w:cs="Arial"/>
          <w:sz w:val="32"/>
          <w:szCs w:val="32"/>
        </w:rPr>
      </w:pPr>
      <w:bookmarkStart w:id="44" w:name="_Toc240356006"/>
      <w:bookmarkStart w:id="45" w:name="_Toc240561390"/>
      <w:r w:rsidRPr="19CE7DE0">
        <w:rPr>
          <w:rFonts w:ascii="Arial" w:eastAsia="Arial" w:hAnsi="Arial" w:cs="Arial"/>
          <w:sz w:val="32"/>
          <w:szCs w:val="32"/>
        </w:rPr>
        <w:t>6.1 Workforce</w:t>
      </w:r>
      <w:bookmarkEnd w:id="44"/>
      <w:bookmarkEnd w:id="45"/>
    </w:p>
    <w:p w14:paraId="3FEC8859" w14:textId="32332C73" w:rsidR="00662607" w:rsidRPr="00DF2912" w:rsidRDefault="00662607" w:rsidP="36F427F4">
      <w:pPr>
        <w:spacing w:line="360" w:lineRule="auto"/>
        <w:jc w:val="both"/>
      </w:pPr>
      <w:r w:rsidRPr="00C2318F">
        <w:rPr>
          <w:rStyle w:val="cursor-pointer"/>
          <w:rFonts w:ascii="Arial" w:hAnsi="Arial" w:cs="Arial"/>
          <w:color w:val="000000" w:themeColor="text1"/>
        </w:rPr>
        <w:t xml:space="preserve">Standardised training should be required for NHS use of PKG, protected interpretation time and clear responsibilities for reviewing and escalating findings from the use of digital </w:t>
      </w:r>
      <w:r w:rsidR="0082151F" w:rsidRPr="00C2318F">
        <w:rPr>
          <w:rStyle w:val="cursor-pointer"/>
          <w:rFonts w:ascii="Arial" w:hAnsi="Arial" w:cs="Arial"/>
          <w:color w:val="000000" w:themeColor="text1"/>
        </w:rPr>
        <w:t>monitoring and</w:t>
      </w:r>
      <w:r w:rsidRPr="00C2318F">
        <w:rPr>
          <w:rStyle w:val="cursor-pointer"/>
          <w:rFonts w:ascii="Arial" w:hAnsi="Arial" w:cs="Arial"/>
          <w:color w:val="000000" w:themeColor="text1"/>
        </w:rPr>
        <w:t xml:space="preserve"> should not result in the creation of an unmanaged workload or in unsafe reliance on algorithmic outputs</w:t>
      </w:r>
      <w:r w:rsidR="00C2318F" w:rsidRPr="00C2318F">
        <w:rPr>
          <w:rStyle w:val="cursor-pointer"/>
          <w:rFonts w:ascii="Arial" w:hAnsi="Arial" w:cs="Arial"/>
          <w:color w:val="000000" w:themeColor="text1"/>
        </w:rPr>
        <w:t xml:space="preserve"> </w:t>
      </w:r>
      <w:r w:rsidR="00C2318F" w:rsidRPr="00C2318F">
        <w:rPr>
          <w:rFonts w:ascii="Arial" w:hAnsi="Arial" w:cs="Arial"/>
        </w:rPr>
        <w:t>(NICE, 2023)</w:t>
      </w:r>
      <w:r w:rsidRPr="00C2318F">
        <w:rPr>
          <w:rStyle w:val="cursor-pointer"/>
          <w:rFonts w:ascii="Arial" w:hAnsi="Arial" w:cs="Arial"/>
          <w:color w:val="000000" w:themeColor="text1"/>
        </w:rPr>
        <w:t>.</w:t>
      </w:r>
      <w:r w:rsidRPr="00C2318F">
        <w:rPr>
          <w:rFonts w:ascii="Arial" w:hAnsi="Arial" w:cs="Arial"/>
        </w:rPr>
        <w:t xml:space="preserve"> </w:t>
      </w:r>
    </w:p>
    <w:p w14:paraId="7BCDBE85" w14:textId="0FA75CD8" w:rsidR="00662607" w:rsidRPr="00DF2912" w:rsidRDefault="00662607" w:rsidP="1551217A">
      <w:pPr>
        <w:spacing w:line="360" w:lineRule="auto"/>
        <w:jc w:val="both"/>
        <w:rPr>
          <w:sz w:val="32"/>
          <w:szCs w:val="32"/>
        </w:rPr>
      </w:pPr>
      <w:bookmarkStart w:id="46" w:name="_Toc240356007"/>
      <w:r w:rsidRPr="6FE9F1FB">
        <w:rPr>
          <w:rFonts w:ascii="Arial" w:eastAsia="Arial" w:hAnsi="Arial" w:cs="Arial"/>
          <w:b/>
          <w:sz w:val="32"/>
          <w:szCs w:val="32"/>
        </w:rPr>
        <w:lastRenderedPageBreak/>
        <w:t>6.2 Service Delivery</w:t>
      </w:r>
      <w:bookmarkEnd w:id="46"/>
    </w:p>
    <w:p w14:paraId="1F12EF47" w14:textId="69B85166" w:rsidR="00662607" w:rsidRPr="00C2318F" w:rsidRDefault="000A7CE8" w:rsidP="3E955C07">
      <w:pPr>
        <w:pStyle w:val="Footer"/>
        <w:spacing w:line="360" w:lineRule="auto"/>
        <w:rPr>
          <w:rStyle w:val="cursor-pointer"/>
          <w:rFonts w:ascii="Arial" w:eastAsia="Arial" w:hAnsi="Arial" w:cs="Arial"/>
          <w:color w:val="000000" w:themeColor="text1"/>
        </w:rPr>
      </w:pPr>
      <w:r w:rsidRPr="3E955C07">
        <w:rPr>
          <w:rFonts w:ascii="Arial" w:eastAsia="Arial" w:hAnsi="Arial" w:cs="Arial"/>
        </w:rPr>
        <w:t>Do not</w:t>
      </w:r>
      <w:r w:rsidR="00662607" w:rsidRPr="3E955C07">
        <w:rPr>
          <w:rFonts w:ascii="Arial" w:eastAsia="Arial" w:hAnsi="Arial" w:cs="Arial"/>
        </w:rPr>
        <w:t xml:space="preserve"> make PKG the only way to assess, make it a part of the pathway. For broader implementation, it is crucial to ensure interoperability, establish escalation protocols, and integrate with current clinical workflows.</w:t>
      </w:r>
    </w:p>
    <w:p w14:paraId="34722D1E" w14:textId="77777777" w:rsidR="00662607" w:rsidRPr="00DF2912" w:rsidRDefault="00662607" w:rsidP="00DF2912">
      <w:pPr>
        <w:pStyle w:val="Heading2"/>
        <w:rPr>
          <w:sz w:val="32"/>
          <w:szCs w:val="32"/>
        </w:rPr>
      </w:pPr>
      <w:bookmarkStart w:id="47" w:name="_Toc240356008"/>
      <w:bookmarkStart w:id="48" w:name="_Toc240561391"/>
      <w:r w:rsidRPr="19CE7DE0">
        <w:rPr>
          <w:rFonts w:ascii="Arial" w:eastAsia="Arial" w:hAnsi="Arial" w:cs="Arial"/>
          <w:sz w:val="32"/>
          <w:szCs w:val="32"/>
        </w:rPr>
        <w:t>6.3 Patients and Service Users</w:t>
      </w:r>
      <w:bookmarkEnd w:id="47"/>
      <w:bookmarkEnd w:id="48"/>
    </w:p>
    <w:p w14:paraId="1B39A5D4" w14:textId="6C5C9B48" w:rsidR="00662607" w:rsidRPr="00C2318F" w:rsidRDefault="69B1381B" w:rsidP="00C2318F">
      <w:pPr>
        <w:spacing w:line="360" w:lineRule="auto"/>
        <w:jc w:val="both"/>
        <w:rPr>
          <w:rStyle w:val="cursor-pointer"/>
          <w:rFonts w:ascii="Arial" w:hAnsi="Arial" w:cs="Arial"/>
          <w:color w:val="000000" w:themeColor="text1"/>
        </w:rPr>
      </w:pPr>
      <w:r w:rsidRPr="7B6ED19B">
        <w:rPr>
          <w:rStyle w:val="cursor-pointer"/>
          <w:rFonts w:ascii="Arial" w:hAnsi="Arial" w:cs="Arial"/>
          <w:color w:val="000000" w:themeColor="text1"/>
        </w:rPr>
        <w:t xml:space="preserve">Assessment of individual's </w:t>
      </w:r>
      <w:r w:rsidR="355B475F" w:rsidRPr="7B6ED19B">
        <w:rPr>
          <w:rStyle w:val="cursor-pointer"/>
          <w:rFonts w:ascii="Arial" w:hAnsi="Arial" w:cs="Arial"/>
          <w:color w:val="000000" w:themeColor="text1"/>
        </w:rPr>
        <w:t>suitability and</w:t>
      </w:r>
      <w:r w:rsidRPr="7B6ED19B">
        <w:rPr>
          <w:rStyle w:val="cursor-pointer"/>
          <w:rFonts w:ascii="Arial" w:hAnsi="Arial" w:cs="Arial"/>
          <w:color w:val="000000" w:themeColor="text1"/>
        </w:rPr>
        <w:t xml:space="preserve"> focussed support and suitable non-digital support for any cognitive, physical, communication or digital barriers.</w:t>
      </w:r>
      <w:r w:rsidRPr="7B6ED19B">
        <w:rPr>
          <w:rFonts w:ascii="Arial" w:hAnsi="Arial" w:cs="Arial"/>
        </w:rPr>
        <w:t xml:space="preserve"> </w:t>
      </w:r>
      <w:r w:rsidRPr="7B6ED19B">
        <w:rPr>
          <w:rStyle w:val="cursor-pointer"/>
          <w:rFonts w:ascii="Arial" w:hAnsi="Arial" w:cs="Arial"/>
          <w:color w:val="000000" w:themeColor="text1"/>
        </w:rPr>
        <w:t>Patient experience and shared decision making are to be complemented by outputs from PKG.</w:t>
      </w:r>
    </w:p>
    <w:p w14:paraId="0D9B65E6" w14:textId="77777777" w:rsidR="00662607" w:rsidRPr="00DF2912" w:rsidRDefault="00662607" w:rsidP="00DF2912">
      <w:pPr>
        <w:pStyle w:val="Heading2"/>
        <w:rPr>
          <w:rFonts w:ascii="Arial" w:eastAsia="Arial" w:hAnsi="Arial" w:cs="Arial"/>
          <w:sz w:val="32"/>
          <w:szCs w:val="32"/>
        </w:rPr>
      </w:pPr>
      <w:bookmarkStart w:id="49" w:name="_Toc240356009"/>
      <w:bookmarkStart w:id="50" w:name="_Toc240561392"/>
      <w:r w:rsidRPr="19CE7DE0">
        <w:rPr>
          <w:rFonts w:ascii="Arial" w:eastAsia="Arial" w:hAnsi="Arial" w:cs="Arial"/>
          <w:sz w:val="32"/>
          <w:szCs w:val="32"/>
        </w:rPr>
        <w:t>6.4 Community and Evaluation</w:t>
      </w:r>
      <w:bookmarkEnd w:id="49"/>
      <w:bookmarkEnd w:id="50"/>
    </w:p>
    <w:p w14:paraId="1DA0DEA8" w14:textId="77777777" w:rsidR="00BC2DF2" w:rsidRPr="00C2318F" w:rsidRDefault="00662607" w:rsidP="00C2318F">
      <w:pPr>
        <w:spacing w:line="360" w:lineRule="auto"/>
        <w:jc w:val="both"/>
        <w:rPr>
          <w:rFonts w:ascii="Arial" w:hAnsi="Arial" w:cs="Arial"/>
        </w:rPr>
      </w:pPr>
      <w:r w:rsidRPr="00C2318F">
        <w:rPr>
          <w:rFonts w:ascii="Arial" w:hAnsi="Arial" w:cs="Arial"/>
        </w:rPr>
        <w:t>Expansion must be held back until it can be shown that it does not increase digital exclusion and carer burden and that it improves the quality of life, clinical outcomes, inequalities and usage of resources and cost-effectiveness.</w:t>
      </w:r>
    </w:p>
    <w:p w14:paraId="3F8A8C0D" w14:textId="77777777" w:rsidR="00662607" w:rsidRPr="00DF2912" w:rsidRDefault="00662607" w:rsidP="00DF2912">
      <w:pPr>
        <w:pStyle w:val="Heading1"/>
        <w:rPr>
          <w:rFonts w:ascii="Arial" w:eastAsia="Arial" w:hAnsi="Arial" w:cs="Arial"/>
          <w:b/>
          <w:color w:val="000000" w:themeColor="text1"/>
        </w:rPr>
      </w:pPr>
      <w:bookmarkStart w:id="51" w:name="_Toc240356010"/>
      <w:bookmarkStart w:id="52" w:name="_Toc240561393"/>
      <w:r w:rsidRPr="19CE7DE0">
        <w:rPr>
          <w:rFonts w:ascii="Arial" w:eastAsia="Arial" w:hAnsi="Arial" w:cs="Arial"/>
          <w:b/>
          <w:color w:val="000000" w:themeColor="text1"/>
        </w:rPr>
        <w:t>Conclusion</w:t>
      </w:r>
      <w:bookmarkEnd w:id="51"/>
      <w:bookmarkEnd w:id="52"/>
    </w:p>
    <w:p w14:paraId="74EE2F96" w14:textId="5AAC2308" w:rsidR="00BC2DF2" w:rsidRPr="001B2668" w:rsidRDefault="00662607" w:rsidP="001B2668">
      <w:pPr>
        <w:spacing w:line="360" w:lineRule="auto"/>
        <w:jc w:val="both"/>
      </w:pPr>
      <w:r w:rsidRPr="00C2318F">
        <w:rPr>
          <w:rStyle w:val="cursor-pointer"/>
          <w:rFonts w:ascii="Arial" w:hAnsi="Arial" w:cs="Arial"/>
          <w:color w:val="000000" w:themeColor="text1"/>
        </w:rPr>
        <w:t>The power of meaningful digital transformation in the shift from cross-sectional to a longitudinal model of Parkinson's monitoring, which is based on data.</w:t>
      </w:r>
      <w:r w:rsidRPr="00C2318F">
        <w:rPr>
          <w:rFonts w:ascii="Arial" w:hAnsi="Arial" w:cs="Arial"/>
        </w:rPr>
        <w:t xml:space="preserve"> </w:t>
      </w:r>
      <w:r w:rsidRPr="00C2318F">
        <w:rPr>
          <w:rStyle w:val="cursor-pointer"/>
          <w:rFonts w:ascii="Arial" w:hAnsi="Arial" w:cs="Arial"/>
          <w:color w:val="000000" w:themeColor="text1"/>
        </w:rPr>
        <w:t>It can enhance workforce decision making, community service delivery with hybrid working, personalised assessment, and extend monitoring into communities.</w:t>
      </w:r>
      <w:r w:rsidRPr="00C2318F">
        <w:rPr>
          <w:rFonts w:ascii="Arial" w:hAnsi="Arial" w:cs="Arial"/>
        </w:rPr>
        <w:t xml:space="preserve"> </w:t>
      </w:r>
      <w:r w:rsidRPr="00C2318F">
        <w:rPr>
          <w:rStyle w:val="cursor-pointer"/>
          <w:rFonts w:ascii="Arial" w:hAnsi="Arial" w:cs="Arial"/>
          <w:color w:val="000000" w:themeColor="text1"/>
        </w:rPr>
        <w:t xml:space="preserve">But the value of workforce is constrained by the need for workforce, digital inequality, a carer </w:t>
      </w:r>
      <w:r w:rsidR="00CA797D" w:rsidRPr="00C2318F">
        <w:rPr>
          <w:rStyle w:val="cursor-pointer"/>
          <w:rFonts w:ascii="Arial" w:hAnsi="Arial" w:cs="Arial"/>
          <w:color w:val="000000" w:themeColor="text1"/>
        </w:rPr>
        <w:t>burden,</w:t>
      </w:r>
      <w:r w:rsidRPr="00C2318F">
        <w:rPr>
          <w:rStyle w:val="cursor-pointer"/>
          <w:rFonts w:ascii="Arial" w:hAnsi="Arial" w:cs="Arial"/>
          <w:color w:val="000000" w:themeColor="text1"/>
        </w:rPr>
        <w:t xml:space="preserve"> and uncertain long-term clinical and economic outcomes.</w:t>
      </w:r>
      <w:r w:rsidRPr="00C2318F">
        <w:rPr>
          <w:rFonts w:ascii="Arial" w:hAnsi="Arial" w:cs="Arial"/>
        </w:rPr>
        <w:t xml:space="preserve"> </w:t>
      </w:r>
      <w:r w:rsidRPr="00C2318F">
        <w:rPr>
          <w:rStyle w:val="cursor-pointer"/>
          <w:rFonts w:ascii="Arial" w:hAnsi="Arial" w:cs="Arial"/>
          <w:color w:val="000000" w:themeColor="text1"/>
        </w:rPr>
        <w:t>Hence, PKG should be used alongside and not in lieu of the professional judgement and patient experience.</w:t>
      </w:r>
      <w:r w:rsidRPr="00C2318F">
        <w:rPr>
          <w:rFonts w:ascii="Arial" w:hAnsi="Arial" w:cs="Arial"/>
        </w:rPr>
        <w:t xml:space="preserve"> </w:t>
      </w:r>
      <w:r w:rsidRPr="00C2318F">
        <w:rPr>
          <w:rStyle w:val="cursor-pointer"/>
          <w:rFonts w:ascii="Arial" w:hAnsi="Arial" w:cs="Arial"/>
          <w:color w:val="000000" w:themeColor="text1"/>
        </w:rPr>
        <w:t xml:space="preserve">Expansion in the NHS should be based on evidence of the benefits of improving both access (equity) and outcomes for patients and the sustainability and cost-effectiveness of services, not solely technological </w:t>
      </w:r>
      <w:r w:rsidRPr="267942D8">
        <w:rPr>
          <w:rStyle w:val="cursor-pointer"/>
          <w:rFonts w:ascii="Arial" w:hAnsi="Arial" w:cs="Arial"/>
          <w:color w:val="000000" w:themeColor="text1"/>
        </w:rPr>
        <w:t>upt</w:t>
      </w:r>
      <w:r w:rsidR="48F26E12" w:rsidRPr="267942D8">
        <w:rPr>
          <w:rStyle w:val="cursor-pointer"/>
          <w:rFonts w:ascii="Arial" w:hAnsi="Arial" w:cs="Arial"/>
          <w:color w:val="000000" w:themeColor="text1"/>
        </w:rPr>
        <w:t>ake.</w:t>
      </w:r>
    </w:p>
    <w:p w14:paraId="5A071194" w14:textId="77777777" w:rsidR="00F73ED3" w:rsidRDefault="00F73ED3" w:rsidP="267942D8">
      <w:pPr>
        <w:spacing w:line="360" w:lineRule="auto"/>
        <w:jc w:val="both"/>
        <w:rPr>
          <w:rStyle w:val="cursor-pointer"/>
          <w:rFonts w:ascii="Arial" w:hAnsi="Arial" w:cs="Arial"/>
          <w:b/>
          <w:bCs/>
          <w:color w:val="000000" w:themeColor="text1"/>
          <w:sz w:val="36"/>
          <w:szCs w:val="36"/>
        </w:rPr>
      </w:pPr>
    </w:p>
    <w:p w14:paraId="3FF290A1" w14:textId="77777777" w:rsidR="00F73ED3" w:rsidRDefault="00F73ED3" w:rsidP="267942D8">
      <w:pPr>
        <w:spacing w:line="360" w:lineRule="auto"/>
        <w:jc w:val="both"/>
        <w:rPr>
          <w:rStyle w:val="cursor-pointer"/>
          <w:rFonts w:ascii="Arial" w:hAnsi="Arial" w:cs="Arial"/>
          <w:b/>
          <w:bCs/>
          <w:color w:val="000000" w:themeColor="text1"/>
          <w:sz w:val="36"/>
          <w:szCs w:val="36"/>
        </w:rPr>
      </w:pPr>
    </w:p>
    <w:p w14:paraId="2BACC99D" w14:textId="77777777" w:rsidR="00F73ED3" w:rsidRDefault="00F73ED3" w:rsidP="267942D8">
      <w:pPr>
        <w:spacing w:line="360" w:lineRule="auto"/>
        <w:jc w:val="both"/>
        <w:rPr>
          <w:rStyle w:val="cursor-pointer"/>
          <w:rFonts w:ascii="Arial" w:hAnsi="Arial" w:cs="Arial"/>
          <w:b/>
          <w:bCs/>
          <w:color w:val="000000" w:themeColor="text1"/>
          <w:sz w:val="36"/>
          <w:szCs w:val="36"/>
        </w:rPr>
      </w:pPr>
    </w:p>
    <w:p w14:paraId="303B2DF8" w14:textId="77777777" w:rsidR="00F73ED3" w:rsidRDefault="00F73ED3" w:rsidP="267942D8">
      <w:pPr>
        <w:spacing w:line="360" w:lineRule="auto"/>
        <w:jc w:val="both"/>
        <w:rPr>
          <w:rStyle w:val="cursor-pointer"/>
          <w:rFonts w:ascii="Arial" w:hAnsi="Arial" w:cs="Arial"/>
          <w:b/>
          <w:bCs/>
          <w:color w:val="000000" w:themeColor="text1"/>
          <w:sz w:val="36"/>
          <w:szCs w:val="36"/>
        </w:rPr>
      </w:pPr>
    </w:p>
    <w:p w14:paraId="507921A6" w14:textId="1EBF6966" w:rsidR="48F26E12" w:rsidRDefault="48F26E12" w:rsidP="267942D8">
      <w:pPr>
        <w:spacing w:line="360" w:lineRule="auto"/>
        <w:jc w:val="both"/>
        <w:rPr>
          <w:rStyle w:val="cursor-pointer"/>
          <w:rFonts w:ascii="Arial" w:hAnsi="Arial" w:cs="Arial"/>
          <w:b/>
          <w:bCs/>
          <w:color w:val="000000" w:themeColor="text1"/>
          <w:sz w:val="36"/>
          <w:szCs w:val="36"/>
        </w:rPr>
      </w:pPr>
      <w:r w:rsidRPr="267942D8">
        <w:rPr>
          <w:rStyle w:val="cursor-pointer"/>
          <w:rFonts w:ascii="Arial" w:hAnsi="Arial" w:cs="Arial"/>
          <w:b/>
          <w:bCs/>
          <w:color w:val="000000" w:themeColor="text1"/>
          <w:sz w:val="36"/>
          <w:szCs w:val="36"/>
        </w:rPr>
        <w:lastRenderedPageBreak/>
        <w:t>Reference List</w:t>
      </w:r>
    </w:p>
    <w:p w14:paraId="6848AE22" w14:textId="237EB323" w:rsidR="00DF2912" w:rsidRDefault="00DF2912" w:rsidP="763D9B2F">
      <w:pPr>
        <w:spacing w:line="360" w:lineRule="auto"/>
        <w:rPr>
          <w:rFonts w:ascii="Arial" w:hAnsi="Arial" w:cs="Arial"/>
        </w:rPr>
      </w:pPr>
      <w:r w:rsidRPr="00575AB5">
        <w:rPr>
          <w:rFonts w:ascii="Arial" w:hAnsi="Arial" w:cs="Arial"/>
        </w:rPr>
        <w:t xml:space="preserve">Azoidou, V., Bhadra, E., Camboe, E., Dey, K.C., Zirra, A., Rowsell, K., Quah, C., Budu, C., </w:t>
      </w:r>
      <w:r w:rsidR="0438728E" w:rsidRPr="267942D8">
        <w:rPr>
          <w:rFonts w:ascii="Arial" w:hAnsi="Arial" w:cs="Arial"/>
        </w:rPr>
        <w:t xml:space="preserve">   </w:t>
      </w:r>
      <w:r w:rsidRPr="00575AB5">
        <w:rPr>
          <w:rFonts w:ascii="Arial" w:hAnsi="Arial" w:cs="Arial"/>
        </w:rPr>
        <w:t>Boyle, T., Gallagher, D., Bestwick, J.P., Pérez-Carbonell, L., Noyce, A.J. and Simonet, C. (2026)</w:t>
      </w:r>
      <w:r w:rsidR="00DE0788">
        <w:rPr>
          <w:rFonts w:ascii="Arial" w:hAnsi="Arial" w:cs="Arial"/>
        </w:rPr>
        <w:t>’</w:t>
      </w:r>
      <w:r w:rsidRPr="00575AB5">
        <w:rPr>
          <w:rFonts w:ascii="Arial" w:hAnsi="Arial" w:cs="Arial"/>
        </w:rPr>
        <w:t xml:space="preserve">Wearable evidence linking dyskinesia burden to sleep quality in </w:t>
      </w:r>
      <w:r w:rsidR="39F42EE6" w:rsidRPr="00575AB5">
        <w:rPr>
          <w:rFonts w:ascii="Arial" w:hAnsi="Arial" w:cs="Arial"/>
        </w:rPr>
        <w:t>Parkinson's</w:t>
      </w:r>
      <w:r w:rsidRPr="00575AB5">
        <w:rPr>
          <w:rFonts w:ascii="Arial" w:hAnsi="Arial" w:cs="Arial"/>
        </w:rPr>
        <w:t xml:space="preserve"> disease</w:t>
      </w:r>
      <w:r w:rsidR="001762D9">
        <w:rPr>
          <w:rFonts w:ascii="Arial" w:hAnsi="Arial" w:cs="Arial"/>
        </w:rPr>
        <w:t>’.</w:t>
      </w:r>
      <w:r w:rsidR="001762D9" w:rsidRPr="00575AB5">
        <w:rPr>
          <w:rFonts w:ascii="Arial" w:hAnsi="Arial" w:cs="Arial"/>
        </w:rPr>
        <w:t xml:space="preserve"> [</w:t>
      </w:r>
      <w:r w:rsidRPr="00575AB5">
        <w:rPr>
          <w:rFonts w:ascii="Arial" w:hAnsi="Arial" w:cs="Arial"/>
        </w:rPr>
        <w:t>online] doi:10.64898/2026.05.30.26354503.</w:t>
      </w:r>
    </w:p>
    <w:p w14:paraId="06EC3ED8" w14:textId="77777777" w:rsidR="006F25BA" w:rsidRPr="00575AB5" w:rsidRDefault="006F25BA" w:rsidP="006F25BA">
      <w:pPr>
        <w:pStyle w:val="NormalWeb"/>
        <w:spacing w:before="0" w:beforeAutospacing="0" w:after="240" w:afterAutospacing="0" w:line="360" w:lineRule="auto"/>
        <w:jc w:val="both"/>
        <w:rPr>
          <w:rFonts w:ascii="Arial" w:hAnsi="Arial" w:cs="Arial"/>
          <w:sz w:val="22"/>
          <w:szCs w:val="22"/>
        </w:rPr>
      </w:pPr>
      <w:r w:rsidRPr="00575AB5">
        <w:rPr>
          <w:rFonts w:ascii="Arial" w:hAnsi="Arial" w:cs="Arial"/>
          <w:sz w:val="22"/>
          <w:szCs w:val="22"/>
        </w:rPr>
        <w:t>Alrwaily</w:t>
      </w:r>
      <w:r>
        <w:rPr>
          <w:rFonts w:ascii="Arial" w:hAnsi="Arial" w:cs="Arial"/>
          <w:sz w:val="22"/>
          <w:szCs w:val="22"/>
        </w:rPr>
        <w:t>, M.</w:t>
      </w:r>
      <w:r w:rsidRPr="00575AB5">
        <w:rPr>
          <w:rFonts w:ascii="Arial" w:hAnsi="Arial" w:cs="Arial"/>
          <w:sz w:val="22"/>
          <w:szCs w:val="22"/>
        </w:rPr>
        <w:t xml:space="preserve"> (2025)</w:t>
      </w:r>
      <w:r>
        <w:rPr>
          <w:rFonts w:ascii="Arial" w:hAnsi="Arial" w:cs="Arial"/>
          <w:sz w:val="22"/>
          <w:szCs w:val="22"/>
        </w:rPr>
        <w:t>’</w:t>
      </w:r>
      <w:r w:rsidRPr="00575AB5">
        <w:rPr>
          <w:rFonts w:ascii="Arial" w:hAnsi="Arial" w:cs="Arial"/>
          <w:sz w:val="22"/>
          <w:szCs w:val="22"/>
        </w:rPr>
        <w:t>Delivering musculoskeletal rehabilitation in the digital era: A perspective on clinical strategies for remote</w:t>
      </w:r>
      <w:r>
        <w:rPr>
          <w:rFonts w:ascii="Arial" w:hAnsi="Arial" w:cs="Arial"/>
          <w:sz w:val="22"/>
          <w:szCs w:val="22"/>
        </w:rPr>
        <w:t xml:space="preserve"> </w:t>
      </w:r>
      <w:r w:rsidRPr="00575AB5">
        <w:rPr>
          <w:rFonts w:ascii="Arial" w:hAnsi="Arial" w:cs="Arial"/>
          <w:sz w:val="22"/>
          <w:szCs w:val="22"/>
        </w:rPr>
        <w:t>practice</w:t>
      </w:r>
      <w:r>
        <w:rPr>
          <w:rFonts w:ascii="Arial" w:hAnsi="Arial" w:cs="Arial"/>
          <w:sz w:val="22"/>
          <w:szCs w:val="22"/>
        </w:rPr>
        <w:t>’, Healthcare,</w:t>
      </w:r>
      <w:r w:rsidRPr="00575AB5">
        <w:rPr>
          <w:rFonts w:ascii="Arial" w:hAnsi="Arial" w:cs="Arial"/>
          <w:sz w:val="22"/>
          <w:szCs w:val="22"/>
        </w:rPr>
        <w:t>13(18)</w:t>
      </w:r>
      <w:r>
        <w:rPr>
          <w:rFonts w:ascii="Arial" w:hAnsi="Arial" w:cs="Arial"/>
          <w:sz w:val="22"/>
          <w:szCs w:val="22"/>
        </w:rPr>
        <w:t>, article 2286.</w:t>
      </w:r>
      <w:r w:rsidRPr="00575AB5">
        <w:rPr>
          <w:rFonts w:ascii="Arial" w:hAnsi="Arial" w:cs="Arial"/>
          <w:sz w:val="22"/>
          <w:szCs w:val="22"/>
        </w:rPr>
        <w:t xml:space="preserve"> doi:10.3390/healthcare13182286.</w:t>
      </w:r>
    </w:p>
    <w:p w14:paraId="474D4A6F" w14:textId="1F521AA3" w:rsidR="00DF2912" w:rsidRPr="00575AB5" w:rsidRDefault="00DF2912" w:rsidP="763D9B2F">
      <w:pPr>
        <w:spacing w:line="360" w:lineRule="auto"/>
        <w:rPr>
          <w:rFonts w:ascii="Arial" w:hAnsi="Arial" w:cs="Arial"/>
        </w:rPr>
      </w:pPr>
      <w:r w:rsidRPr="00575AB5">
        <w:rPr>
          <w:rFonts w:ascii="Arial" w:hAnsi="Arial" w:cs="Arial"/>
        </w:rPr>
        <w:t xml:space="preserve">Chae, Y.S. (2026) </w:t>
      </w:r>
      <w:r w:rsidRPr="00575AB5">
        <w:rPr>
          <w:rFonts w:ascii="Arial" w:hAnsi="Arial" w:cs="Arial"/>
          <w:i/>
          <w:iCs/>
        </w:rPr>
        <w:t xml:space="preserve">Utilization of telehealth in cancer </w:t>
      </w:r>
      <w:r w:rsidR="00F73173" w:rsidRPr="00575AB5">
        <w:rPr>
          <w:rFonts w:ascii="Arial" w:hAnsi="Arial" w:cs="Arial"/>
          <w:i/>
          <w:iCs/>
        </w:rPr>
        <w:t>care</w:t>
      </w:r>
      <w:r w:rsidR="00F73173" w:rsidRPr="00575AB5">
        <w:rPr>
          <w:rFonts w:ascii="Arial" w:hAnsi="Arial" w:cs="Arial"/>
        </w:rPr>
        <w:t>.</w:t>
      </w:r>
      <w:r w:rsidR="00F73173">
        <w:rPr>
          <w:rFonts w:ascii="Arial" w:hAnsi="Arial" w:cs="Arial"/>
        </w:rPr>
        <w:t xml:space="preserve"> Simon</w:t>
      </w:r>
      <w:r w:rsidR="000D49A3">
        <w:rPr>
          <w:rFonts w:ascii="Arial" w:hAnsi="Arial" w:cs="Arial"/>
        </w:rPr>
        <w:t xml:space="preserve"> Fraser</w:t>
      </w:r>
      <w:r w:rsidR="00F73173">
        <w:rPr>
          <w:rFonts w:ascii="Arial" w:hAnsi="Arial" w:cs="Arial"/>
        </w:rPr>
        <w:t xml:space="preserve"> University.</w:t>
      </w:r>
      <w:r w:rsidRPr="00575AB5">
        <w:rPr>
          <w:rFonts w:ascii="Arial" w:hAnsi="Arial" w:cs="Arial"/>
        </w:rPr>
        <w:t xml:space="preserve"> Available at: https://summit.sfu.ca/item/40636 [Accessed 15 Sept. 2026].</w:t>
      </w:r>
    </w:p>
    <w:p w14:paraId="7B2D565E" w14:textId="5B9CD6A2" w:rsidR="00DF2912" w:rsidRPr="00575AB5" w:rsidRDefault="00DF2912" w:rsidP="763D9B2F">
      <w:pPr>
        <w:spacing w:line="360" w:lineRule="auto"/>
        <w:rPr>
          <w:rFonts w:ascii="Arial" w:hAnsi="Arial" w:cs="Arial"/>
        </w:rPr>
      </w:pPr>
      <w:r w:rsidRPr="00575AB5">
        <w:rPr>
          <w:rFonts w:ascii="Arial" w:hAnsi="Arial" w:cs="Arial"/>
        </w:rPr>
        <w:t>Chambers, J.D., Silver, M.C., Berklein, F.C., Cohen, J.T. and Neumann, P.J. (202</w:t>
      </w:r>
      <w:r w:rsidR="00EE5FD2">
        <w:rPr>
          <w:rFonts w:ascii="Arial" w:hAnsi="Arial" w:cs="Arial"/>
        </w:rPr>
        <w:t>2</w:t>
      </w:r>
      <w:r w:rsidRPr="00575AB5">
        <w:rPr>
          <w:rFonts w:ascii="Arial" w:hAnsi="Arial" w:cs="Arial"/>
        </w:rPr>
        <w:t>)</w:t>
      </w:r>
      <w:r w:rsidR="005E2C7F">
        <w:rPr>
          <w:rFonts w:ascii="Arial" w:hAnsi="Arial" w:cs="Arial"/>
        </w:rPr>
        <w:t xml:space="preserve"> ‘</w:t>
      </w:r>
      <w:r w:rsidRPr="00575AB5">
        <w:rPr>
          <w:rFonts w:ascii="Arial" w:hAnsi="Arial" w:cs="Arial"/>
        </w:rPr>
        <w:t xml:space="preserve">Are </w:t>
      </w:r>
      <w:r w:rsidR="008D36E3">
        <w:rPr>
          <w:rFonts w:ascii="Arial" w:hAnsi="Arial" w:cs="Arial"/>
        </w:rPr>
        <w:t xml:space="preserve">  </w:t>
      </w:r>
      <w:r w:rsidRPr="00575AB5">
        <w:rPr>
          <w:rFonts w:ascii="Arial" w:hAnsi="Arial" w:cs="Arial"/>
        </w:rPr>
        <w:t>medical devices cost-effective?</w:t>
      </w:r>
      <w:r w:rsidR="00D521EA">
        <w:rPr>
          <w:rFonts w:ascii="Arial" w:hAnsi="Arial" w:cs="Arial"/>
        </w:rPr>
        <w:t>’</w:t>
      </w:r>
      <w:r w:rsidR="00DF3AC8">
        <w:rPr>
          <w:rFonts w:ascii="Arial" w:hAnsi="Arial" w:cs="Arial"/>
        </w:rPr>
        <w:t>,</w:t>
      </w:r>
      <w:r w:rsidRPr="00575AB5">
        <w:rPr>
          <w:rFonts w:ascii="Arial" w:hAnsi="Arial" w:cs="Arial"/>
        </w:rPr>
        <w:t xml:space="preserve"> </w:t>
      </w:r>
      <w:r w:rsidRPr="00575AB5">
        <w:rPr>
          <w:rFonts w:ascii="Arial" w:hAnsi="Arial" w:cs="Arial"/>
          <w:i/>
          <w:iCs/>
        </w:rPr>
        <w:t>Applied Health Economics and Health Policy</w:t>
      </w:r>
      <w:r w:rsidRPr="00575AB5">
        <w:rPr>
          <w:rFonts w:ascii="Arial" w:hAnsi="Arial" w:cs="Arial"/>
        </w:rPr>
        <w:t>, 20(2), pp.235–241. doi:10.1007/s40258-021-00698-6.</w:t>
      </w:r>
    </w:p>
    <w:p w14:paraId="15575062" w14:textId="3E9D6A5E"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Chaudhuri, K.R., Hand, A., Obam, F. and Belsey, J. (2022)</w:t>
      </w:r>
      <w:r w:rsidR="00513665">
        <w:rPr>
          <w:rFonts w:ascii="Arial" w:hAnsi="Arial" w:cs="Arial"/>
          <w:sz w:val="22"/>
          <w:szCs w:val="22"/>
        </w:rPr>
        <w:t xml:space="preserve"> ‘</w:t>
      </w:r>
      <w:r w:rsidRPr="00575AB5">
        <w:rPr>
          <w:rFonts w:ascii="Arial" w:hAnsi="Arial" w:cs="Arial"/>
          <w:sz w:val="22"/>
          <w:szCs w:val="22"/>
        </w:rPr>
        <w:t xml:space="preserve">Cost-effectiveness analysis of the </w:t>
      </w:r>
      <w:r w:rsidR="00513665" w:rsidRPr="00575AB5">
        <w:rPr>
          <w:rFonts w:ascii="Arial" w:hAnsi="Arial" w:cs="Arial"/>
          <w:sz w:val="22"/>
          <w:szCs w:val="22"/>
        </w:rPr>
        <w:t>Parkinson’s</w:t>
      </w:r>
      <w:r w:rsidRPr="00575AB5">
        <w:rPr>
          <w:rFonts w:ascii="Arial" w:hAnsi="Arial" w:cs="Arial"/>
          <w:sz w:val="22"/>
          <w:szCs w:val="22"/>
        </w:rPr>
        <w:t xml:space="preserve"> KinetiGraph and clinical assessment in the management of </w:t>
      </w:r>
      <w:r w:rsidR="00805E3F">
        <w:rPr>
          <w:rFonts w:ascii="Arial" w:hAnsi="Arial" w:cs="Arial"/>
          <w:sz w:val="22"/>
          <w:szCs w:val="22"/>
        </w:rPr>
        <w:t>P</w:t>
      </w:r>
      <w:r w:rsidRPr="00575AB5">
        <w:rPr>
          <w:rFonts w:ascii="Arial" w:hAnsi="Arial" w:cs="Arial"/>
          <w:sz w:val="22"/>
          <w:szCs w:val="22"/>
        </w:rPr>
        <w:t xml:space="preserve">arkinson’s </w:t>
      </w:r>
      <w:r w:rsidR="00C328AD" w:rsidRPr="00575AB5">
        <w:rPr>
          <w:rFonts w:ascii="Arial" w:hAnsi="Arial" w:cs="Arial"/>
          <w:sz w:val="22"/>
          <w:szCs w:val="22"/>
        </w:rPr>
        <w:t>disease</w:t>
      </w:r>
      <w:r w:rsidR="00C328AD">
        <w:rPr>
          <w:rFonts w:ascii="Arial" w:hAnsi="Arial" w:cs="Arial"/>
          <w:sz w:val="22"/>
          <w:szCs w:val="22"/>
        </w:rPr>
        <w:t>’,</w:t>
      </w:r>
      <w:r w:rsidR="00C328AD" w:rsidRPr="00575AB5">
        <w:rPr>
          <w:rFonts w:ascii="Arial" w:hAnsi="Arial" w:cs="Arial"/>
          <w:i/>
          <w:iCs/>
          <w:sz w:val="22"/>
          <w:szCs w:val="22"/>
        </w:rPr>
        <w:t xml:space="preserve"> Journal</w:t>
      </w:r>
      <w:r w:rsidRPr="00575AB5">
        <w:rPr>
          <w:rFonts w:ascii="Arial" w:hAnsi="Arial" w:cs="Arial"/>
          <w:i/>
          <w:iCs/>
          <w:sz w:val="22"/>
          <w:szCs w:val="22"/>
        </w:rPr>
        <w:t xml:space="preserve"> of </w:t>
      </w:r>
      <w:r w:rsidRPr="2718DBB6">
        <w:rPr>
          <w:rFonts w:ascii="Arial" w:hAnsi="Arial" w:cs="Arial"/>
          <w:i/>
          <w:iCs/>
          <w:sz w:val="22"/>
          <w:szCs w:val="22"/>
        </w:rPr>
        <w:t>Medical</w:t>
      </w:r>
      <w:r w:rsidR="0E17F7DE" w:rsidRPr="2718DBB6">
        <w:rPr>
          <w:rFonts w:ascii="Arial" w:hAnsi="Arial" w:cs="Arial"/>
          <w:i/>
          <w:iCs/>
          <w:sz w:val="22"/>
          <w:szCs w:val="22"/>
        </w:rPr>
        <w:t xml:space="preserve"> </w:t>
      </w:r>
      <w:r w:rsidRPr="2718DBB6">
        <w:rPr>
          <w:rFonts w:ascii="Arial" w:hAnsi="Arial" w:cs="Arial"/>
          <w:i/>
          <w:iCs/>
          <w:sz w:val="22"/>
          <w:szCs w:val="22"/>
        </w:rPr>
        <w:t>Economics</w:t>
      </w:r>
      <w:r w:rsidRPr="00575AB5">
        <w:rPr>
          <w:rFonts w:ascii="Arial" w:hAnsi="Arial" w:cs="Arial"/>
          <w:sz w:val="22"/>
          <w:szCs w:val="22"/>
        </w:rPr>
        <w:t>,25(1),</w:t>
      </w:r>
      <w:r w:rsidR="09CAEF44" w:rsidRPr="45E8769D">
        <w:rPr>
          <w:rFonts w:ascii="Arial" w:hAnsi="Arial" w:cs="Arial"/>
          <w:sz w:val="22"/>
          <w:szCs w:val="22"/>
        </w:rPr>
        <w:t xml:space="preserve"> </w:t>
      </w:r>
      <w:r w:rsidRPr="00575AB5">
        <w:rPr>
          <w:rFonts w:ascii="Arial" w:hAnsi="Arial" w:cs="Arial"/>
          <w:sz w:val="22"/>
          <w:szCs w:val="22"/>
        </w:rPr>
        <w:t>pp.774–782. doi:10.1080/13696998.2022.2080437.</w:t>
      </w:r>
    </w:p>
    <w:p w14:paraId="51B3795F" w14:textId="05566710"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Cox, E., Wade, R., Hodgson, R., Fulbright, H., Phung, T.H., Meader, N., Walker, S., Rothery, C. and Simmonds, M. (2023)</w:t>
      </w:r>
      <w:r w:rsidR="00C328AD">
        <w:rPr>
          <w:rFonts w:ascii="Arial" w:hAnsi="Arial" w:cs="Arial"/>
          <w:sz w:val="22"/>
          <w:szCs w:val="22"/>
        </w:rPr>
        <w:t>’</w:t>
      </w:r>
      <w:r w:rsidRPr="00575AB5">
        <w:rPr>
          <w:rFonts w:ascii="Arial" w:hAnsi="Arial" w:cs="Arial"/>
          <w:sz w:val="22"/>
          <w:szCs w:val="22"/>
        </w:rPr>
        <w:t>Devices for remote continuous monitoring of people with Parkinson’s disease: A systematic review and cost-effectiveness analysis</w:t>
      </w:r>
      <w:r w:rsidR="00B159E3">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Health Technology Assessment</w:t>
      </w:r>
      <w:r w:rsidRPr="00575AB5">
        <w:rPr>
          <w:rFonts w:ascii="Arial" w:hAnsi="Arial" w:cs="Arial"/>
          <w:sz w:val="22"/>
          <w:szCs w:val="22"/>
        </w:rPr>
        <w:t>, [online] 28(30), pp.1–187. doi:10.3310/ydsl3294.</w:t>
      </w:r>
    </w:p>
    <w:p w14:paraId="6D440D12" w14:textId="77777777"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 xml:space="preserve">Cox, E., Wade, R., Hodgson, R., Fulbright, H., Phung, T.H., Meader, N., Walker, S., Rothery, C. and Simmonds, M. (2024). </w:t>
      </w:r>
      <w:r w:rsidRPr="00575AB5">
        <w:rPr>
          <w:rFonts w:ascii="Arial" w:hAnsi="Arial" w:cs="Arial"/>
          <w:i/>
          <w:iCs/>
          <w:sz w:val="22"/>
          <w:szCs w:val="22"/>
        </w:rPr>
        <w:t>Assessment of existing cost-effectiveness evidence</w:t>
      </w:r>
      <w:r w:rsidRPr="00575AB5">
        <w:rPr>
          <w:rFonts w:ascii="Arial" w:hAnsi="Arial" w:cs="Arial"/>
          <w:sz w:val="22"/>
          <w:szCs w:val="22"/>
        </w:rPr>
        <w:t>. [online] ncbibooks. Available at: https://www.ncbi.nlm.nih.gov/books/NBK605975/ [Accessed 15 Sept. 2026].</w:t>
      </w:r>
    </w:p>
    <w:p w14:paraId="66B66A64" w14:textId="3B8513E0"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De Angel, V., Lewis, S., White, K., Oetzmann, C., Leightley, D., Oprea, E., Lavelle, G., Matcham, F., Pace, A., Mohr, D.C., Dobson, R. and Hotopf, M. (2022)</w:t>
      </w:r>
      <w:r w:rsidR="00DA0A16">
        <w:rPr>
          <w:rFonts w:ascii="Arial" w:hAnsi="Arial" w:cs="Arial"/>
          <w:sz w:val="22"/>
          <w:szCs w:val="22"/>
        </w:rPr>
        <w:t>’</w:t>
      </w:r>
      <w:r w:rsidRPr="00575AB5">
        <w:rPr>
          <w:rFonts w:ascii="Arial" w:hAnsi="Arial" w:cs="Arial"/>
          <w:sz w:val="22"/>
          <w:szCs w:val="22"/>
        </w:rPr>
        <w:t xml:space="preserve"> Digital Health Tools for the passive monitoring of depression: A systematic review of </w:t>
      </w:r>
      <w:r w:rsidR="00E42FE7" w:rsidRPr="00575AB5">
        <w:rPr>
          <w:rFonts w:ascii="Arial" w:hAnsi="Arial" w:cs="Arial"/>
          <w:sz w:val="22"/>
          <w:szCs w:val="22"/>
        </w:rPr>
        <w:t>methods</w:t>
      </w:r>
      <w:r w:rsidR="00E42FE7">
        <w:rPr>
          <w:rFonts w:ascii="Arial" w:hAnsi="Arial" w:cs="Arial"/>
          <w:sz w:val="22"/>
          <w:szCs w:val="22"/>
        </w:rPr>
        <w:t>,</w:t>
      </w:r>
      <w:r w:rsidR="00E42FE7" w:rsidRPr="00575AB5">
        <w:rPr>
          <w:rFonts w:ascii="Arial" w:hAnsi="Arial" w:cs="Arial"/>
          <w:i/>
          <w:iCs/>
          <w:sz w:val="22"/>
          <w:szCs w:val="22"/>
        </w:rPr>
        <w:t xml:space="preserve"> </w:t>
      </w:r>
      <w:r w:rsidR="00591083">
        <w:rPr>
          <w:rFonts w:ascii="Arial" w:hAnsi="Arial" w:cs="Arial"/>
          <w:i/>
          <w:iCs/>
          <w:sz w:val="22"/>
          <w:szCs w:val="22"/>
        </w:rPr>
        <w:t>‘</w:t>
      </w:r>
      <w:r w:rsidR="00E42FE7" w:rsidRPr="00575AB5">
        <w:rPr>
          <w:rFonts w:ascii="Arial" w:hAnsi="Arial" w:cs="Arial"/>
          <w:i/>
          <w:iCs/>
          <w:sz w:val="22"/>
          <w:szCs w:val="22"/>
        </w:rPr>
        <w:t>npj</w:t>
      </w:r>
      <w:r w:rsidRPr="00575AB5">
        <w:rPr>
          <w:rFonts w:ascii="Arial" w:hAnsi="Arial" w:cs="Arial"/>
          <w:i/>
          <w:iCs/>
          <w:sz w:val="22"/>
          <w:szCs w:val="22"/>
        </w:rPr>
        <w:t xml:space="preserve"> Digital </w:t>
      </w:r>
      <w:r w:rsidR="000D7D8F" w:rsidRPr="00575AB5">
        <w:rPr>
          <w:rFonts w:ascii="Arial" w:hAnsi="Arial" w:cs="Arial"/>
          <w:i/>
          <w:iCs/>
          <w:sz w:val="22"/>
          <w:szCs w:val="22"/>
        </w:rPr>
        <w:t>Medicine</w:t>
      </w:r>
      <w:r w:rsidR="000D7D8F" w:rsidRPr="00575AB5">
        <w:rPr>
          <w:rFonts w:ascii="Arial" w:hAnsi="Arial" w:cs="Arial"/>
          <w:sz w:val="22"/>
          <w:szCs w:val="22"/>
        </w:rPr>
        <w:t>, 5</w:t>
      </w:r>
      <w:r w:rsidR="000D7D8F">
        <w:rPr>
          <w:rFonts w:ascii="Arial" w:hAnsi="Arial" w:cs="Arial"/>
          <w:sz w:val="22"/>
          <w:szCs w:val="22"/>
        </w:rPr>
        <w:t>, article</w:t>
      </w:r>
      <w:r w:rsidR="00733D18">
        <w:rPr>
          <w:rFonts w:ascii="Arial" w:hAnsi="Arial" w:cs="Arial"/>
          <w:sz w:val="22"/>
          <w:szCs w:val="22"/>
        </w:rPr>
        <w:t xml:space="preserve"> 3</w:t>
      </w:r>
      <w:r w:rsidR="009677EF">
        <w:rPr>
          <w:rFonts w:ascii="Arial" w:hAnsi="Arial" w:cs="Arial"/>
          <w:sz w:val="22"/>
          <w:szCs w:val="22"/>
        </w:rPr>
        <w:t>,</w:t>
      </w:r>
      <w:r w:rsidRPr="00575AB5">
        <w:rPr>
          <w:rFonts w:ascii="Arial" w:hAnsi="Arial" w:cs="Arial"/>
          <w:sz w:val="22"/>
          <w:szCs w:val="22"/>
        </w:rPr>
        <w:t xml:space="preserve"> pp.1–14. doi:10.1038/s41746-021-00548-8.</w:t>
      </w:r>
    </w:p>
    <w:p w14:paraId="7F1C6C18" w14:textId="627CE476"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lastRenderedPageBreak/>
        <w:t>El-Masri, S., Malpas, C.B., Evans, A. and Walterfang, M. (2022)</w:t>
      </w:r>
      <w:r w:rsidR="00B52097">
        <w:rPr>
          <w:rFonts w:ascii="Arial" w:hAnsi="Arial" w:cs="Arial"/>
          <w:sz w:val="22"/>
          <w:szCs w:val="22"/>
        </w:rPr>
        <w:t>’</w:t>
      </w:r>
      <w:r w:rsidRPr="00575AB5">
        <w:rPr>
          <w:rFonts w:ascii="Arial" w:hAnsi="Arial" w:cs="Arial"/>
          <w:sz w:val="22"/>
          <w:szCs w:val="22"/>
        </w:rPr>
        <w:t xml:space="preserve"> Clinical correlates of movement disorders in adult </w:t>
      </w:r>
      <w:r w:rsidR="00B05E5C">
        <w:rPr>
          <w:rFonts w:ascii="Arial" w:hAnsi="Arial" w:cs="Arial"/>
          <w:sz w:val="22"/>
          <w:szCs w:val="22"/>
        </w:rPr>
        <w:t>N</w:t>
      </w:r>
      <w:r w:rsidRPr="00575AB5">
        <w:rPr>
          <w:rFonts w:ascii="Arial" w:hAnsi="Arial" w:cs="Arial"/>
          <w:sz w:val="22"/>
          <w:szCs w:val="22"/>
        </w:rPr>
        <w:t xml:space="preserve">iemann-pick type C patients measured via a personal </w:t>
      </w:r>
      <w:r w:rsidR="005506E4" w:rsidRPr="00575AB5">
        <w:rPr>
          <w:rFonts w:ascii="Arial" w:hAnsi="Arial" w:cs="Arial"/>
          <w:sz w:val="22"/>
          <w:szCs w:val="22"/>
        </w:rPr>
        <w:t>KinetiGraph</w:t>
      </w:r>
      <w:r w:rsidR="005506E4">
        <w:rPr>
          <w:rFonts w:ascii="Arial" w:hAnsi="Arial" w:cs="Arial"/>
          <w:sz w:val="22"/>
          <w:szCs w:val="22"/>
        </w:rPr>
        <w:t>’,</w:t>
      </w:r>
      <w:r w:rsidR="005506E4" w:rsidRPr="00575AB5">
        <w:rPr>
          <w:rFonts w:ascii="Arial" w:hAnsi="Arial" w:cs="Arial"/>
          <w:i/>
          <w:iCs/>
          <w:sz w:val="22"/>
          <w:szCs w:val="22"/>
        </w:rPr>
        <w:t xml:space="preserve"> Neurological</w:t>
      </w:r>
      <w:r w:rsidRPr="00575AB5">
        <w:rPr>
          <w:rFonts w:ascii="Arial" w:hAnsi="Arial" w:cs="Arial"/>
          <w:i/>
          <w:iCs/>
          <w:sz w:val="22"/>
          <w:szCs w:val="22"/>
        </w:rPr>
        <w:t xml:space="preserve"> Sciences</w:t>
      </w:r>
      <w:r w:rsidRPr="00575AB5">
        <w:rPr>
          <w:rFonts w:ascii="Arial" w:hAnsi="Arial" w:cs="Arial"/>
          <w:sz w:val="22"/>
          <w:szCs w:val="22"/>
        </w:rPr>
        <w:t>, 43(11), pp.6339–6347. doi:10.1007/s10072-022-06308-0.</w:t>
      </w:r>
    </w:p>
    <w:p w14:paraId="006BD8E5" w14:textId="3EE64D04"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 xml:space="preserve">Howe, N., Mutepfa, C.C., Pretorius, S., Suklan, J., Ali, A., Ponzo, A., Walker, </w:t>
      </w:r>
      <w:r w:rsidR="00CA797D" w:rsidRPr="00575AB5">
        <w:rPr>
          <w:rFonts w:ascii="Arial" w:hAnsi="Arial" w:cs="Arial"/>
          <w:sz w:val="22"/>
          <w:szCs w:val="22"/>
        </w:rPr>
        <w:t>P.,</w:t>
      </w:r>
      <w:r w:rsidRPr="00575AB5">
        <w:rPr>
          <w:rFonts w:ascii="Arial" w:hAnsi="Arial" w:cs="Arial"/>
          <w:sz w:val="22"/>
          <w:szCs w:val="22"/>
        </w:rPr>
        <w:t xml:space="preserve"> and Carroll, C. (2026) </w:t>
      </w:r>
      <w:r w:rsidR="00E751B9">
        <w:rPr>
          <w:rFonts w:ascii="Arial" w:hAnsi="Arial" w:cs="Arial"/>
          <w:sz w:val="22"/>
          <w:szCs w:val="22"/>
        </w:rPr>
        <w:t>‘</w:t>
      </w:r>
      <w:r w:rsidRPr="00575AB5">
        <w:rPr>
          <w:rFonts w:ascii="Arial" w:hAnsi="Arial" w:cs="Arial"/>
          <w:sz w:val="22"/>
          <w:szCs w:val="22"/>
        </w:rPr>
        <w:t xml:space="preserve">Transformation of </w:t>
      </w:r>
      <w:r w:rsidR="00591083" w:rsidRPr="00575AB5">
        <w:rPr>
          <w:rFonts w:ascii="Arial" w:hAnsi="Arial" w:cs="Arial"/>
          <w:sz w:val="22"/>
          <w:szCs w:val="22"/>
        </w:rPr>
        <w:t>Parkinson’s</w:t>
      </w:r>
      <w:r w:rsidRPr="00575AB5">
        <w:rPr>
          <w:rFonts w:ascii="Arial" w:hAnsi="Arial" w:cs="Arial"/>
          <w:sz w:val="22"/>
          <w:szCs w:val="22"/>
        </w:rPr>
        <w:t xml:space="preserve"> care through SMART-PD (self-management, remote </w:t>
      </w:r>
      <w:r w:rsidR="00CA797D" w:rsidRPr="00575AB5">
        <w:rPr>
          <w:rFonts w:ascii="Arial" w:hAnsi="Arial" w:cs="Arial"/>
          <w:sz w:val="22"/>
          <w:szCs w:val="22"/>
        </w:rPr>
        <w:t>monitoring,</w:t>
      </w:r>
      <w:r w:rsidRPr="00575AB5">
        <w:rPr>
          <w:rFonts w:ascii="Arial" w:hAnsi="Arial" w:cs="Arial"/>
          <w:sz w:val="22"/>
          <w:szCs w:val="22"/>
        </w:rPr>
        <w:t xml:space="preserve"> and timely review for </w:t>
      </w:r>
      <w:r w:rsidR="00591083" w:rsidRPr="00575AB5">
        <w:rPr>
          <w:rFonts w:ascii="Arial" w:hAnsi="Arial" w:cs="Arial"/>
          <w:sz w:val="22"/>
          <w:szCs w:val="22"/>
        </w:rPr>
        <w:t>Parkinson’s</w:t>
      </w:r>
      <w:r w:rsidRPr="00575AB5">
        <w:rPr>
          <w:rFonts w:ascii="Arial" w:hAnsi="Arial" w:cs="Arial"/>
          <w:sz w:val="22"/>
          <w:szCs w:val="22"/>
        </w:rPr>
        <w:t xml:space="preserve"> disease): Care pathway mapping with clinical experts</w:t>
      </w:r>
      <w:r w:rsidR="00AC6899">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Journal of Parkinson’s Disease</w:t>
      </w:r>
      <w:r w:rsidRPr="00575AB5">
        <w:rPr>
          <w:rFonts w:ascii="Arial" w:hAnsi="Arial" w:cs="Arial"/>
          <w:sz w:val="22"/>
          <w:szCs w:val="22"/>
        </w:rPr>
        <w:t>, 16(4), pp.752–768. doi:10.1177/1877718x261440705.</w:t>
      </w:r>
    </w:p>
    <w:p w14:paraId="446C8C8D" w14:textId="4C05BBEA"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Lang, T., McLean, I., Shin, J., Jackson, V., Lawrenson, I., Zipper, B., Yeung, A., Evans, A. and Dewson, G. (2025)</w:t>
      </w:r>
      <w:r w:rsidR="001C6051">
        <w:rPr>
          <w:rFonts w:ascii="Arial" w:hAnsi="Arial" w:cs="Arial"/>
          <w:sz w:val="22"/>
          <w:szCs w:val="22"/>
        </w:rPr>
        <w:t>’</w:t>
      </w:r>
      <w:r w:rsidRPr="00575AB5">
        <w:rPr>
          <w:rFonts w:ascii="Arial" w:hAnsi="Arial" w:cs="Arial"/>
          <w:sz w:val="22"/>
          <w:szCs w:val="22"/>
        </w:rPr>
        <w:t xml:space="preserve"> The diagnostic pathway of </w:t>
      </w:r>
      <w:r w:rsidR="00591083" w:rsidRPr="00575AB5">
        <w:rPr>
          <w:rFonts w:ascii="Arial" w:hAnsi="Arial" w:cs="Arial"/>
          <w:sz w:val="22"/>
          <w:szCs w:val="22"/>
        </w:rPr>
        <w:t>Parkinson’s</w:t>
      </w:r>
      <w:r w:rsidRPr="00575AB5">
        <w:rPr>
          <w:rFonts w:ascii="Arial" w:hAnsi="Arial" w:cs="Arial"/>
          <w:sz w:val="22"/>
          <w:szCs w:val="22"/>
        </w:rPr>
        <w:t xml:space="preserve"> disease: Understanding patient perspectives in Australia</w:t>
      </w:r>
      <w:r w:rsidR="001C6051">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npj Parkinson s Disease</w:t>
      </w:r>
      <w:r w:rsidRPr="00575AB5">
        <w:rPr>
          <w:rFonts w:ascii="Arial" w:hAnsi="Arial" w:cs="Arial"/>
          <w:sz w:val="22"/>
          <w:szCs w:val="22"/>
        </w:rPr>
        <w:t>, [online] 11(1). doi:10.1038/s41531-025-00968-3.</w:t>
      </w:r>
    </w:p>
    <w:p w14:paraId="1358E261" w14:textId="01E718C6"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Metta, V., Ibrahim, H., Almazrouei, S., Benamer, H.T.S., Loney, T., Kukle, P., Goyal, V., Mridula, R., Chung-Faye, G., Octavia, M., Tanjung, G., Hussain, H., Nalarakettil, A., Borgohain, R., Dhamija, R.K. and Chaudhuri, K.R. (2026)</w:t>
      </w:r>
      <w:r w:rsidR="001E5F88">
        <w:rPr>
          <w:rFonts w:ascii="Arial" w:hAnsi="Arial" w:cs="Arial"/>
          <w:sz w:val="22"/>
          <w:szCs w:val="22"/>
        </w:rPr>
        <w:t>’</w:t>
      </w:r>
      <w:r w:rsidRPr="00575AB5">
        <w:rPr>
          <w:rFonts w:ascii="Arial" w:hAnsi="Arial" w:cs="Arial"/>
          <w:sz w:val="22"/>
          <w:szCs w:val="22"/>
        </w:rPr>
        <w:t xml:space="preserve">Clinical efficacy, cost-effectiveness, and caregiver satisfaction in clinical practice compared to Standard Care: 12-Month longitudinal analysis of the application of </w:t>
      </w:r>
      <w:r w:rsidR="005015AB">
        <w:rPr>
          <w:rFonts w:ascii="Arial" w:hAnsi="Arial" w:cs="Arial"/>
          <w:sz w:val="22"/>
          <w:szCs w:val="22"/>
        </w:rPr>
        <w:t>P</w:t>
      </w:r>
      <w:r w:rsidRPr="00575AB5">
        <w:rPr>
          <w:rFonts w:ascii="Arial" w:hAnsi="Arial" w:cs="Arial"/>
          <w:sz w:val="22"/>
          <w:szCs w:val="22"/>
        </w:rPr>
        <w:t>arkinson’s KinetiGraph</w:t>
      </w:r>
      <w:r w:rsidR="001C31A2">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Clinical and Translational Neuroscience</w:t>
      </w:r>
      <w:r w:rsidRPr="00575AB5">
        <w:rPr>
          <w:rFonts w:ascii="Arial" w:hAnsi="Arial" w:cs="Arial"/>
          <w:sz w:val="22"/>
          <w:szCs w:val="22"/>
        </w:rPr>
        <w:t>, 10(1), p.6. doi:10.3390/ctn10010006.</w:t>
      </w:r>
    </w:p>
    <w:p w14:paraId="6F8C7A23" w14:textId="2D5CFD2E" w:rsidR="00DF2912" w:rsidRPr="00575AB5" w:rsidRDefault="00DF2912" w:rsidP="006F25BA">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Mishali, M., Sheffer, N. and Negev, M. (2025)</w:t>
      </w:r>
      <w:r w:rsidR="001C6051">
        <w:rPr>
          <w:rFonts w:ascii="Arial" w:hAnsi="Arial" w:cs="Arial"/>
          <w:sz w:val="22"/>
          <w:szCs w:val="22"/>
        </w:rPr>
        <w:t>’</w:t>
      </w:r>
      <w:r w:rsidRPr="00575AB5">
        <w:rPr>
          <w:rFonts w:ascii="Arial" w:hAnsi="Arial" w:cs="Arial"/>
          <w:sz w:val="22"/>
          <w:szCs w:val="22"/>
        </w:rPr>
        <w:t xml:space="preserve">Challenges and dynamics in reporting medical device incidents: A qualitative study. </w:t>
      </w:r>
      <w:r w:rsidRPr="00575AB5">
        <w:rPr>
          <w:rFonts w:ascii="Arial" w:hAnsi="Arial" w:cs="Arial"/>
          <w:i/>
          <w:iCs/>
          <w:sz w:val="22"/>
          <w:szCs w:val="22"/>
        </w:rPr>
        <w:t>Frontiers in Health Services</w:t>
      </w:r>
      <w:r w:rsidR="00F3072D">
        <w:rPr>
          <w:rFonts w:ascii="Arial" w:hAnsi="Arial" w:cs="Arial"/>
          <w:sz w:val="22"/>
          <w:szCs w:val="22"/>
        </w:rPr>
        <w:t>,’</w:t>
      </w:r>
      <w:r w:rsidRPr="00575AB5">
        <w:rPr>
          <w:rFonts w:ascii="Arial" w:hAnsi="Arial" w:cs="Arial"/>
          <w:sz w:val="22"/>
          <w:szCs w:val="22"/>
        </w:rPr>
        <w:t xml:space="preserve"> [online] 5. doi:10.3389/frhs.2025.1720494.</w:t>
      </w:r>
    </w:p>
    <w:p w14:paraId="7B3686CC" w14:textId="72C1D876"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Narkhede, M.R., Wankhede, N.I. and Kamble, A.M. (2025)</w:t>
      </w:r>
      <w:r w:rsidR="00614610">
        <w:rPr>
          <w:rFonts w:ascii="Arial" w:hAnsi="Arial" w:cs="Arial"/>
          <w:sz w:val="22"/>
          <w:szCs w:val="22"/>
        </w:rPr>
        <w:t>’</w:t>
      </w:r>
      <w:r w:rsidRPr="00575AB5">
        <w:rPr>
          <w:rFonts w:ascii="Arial" w:hAnsi="Arial" w:cs="Arial"/>
          <w:sz w:val="22"/>
          <w:szCs w:val="22"/>
        </w:rPr>
        <w:t xml:space="preserve"> Enhancing patient autonomy in data ownership: Privacy models and consent frameworks for healthcare</w:t>
      </w:r>
      <w:r w:rsidR="00614610">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Journal of Digital Health</w:t>
      </w:r>
      <w:r w:rsidRPr="00575AB5">
        <w:rPr>
          <w:rFonts w:ascii="Arial" w:hAnsi="Arial" w:cs="Arial"/>
          <w:sz w:val="22"/>
          <w:szCs w:val="22"/>
        </w:rPr>
        <w:t>, [online] 4(1), pp.1–23. doi:10.55976/jdh.4202513361-23.</w:t>
      </w:r>
    </w:p>
    <w:p w14:paraId="75DE4A80" w14:textId="77777777"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 xml:space="preserve">National Institute for Health and Care Excellence (NICE) (2023) </w:t>
      </w:r>
      <w:r w:rsidRPr="00575AB5">
        <w:rPr>
          <w:rStyle w:val="Emphasis"/>
          <w:rFonts w:ascii="Arial" w:hAnsi="Arial" w:cs="Arial"/>
          <w:sz w:val="22"/>
          <w:szCs w:val="22"/>
        </w:rPr>
        <w:t>Devices for remote monitoring of Parkinson’s disease</w:t>
      </w:r>
      <w:r w:rsidRPr="00575AB5">
        <w:rPr>
          <w:rFonts w:ascii="Arial" w:hAnsi="Arial" w:cs="Arial"/>
          <w:sz w:val="22"/>
          <w:szCs w:val="22"/>
        </w:rPr>
        <w:t xml:space="preserve">. HealthTech guidance 657 (HTG657). Available at: </w:t>
      </w:r>
      <w:hyperlink r:id="rId11" w:tgtFrame="_blank" w:history="1">
        <w:r w:rsidRPr="00575AB5">
          <w:rPr>
            <w:rStyle w:val="Hyperlink"/>
            <w:rFonts w:ascii="Arial" w:hAnsi="Arial" w:cs="Arial"/>
            <w:sz w:val="22"/>
            <w:szCs w:val="22"/>
          </w:rPr>
          <w:t>https://www.nice.org.uk/guidance/htg657</w:t>
        </w:r>
      </w:hyperlink>
    </w:p>
    <w:p w14:paraId="6BDCFD38" w14:textId="01E695F4"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Read, J., Frost, R., Walters, K., Tuijt, R., Manthorpe, J., Maydon, B., Pigott, J., Schrag, A. and Davies, N. (2022)</w:t>
      </w:r>
      <w:r w:rsidR="004D7586">
        <w:rPr>
          <w:rFonts w:ascii="Arial" w:hAnsi="Arial" w:cs="Arial"/>
          <w:sz w:val="22"/>
          <w:szCs w:val="22"/>
        </w:rPr>
        <w:t>’</w:t>
      </w:r>
      <w:r w:rsidRPr="00575AB5">
        <w:rPr>
          <w:rFonts w:ascii="Arial" w:hAnsi="Arial" w:cs="Arial"/>
          <w:sz w:val="22"/>
          <w:szCs w:val="22"/>
        </w:rPr>
        <w:t xml:space="preserve"> Transitions and challenges for people with Parkinson’s and their family </w:t>
      </w:r>
      <w:r w:rsidRPr="00575AB5">
        <w:rPr>
          <w:rFonts w:ascii="Arial" w:hAnsi="Arial" w:cs="Arial"/>
          <w:sz w:val="22"/>
          <w:szCs w:val="22"/>
        </w:rPr>
        <w:lastRenderedPageBreak/>
        <w:t>members: A qualitative stud</w:t>
      </w:r>
      <w:r w:rsidR="004D7586">
        <w:rPr>
          <w:rFonts w:ascii="Arial" w:hAnsi="Arial" w:cs="Arial"/>
          <w:sz w:val="22"/>
          <w:szCs w:val="22"/>
        </w:rPr>
        <w:t>y</w:t>
      </w:r>
      <w:r w:rsidR="002D6053">
        <w:rPr>
          <w:rFonts w:ascii="Arial" w:hAnsi="Arial" w:cs="Arial"/>
          <w:sz w:val="22"/>
          <w:szCs w:val="22"/>
        </w:rPr>
        <w:t>’,</w:t>
      </w:r>
      <w:r w:rsidR="002D6053" w:rsidRPr="00575AB5">
        <w:rPr>
          <w:rFonts w:ascii="Arial" w:hAnsi="Arial" w:cs="Arial"/>
          <w:i/>
          <w:iCs/>
          <w:sz w:val="22"/>
          <w:szCs w:val="22"/>
        </w:rPr>
        <w:t xml:space="preserve"> PLOS</w:t>
      </w:r>
      <w:r w:rsidRPr="00575AB5">
        <w:rPr>
          <w:rFonts w:ascii="Arial" w:hAnsi="Arial" w:cs="Arial"/>
          <w:i/>
          <w:iCs/>
          <w:sz w:val="22"/>
          <w:szCs w:val="22"/>
        </w:rPr>
        <w:t xml:space="preserve"> ONE</w:t>
      </w:r>
      <w:r w:rsidRPr="00575AB5">
        <w:rPr>
          <w:rFonts w:ascii="Arial" w:hAnsi="Arial" w:cs="Arial"/>
          <w:sz w:val="22"/>
          <w:szCs w:val="22"/>
        </w:rPr>
        <w:t>, [online] 17(7), p.e0268588. doi:</w:t>
      </w:r>
      <w:r w:rsidR="7927FB0D" w:rsidRPr="00575AB5">
        <w:rPr>
          <w:rFonts w:ascii="Arial" w:hAnsi="Arial" w:cs="Arial"/>
          <w:sz w:val="22"/>
          <w:szCs w:val="22"/>
        </w:rPr>
        <w:t xml:space="preserve"> </w:t>
      </w:r>
      <w:r w:rsidRPr="00575AB5">
        <w:rPr>
          <w:rFonts w:ascii="Arial" w:hAnsi="Arial" w:cs="Arial"/>
          <w:sz w:val="22"/>
          <w:szCs w:val="22"/>
        </w:rPr>
        <w:t>10.1371/journal.pone.0268588.</w:t>
      </w:r>
    </w:p>
    <w:p w14:paraId="17EB3CC4" w14:textId="3C9352E3"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 xml:space="preserve">Reidy, C., Papoutsi, C., KC, S., Gudgin, B., Laverty, A.A., Greaves, </w:t>
      </w:r>
      <w:r w:rsidR="00CA797D" w:rsidRPr="00575AB5">
        <w:rPr>
          <w:rFonts w:ascii="Arial" w:hAnsi="Arial" w:cs="Arial"/>
          <w:sz w:val="22"/>
          <w:szCs w:val="22"/>
        </w:rPr>
        <w:t>F.,</w:t>
      </w:r>
      <w:r w:rsidRPr="00575AB5">
        <w:rPr>
          <w:rFonts w:ascii="Arial" w:hAnsi="Arial" w:cs="Arial"/>
          <w:sz w:val="22"/>
          <w:szCs w:val="22"/>
        </w:rPr>
        <w:t xml:space="preserve"> and Powell, J. (2025) </w:t>
      </w:r>
      <w:r w:rsidR="002D6053">
        <w:rPr>
          <w:rFonts w:ascii="Arial" w:hAnsi="Arial" w:cs="Arial"/>
          <w:sz w:val="22"/>
          <w:szCs w:val="22"/>
        </w:rPr>
        <w:t>‘</w:t>
      </w:r>
      <w:r w:rsidRPr="00575AB5">
        <w:rPr>
          <w:rFonts w:ascii="Arial" w:hAnsi="Arial" w:cs="Arial"/>
          <w:sz w:val="22"/>
          <w:szCs w:val="22"/>
        </w:rPr>
        <w:t>Qualitative evaluation of the implementation and national roll-out of the NHS App in England</w:t>
      </w:r>
      <w:r w:rsidR="00C3214F">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BMC Medicine</w:t>
      </w:r>
      <w:r w:rsidRPr="00575AB5">
        <w:rPr>
          <w:rFonts w:ascii="Arial" w:hAnsi="Arial" w:cs="Arial"/>
          <w:sz w:val="22"/>
          <w:szCs w:val="22"/>
        </w:rPr>
        <w:t>, 23(1). doi:10.1186/s12916-024-03842-w.</w:t>
      </w:r>
    </w:p>
    <w:p w14:paraId="3686E293" w14:textId="31C83625"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 xml:space="preserve">Seyed-Mohammad </w:t>
      </w:r>
      <w:r w:rsidR="00F7205E" w:rsidRPr="00575AB5">
        <w:rPr>
          <w:rFonts w:ascii="Arial" w:hAnsi="Arial" w:cs="Arial"/>
          <w:sz w:val="22"/>
          <w:szCs w:val="22"/>
        </w:rPr>
        <w:t>Fereshteh Nejad</w:t>
      </w:r>
      <w:r w:rsidRPr="00575AB5">
        <w:rPr>
          <w:rFonts w:ascii="Arial" w:hAnsi="Arial" w:cs="Arial"/>
          <w:sz w:val="22"/>
          <w:szCs w:val="22"/>
        </w:rPr>
        <w:t xml:space="preserve"> and Johan Lokk (2023). Challenges of teleneurology in the care of complex neurodegenerative disorders: The case of </w:t>
      </w:r>
      <w:r w:rsidR="00FC391B" w:rsidRPr="00575AB5">
        <w:rPr>
          <w:rFonts w:ascii="Arial" w:hAnsi="Arial" w:cs="Arial"/>
          <w:sz w:val="22"/>
          <w:szCs w:val="22"/>
        </w:rPr>
        <w:t>Parkinson’s</w:t>
      </w:r>
      <w:r w:rsidRPr="00575AB5">
        <w:rPr>
          <w:rFonts w:ascii="Arial" w:hAnsi="Arial" w:cs="Arial"/>
          <w:sz w:val="22"/>
          <w:szCs w:val="22"/>
        </w:rPr>
        <w:t xml:space="preserve"> disease with possible solutions. </w:t>
      </w:r>
      <w:r w:rsidRPr="00575AB5">
        <w:rPr>
          <w:rFonts w:ascii="Arial" w:hAnsi="Arial" w:cs="Arial"/>
          <w:i/>
          <w:iCs/>
          <w:sz w:val="22"/>
          <w:szCs w:val="22"/>
        </w:rPr>
        <w:t>Healthcare</w:t>
      </w:r>
      <w:r w:rsidRPr="00575AB5">
        <w:rPr>
          <w:rFonts w:ascii="Arial" w:hAnsi="Arial" w:cs="Arial"/>
          <w:sz w:val="22"/>
          <w:szCs w:val="22"/>
        </w:rPr>
        <w:t>, 11(24), pp.3187–3187. doi:10.3390/healthcare11243187.</w:t>
      </w:r>
    </w:p>
    <w:p w14:paraId="6FAF0428" w14:textId="2956B66C"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Slawomirski, L. and Klazinga, N. (2022)</w:t>
      </w:r>
      <w:r w:rsidR="00846037">
        <w:rPr>
          <w:rFonts w:ascii="Arial" w:hAnsi="Arial" w:cs="Arial"/>
          <w:sz w:val="22"/>
          <w:szCs w:val="22"/>
        </w:rPr>
        <w:t>’</w:t>
      </w:r>
      <w:r w:rsidRPr="00575AB5">
        <w:rPr>
          <w:rFonts w:ascii="Arial" w:hAnsi="Arial" w:cs="Arial"/>
          <w:sz w:val="22"/>
          <w:szCs w:val="22"/>
        </w:rPr>
        <w:t xml:space="preserve">The economics of patient safety. </w:t>
      </w:r>
      <w:r w:rsidRPr="00575AB5">
        <w:rPr>
          <w:rFonts w:ascii="Arial" w:hAnsi="Arial" w:cs="Arial"/>
          <w:i/>
          <w:iCs/>
          <w:sz w:val="22"/>
          <w:szCs w:val="22"/>
        </w:rPr>
        <w:t>OECD Health Working Papers</w:t>
      </w:r>
      <w:r w:rsidR="00DA327C">
        <w:rPr>
          <w:rFonts w:ascii="Arial" w:hAnsi="Arial" w:cs="Arial"/>
          <w:sz w:val="22"/>
          <w:szCs w:val="22"/>
        </w:rPr>
        <w:t>,’</w:t>
      </w:r>
      <w:r w:rsidRPr="00575AB5">
        <w:rPr>
          <w:rFonts w:ascii="Arial" w:hAnsi="Arial" w:cs="Arial"/>
          <w:sz w:val="22"/>
          <w:szCs w:val="22"/>
        </w:rPr>
        <w:t xml:space="preserve"> 145. doi:10.1787/761f2da8-en.</w:t>
      </w:r>
    </w:p>
    <w:p w14:paraId="283F5BCF" w14:textId="3347DF3A"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Sriram, V., Conard, A.M., Rosenberg, I., Kim, D., Saponas, T.S. and Hall, A.K. (2025)</w:t>
      </w:r>
      <w:r w:rsidR="00A71D03">
        <w:rPr>
          <w:rFonts w:ascii="Arial" w:hAnsi="Arial" w:cs="Arial"/>
          <w:sz w:val="22"/>
          <w:szCs w:val="22"/>
        </w:rPr>
        <w:t>’</w:t>
      </w:r>
      <w:r w:rsidRPr="00575AB5">
        <w:rPr>
          <w:rFonts w:ascii="Arial" w:hAnsi="Arial" w:cs="Arial"/>
          <w:sz w:val="22"/>
          <w:szCs w:val="22"/>
        </w:rPr>
        <w:t xml:space="preserve"> Addressing biomedical data challenges and opportunities to inform a large-scale data lifecycle for enhanced data sharing, interoperability, analysis, and collaboration across stakeholders</w:t>
      </w:r>
      <w:r w:rsidR="00A71D03">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Scientific Reports</w:t>
      </w:r>
      <w:r w:rsidRPr="00575AB5">
        <w:rPr>
          <w:rFonts w:ascii="Arial" w:hAnsi="Arial" w:cs="Arial"/>
          <w:sz w:val="22"/>
          <w:szCs w:val="22"/>
        </w:rPr>
        <w:t>, [online] 15(1). doi:10.1038/s41598-025-90453-x.</w:t>
      </w:r>
    </w:p>
    <w:p w14:paraId="21B1CF9F" w14:textId="6A5DE4ED"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Vicario, S. and Brookes, N. (2024)</w:t>
      </w:r>
      <w:r w:rsidR="00791C12">
        <w:rPr>
          <w:rFonts w:ascii="Arial" w:hAnsi="Arial" w:cs="Arial"/>
          <w:sz w:val="22"/>
          <w:szCs w:val="22"/>
        </w:rPr>
        <w:t>’</w:t>
      </w:r>
      <w:r w:rsidRPr="00575AB5">
        <w:rPr>
          <w:rFonts w:ascii="Arial" w:hAnsi="Arial" w:cs="Arial"/>
          <w:sz w:val="22"/>
          <w:szCs w:val="22"/>
        </w:rPr>
        <w:t xml:space="preserve">Can workforce innovation contribute to the resilience of the Social Care System in crisis times? Evidence from the UK - </w:t>
      </w:r>
      <w:r w:rsidR="659BCECE" w:rsidRPr="00575AB5">
        <w:rPr>
          <w:rFonts w:ascii="Arial" w:hAnsi="Arial" w:cs="Arial"/>
          <w:sz w:val="22"/>
          <w:szCs w:val="22"/>
        </w:rPr>
        <w:t>Kent</w:t>
      </w:r>
      <w:r w:rsidRPr="00575AB5">
        <w:rPr>
          <w:rFonts w:ascii="Arial" w:hAnsi="Arial" w:cs="Arial"/>
          <w:sz w:val="22"/>
          <w:szCs w:val="22"/>
        </w:rPr>
        <w:t xml:space="preserve"> academic repository</w:t>
      </w:r>
      <w:r w:rsidR="00DA327C">
        <w:rPr>
          <w:rFonts w:ascii="Arial" w:hAnsi="Arial" w:cs="Arial"/>
          <w:sz w:val="22"/>
          <w:szCs w:val="22"/>
        </w:rPr>
        <w:t>,’</w:t>
      </w:r>
      <w:r w:rsidRPr="00575AB5">
        <w:rPr>
          <w:rFonts w:ascii="Arial" w:hAnsi="Arial" w:cs="Arial"/>
          <w:sz w:val="22"/>
          <w:szCs w:val="22"/>
        </w:rPr>
        <w:t xml:space="preserve"> </w:t>
      </w:r>
      <w:r w:rsidRPr="00575AB5">
        <w:rPr>
          <w:rFonts w:ascii="Arial" w:hAnsi="Arial" w:cs="Arial"/>
          <w:i/>
          <w:iCs/>
          <w:sz w:val="22"/>
          <w:szCs w:val="22"/>
        </w:rPr>
        <w:t>Kent.ac.uk</w:t>
      </w:r>
      <w:r w:rsidRPr="00575AB5">
        <w:rPr>
          <w:rFonts w:ascii="Arial" w:hAnsi="Arial" w:cs="Arial"/>
          <w:sz w:val="22"/>
          <w:szCs w:val="22"/>
        </w:rPr>
        <w:t xml:space="preserve">. [online] </w:t>
      </w:r>
      <w:r w:rsidR="00575AB5" w:rsidRPr="00575AB5">
        <w:rPr>
          <w:rFonts w:ascii="Arial" w:hAnsi="Arial" w:cs="Arial"/>
          <w:sz w:val="22"/>
          <w:szCs w:val="22"/>
        </w:rPr>
        <w:t>doi: https://kar.kent.ac.uk/113419/1/ac2024_abstract_book_day1.pdf</w:t>
      </w:r>
      <w:r w:rsidRPr="00575AB5">
        <w:rPr>
          <w:rFonts w:ascii="Arial" w:hAnsi="Arial" w:cs="Arial"/>
          <w:sz w:val="22"/>
          <w:szCs w:val="22"/>
        </w:rPr>
        <w:t>.</w:t>
      </w:r>
    </w:p>
    <w:p w14:paraId="3D76BBD0" w14:textId="6951CE47" w:rsidR="00DF2912" w:rsidRPr="00575AB5" w:rsidRDefault="00DF2912" w:rsidP="00DF2912">
      <w:pPr>
        <w:pStyle w:val="NormalWeb"/>
        <w:spacing w:before="0" w:beforeAutospacing="0" w:after="240" w:afterAutospacing="0" w:line="360" w:lineRule="auto"/>
        <w:ind w:left="720" w:hanging="720"/>
        <w:jc w:val="both"/>
        <w:rPr>
          <w:rFonts w:ascii="Arial" w:hAnsi="Arial" w:cs="Arial"/>
          <w:sz w:val="22"/>
          <w:szCs w:val="22"/>
        </w:rPr>
      </w:pPr>
      <w:r w:rsidRPr="00575AB5">
        <w:rPr>
          <w:rFonts w:ascii="Arial" w:hAnsi="Arial" w:cs="Arial"/>
          <w:sz w:val="22"/>
          <w:szCs w:val="22"/>
        </w:rPr>
        <w:t>Walton, H., Vindrola</w:t>
      </w:r>
      <w:r w:rsidRPr="00575AB5">
        <w:rPr>
          <w:rFonts w:ascii="Cambria Math" w:hAnsi="Cambria Math" w:cs="Cambria Math"/>
          <w:sz w:val="22"/>
          <w:szCs w:val="22"/>
        </w:rPr>
        <w:t>‐</w:t>
      </w:r>
      <w:r w:rsidRPr="00575AB5">
        <w:rPr>
          <w:rFonts w:ascii="Arial" w:hAnsi="Arial" w:cs="Arial"/>
          <w:sz w:val="22"/>
          <w:szCs w:val="22"/>
        </w:rPr>
        <w:t>Padros, C., Crellin, N.E., Sidhu, M.S., Herlitz, L., Litchfield, I., Ellins, J., Ng, P.L., Massou, E., Tomini, S.M. and Fulop, N.J. (2022)</w:t>
      </w:r>
      <w:r w:rsidR="00791C12">
        <w:rPr>
          <w:rFonts w:ascii="Arial" w:hAnsi="Arial" w:cs="Arial"/>
          <w:sz w:val="22"/>
          <w:szCs w:val="22"/>
        </w:rPr>
        <w:t>’</w:t>
      </w:r>
      <w:r w:rsidRPr="00575AB5">
        <w:rPr>
          <w:rFonts w:ascii="Arial" w:hAnsi="Arial" w:cs="Arial"/>
          <w:sz w:val="22"/>
          <w:szCs w:val="22"/>
        </w:rPr>
        <w:t>Patients’ experiences of, and engagement with, remote home monitoring services for COVID</w:t>
      </w:r>
      <w:r w:rsidRPr="00575AB5">
        <w:rPr>
          <w:rFonts w:ascii="Cambria Math" w:hAnsi="Cambria Math" w:cs="Cambria Math"/>
          <w:sz w:val="22"/>
          <w:szCs w:val="22"/>
        </w:rPr>
        <w:t>‐</w:t>
      </w:r>
      <w:r w:rsidRPr="00575AB5">
        <w:rPr>
          <w:rFonts w:ascii="Arial" w:hAnsi="Arial" w:cs="Arial"/>
          <w:sz w:val="22"/>
          <w:szCs w:val="22"/>
        </w:rPr>
        <w:t>19 patients: A rapid mixed</w:t>
      </w:r>
      <w:r w:rsidRPr="00575AB5">
        <w:rPr>
          <w:rFonts w:ascii="Cambria Math" w:hAnsi="Cambria Math" w:cs="Cambria Math"/>
          <w:sz w:val="22"/>
          <w:szCs w:val="22"/>
        </w:rPr>
        <w:t>‐</w:t>
      </w:r>
      <w:r w:rsidRPr="00575AB5">
        <w:rPr>
          <w:rFonts w:ascii="Arial" w:hAnsi="Arial" w:cs="Arial"/>
          <w:sz w:val="22"/>
          <w:szCs w:val="22"/>
        </w:rPr>
        <w:t xml:space="preserve">methods </w:t>
      </w:r>
      <w:r w:rsidR="005711AE" w:rsidRPr="00575AB5">
        <w:rPr>
          <w:rFonts w:ascii="Arial" w:hAnsi="Arial" w:cs="Arial"/>
          <w:sz w:val="22"/>
          <w:szCs w:val="22"/>
        </w:rPr>
        <w:t>study</w:t>
      </w:r>
      <w:r w:rsidR="005711AE">
        <w:rPr>
          <w:rFonts w:ascii="Arial" w:hAnsi="Arial" w:cs="Arial"/>
          <w:sz w:val="22"/>
          <w:szCs w:val="22"/>
        </w:rPr>
        <w:t>’,</w:t>
      </w:r>
      <w:r w:rsidR="005711AE" w:rsidRPr="00575AB5">
        <w:rPr>
          <w:rFonts w:ascii="Arial" w:hAnsi="Arial" w:cs="Arial"/>
          <w:i/>
          <w:iCs/>
          <w:sz w:val="22"/>
          <w:szCs w:val="22"/>
        </w:rPr>
        <w:t xml:space="preserve"> Health</w:t>
      </w:r>
      <w:r w:rsidRPr="00575AB5">
        <w:rPr>
          <w:rFonts w:ascii="Arial" w:hAnsi="Arial" w:cs="Arial"/>
          <w:i/>
          <w:iCs/>
          <w:sz w:val="22"/>
          <w:szCs w:val="22"/>
        </w:rPr>
        <w:t xml:space="preserve"> Expectations</w:t>
      </w:r>
      <w:r w:rsidRPr="00575AB5">
        <w:rPr>
          <w:rFonts w:ascii="Arial" w:hAnsi="Arial" w:cs="Arial"/>
          <w:sz w:val="22"/>
          <w:szCs w:val="22"/>
        </w:rPr>
        <w:t>, 25(5). doi:10.1111/hex.13548.</w:t>
      </w:r>
    </w:p>
    <w:p w14:paraId="0F0FE51F" w14:textId="77777777" w:rsidR="00DF2912" w:rsidRPr="00575AB5" w:rsidRDefault="00DF2912" w:rsidP="00DF2912">
      <w:pPr>
        <w:rPr>
          <w:rFonts w:ascii="Arial" w:hAnsi="Arial" w:cs="Arial"/>
        </w:rPr>
      </w:pPr>
    </w:p>
    <w:sectPr w:rsidR="00DF2912" w:rsidRPr="00575AB5" w:rsidSect="00DF2912">
      <w:headerReference w:type="default" r:id="rId12"/>
      <w:footerReference w:type="default" r:id="rId13"/>
      <w:headerReference w:type="first" r:id="rId14"/>
      <w:foot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384037" w14:textId="77777777" w:rsidR="007C027A" w:rsidRDefault="007C027A" w:rsidP="00DF2912">
      <w:pPr>
        <w:spacing w:after="0" w:line="240" w:lineRule="auto"/>
      </w:pPr>
      <w:r>
        <w:separator/>
      </w:r>
    </w:p>
  </w:endnote>
  <w:endnote w:type="continuationSeparator" w:id="0">
    <w:p w14:paraId="2573F576" w14:textId="77777777" w:rsidR="007C027A" w:rsidRDefault="007C027A" w:rsidP="00DF29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08D9DA6" w14:paraId="606BED1A" w14:textId="77777777" w:rsidTr="208D9DA6">
      <w:trPr>
        <w:trHeight w:val="300"/>
      </w:trPr>
      <w:tc>
        <w:tcPr>
          <w:tcW w:w="3120" w:type="dxa"/>
        </w:tcPr>
        <w:p w14:paraId="2FD14AEC" w14:textId="61C69C08" w:rsidR="208D9DA6" w:rsidRDefault="208D9DA6" w:rsidP="208D9DA6">
          <w:pPr>
            <w:pStyle w:val="Header"/>
            <w:ind w:left="-115"/>
          </w:pPr>
        </w:p>
      </w:tc>
      <w:tc>
        <w:tcPr>
          <w:tcW w:w="3120" w:type="dxa"/>
        </w:tcPr>
        <w:p w14:paraId="61DDFE6D" w14:textId="27B98561" w:rsidR="208D9DA6" w:rsidRDefault="208D9DA6" w:rsidP="208D9DA6">
          <w:pPr>
            <w:pStyle w:val="Header"/>
            <w:jc w:val="center"/>
          </w:pPr>
          <w:r>
            <w:fldChar w:fldCharType="begin"/>
          </w:r>
          <w:r>
            <w:instrText>PAGE</w:instrText>
          </w:r>
          <w:r>
            <w:fldChar w:fldCharType="separate"/>
          </w:r>
          <w:r w:rsidR="00EB166E">
            <w:rPr>
              <w:noProof/>
            </w:rPr>
            <w:t>1</w:t>
          </w:r>
          <w:r>
            <w:fldChar w:fldCharType="end"/>
          </w:r>
        </w:p>
      </w:tc>
      <w:tc>
        <w:tcPr>
          <w:tcW w:w="3120" w:type="dxa"/>
        </w:tcPr>
        <w:p w14:paraId="168428A2" w14:textId="071CD543" w:rsidR="208D9DA6" w:rsidRDefault="208D9DA6" w:rsidP="208D9DA6">
          <w:pPr>
            <w:pStyle w:val="Header"/>
            <w:ind w:right="-115"/>
            <w:jc w:val="right"/>
          </w:pPr>
        </w:p>
      </w:tc>
    </w:tr>
  </w:tbl>
  <w:p w14:paraId="57FCA1D3" w14:textId="1517A963" w:rsidR="208D9DA6" w:rsidRDefault="208D9DA6" w:rsidP="208D9D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08D9DA6" w14:paraId="1FA924A6" w14:textId="77777777" w:rsidTr="208D9DA6">
      <w:trPr>
        <w:trHeight w:val="300"/>
      </w:trPr>
      <w:tc>
        <w:tcPr>
          <w:tcW w:w="3120" w:type="dxa"/>
        </w:tcPr>
        <w:p w14:paraId="3DB8407B" w14:textId="4AB9CB62" w:rsidR="208D9DA6" w:rsidRDefault="208D9DA6" w:rsidP="208D9DA6">
          <w:pPr>
            <w:pStyle w:val="Header"/>
            <w:ind w:left="-115"/>
          </w:pPr>
        </w:p>
      </w:tc>
      <w:tc>
        <w:tcPr>
          <w:tcW w:w="3120" w:type="dxa"/>
        </w:tcPr>
        <w:p w14:paraId="70B274AC" w14:textId="480F3BFC" w:rsidR="208D9DA6" w:rsidRDefault="208D9DA6" w:rsidP="208D9DA6">
          <w:pPr>
            <w:pStyle w:val="Header"/>
            <w:jc w:val="center"/>
          </w:pPr>
        </w:p>
      </w:tc>
      <w:tc>
        <w:tcPr>
          <w:tcW w:w="3120" w:type="dxa"/>
        </w:tcPr>
        <w:p w14:paraId="57111671" w14:textId="1AF43D0C" w:rsidR="208D9DA6" w:rsidRDefault="208D9DA6" w:rsidP="208D9DA6">
          <w:pPr>
            <w:pStyle w:val="Header"/>
            <w:ind w:right="-115"/>
            <w:jc w:val="right"/>
          </w:pPr>
        </w:p>
      </w:tc>
    </w:tr>
  </w:tbl>
  <w:p w14:paraId="643D0E5B" w14:textId="334112C1" w:rsidR="208D9DA6" w:rsidRDefault="208D9DA6" w:rsidP="208D9D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EBD48C" w14:textId="77777777" w:rsidR="007C027A" w:rsidRDefault="007C027A" w:rsidP="00DF2912">
      <w:pPr>
        <w:spacing w:after="0" w:line="240" w:lineRule="auto"/>
      </w:pPr>
      <w:r>
        <w:separator/>
      </w:r>
    </w:p>
  </w:footnote>
  <w:footnote w:type="continuationSeparator" w:id="0">
    <w:p w14:paraId="07BC6684" w14:textId="77777777" w:rsidR="007C027A" w:rsidRDefault="007C027A" w:rsidP="00DF29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08D9DA6" w14:paraId="04C1019A" w14:textId="77777777" w:rsidTr="208D9DA6">
      <w:trPr>
        <w:trHeight w:val="300"/>
      </w:trPr>
      <w:tc>
        <w:tcPr>
          <w:tcW w:w="3120" w:type="dxa"/>
        </w:tcPr>
        <w:p w14:paraId="1B38516C" w14:textId="63957FAF" w:rsidR="208D9DA6" w:rsidRDefault="208D9DA6" w:rsidP="208D9DA6">
          <w:pPr>
            <w:pStyle w:val="Header"/>
            <w:ind w:left="-115"/>
          </w:pPr>
        </w:p>
      </w:tc>
      <w:tc>
        <w:tcPr>
          <w:tcW w:w="3120" w:type="dxa"/>
        </w:tcPr>
        <w:p w14:paraId="35CD93B5" w14:textId="760A9E5E" w:rsidR="208D9DA6" w:rsidRDefault="208D9DA6" w:rsidP="208D9DA6">
          <w:pPr>
            <w:pStyle w:val="Header"/>
            <w:jc w:val="center"/>
          </w:pPr>
        </w:p>
      </w:tc>
      <w:tc>
        <w:tcPr>
          <w:tcW w:w="3120" w:type="dxa"/>
        </w:tcPr>
        <w:p w14:paraId="2F994AB5" w14:textId="2BF55234" w:rsidR="208D9DA6" w:rsidRDefault="208D9DA6" w:rsidP="208D9DA6">
          <w:pPr>
            <w:pStyle w:val="Header"/>
            <w:ind w:right="-115"/>
            <w:jc w:val="right"/>
          </w:pPr>
        </w:p>
      </w:tc>
    </w:tr>
  </w:tbl>
  <w:p w14:paraId="50442801" w14:textId="64D3AB08" w:rsidR="208D9DA6" w:rsidRDefault="208D9DA6" w:rsidP="208D9D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208D9DA6" w14:paraId="10EA5097" w14:textId="77777777" w:rsidTr="208D9DA6">
      <w:trPr>
        <w:trHeight w:val="300"/>
      </w:trPr>
      <w:tc>
        <w:tcPr>
          <w:tcW w:w="3120" w:type="dxa"/>
        </w:tcPr>
        <w:p w14:paraId="07068217" w14:textId="38C145BC" w:rsidR="208D9DA6" w:rsidRDefault="208D9DA6" w:rsidP="208D9DA6">
          <w:pPr>
            <w:pStyle w:val="Header"/>
            <w:ind w:left="-115"/>
          </w:pPr>
        </w:p>
      </w:tc>
      <w:tc>
        <w:tcPr>
          <w:tcW w:w="3120" w:type="dxa"/>
        </w:tcPr>
        <w:p w14:paraId="5220FA41" w14:textId="1B46EB96" w:rsidR="208D9DA6" w:rsidRDefault="208D9DA6" w:rsidP="208D9DA6">
          <w:pPr>
            <w:pStyle w:val="Header"/>
            <w:jc w:val="center"/>
          </w:pPr>
        </w:p>
      </w:tc>
      <w:tc>
        <w:tcPr>
          <w:tcW w:w="3120" w:type="dxa"/>
        </w:tcPr>
        <w:p w14:paraId="03A9DFE8" w14:textId="73F159C0" w:rsidR="208D9DA6" w:rsidRDefault="208D9DA6" w:rsidP="208D9DA6">
          <w:pPr>
            <w:pStyle w:val="Header"/>
            <w:ind w:right="-115"/>
            <w:jc w:val="right"/>
          </w:pPr>
        </w:p>
      </w:tc>
    </w:tr>
  </w:tbl>
  <w:p w14:paraId="624F9CC5" w14:textId="5A353636" w:rsidR="208D9DA6" w:rsidRDefault="208D9DA6" w:rsidP="208D9DA6">
    <w:pPr>
      <w:pStyle w:val="Header"/>
    </w:pPr>
  </w:p>
</w:hdr>
</file>

<file path=word/intelligence2.xml><?xml version="1.0" encoding="utf-8"?>
<int2:intelligence xmlns:int2="http://schemas.microsoft.com/office/intelligence/2020/intelligence" xmlns:oel="http://schemas.microsoft.com/office/2019/extlst">
  <int2:observations>
    <int2:textHash int2:hashCode="HV6SgRLLrQS+Am" int2:id="3dvmJjAG">
      <int2:state int2:value="Rejected" int2:type="spell"/>
    </int2:textHash>
    <int2:textHash int2:hashCode="b6Yu8Tw7Omyvrb" int2:id="40Pa1K0Y">
      <int2:state int2:value="Rejected" int2:type="spell"/>
    </int2:textHash>
    <int2:textHash int2:hashCode="e94jhGmMgMkO26" int2:id="43fp038z">
      <int2:state int2:value="Rejected" int2:type="spell"/>
    </int2:textHash>
    <int2:textHash int2:hashCode="SOVj8UjcBNizHJ" int2:id="4NzzBYsF">
      <int2:state int2:value="Rejected" int2:type="spell"/>
    </int2:textHash>
    <int2:textHash int2:hashCode="wVvGSCOLj879IR" int2:id="6zfw0iFI">
      <int2:state int2:value="Rejected" int2:type="spell"/>
    </int2:textHash>
    <int2:textHash int2:hashCode="pqQFC85eKQUpL3" int2:id="82yiIUqi">
      <int2:state int2:value="Rejected" int2:type="spell"/>
    </int2:textHash>
    <int2:textHash int2:hashCode="fMMfJZXT1o4865" int2:id="8F4iVVss">
      <int2:state int2:value="Rejected" int2:type="spell"/>
    </int2:textHash>
    <int2:textHash int2:hashCode="JDiUwObmPY5TIZ" int2:id="AQ2cewfI">
      <int2:state int2:value="Rejected" int2:type="spell"/>
    </int2:textHash>
    <int2:textHash int2:hashCode="DTTcwT7Vnu94an" int2:id="BUSM98wY">
      <int2:state int2:value="Rejected" int2:type="spell"/>
    </int2:textHash>
    <int2:textHash int2:hashCode="BMR3P8r5Lc8ski" int2:id="BiuCW2DE">
      <int2:state int2:value="Rejected" int2:type="spell"/>
    </int2:textHash>
    <int2:textHash int2:hashCode="RXb1QAUD4TaYEW" int2:id="F50p84uU">
      <int2:state int2:value="Rejected" int2:type="spell"/>
    </int2:textHash>
    <int2:textHash int2:hashCode="4IrqkBl0B+l6jh" int2:id="I0JzFr9I">
      <int2:state int2:value="Rejected" int2:type="spell"/>
    </int2:textHash>
    <int2:textHash int2:hashCode="DjsqGsht0BvLOT" int2:id="KSyHCrZS">
      <int2:state int2:value="Rejected" int2:type="spell"/>
    </int2:textHash>
    <int2:textHash int2:hashCode="pcSm74rFkPFWl3" int2:id="MJoZY0nJ">
      <int2:state int2:value="Rejected" int2:type="spell"/>
    </int2:textHash>
    <int2:textHash int2:hashCode="Vkx9CHuRcYryaw" int2:id="Ma3swtOr">
      <int2:state int2:value="Rejected" int2:type="spell"/>
    </int2:textHash>
    <int2:textHash int2:hashCode="4rE4/2wl/yidAH" int2:id="Rfo62s1r">
      <int2:state int2:value="Rejected" int2:type="spell"/>
    </int2:textHash>
    <int2:textHash int2:hashCode="OCCu8Fk6vwalZd" int2:id="TVuhi2bV">
      <int2:state int2:value="Rejected" int2:type="spell"/>
    </int2:textHash>
    <int2:textHash int2:hashCode="9lJRCFMbSJw9AA" int2:id="X2NlGmTY">
      <int2:state int2:value="Rejected" int2:type="spell"/>
    </int2:textHash>
    <int2:textHash int2:hashCode="Gu21OkrGPqWrCx" int2:id="XxyB6ppN">
      <int2:state int2:value="Rejected" int2:type="spell"/>
    </int2:textHash>
    <int2:textHash int2:hashCode="FtKn7aLYD5fmRa" int2:id="Y1FfP7ts">
      <int2:state int2:value="Rejected" int2:type="spell"/>
    </int2:textHash>
    <int2:textHash int2:hashCode="uqtdUhCyETbDfz" int2:id="bFw0RSho">
      <int2:state int2:value="Rejected" int2:type="spell"/>
    </int2:textHash>
    <int2:textHash int2:hashCode="MFjtsC2replHrO" int2:id="d3PKp5K3">
      <int2:state int2:value="Rejected" int2:type="spell"/>
    </int2:textHash>
    <int2:textHash int2:hashCode="1DBlDwUjrDv12b" int2:id="dAKWBOrn">
      <int2:state int2:value="Rejected" int2:type="spell"/>
    </int2:textHash>
    <int2:textHash int2:hashCode="TeNKSKnNbjizfR" int2:id="fB47IlG3">
      <int2:state int2:value="Rejected" int2:type="spell"/>
    </int2:textHash>
    <int2:textHash int2:hashCode="0HUsX+pPrEF/gL" int2:id="l7wPIgES">
      <int2:state int2:value="Rejected" int2:type="spell"/>
    </int2:textHash>
    <int2:textHash int2:hashCode="Pu8oeXF5Y//zxO" int2:id="m2iBsui8">
      <int2:state int2:value="Rejected" int2:type="spell"/>
    </int2:textHash>
    <int2:textHash int2:hashCode="4RZ7rLtrkLfcW5" int2:id="m4UyBbvE">
      <int2:state int2:value="Rejected" int2:type="spell"/>
    </int2:textHash>
    <int2:textHash int2:hashCode="zAkLjA+z3lTpQa" int2:id="tjMgEA1B">
      <int2:state int2:value="Rejected" int2:type="spell"/>
    </int2:textHash>
    <int2:textHash int2:hashCode="NOZfEEjtT1ovGj" int2:id="wcftGkeP">
      <int2:state int2:value="Rejected" int2:type="spell"/>
    </int2:textHash>
    <int2:textHash int2:hashCode="fOOK/WKQ191FxE" int2:id="wqEAOilQ">
      <int2:state int2:value="Rejected" int2:type="spell"/>
    </int2:textHash>
    <int2:textHash int2:hashCode="Yby+EQ9zLNtGTP" int2:id="xOZSQYiu">
      <int2:state int2:value="Rejected" int2:type="spell"/>
    </int2:textHash>
    <int2:textHash int2:hashCode="qBsd2h4y2BV6S5" int2:id="xmi7T20C">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E1AD0"/>
    <w:multiLevelType w:val="hybridMultilevel"/>
    <w:tmpl w:val="CB94A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B1A7C"/>
    <w:multiLevelType w:val="hybridMultilevel"/>
    <w:tmpl w:val="63809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8566567">
    <w:abstractNumId w:val="0"/>
  </w:num>
  <w:num w:numId="2" w16cid:durableId="15581269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724B"/>
    <w:rsid w:val="00006405"/>
    <w:rsid w:val="0001FC74"/>
    <w:rsid w:val="00034A2A"/>
    <w:rsid w:val="000375AF"/>
    <w:rsid w:val="00060F07"/>
    <w:rsid w:val="000679F3"/>
    <w:rsid w:val="00076A1F"/>
    <w:rsid w:val="00076A8C"/>
    <w:rsid w:val="00086A56"/>
    <w:rsid w:val="000873DC"/>
    <w:rsid w:val="00095A22"/>
    <w:rsid w:val="000A0B4B"/>
    <w:rsid w:val="000A55EE"/>
    <w:rsid w:val="000A7CE8"/>
    <w:rsid w:val="000A7E36"/>
    <w:rsid w:val="000D49A3"/>
    <w:rsid w:val="000D7D8F"/>
    <w:rsid w:val="000E3708"/>
    <w:rsid w:val="000E55FB"/>
    <w:rsid w:val="000F2DE0"/>
    <w:rsid w:val="000F51CA"/>
    <w:rsid w:val="00103DA6"/>
    <w:rsid w:val="00105E1C"/>
    <w:rsid w:val="00106705"/>
    <w:rsid w:val="00111DAE"/>
    <w:rsid w:val="00112F3F"/>
    <w:rsid w:val="00114D02"/>
    <w:rsid w:val="00120CC9"/>
    <w:rsid w:val="00132079"/>
    <w:rsid w:val="0013EF70"/>
    <w:rsid w:val="001549EA"/>
    <w:rsid w:val="00170D88"/>
    <w:rsid w:val="00172AC5"/>
    <w:rsid w:val="001762D9"/>
    <w:rsid w:val="00190BA8"/>
    <w:rsid w:val="001914F7"/>
    <w:rsid w:val="001B2668"/>
    <w:rsid w:val="001C0EA4"/>
    <w:rsid w:val="001C31A2"/>
    <w:rsid w:val="001C5B87"/>
    <w:rsid w:val="001C6051"/>
    <w:rsid w:val="001D4DFC"/>
    <w:rsid w:val="001E5F88"/>
    <w:rsid w:val="00211ADB"/>
    <w:rsid w:val="00217709"/>
    <w:rsid w:val="00220926"/>
    <w:rsid w:val="00221E6B"/>
    <w:rsid w:val="002237ED"/>
    <w:rsid w:val="00231415"/>
    <w:rsid w:val="00233C9B"/>
    <w:rsid w:val="00243E18"/>
    <w:rsid w:val="0024728F"/>
    <w:rsid w:val="002477E9"/>
    <w:rsid w:val="00252545"/>
    <w:rsid w:val="0025542F"/>
    <w:rsid w:val="00265322"/>
    <w:rsid w:val="00271753"/>
    <w:rsid w:val="0027476F"/>
    <w:rsid w:val="00275BF9"/>
    <w:rsid w:val="002920D4"/>
    <w:rsid w:val="002A4F80"/>
    <w:rsid w:val="002A52C4"/>
    <w:rsid w:val="002A68BB"/>
    <w:rsid w:val="002C27D3"/>
    <w:rsid w:val="002C7793"/>
    <w:rsid w:val="002C7A95"/>
    <w:rsid w:val="002D6053"/>
    <w:rsid w:val="002F4A64"/>
    <w:rsid w:val="002F54F1"/>
    <w:rsid w:val="0030481A"/>
    <w:rsid w:val="00304924"/>
    <w:rsid w:val="00305CB3"/>
    <w:rsid w:val="00307D85"/>
    <w:rsid w:val="00327865"/>
    <w:rsid w:val="00332490"/>
    <w:rsid w:val="00334EC9"/>
    <w:rsid w:val="00340B76"/>
    <w:rsid w:val="0034447B"/>
    <w:rsid w:val="003454F3"/>
    <w:rsid w:val="00345E95"/>
    <w:rsid w:val="00351DD8"/>
    <w:rsid w:val="00357947"/>
    <w:rsid w:val="00371FC7"/>
    <w:rsid w:val="003738AD"/>
    <w:rsid w:val="00374425"/>
    <w:rsid w:val="003840C7"/>
    <w:rsid w:val="00387DA3"/>
    <w:rsid w:val="003B6C7E"/>
    <w:rsid w:val="003B700D"/>
    <w:rsid w:val="003E5EBC"/>
    <w:rsid w:val="003E60CE"/>
    <w:rsid w:val="003F6311"/>
    <w:rsid w:val="00400E73"/>
    <w:rsid w:val="00407035"/>
    <w:rsid w:val="00407F11"/>
    <w:rsid w:val="00413F6D"/>
    <w:rsid w:val="00415EEE"/>
    <w:rsid w:val="0041749A"/>
    <w:rsid w:val="00423CB3"/>
    <w:rsid w:val="00424FFD"/>
    <w:rsid w:val="00427B1F"/>
    <w:rsid w:val="004307F9"/>
    <w:rsid w:val="00431554"/>
    <w:rsid w:val="00442E4E"/>
    <w:rsid w:val="00444684"/>
    <w:rsid w:val="00446396"/>
    <w:rsid w:val="00451BAC"/>
    <w:rsid w:val="004521BA"/>
    <w:rsid w:val="0045477F"/>
    <w:rsid w:val="00456A7D"/>
    <w:rsid w:val="00462E98"/>
    <w:rsid w:val="004710D1"/>
    <w:rsid w:val="00473139"/>
    <w:rsid w:val="0048230A"/>
    <w:rsid w:val="00483DA7"/>
    <w:rsid w:val="00485CF2"/>
    <w:rsid w:val="00487945"/>
    <w:rsid w:val="0049040C"/>
    <w:rsid w:val="0049475D"/>
    <w:rsid w:val="004965D6"/>
    <w:rsid w:val="004A2117"/>
    <w:rsid w:val="004A4349"/>
    <w:rsid w:val="004A6D16"/>
    <w:rsid w:val="004B242D"/>
    <w:rsid w:val="004B25AA"/>
    <w:rsid w:val="004B548D"/>
    <w:rsid w:val="004D22B7"/>
    <w:rsid w:val="004D373C"/>
    <w:rsid w:val="004D7586"/>
    <w:rsid w:val="004E5DD4"/>
    <w:rsid w:val="004E782C"/>
    <w:rsid w:val="004E7EFF"/>
    <w:rsid w:val="004F33BE"/>
    <w:rsid w:val="004F6EBC"/>
    <w:rsid w:val="004F7CD5"/>
    <w:rsid w:val="005015AB"/>
    <w:rsid w:val="00507E7B"/>
    <w:rsid w:val="0051223F"/>
    <w:rsid w:val="00513665"/>
    <w:rsid w:val="00526707"/>
    <w:rsid w:val="005309C6"/>
    <w:rsid w:val="00532ADD"/>
    <w:rsid w:val="00537321"/>
    <w:rsid w:val="0054435B"/>
    <w:rsid w:val="005506E4"/>
    <w:rsid w:val="0055137F"/>
    <w:rsid w:val="0055369F"/>
    <w:rsid w:val="00555FB5"/>
    <w:rsid w:val="00556ABD"/>
    <w:rsid w:val="00556C42"/>
    <w:rsid w:val="005602F5"/>
    <w:rsid w:val="00564BC4"/>
    <w:rsid w:val="00570970"/>
    <w:rsid w:val="005711AE"/>
    <w:rsid w:val="00575372"/>
    <w:rsid w:val="00575AB5"/>
    <w:rsid w:val="00575C78"/>
    <w:rsid w:val="00584C0D"/>
    <w:rsid w:val="00585018"/>
    <w:rsid w:val="00591083"/>
    <w:rsid w:val="00596269"/>
    <w:rsid w:val="005A5574"/>
    <w:rsid w:val="005B24FC"/>
    <w:rsid w:val="005C0865"/>
    <w:rsid w:val="005C1D85"/>
    <w:rsid w:val="005C36B3"/>
    <w:rsid w:val="005C396A"/>
    <w:rsid w:val="005C5ED2"/>
    <w:rsid w:val="005C74AB"/>
    <w:rsid w:val="005D1B2D"/>
    <w:rsid w:val="005D1FA5"/>
    <w:rsid w:val="005D75DB"/>
    <w:rsid w:val="005D78F4"/>
    <w:rsid w:val="005E2C7F"/>
    <w:rsid w:val="005E3EC8"/>
    <w:rsid w:val="005E5046"/>
    <w:rsid w:val="005F7697"/>
    <w:rsid w:val="005F7C6E"/>
    <w:rsid w:val="00614610"/>
    <w:rsid w:val="0061466A"/>
    <w:rsid w:val="00620D93"/>
    <w:rsid w:val="00627AB2"/>
    <w:rsid w:val="006324EC"/>
    <w:rsid w:val="00634485"/>
    <w:rsid w:val="006416EB"/>
    <w:rsid w:val="00651869"/>
    <w:rsid w:val="00662607"/>
    <w:rsid w:val="0068330B"/>
    <w:rsid w:val="006849F2"/>
    <w:rsid w:val="0069246E"/>
    <w:rsid w:val="00692F5E"/>
    <w:rsid w:val="006A55A5"/>
    <w:rsid w:val="006B52F3"/>
    <w:rsid w:val="006C2201"/>
    <w:rsid w:val="006C6E4B"/>
    <w:rsid w:val="006D4383"/>
    <w:rsid w:val="006D66B5"/>
    <w:rsid w:val="006D7E4A"/>
    <w:rsid w:val="006E6F6B"/>
    <w:rsid w:val="006E77DC"/>
    <w:rsid w:val="006F006E"/>
    <w:rsid w:val="006F25BA"/>
    <w:rsid w:val="00710C1C"/>
    <w:rsid w:val="00714492"/>
    <w:rsid w:val="00716075"/>
    <w:rsid w:val="0071680A"/>
    <w:rsid w:val="00722A6E"/>
    <w:rsid w:val="007242EC"/>
    <w:rsid w:val="00733D18"/>
    <w:rsid w:val="00735DCA"/>
    <w:rsid w:val="00737803"/>
    <w:rsid w:val="00746926"/>
    <w:rsid w:val="0075631E"/>
    <w:rsid w:val="007569D7"/>
    <w:rsid w:val="00764417"/>
    <w:rsid w:val="00764CF5"/>
    <w:rsid w:val="00777839"/>
    <w:rsid w:val="00777A4B"/>
    <w:rsid w:val="007805E6"/>
    <w:rsid w:val="00781262"/>
    <w:rsid w:val="00791319"/>
    <w:rsid w:val="00791C12"/>
    <w:rsid w:val="0079616F"/>
    <w:rsid w:val="007A0504"/>
    <w:rsid w:val="007A620C"/>
    <w:rsid w:val="007B7FE0"/>
    <w:rsid w:val="007C027A"/>
    <w:rsid w:val="007D21EA"/>
    <w:rsid w:val="007D2567"/>
    <w:rsid w:val="007E4FFF"/>
    <w:rsid w:val="007F223E"/>
    <w:rsid w:val="00800B33"/>
    <w:rsid w:val="008053D1"/>
    <w:rsid w:val="00805E3F"/>
    <w:rsid w:val="00811DFC"/>
    <w:rsid w:val="0081290E"/>
    <w:rsid w:val="008131EA"/>
    <w:rsid w:val="0082151F"/>
    <w:rsid w:val="0082284A"/>
    <w:rsid w:val="00822A2D"/>
    <w:rsid w:val="008236AE"/>
    <w:rsid w:val="00825A5B"/>
    <w:rsid w:val="00830B7E"/>
    <w:rsid w:val="00842315"/>
    <w:rsid w:val="0084278E"/>
    <w:rsid w:val="00846037"/>
    <w:rsid w:val="00855D2F"/>
    <w:rsid w:val="00861273"/>
    <w:rsid w:val="00862F9A"/>
    <w:rsid w:val="00863944"/>
    <w:rsid w:val="00864CAC"/>
    <w:rsid w:val="00871EE8"/>
    <w:rsid w:val="00874572"/>
    <w:rsid w:val="008759F3"/>
    <w:rsid w:val="00883632"/>
    <w:rsid w:val="008913A4"/>
    <w:rsid w:val="0089143E"/>
    <w:rsid w:val="008943E6"/>
    <w:rsid w:val="008A2B37"/>
    <w:rsid w:val="008B20DF"/>
    <w:rsid w:val="008B5C1D"/>
    <w:rsid w:val="008C19B2"/>
    <w:rsid w:val="008C6148"/>
    <w:rsid w:val="008D09A0"/>
    <w:rsid w:val="008D1236"/>
    <w:rsid w:val="008D33F4"/>
    <w:rsid w:val="008D36E3"/>
    <w:rsid w:val="008D74EA"/>
    <w:rsid w:val="008F05B9"/>
    <w:rsid w:val="008F2F3C"/>
    <w:rsid w:val="008F3741"/>
    <w:rsid w:val="008F3C70"/>
    <w:rsid w:val="009014F7"/>
    <w:rsid w:val="00905461"/>
    <w:rsid w:val="009065B4"/>
    <w:rsid w:val="0090684A"/>
    <w:rsid w:val="009153C6"/>
    <w:rsid w:val="00931800"/>
    <w:rsid w:val="00931C05"/>
    <w:rsid w:val="00947463"/>
    <w:rsid w:val="009477E9"/>
    <w:rsid w:val="009522D7"/>
    <w:rsid w:val="00963CFA"/>
    <w:rsid w:val="00965D4A"/>
    <w:rsid w:val="0096631C"/>
    <w:rsid w:val="00966C0C"/>
    <w:rsid w:val="009677EF"/>
    <w:rsid w:val="0097451F"/>
    <w:rsid w:val="00982275"/>
    <w:rsid w:val="00982DED"/>
    <w:rsid w:val="00985EA5"/>
    <w:rsid w:val="009905ED"/>
    <w:rsid w:val="009A524A"/>
    <w:rsid w:val="009A53A8"/>
    <w:rsid w:val="009B09B8"/>
    <w:rsid w:val="009B1218"/>
    <w:rsid w:val="009B1355"/>
    <w:rsid w:val="009C6988"/>
    <w:rsid w:val="009C75DF"/>
    <w:rsid w:val="009F0DFC"/>
    <w:rsid w:val="009F26D6"/>
    <w:rsid w:val="009F763D"/>
    <w:rsid w:val="00A05CFD"/>
    <w:rsid w:val="00A11FB0"/>
    <w:rsid w:val="00A128A0"/>
    <w:rsid w:val="00A1311D"/>
    <w:rsid w:val="00A147DB"/>
    <w:rsid w:val="00A343CF"/>
    <w:rsid w:val="00A363C7"/>
    <w:rsid w:val="00A37F4A"/>
    <w:rsid w:val="00A41D62"/>
    <w:rsid w:val="00A424ED"/>
    <w:rsid w:val="00A47AD1"/>
    <w:rsid w:val="00A54F33"/>
    <w:rsid w:val="00A60D27"/>
    <w:rsid w:val="00A634FC"/>
    <w:rsid w:val="00A71D03"/>
    <w:rsid w:val="00A77CAB"/>
    <w:rsid w:val="00A86FAB"/>
    <w:rsid w:val="00A87DB5"/>
    <w:rsid w:val="00A90A03"/>
    <w:rsid w:val="00A979A1"/>
    <w:rsid w:val="00A97BE0"/>
    <w:rsid w:val="00AA06AB"/>
    <w:rsid w:val="00AA0FC9"/>
    <w:rsid w:val="00AB387F"/>
    <w:rsid w:val="00AB4940"/>
    <w:rsid w:val="00AB6F62"/>
    <w:rsid w:val="00AB728C"/>
    <w:rsid w:val="00AC61A8"/>
    <w:rsid w:val="00AC6899"/>
    <w:rsid w:val="00AC6A2C"/>
    <w:rsid w:val="00AC7540"/>
    <w:rsid w:val="00AD2B7C"/>
    <w:rsid w:val="00AD4565"/>
    <w:rsid w:val="00AE12B9"/>
    <w:rsid w:val="00AE4E43"/>
    <w:rsid w:val="00AF065D"/>
    <w:rsid w:val="00AF724B"/>
    <w:rsid w:val="00B02A00"/>
    <w:rsid w:val="00B05E5C"/>
    <w:rsid w:val="00B07E5F"/>
    <w:rsid w:val="00B159E3"/>
    <w:rsid w:val="00B164CB"/>
    <w:rsid w:val="00B17CEE"/>
    <w:rsid w:val="00B26886"/>
    <w:rsid w:val="00B2778B"/>
    <w:rsid w:val="00B40D95"/>
    <w:rsid w:val="00B502B8"/>
    <w:rsid w:val="00B52097"/>
    <w:rsid w:val="00B617B0"/>
    <w:rsid w:val="00B6216A"/>
    <w:rsid w:val="00B72DEB"/>
    <w:rsid w:val="00B76BC4"/>
    <w:rsid w:val="00B8573C"/>
    <w:rsid w:val="00B863DE"/>
    <w:rsid w:val="00B874F7"/>
    <w:rsid w:val="00B90848"/>
    <w:rsid w:val="00B93AB4"/>
    <w:rsid w:val="00BA2EA5"/>
    <w:rsid w:val="00BB50E2"/>
    <w:rsid w:val="00BB5FEE"/>
    <w:rsid w:val="00BC284E"/>
    <w:rsid w:val="00BC2DF2"/>
    <w:rsid w:val="00BC3036"/>
    <w:rsid w:val="00BE0B59"/>
    <w:rsid w:val="00BF00D8"/>
    <w:rsid w:val="00BF0FAE"/>
    <w:rsid w:val="00C009B2"/>
    <w:rsid w:val="00C0402E"/>
    <w:rsid w:val="00C056D9"/>
    <w:rsid w:val="00C0757A"/>
    <w:rsid w:val="00C20DD0"/>
    <w:rsid w:val="00C2318F"/>
    <w:rsid w:val="00C2537C"/>
    <w:rsid w:val="00C3214F"/>
    <w:rsid w:val="00C328AD"/>
    <w:rsid w:val="00C52059"/>
    <w:rsid w:val="00C57ACE"/>
    <w:rsid w:val="00C60E42"/>
    <w:rsid w:val="00C726B4"/>
    <w:rsid w:val="00C779AF"/>
    <w:rsid w:val="00C81D30"/>
    <w:rsid w:val="00C85931"/>
    <w:rsid w:val="00C869DF"/>
    <w:rsid w:val="00C87160"/>
    <w:rsid w:val="00C8727F"/>
    <w:rsid w:val="00CA797D"/>
    <w:rsid w:val="00CB003E"/>
    <w:rsid w:val="00CB209B"/>
    <w:rsid w:val="00CB296F"/>
    <w:rsid w:val="00CB2C3F"/>
    <w:rsid w:val="00CB35B4"/>
    <w:rsid w:val="00CB762B"/>
    <w:rsid w:val="00CC5A34"/>
    <w:rsid w:val="00CC5CB2"/>
    <w:rsid w:val="00CC6169"/>
    <w:rsid w:val="00CD1148"/>
    <w:rsid w:val="00CD4A87"/>
    <w:rsid w:val="00CD57F2"/>
    <w:rsid w:val="00CF434D"/>
    <w:rsid w:val="00CF6AE8"/>
    <w:rsid w:val="00D01972"/>
    <w:rsid w:val="00D11766"/>
    <w:rsid w:val="00D20710"/>
    <w:rsid w:val="00D40A17"/>
    <w:rsid w:val="00D46F23"/>
    <w:rsid w:val="00D51464"/>
    <w:rsid w:val="00D52105"/>
    <w:rsid w:val="00D521EA"/>
    <w:rsid w:val="00D5280E"/>
    <w:rsid w:val="00D5438F"/>
    <w:rsid w:val="00D66414"/>
    <w:rsid w:val="00D82B02"/>
    <w:rsid w:val="00D85110"/>
    <w:rsid w:val="00D9414C"/>
    <w:rsid w:val="00D9597C"/>
    <w:rsid w:val="00DA0A16"/>
    <w:rsid w:val="00DA327C"/>
    <w:rsid w:val="00DB4567"/>
    <w:rsid w:val="00DB4BBA"/>
    <w:rsid w:val="00DB7541"/>
    <w:rsid w:val="00DC3746"/>
    <w:rsid w:val="00DC74C3"/>
    <w:rsid w:val="00DD0760"/>
    <w:rsid w:val="00DD13D2"/>
    <w:rsid w:val="00DD47A1"/>
    <w:rsid w:val="00DD768D"/>
    <w:rsid w:val="00DE0788"/>
    <w:rsid w:val="00DE5981"/>
    <w:rsid w:val="00DE7F92"/>
    <w:rsid w:val="00DF2912"/>
    <w:rsid w:val="00DF3AC8"/>
    <w:rsid w:val="00DF3BDE"/>
    <w:rsid w:val="00E0260B"/>
    <w:rsid w:val="00E05A55"/>
    <w:rsid w:val="00E12312"/>
    <w:rsid w:val="00E12D73"/>
    <w:rsid w:val="00E168D1"/>
    <w:rsid w:val="00E17094"/>
    <w:rsid w:val="00E23DA8"/>
    <w:rsid w:val="00E26910"/>
    <w:rsid w:val="00E36C89"/>
    <w:rsid w:val="00E3A5ED"/>
    <w:rsid w:val="00E41C9F"/>
    <w:rsid w:val="00E423D9"/>
    <w:rsid w:val="00E42FE7"/>
    <w:rsid w:val="00E53E66"/>
    <w:rsid w:val="00E542D0"/>
    <w:rsid w:val="00E632F1"/>
    <w:rsid w:val="00E65DF4"/>
    <w:rsid w:val="00E7388C"/>
    <w:rsid w:val="00E751B9"/>
    <w:rsid w:val="00E820D7"/>
    <w:rsid w:val="00E828F6"/>
    <w:rsid w:val="00EA1B83"/>
    <w:rsid w:val="00EA5EED"/>
    <w:rsid w:val="00EA768C"/>
    <w:rsid w:val="00EB166E"/>
    <w:rsid w:val="00EB1911"/>
    <w:rsid w:val="00EB30AF"/>
    <w:rsid w:val="00EB5A10"/>
    <w:rsid w:val="00EC737F"/>
    <w:rsid w:val="00ED16F8"/>
    <w:rsid w:val="00EE3044"/>
    <w:rsid w:val="00EE5FD2"/>
    <w:rsid w:val="00F04939"/>
    <w:rsid w:val="00F15B3E"/>
    <w:rsid w:val="00F2047D"/>
    <w:rsid w:val="00F206AC"/>
    <w:rsid w:val="00F20F59"/>
    <w:rsid w:val="00F21FF1"/>
    <w:rsid w:val="00F3072D"/>
    <w:rsid w:val="00F32AC0"/>
    <w:rsid w:val="00F33455"/>
    <w:rsid w:val="00F41AC1"/>
    <w:rsid w:val="00F4257E"/>
    <w:rsid w:val="00F42ADD"/>
    <w:rsid w:val="00F43338"/>
    <w:rsid w:val="00F45D18"/>
    <w:rsid w:val="00F52764"/>
    <w:rsid w:val="00F53ACA"/>
    <w:rsid w:val="00F541D4"/>
    <w:rsid w:val="00F5439C"/>
    <w:rsid w:val="00F563E1"/>
    <w:rsid w:val="00F60DF6"/>
    <w:rsid w:val="00F70FD6"/>
    <w:rsid w:val="00F71B6E"/>
    <w:rsid w:val="00F7205E"/>
    <w:rsid w:val="00F73173"/>
    <w:rsid w:val="00F73ED3"/>
    <w:rsid w:val="00F82BF5"/>
    <w:rsid w:val="00F92236"/>
    <w:rsid w:val="00F96476"/>
    <w:rsid w:val="00F96ED5"/>
    <w:rsid w:val="00FA15E7"/>
    <w:rsid w:val="00FA35BC"/>
    <w:rsid w:val="00FA79D7"/>
    <w:rsid w:val="00FB674E"/>
    <w:rsid w:val="00FC0DD2"/>
    <w:rsid w:val="00FC391B"/>
    <w:rsid w:val="00FE40F2"/>
    <w:rsid w:val="00FF06FF"/>
    <w:rsid w:val="0178DA1D"/>
    <w:rsid w:val="0195E712"/>
    <w:rsid w:val="01D1AD54"/>
    <w:rsid w:val="021FF796"/>
    <w:rsid w:val="0298CD1D"/>
    <w:rsid w:val="0438728E"/>
    <w:rsid w:val="0451D947"/>
    <w:rsid w:val="04910AE3"/>
    <w:rsid w:val="04A8A1A9"/>
    <w:rsid w:val="04C896B7"/>
    <w:rsid w:val="04D6413A"/>
    <w:rsid w:val="050F5A62"/>
    <w:rsid w:val="051F19A8"/>
    <w:rsid w:val="05290F55"/>
    <w:rsid w:val="05534EF7"/>
    <w:rsid w:val="056894B0"/>
    <w:rsid w:val="05AA6E43"/>
    <w:rsid w:val="062B08A5"/>
    <w:rsid w:val="06537853"/>
    <w:rsid w:val="06D52A25"/>
    <w:rsid w:val="072027B4"/>
    <w:rsid w:val="0749F011"/>
    <w:rsid w:val="077F9ED6"/>
    <w:rsid w:val="07925E5B"/>
    <w:rsid w:val="07A6F654"/>
    <w:rsid w:val="084E13D2"/>
    <w:rsid w:val="0906B065"/>
    <w:rsid w:val="0998592D"/>
    <w:rsid w:val="09CAEF44"/>
    <w:rsid w:val="09E8FB17"/>
    <w:rsid w:val="0A3D0E85"/>
    <w:rsid w:val="0A7B1736"/>
    <w:rsid w:val="0AB9BB02"/>
    <w:rsid w:val="0B2777D8"/>
    <w:rsid w:val="0B46FF3B"/>
    <w:rsid w:val="0B888F1C"/>
    <w:rsid w:val="0BDBE75E"/>
    <w:rsid w:val="0D09169E"/>
    <w:rsid w:val="0D49349E"/>
    <w:rsid w:val="0DB9847A"/>
    <w:rsid w:val="0DC58763"/>
    <w:rsid w:val="0DEBF3D4"/>
    <w:rsid w:val="0DF8B943"/>
    <w:rsid w:val="0E17F7DE"/>
    <w:rsid w:val="0EEB4869"/>
    <w:rsid w:val="0F8C50CF"/>
    <w:rsid w:val="0FBC6A61"/>
    <w:rsid w:val="0FE748F1"/>
    <w:rsid w:val="0FF371D6"/>
    <w:rsid w:val="100CAF93"/>
    <w:rsid w:val="102D154D"/>
    <w:rsid w:val="10EE5516"/>
    <w:rsid w:val="10FF7354"/>
    <w:rsid w:val="111E8543"/>
    <w:rsid w:val="116776D5"/>
    <w:rsid w:val="12E4B717"/>
    <w:rsid w:val="133169A1"/>
    <w:rsid w:val="13F70FF6"/>
    <w:rsid w:val="13FC1294"/>
    <w:rsid w:val="141EFE15"/>
    <w:rsid w:val="147EEA08"/>
    <w:rsid w:val="1524E259"/>
    <w:rsid w:val="1551217A"/>
    <w:rsid w:val="160E68EC"/>
    <w:rsid w:val="16560275"/>
    <w:rsid w:val="16B94787"/>
    <w:rsid w:val="16F90823"/>
    <w:rsid w:val="179835D6"/>
    <w:rsid w:val="180987FE"/>
    <w:rsid w:val="18F284EE"/>
    <w:rsid w:val="190DC80C"/>
    <w:rsid w:val="19CD00BE"/>
    <w:rsid w:val="19CE7DE0"/>
    <w:rsid w:val="1AC12B25"/>
    <w:rsid w:val="1ACAA926"/>
    <w:rsid w:val="1AF80F0A"/>
    <w:rsid w:val="1B4793FB"/>
    <w:rsid w:val="1BD7FB90"/>
    <w:rsid w:val="1C071249"/>
    <w:rsid w:val="1CAB37C6"/>
    <w:rsid w:val="1CBC035D"/>
    <w:rsid w:val="1CF0CBB2"/>
    <w:rsid w:val="1D67D7EB"/>
    <w:rsid w:val="1D6F4F7F"/>
    <w:rsid w:val="1D8B29C9"/>
    <w:rsid w:val="1DF7BD8C"/>
    <w:rsid w:val="1E1BF024"/>
    <w:rsid w:val="1E85FBD4"/>
    <w:rsid w:val="1EB35EB8"/>
    <w:rsid w:val="1F17BA08"/>
    <w:rsid w:val="1FCB9E10"/>
    <w:rsid w:val="1FFCDD72"/>
    <w:rsid w:val="20160286"/>
    <w:rsid w:val="2024B5D2"/>
    <w:rsid w:val="208D9DA6"/>
    <w:rsid w:val="20A183C0"/>
    <w:rsid w:val="2101780D"/>
    <w:rsid w:val="211F4133"/>
    <w:rsid w:val="2260F92B"/>
    <w:rsid w:val="230C5CFB"/>
    <w:rsid w:val="23BD5D8C"/>
    <w:rsid w:val="24742499"/>
    <w:rsid w:val="2505F1B1"/>
    <w:rsid w:val="25BDFBE6"/>
    <w:rsid w:val="26154C45"/>
    <w:rsid w:val="267942D8"/>
    <w:rsid w:val="2679F16D"/>
    <w:rsid w:val="26890C8E"/>
    <w:rsid w:val="268C0E0D"/>
    <w:rsid w:val="26A9029D"/>
    <w:rsid w:val="26EE9E6E"/>
    <w:rsid w:val="2718DBB6"/>
    <w:rsid w:val="28315F1C"/>
    <w:rsid w:val="2896742A"/>
    <w:rsid w:val="28E3440A"/>
    <w:rsid w:val="291312A4"/>
    <w:rsid w:val="295C58FE"/>
    <w:rsid w:val="29C39048"/>
    <w:rsid w:val="2AB56455"/>
    <w:rsid w:val="2ADFA26D"/>
    <w:rsid w:val="2B3C637F"/>
    <w:rsid w:val="2B3F3AD7"/>
    <w:rsid w:val="2B3FEAC8"/>
    <w:rsid w:val="2B6614F4"/>
    <w:rsid w:val="2B8CEF33"/>
    <w:rsid w:val="2C74020A"/>
    <w:rsid w:val="2E5F784E"/>
    <w:rsid w:val="2EAFEDBD"/>
    <w:rsid w:val="2F22C7B6"/>
    <w:rsid w:val="2F98E7E6"/>
    <w:rsid w:val="300B244F"/>
    <w:rsid w:val="3051FFBF"/>
    <w:rsid w:val="30526C2B"/>
    <w:rsid w:val="30539922"/>
    <w:rsid w:val="30663C94"/>
    <w:rsid w:val="307724C8"/>
    <w:rsid w:val="30B9E0EE"/>
    <w:rsid w:val="30E141A2"/>
    <w:rsid w:val="3129C70F"/>
    <w:rsid w:val="31AD6B30"/>
    <w:rsid w:val="31D32F62"/>
    <w:rsid w:val="32913491"/>
    <w:rsid w:val="33B0331B"/>
    <w:rsid w:val="340A4357"/>
    <w:rsid w:val="34321EEC"/>
    <w:rsid w:val="34B44BC7"/>
    <w:rsid w:val="353DE89B"/>
    <w:rsid w:val="355B475F"/>
    <w:rsid w:val="3577E5EE"/>
    <w:rsid w:val="3625EAC8"/>
    <w:rsid w:val="363CCD1B"/>
    <w:rsid w:val="36B50432"/>
    <w:rsid w:val="36F427F4"/>
    <w:rsid w:val="37565129"/>
    <w:rsid w:val="37F49D93"/>
    <w:rsid w:val="381E365E"/>
    <w:rsid w:val="385EBA5D"/>
    <w:rsid w:val="38923544"/>
    <w:rsid w:val="38994319"/>
    <w:rsid w:val="3911349F"/>
    <w:rsid w:val="3973CBED"/>
    <w:rsid w:val="3974B5F3"/>
    <w:rsid w:val="39F42EE6"/>
    <w:rsid w:val="3A69529C"/>
    <w:rsid w:val="3BE59126"/>
    <w:rsid w:val="3CCCB84E"/>
    <w:rsid w:val="3D3F47D4"/>
    <w:rsid w:val="3D4E018B"/>
    <w:rsid w:val="3E6EBD9C"/>
    <w:rsid w:val="3E74C599"/>
    <w:rsid w:val="3E955C07"/>
    <w:rsid w:val="3EDAACED"/>
    <w:rsid w:val="3F2C0DC4"/>
    <w:rsid w:val="3FC2B2E2"/>
    <w:rsid w:val="3FECF4CE"/>
    <w:rsid w:val="4043F82F"/>
    <w:rsid w:val="40A50F1A"/>
    <w:rsid w:val="40ADB504"/>
    <w:rsid w:val="40CE1AD2"/>
    <w:rsid w:val="413BDBC1"/>
    <w:rsid w:val="41D8148A"/>
    <w:rsid w:val="426EC548"/>
    <w:rsid w:val="42BF4328"/>
    <w:rsid w:val="435293AD"/>
    <w:rsid w:val="43F9637D"/>
    <w:rsid w:val="4414C6A0"/>
    <w:rsid w:val="44BF9236"/>
    <w:rsid w:val="44D323E7"/>
    <w:rsid w:val="45270561"/>
    <w:rsid w:val="456ABA57"/>
    <w:rsid w:val="45797B70"/>
    <w:rsid w:val="459F0AC6"/>
    <w:rsid w:val="45E8769D"/>
    <w:rsid w:val="4646E56B"/>
    <w:rsid w:val="46E051A5"/>
    <w:rsid w:val="46E53EE8"/>
    <w:rsid w:val="47100891"/>
    <w:rsid w:val="47AF14F6"/>
    <w:rsid w:val="47C8EAB1"/>
    <w:rsid w:val="47DC4802"/>
    <w:rsid w:val="4871597E"/>
    <w:rsid w:val="48F26E12"/>
    <w:rsid w:val="496824FE"/>
    <w:rsid w:val="4AA5A15B"/>
    <w:rsid w:val="4B01D53B"/>
    <w:rsid w:val="4B57AAA2"/>
    <w:rsid w:val="4BA01992"/>
    <w:rsid w:val="4C30E2EF"/>
    <w:rsid w:val="4D2755A5"/>
    <w:rsid w:val="4DC0CFB8"/>
    <w:rsid w:val="4DDB67E0"/>
    <w:rsid w:val="4E6811B0"/>
    <w:rsid w:val="4EBE1779"/>
    <w:rsid w:val="4F611309"/>
    <w:rsid w:val="4FF6D5B5"/>
    <w:rsid w:val="501158F1"/>
    <w:rsid w:val="503E5FD3"/>
    <w:rsid w:val="5041A3E8"/>
    <w:rsid w:val="5191EFF3"/>
    <w:rsid w:val="519BEC6F"/>
    <w:rsid w:val="52E5801D"/>
    <w:rsid w:val="53561B55"/>
    <w:rsid w:val="53EFBB36"/>
    <w:rsid w:val="54392B61"/>
    <w:rsid w:val="547B897F"/>
    <w:rsid w:val="54D2F553"/>
    <w:rsid w:val="54ECFBFE"/>
    <w:rsid w:val="557A5589"/>
    <w:rsid w:val="55A0643C"/>
    <w:rsid w:val="5646CD6D"/>
    <w:rsid w:val="5683DA02"/>
    <w:rsid w:val="56EBA238"/>
    <w:rsid w:val="5758D836"/>
    <w:rsid w:val="579E3F33"/>
    <w:rsid w:val="57CDA98D"/>
    <w:rsid w:val="59C818F4"/>
    <w:rsid w:val="59EA4823"/>
    <w:rsid w:val="5A14D18F"/>
    <w:rsid w:val="5A5099D5"/>
    <w:rsid w:val="5B415604"/>
    <w:rsid w:val="5B832A23"/>
    <w:rsid w:val="5C87AD5D"/>
    <w:rsid w:val="5C8B9554"/>
    <w:rsid w:val="5D736907"/>
    <w:rsid w:val="5D8B5F8E"/>
    <w:rsid w:val="5DC5BEF5"/>
    <w:rsid w:val="5DEA7260"/>
    <w:rsid w:val="5DEBE35C"/>
    <w:rsid w:val="5EE52F91"/>
    <w:rsid w:val="5EEFAAF8"/>
    <w:rsid w:val="5EFDF005"/>
    <w:rsid w:val="5F7EE9DD"/>
    <w:rsid w:val="5F8A15EF"/>
    <w:rsid w:val="5FA1A18C"/>
    <w:rsid w:val="610677B5"/>
    <w:rsid w:val="616A46D2"/>
    <w:rsid w:val="6241A093"/>
    <w:rsid w:val="62F6E986"/>
    <w:rsid w:val="6317FC00"/>
    <w:rsid w:val="63330B25"/>
    <w:rsid w:val="645D1695"/>
    <w:rsid w:val="6485B15C"/>
    <w:rsid w:val="649092B1"/>
    <w:rsid w:val="64E2E917"/>
    <w:rsid w:val="659BCECE"/>
    <w:rsid w:val="6604BA5F"/>
    <w:rsid w:val="660FD13D"/>
    <w:rsid w:val="661633B4"/>
    <w:rsid w:val="6641DA18"/>
    <w:rsid w:val="66861CBD"/>
    <w:rsid w:val="679944E5"/>
    <w:rsid w:val="68318B42"/>
    <w:rsid w:val="687D7CBD"/>
    <w:rsid w:val="6899A32B"/>
    <w:rsid w:val="691521A4"/>
    <w:rsid w:val="6921CE3C"/>
    <w:rsid w:val="69831F7C"/>
    <w:rsid w:val="69B1381B"/>
    <w:rsid w:val="6A1E1EF5"/>
    <w:rsid w:val="6A7AF5CE"/>
    <w:rsid w:val="6AB0C7E4"/>
    <w:rsid w:val="6AF074D9"/>
    <w:rsid w:val="6B10CB00"/>
    <w:rsid w:val="6BA4AE24"/>
    <w:rsid w:val="6CD59A94"/>
    <w:rsid w:val="6D226BBA"/>
    <w:rsid w:val="6D4B49D2"/>
    <w:rsid w:val="6DF7B28E"/>
    <w:rsid w:val="6EC2A3F7"/>
    <w:rsid w:val="6EC5A931"/>
    <w:rsid w:val="6F3010D4"/>
    <w:rsid w:val="6F6E8C43"/>
    <w:rsid w:val="6FE9F1FB"/>
    <w:rsid w:val="700018AF"/>
    <w:rsid w:val="7041410C"/>
    <w:rsid w:val="7053ECC4"/>
    <w:rsid w:val="70DF34D0"/>
    <w:rsid w:val="70DF59DB"/>
    <w:rsid w:val="72ED01ED"/>
    <w:rsid w:val="737F6C50"/>
    <w:rsid w:val="7393FF43"/>
    <w:rsid w:val="7394EF40"/>
    <w:rsid w:val="74CB1513"/>
    <w:rsid w:val="752B821A"/>
    <w:rsid w:val="755914E8"/>
    <w:rsid w:val="75A25095"/>
    <w:rsid w:val="75DDC168"/>
    <w:rsid w:val="763D9B2F"/>
    <w:rsid w:val="7651137A"/>
    <w:rsid w:val="765DAAF5"/>
    <w:rsid w:val="767E0F0E"/>
    <w:rsid w:val="77D27C5F"/>
    <w:rsid w:val="78093A62"/>
    <w:rsid w:val="7927FB0D"/>
    <w:rsid w:val="7A9275F1"/>
    <w:rsid w:val="7B6ED19B"/>
    <w:rsid w:val="7C2632B2"/>
    <w:rsid w:val="7C917114"/>
    <w:rsid w:val="7CEEA5FF"/>
    <w:rsid w:val="7D53B522"/>
    <w:rsid w:val="7D9AA376"/>
    <w:rsid w:val="7E2A7406"/>
    <w:rsid w:val="7E33914A"/>
    <w:rsid w:val="7EB9F9AE"/>
    <w:rsid w:val="7F04D7B4"/>
    <w:rsid w:val="7F865966"/>
    <w:rsid w:val="7FEEECE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2A5F0"/>
  <w15:chartTrackingRefBased/>
  <w15:docId w15:val="{51D6F114-09B8-4AFE-8F96-A41ED9B5D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2318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AF724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AF724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F724B"/>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AF724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AF724B"/>
    <w:rPr>
      <w:rFonts w:asciiTheme="majorHAnsi" w:eastAsiaTheme="majorEastAsia" w:hAnsiTheme="majorHAnsi" w:cstheme="majorBidi"/>
      <w:color w:val="1F4D78" w:themeColor="accent1" w:themeShade="7F"/>
      <w:sz w:val="24"/>
      <w:szCs w:val="24"/>
    </w:rPr>
  </w:style>
  <w:style w:type="character" w:customStyle="1" w:styleId="cursor-pointer">
    <w:name w:val="cursor-pointer"/>
    <w:basedOn w:val="DefaultParagraphFont"/>
    <w:rsid w:val="00F2047D"/>
  </w:style>
  <w:style w:type="character" w:styleId="Strong">
    <w:name w:val="Strong"/>
    <w:basedOn w:val="DefaultParagraphFont"/>
    <w:uiPriority w:val="22"/>
    <w:qFormat/>
    <w:rsid w:val="00BC2DF2"/>
    <w:rPr>
      <w:b/>
      <w:bCs/>
    </w:rPr>
  </w:style>
  <w:style w:type="paragraph" w:styleId="Caption">
    <w:name w:val="caption"/>
    <w:basedOn w:val="Normal"/>
    <w:next w:val="Normal"/>
    <w:uiPriority w:val="35"/>
    <w:unhideWhenUsed/>
    <w:qFormat/>
    <w:rsid w:val="00C2318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C2318F"/>
    <w:rPr>
      <w:rFonts w:asciiTheme="majorHAnsi" w:eastAsiaTheme="majorEastAsia" w:hAnsiTheme="majorHAnsi" w:cstheme="majorBidi"/>
      <w:color w:val="2E74B5" w:themeColor="accent1" w:themeShade="BF"/>
      <w:sz w:val="32"/>
      <w:szCs w:val="32"/>
    </w:rPr>
  </w:style>
  <w:style w:type="character" w:styleId="Emphasis">
    <w:name w:val="Emphasis"/>
    <w:basedOn w:val="DefaultParagraphFont"/>
    <w:uiPriority w:val="20"/>
    <w:qFormat/>
    <w:rsid w:val="00DF2912"/>
    <w:rPr>
      <w:i/>
      <w:iCs/>
    </w:rPr>
  </w:style>
  <w:style w:type="character" w:customStyle="1" w:styleId="contents">
    <w:name w:val="contents"/>
    <w:basedOn w:val="DefaultParagraphFont"/>
    <w:rsid w:val="00DF2912"/>
  </w:style>
  <w:style w:type="character" w:styleId="Hyperlink">
    <w:name w:val="Hyperlink"/>
    <w:basedOn w:val="DefaultParagraphFont"/>
    <w:uiPriority w:val="99"/>
    <w:unhideWhenUsed/>
    <w:rsid w:val="00DF2912"/>
    <w:rPr>
      <w:color w:val="0000FF"/>
      <w:u w:val="single"/>
    </w:rPr>
  </w:style>
  <w:style w:type="paragraph" w:styleId="TOCHeading">
    <w:name w:val="TOC Heading"/>
    <w:basedOn w:val="Heading1"/>
    <w:next w:val="Normal"/>
    <w:uiPriority w:val="39"/>
    <w:unhideWhenUsed/>
    <w:qFormat/>
    <w:rsid w:val="00DF2912"/>
    <w:pPr>
      <w:outlineLvl w:val="9"/>
    </w:pPr>
  </w:style>
  <w:style w:type="paragraph" w:styleId="TOC1">
    <w:name w:val="toc 1"/>
    <w:basedOn w:val="Normal"/>
    <w:next w:val="Normal"/>
    <w:autoRedefine/>
    <w:uiPriority w:val="39"/>
    <w:unhideWhenUsed/>
    <w:rsid w:val="00E12D73"/>
    <w:pPr>
      <w:tabs>
        <w:tab w:val="right" w:leader="dot" w:pos="9350"/>
      </w:tabs>
      <w:spacing w:after="100"/>
    </w:pPr>
    <w:rPr>
      <w:rFonts w:ascii="Arial" w:hAnsi="Arial" w:cs="Arial"/>
      <w:b/>
      <w:noProof/>
      <w:sz w:val="32"/>
      <w:szCs w:val="32"/>
    </w:rPr>
  </w:style>
  <w:style w:type="paragraph" w:styleId="TOC2">
    <w:name w:val="toc 2"/>
    <w:basedOn w:val="Normal"/>
    <w:next w:val="Normal"/>
    <w:autoRedefine/>
    <w:uiPriority w:val="39"/>
    <w:unhideWhenUsed/>
    <w:rsid w:val="009A524A"/>
    <w:pPr>
      <w:tabs>
        <w:tab w:val="right" w:leader="dot" w:pos="9350"/>
      </w:tabs>
      <w:spacing w:after="100" w:line="360" w:lineRule="auto"/>
      <w:ind w:left="220"/>
    </w:pPr>
    <w:rPr>
      <w:rFonts w:ascii="Arial" w:hAnsi="Arial" w:cs="Arial"/>
      <w:noProof/>
    </w:rPr>
  </w:style>
  <w:style w:type="paragraph" w:styleId="NoSpacing">
    <w:name w:val="No Spacing"/>
    <w:link w:val="NoSpacingChar"/>
    <w:uiPriority w:val="1"/>
    <w:qFormat/>
    <w:rsid w:val="00DF2912"/>
    <w:pPr>
      <w:spacing w:after="0" w:line="240" w:lineRule="auto"/>
    </w:pPr>
    <w:rPr>
      <w:rFonts w:eastAsiaTheme="minorEastAsia"/>
    </w:rPr>
  </w:style>
  <w:style w:type="character" w:customStyle="1" w:styleId="NoSpacingChar">
    <w:name w:val="No Spacing Char"/>
    <w:basedOn w:val="DefaultParagraphFont"/>
    <w:link w:val="NoSpacing"/>
    <w:uiPriority w:val="1"/>
    <w:rsid w:val="00DF2912"/>
    <w:rPr>
      <w:rFonts w:eastAsiaTheme="minorEastAsia"/>
    </w:rPr>
  </w:style>
  <w:style w:type="paragraph" w:styleId="Title">
    <w:name w:val="Title"/>
    <w:basedOn w:val="Normal"/>
    <w:next w:val="Normal"/>
    <w:link w:val="TitleChar"/>
    <w:uiPriority w:val="10"/>
    <w:qFormat/>
    <w:rsid w:val="00DF29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291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F29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2912"/>
  </w:style>
  <w:style w:type="paragraph" w:styleId="Footer">
    <w:name w:val="footer"/>
    <w:basedOn w:val="Normal"/>
    <w:link w:val="FooterChar"/>
    <w:uiPriority w:val="99"/>
    <w:unhideWhenUsed/>
    <w:rsid w:val="00DF29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2912"/>
  </w:style>
  <w:style w:type="paragraph" w:styleId="ListParagraph">
    <w:name w:val="List Paragraph"/>
    <w:basedOn w:val="Normal"/>
    <w:uiPriority w:val="34"/>
    <w:qFormat/>
    <w:rsid w:val="00B874F7"/>
    <w:pPr>
      <w:ind w:left="720"/>
      <w:contextualSpacing/>
    </w:pPr>
  </w:style>
  <w:style w:type="character" w:styleId="PlaceholderText">
    <w:name w:val="Placeholder Text"/>
    <w:basedOn w:val="DefaultParagraphFont"/>
    <w:uiPriority w:val="99"/>
    <w:semiHidden/>
    <w:rsid w:val="00A37F4A"/>
    <w:rPr>
      <w:color w:val="66666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166460">
      <w:bodyDiv w:val="1"/>
      <w:marLeft w:val="0"/>
      <w:marRight w:val="0"/>
      <w:marTop w:val="0"/>
      <w:marBottom w:val="0"/>
      <w:divBdr>
        <w:top w:val="none" w:sz="0" w:space="0" w:color="auto"/>
        <w:left w:val="none" w:sz="0" w:space="0" w:color="auto"/>
        <w:bottom w:val="none" w:sz="0" w:space="0" w:color="auto"/>
        <w:right w:val="none" w:sz="0" w:space="0" w:color="auto"/>
      </w:divBdr>
      <w:divsChild>
        <w:div w:id="1031957922">
          <w:marLeft w:val="0"/>
          <w:marRight w:val="0"/>
          <w:marTop w:val="0"/>
          <w:marBottom w:val="0"/>
          <w:divBdr>
            <w:top w:val="none" w:sz="0" w:space="0" w:color="auto"/>
            <w:left w:val="none" w:sz="0" w:space="0" w:color="auto"/>
            <w:bottom w:val="none" w:sz="0" w:space="0" w:color="auto"/>
            <w:right w:val="none" w:sz="0" w:space="0" w:color="auto"/>
          </w:divBdr>
          <w:divsChild>
            <w:div w:id="509687463">
              <w:marLeft w:val="0"/>
              <w:marRight w:val="0"/>
              <w:marTop w:val="0"/>
              <w:marBottom w:val="0"/>
              <w:divBdr>
                <w:top w:val="none" w:sz="0" w:space="0" w:color="auto"/>
                <w:left w:val="none" w:sz="0" w:space="0" w:color="auto"/>
                <w:bottom w:val="none" w:sz="0" w:space="0" w:color="auto"/>
                <w:right w:val="none" w:sz="0" w:space="0" w:color="auto"/>
              </w:divBdr>
              <w:divsChild>
                <w:div w:id="479268198">
                  <w:marLeft w:val="0"/>
                  <w:marRight w:val="0"/>
                  <w:marTop w:val="0"/>
                  <w:marBottom w:val="0"/>
                  <w:divBdr>
                    <w:top w:val="none" w:sz="0" w:space="0" w:color="auto"/>
                    <w:left w:val="none" w:sz="0" w:space="0" w:color="auto"/>
                    <w:bottom w:val="none" w:sz="0" w:space="0" w:color="auto"/>
                    <w:right w:val="none" w:sz="0" w:space="0" w:color="auto"/>
                  </w:divBdr>
                  <w:divsChild>
                    <w:div w:id="1010329084">
                      <w:marLeft w:val="0"/>
                      <w:marRight w:val="0"/>
                      <w:marTop w:val="0"/>
                      <w:marBottom w:val="0"/>
                      <w:divBdr>
                        <w:top w:val="none" w:sz="0" w:space="0" w:color="auto"/>
                        <w:left w:val="none" w:sz="0" w:space="0" w:color="auto"/>
                        <w:bottom w:val="none" w:sz="0" w:space="0" w:color="auto"/>
                        <w:right w:val="none" w:sz="0" w:space="0" w:color="auto"/>
                      </w:divBdr>
                      <w:divsChild>
                        <w:div w:id="2105149359">
                          <w:marLeft w:val="0"/>
                          <w:marRight w:val="0"/>
                          <w:marTop w:val="0"/>
                          <w:marBottom w:val="0"/>
                          <w:divBdr>
                            <w:top w:val="none" w:sz="0" w:space="0" w:color="auto"/>
                            <w:left w:val="none" w:sz="0" w:space="0" w:color="auto"/>
                            <w:bottom w:val="none" w:sz="0" w:space="0" w:color="auto"/>
                            <w:right w:val="none" w:sz="0" w:space="0" w:color="auto"/>
                          </w:divBdr>
                          <w:divsChild>
                            <w:div w:id="1959096848">
                              <w:marLeft w:val="0"/>
                              <w:marRight w:val="0"/>
                              <w:marTop w:val="0"/>
                              <w:marBottom w:val="0"/>
                              <w:divBdr>
                                <w:top w:val="none" w:sz="0" w:space="0" w:color="auto"/>
                                <w:left w:val="none" w:sz="0" w:space="0" w:color="auto"/>
                                <w:bottom w:val="none" w:sz="0" w:space="0" w:color="auto"/>
                                <w:right w:val="none" w:sz="0" w:space="0" w:color="auto"/>
                              </w:divBdr>
                              <w:divsChild>
                                <w:div w:id="1273127132">
                                  <w:marLeft w:val="0"/>
                                  <w:marRight w:val="0"/>
                                  <w:marTop w:val="0"/>
                                  <w:marBottom w:val="0"/>
                                  <w:divBdr>
                                    <w:top w:val="none" w:sz="0" w:space="0" w:color="auto"/>
                                    <w:left w:val="none" w:sz="0" w:space="0" w:color="auto"/>
                                    <w:bottom w:val="none" w:sz="0" w:space="0" w:color="auto"/>
                                    <w:right w:val="none" w:sz="0" w:space="0" w:color="auto"/>
                                  </w:divBdr>
                                  <w:divsChild>
                                    <w:div w:id="13279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012330">
      <w:bodyDiv w:val="1"/>
      <w:marLeft w:val="0"/>
      <w:marRight w:val="0"/>
      <w:marTop w:val="0"/>
      <w:marBottom w:val="0"/>
      <w:divBdr>
        <w:top w:val="none" w:sz="0" w:space="0" w:color="auto"/>
        <w:left w:val="none" w:sz="0" w:space="0" w:color="auto"/>
        <w:bottom w:val="none" w:sz="0" w:space="0" w:color="auto"/>
        <w:right w:val="none" w:sz="0" w:space="0" w:color="auto"/>
      </w:divBdr>
      <w:divsChild>
        <w:div w:id="984317134">
          <w:marLeft w:val="0"/>
          <w:marRight w:val="0"/>
          <w:marTop w:val="0"/>
          <w:marBottom w:val="0"/>
          <w:divBdr>
            <w:top w:val="none" w:sz="0" w:space="0" w:color="auto"/>
            <w:left w:val="none" w:sz="0" w:space="0" w:color="auto"/>
            <w:bottom w:val="none" w:sz="0" w:space="0" w:color="auto"/>
            <w:right w:val="none" w:sz="0" w:space="0" w:color="auto"/>
          </w:divBdr>
        </w:div>
      </w:divsChild>
    </w:div>
    <w:div w:id="134371884">
      <w:bodyDiv w:val="1"/>
      <w:marLeft w:val="0"/>
      <w:marRight w:val="0"/>
      <w:marTop w:val="0"/>
      <w:marBottom w:val="0"/>
      <w:divBdr>
        <w:top w:val="none" w:sz="0" w:space="0" w:color="auto"/>
        <w:left w:val="none" w:sz="0" w:space="0" w:color="auto"/>
        <w:bottom w:val="none" w:sz="0" w:space="0" w:color="auto"/>
        <w:right w:val="none" w:sz="0" w:space="0" w:color="auto"/>
      </w:divBdr>
    </w:div>
    <w:div w:id="181555205">
      <w:bodyDiv w:val="1"/>
      <w:marLeft w:val="0"/>
      <w:marRight w:val="0"/>
      <w:marTop w:val="0"/>
      <w:marBottom w:val="0"/>
      <w:divBdr>
        <w:top w:val="none" w:sz="0" w:space="0" w:color="auto"/>
        <w:left w:val="none" w:sz="0" w:space="0" w:color="auto"/>
        <w:bottom w:val="none" w:sz="0" w:space="0" w:color="auto"/>
        <w:right w:val="none" w:sz="0" w:space="0" w:color="auto"/>
      </w:divBdr>
      <w:divsChild>
        <w:div w:id="970137325">
          <w:marLeft w:val="0"/>
          <w:marRight w:val="0"/>
          <w:marTop w:val="0"/>
          <w:marBottom w:val="0"/>
          <w:divBdr>
            <w:top w:val="none" w:sz="0" w:space="0" w:color="auto"/>
            <w:left w:val="none" w:sz="0" w:space="0" w:color="auto"/>
            <w:bottom w:val="none" w:sz="0" w:space="0" w:color="auto"/>
            <w:right w:val="none" w:sz="0" w:space="0" w:color="auto"/>
          </w:divBdr>
          <w:divsChild>
            <w:div w:id="1560241411">
              <w:marLeft w:val="0"/>
              <w:marRight w:val="0"/>
              <w:marTop w:val="0"/>
              <w:marBottom w:val="0"/>
              <w:divBdr>
                <w:top w:val="none" w:sz="0" w:space="0" w:color="auto"/>
                <w:left w:val="none" w:sz="0" w:space="0" w:color="auto"/>
                <w:bottom w:val="none" w:sz="0" w:space="0" w:color="auto"/>
                <w:right w:val="none" w:sz="0" w:space="0" w:color="auto"/>
              </w:divBdr>
              <w:divsChild>
                <w:div w:id="1939632372">
                  <w:marLeft w:val="0"/>
                  <w:marRight w:val="0"/>
                  <w:marTop w:val="0"/>
                  <w:marBottom w:val="0"/>
                  <w:divBdr>
                    <w:top w:val="none" w:sz="0" w:space="0" w:color="auto"/>
                    <w:left w:val="none" w:sz="0" w:space="0" w:color="auto"/>
                    <w:bottom w:val="none" w:sz="0" w:space="0" w:color="auto"/>
                    <w:right w:val="none" w:sz="0" w:space="0" w:color="auto"/>
                  </w:divBdr>
                  <w:divsChild>
                    <w:div w:id="1413964263">
                      <w:marLeft w:val="0"/>
                      <w:marRight w:val="0"/>
                      <w:marTop w:val="0"/>
                      <w:marBottom w:val="0"/>
                      <w:divBdr>
                        <w:top w:val="none" w:sz="0" w:space="0" w:color="auto"/>
                        <w:left w:val="none" w:sz="0" w:space="0" w:color="auto"/>
                        <w:bottom w:val="none" w:sz="0" w:space="0" w:color="auto"/>
                        <w:right w:val="none" w:sz="0" w:space="0" w:color="auto"/>
                      </w:divBdr>
                      <w:divsChild>
                        <w:div w:id="187568652">
                          <w:marLeft w:val="0"/>
                          <w:marRight w:val="0"/>
                          <w:marTop w:val="0"/>
                          <w:marBottom w:val="0"/>
                          <w:divBdr>
                            <w:top w:val="none" w:sz="0" w:space="0" w:color="auto"/>
                            <w:left w:val="none" w:sz="0" w:space="0" w:color="auto"/>
                            <w:bottom w:val="none" w:sz="0" w:space="0" w:color="auto"/>
                            <w:right w:val="none" w:sz="0" w:space="0" w:color="auto"/>
                          </w:divBdr>
                          <w:divsChild>
                            <w:div w:id="2135898970">
                              <w:marLeft w:val="0"/>
                              <w:marRight w:val="0"/>
                              <w:marTop w:val="0"/>
                              <w:marBottom w:val="0"/>
                              <w:divBdr>
                                <w:top w:val="none" w:sz="0" w:space="0" w:color="auto"/>
                                <w:left w:val="none" w:sz="0" w:space="0" w:color="auto"/>
                                <w:bottom w:val="none" w:sz="0" w:space="0" w:color="auto"/>
                                <w:right w:val="none" w:sz="0" w:space="0" w:color="auto"/>
                              </w:divBdr>
                              <w:divsChild>
                                <w:div w:id="765541900">
                                  <w:marLeft w:val="0"/>
                                  <w:marRight w:val="0"/>
                                  <w:marTop w:val="0"/>
                                  <w:marBottom w:val="0"/>
                                  <w:divBdr>
                                    <w:top w:val="none" w:sz="0" w:space="0" w:color="auto"/>
                                    <w:left w:val="none" w:sz="0" w:space="0" w:color="auto"/>
                                    <w:bottom w:val="none" w:sz="0" w:space="0" w:color="auto"/>
                                    <w:right w:val="none" w:sz="0" w:space="0" w:color="auto"/>
                                  </w:divBdr>
                                  <w:divsChild>
                                    <w:div w:id="66539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0309757">
      <w:bodyDiv w:val="1"/>
      <w:marLeft w:val="0"/>
      <w:marRight w:val="0"/>
      <w:marTop w:val="0"/>
      <w:marBottom w:val="0"/>
      <w:divBdr>
        <w:top w:val="none" w:sz="0" w:space="0" w:color="auto"/>
        <w:left w:val="none" w:sz="0" w:space="0" w:color="auto"/>
        <w:bottom w:val="none" w:sz="0" w:space="0" w:color="auto"/>
        <w:right w:val="none" w:sz="0" w:space="0" w:color="auto"/>
      </w:divBdr>
    </w:div>
    <w:div w:id="233855678">
      <w:bodyDiv w:val="1"/>
      <w:marLeft w:val="0"/>
      <w:marRight w:val="0"/>
      <w:marTop w:val="0"/>
      <w:marBottom w:val="0"/>
      <w:divBdr>
        <w:top w:val="none" w:sz="0" w:space="0" w:color="auto"/>
        <w:left w:val="none" w:sz="0" w:space="0" w:color="auto"/>
        <w:bottom w:val="none" w:sz="0" w:space="0" w:color="auto"/>
        <w:right w:val="none" w:sz="0" w:space="0" w:color="auto"/>
      </w:divBdr>
    </w:div>
    <w:div w:id="369576437">
      <w:bodyDiv w:val="1"/>
      <w:marLeft w:val="0"/>
      <w:marRight w:val="0"/>
      <w:marTop w:val="0"/>
      <w:marBottom w:val="0"/>
      <w:divBdr>
        <w:top w:val="none" w:sz="0" w:space="0" w:color="auto"/>
        <w:left w:val="none" w:sz="0" w:space="0" w:color="auto"/>
        <w:bottom w:val="none" w:sz="0" w:space="0" w:color="auto"/>
        <w:right w:val="none" w:sz="0" w:space="0" w:color="auto"/>
      </w:divBdr>
    </w:div>
    <w:div w:id="442726600">
      <w:bodyDiv w:val="1"/>
      <w:marLeft w:val="0"/>
      <w:marRight w:val="0"/>
      <w:marTop w:val="0"/>
      <w:marBottom w:val="0"/>
      <w:divBdr>
        <w:top w:val="none" w:sz="0" w:space="0" w:color="auto"/>
        <w:left w:val="none" w:sz="0" w:space="0" w:color="auto"/>
        <w:bottom w:val="none" w:sz="0" w:space="0" w:color="auto"/>
        <w:right w:val="none" w:sz="0" w:space="0" w:color="auto"/>
      </w:divBdr>
    </w:div>
    <w:div w:id="475806472">
      <w:bodyDiv w:val="1"/>
      <w:marLeft w:val="0"/>
      <w:marRight w:val="0"/>
      <w:marTop w:val="0"/>
      <w:marBottom w:val="0"/>
      <w:divBdr>
        <w:top w:val="none" w:sz="0" w:space="0" w:color="auto"/>
        <w:left w:val="none" w:sz="0" w:space="0" w:color="auto"/>
        <w:bottom w:val="none" w:sz="0" w:space="0" w:color="auto"/>
        <w:right w:val="none" w:sz="0" w:space="0" w:color="auto"/>
      </w:divBdr>
    </w:div>
    <w:div w:id="588658562">
      <w:bodyDiv w:val="1"/>
      <w:marLeft w:val="0"/>
      <w:marRight w:val="0"/>
      <w:marTop w:val="0"/>
      <w:marBottom w:val="0"/>
      <w:divBdr>
        <w:top w:val="none" w:sz="0" w:space="0" w:color="auto"/>
        <w:left w:val="none" w:sz="0" w:space="0" w:color="auto"/>
        <w:bottom w:val="none" w:sz="0" w:space="0" w:color="auto"/>
        <w:right w:val="none" w:sz="0" w:space="0" w:color="auto"/>
      </w:divBdr>
    </w:div>
    <w:div w:id="730496793">
      <w:bodyDiv w:val="1"/>
      <w:marLeft w:val="0"/>
      <w:marRight w:val="0"/>
      <w:marTop w:val="0"/>
      <w:marBottom w:val="0"/>
      <w:divBdr>
        <w:top w:val="none" w:sz="0" w:space="0" w:color="auto"/>
        <w:left w:val="none" w:sz="0" w:space="0" w:color="auto"/>
        <w:bottom w:val="none" w:sz="0" w:space="0" w:color="auto"/>
        <w:right w:val="none" w:sz="0" w:space="0" w:color="auto"/>
      </w:divBdr>
    </w:div>
    <w:div w:id="753356416">
      <w:bodyDiv w:val="1"/>
      <w:marLeft w:val="0"/>
      <w:marRight w:val="0"/>
      <w:marTop w:val="0"/>
      <w:marBottom w:val="0"/>
      <w:divBdr>
        <w:top w:val="none" w:sz="0" w:space="0" w:color="auto"/>
        <w:left w:val="none" w:sz="0" w:space="0" w:color="auto"/>
        <w:bottom w:val="none" w:sz="0" w:space="0" w:color="auto"/>
        <w:right w:val="none" w:sz="0" w:space="0" w:color="auto"/>
      </w:divBdr>
    </w:div>
    <w:div w:id="843010811">
      <w:bodyDiv w:val="1"/>
      <w:marLeft w:val="0"/>
      <w:marRight w:val="0"/>
      <w:marTop w:val="0"/>
      <w:marBottom w:val="0"/>
      <w:divBdr>
        <w:top w:val="none" w:sz="0" w:space="0" w:color="auto"/>
        <w:left w:val="none" w:sz="0" w:space="0" w:color="auto"/>
        <w:bottom w:val="none" w:sz="0" w:space="0" w:color="auto"/>
        <w:right w:val="none" w:sz="0" w:space="0" w:color="auto"/>
      </w:divBdr>
    </w:div>
    <w:div w:id="881481673">
      <w:bodyDiv w:val="1"/>
      <w:marLeft w:val="0"/>
      <w:marRight w:val="0"/>
      <w:marTop w:val="0"/>
      <w:marBottom w:val="0"/>
      <w:divBdr>
        <w:top w:val="none" w:sz="0" w:space="0" w:color="auto"/>
        <w:left w:val="none" w:sz="0" w:space="0" w:color="auto"/>
        <w:bottom w:val="none" w:sz="0" w:space="0" w:color="auto"/>
        <w:right w:val="none" w:sz="0" w:space="0" w:color="auto"/>
      </w:divBdr>
    </w:div>
    <w:div w:id="955677861">
      <w:bodyDiv w:val="1"/>
      <w:marLeft w:val="0"/>
      <w:marRight w:val="0"/>
      <w:marTop w:val="0"/>
      <w:marBottom w:val="0"/>
      <w:divBdr>
        <w:top w:val="none" w:sz="0" w:space="0" w:color="auto"/>
        <w:left w:val="none" w:sz="0" w:space="0" w:color="auto"/>
        <w:bottom w:val="none" w:sz="0" w:space="0" w:color="auto"/>
        <w:right w:val="none" w:sz="0" w:space="0" w:color="auto"/>
      </w:divBdr>
    </w:div>
    <w:div w:id="1029987574">
      <w:bodyDiv w:val="1"/>
      <w:marLeft w:val="0"/>
      <w:marRight w:val="0"/>
      <w:marTop w:val="0"/>
      <w:marBottom w:val="0"/>
      <w:divBdr>
        <w:top w:val="none" w:sz="0" w:space="0" w:color="auto"/>
        <w:left w:val="none" w:sz="0" w:space="0" w:color="auto"/>
        <w:bottom w:val="none" w:sz="0" w:space="0" w:color="auto"/>
        <w:right w:val="none" w:sz="0" w:space="0" w:color="auto"/>
      </w:divBdr>
      <w:divsChild>
        <w:div w:id="829709213">
          <w:marLeft w:val="0"/>
          <w:marRight w:val="0"/>
          <w:marTop w:val="0"/>
          <w:marBottom w:val="0"/>
          <w:divBdr>
            <w:top w:val="none" w:sz="0" w:space="0" w:color="auto"/>
            <w:left w:val="none" w:sz="0" w:space="0" w:color="auto"/>
            <w:bottom w:val="none" w:sz="0" w:space="0" w:color="auto"/>
            <w:right w:val="none" w:sz="0" w:space="0" w:color="auto"/>
          </w:divBdr>
          <w:divsChild>
            <w:div w:id="2030643698">
              <w:marLeft w:val="0"/>
              <w:marRight w:val="0"/>
              <w:marTop w:val="0"/>
              <w:marBottom w:val="0"/>
              <w:divBdr>
                <w:top w:val="none" w:sz="0" w:space="0" w:color="auto"/>
                <w:left w:val="none" w:sz="0" w:space="0" w:color="auto"/>
                <w:bottom w:val="none" w:sz="0" w:space="0" w:color="auto"/>
                <w:right w:val="none" w:sz="0" w:space="0" w:color="auto"/>
              </w:divBdr>
              <w:divsChild>
                <w:div w:id="805977676">
                  <w:marLeft w:val="0"/>
                  <w:marRight w:val="0"/>
                  <w:marTop w:val="0"/>
                  <w:marBottom w:val="0"/>
                  <w:divBdr>
                    <w:top w:val="none" w:sz="0" w:space="0" w:color="auto"/>
                    <w:left w:val="none" w:sz="0" w:space="0" w:color="auto"/>
                    <w:bottom w:val="none" w:sz="0" w:space="0" w:color="auto"/>
                    <w:right w:val="none" w:sz="0" w:space="0" w:color="auto"/>
                  </w:divBdr>
                  <w:divsChild>
                    <w:div w:id="2082094282">
                      <w:marLeft w:val="0"/>
                      <w:marRight w:val="0"/>
                      <w:marTop w:val="0"/>
                      <w:marBottom w:val="0"/>
                      <w:divBdr>
                        <w:top w:val="none" w:sz="0" w:space="0" w:color="auto"/>
                        <w:left w:val="none" w:sz="0" w:space="0" w:color="auto"/>
                        <w:bottom w:val="none" w:sz="0" w:space="0" w:color="auto"/>
                        <w:right w:val="none" w:sz="0" w:space="0" w:color="auto"/>
                      </w:divBdr>
                      <w:divsChild>
                        <w:div w:id="277955675">
                          <w:marLeft w:val="0"/>
                          <w:marRight w:val="0"/>
                          <w:marTop w:val="0"/>
                          <w:marBottom w:val="0"/>
                          <w:divBdr>
                            <w:top w:val="none" w:sz="0" w:space="0" w:color="auto"/>
                            <w:left w:val="none" w:sz="0" w:space="0" w:color="auto"/>
                            <w:bottom w:val="none" w:sz="0" w:space="0" w:color="auto"/>
                            <w:right w:val="none" w:sz="0" w:space="0" w:color="auto"/>
                          </w:divBdr>
                          <w:divsChild>
                            <w:div w:id="2008630407">
                              <w:marLeft w:val="0"/>
                              <w:marRight w:val="0"/>
                              <w:marTop w:val="0"/>
                              <w:marBottom w:val="0"/>
                              <w:divBdr>
                                <w:top w:val="none" w:sz="0" w:space="0" w:color="auto"/>
                                <w:left w:val="none" w:sz="0" w:space="0" w:color="auto"/>
                                <w:bottom w:val="none" w:sz="0" w:space="0" w:color="auto"/>
                                <w:right w:val="none" w:sz="0" w:space="0" w:color="auto"/>
                              </w:divBdr>
                              <w:divsChild>
                                <w:div w:id="58893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8777454">
      <w:bodyDiv w:val="1"/>
      <w:marLeft w:val="0"/>
      <w:marRight w:val="0"/>
      <w:marTop w:val="0"/>
      <w:marBottom w:val="0"/>
      <w:divBdr>
        <w:top w:val="none" w:sz="0" w:space="0" w:color="auto"/>
        <w:left w:val="none" w:sz="0" w:space="0" w:color="auto"/>
        <w:bottom w:val="none" w:sz="0" w:space="0" w:color="auto"/>
        <w:right w:val="none" w:sz="0" w:space="0" w:color="auto"/>
      </w:divBdr>
      <w:divsChild>
        <w:div w:id="1846822488">
          <w:marLeft w:val="0"/>
          <w:marRight w:val="0"/>
          <w:marTop w:val="0"/>
          <w:marBottom w:val="0"/>
          <w:divBdr>
            <w:top w:val="none" w:sz="0" w:space="0" w:color="auto"/>
            <w:left w:val="none" w:sz="0" w:space="0" w:color="auto"/>
            <w:bottom w:val="none" w:sz="0" w:space="0" w:color="auto"/>
            <w:right w:val="none" w:sz="0" w:space="0" w:color="auto"/>
          </w:divBdr>
          <w:divsChild>
            <w:div w:id="1565530927">
              <w:marLeft w:val="0"/>
              <w:marRight w:val="0"/>
              <w:marTop w:val="0"/>
              <w:marBottom w:val="0"/>
              <w:divBdr>
                <w:top w:val="none" w:sz="0" w:space="0" w:color="auto"/>
                <w:left w:val="none" w:sz="0" w:space="0" w:color="auto"/>
                <w:bottom w:val="none" w:sz="0" w:space="0" w:color="auto"/>
                <w:right w:val="none" w:sz="0" w:space="0" w:color="auto"/>
              </w:divBdr>
              <w:divsChild>
                <w:div w:id="398796081">
                  <w:marLeft w:val="0"/>
                  <w:marRight w:val="0"/>
                  <w:marTop w:val="0"/>
                  <w:marBottom w:val="0"/>
                  <w:divBdr>
                    <w:top w:val="none" w:sz="0" w:space="0" w:color="auto"/>
                    <w:left w:val="none" w:sz="0" w:space="0" w:color="auto"/>
                    <w:bottom w:val="none" w:sz="0" w:space="0" w:color="auto"/>
                    <w:right w:val="none" w:sz="0" w:space="0" w:color="auto"/>
                  </w:divBdr>
                  <w:divsChild>
                    <w:div w:id="524289815">
                      <w:marLeft w:val="0"/>
                      <w:marRight w:val="0"/>
                      <w:marTop w:val="0"/>
                      <w:marBottom w:val="0"/>
                      <w:divBdr>
                        <w:top w:val="none" w:sz="0" w:space="0" w:color="auto"/>
                        <w:left w:val="none" w:sz="0" w:space="0" w:color="auto"/>
                        <w:bottom w:val="none" w:sz="0" w:space="0" w:color="auto"/>
                        <w:right w:val="none" w:sz="0" w:space="0" w:color="auto"/>
                      </w:divBdr>
                      <w:divsChild>
                        <w:div w:id="1246576108">
                          <w:marLeft w:val="0"/>
                          <w:marRight w:val="0"/>
                          <w:marTop w:val="0"/>
                          <w:marBottom w:val="0"/>
                          <w:divBdr>
                            <w:top w:val="none" w:sz="0" w:space="0" w:color="auto"/>
                            <w:left w:val="none" w:sz="0" w:space="0" w:color="auto"/>
                            <w:bottom w:val="none" w:sz="0" w:space="0" w:color="auto"/>
                            <w:right w:val="none" w:sz="0" w:space="0" w:color="auto"/>
                          </w:divBdr>
                          <w:divsChild>
                            <w:div w:id="2047411883">
                              <w:marLeft w:val="0"/>
                              <w:marRight w:val="0"/>
                              <w:marTop w:val="0"/>
                              <w:marBottom w:val="0"/>
                              <w:divBdr>
                                <w:top w:val="none" w:sz="0" w:space="0" w:color="auto"/>
                                <w:left w:val="none" w:sz="0" w:space="0" w:color="auto"/>
                                <w:bottom w:val="none" w:sz="0" w:space="0" w:color="auto"/>
                                <w:right w:val="none" w:sz="0" w:space="0" w:color="auto"/>
                              </w:divBdr>
                              <w:divsChild>
                                <w:div w:id="399524795">
                                  <w:marLeft w:val="0"/>
                                  <w:marRight w:val="0"/>
                                  <w:marTop w:val="0"/>
                                  <w:marBottom w:val="0"/>
                                  <w:divBdr>
                                    <w:top w:val="none" w:sz="0" w:space="0" w:color="auto"/>
                                    <w:left w:val="none" w:sz="0" w:space="0" w:color="auto"/>
                                    <w:bottom w:val="none" w:sz="0" w:space="0" w:color="auto"/>
                                    <w:right w:val="none" w:sz="0" w:space="0" w:color="auto"/>
                                  </w:divBdr>
                                  <w:divsChild>
                                    <w:div w:id="119958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0783314">
      <w:bodyDiv w:val="1"/>
      <w:marLeft w:val="0"/>
      <w:marRight w:val="0"/>
      <w:marTop w:val="0"/>
      <w:marBottom w:val="0"/>
      <w:divBdr>
        <w:top w:val="none" w:sz="0" w:space="0" w:color="auto"/>
        <w:left w:val="none" w:sz="0" w:space="0" w:color="auto"/>
        <w:bottom w:val="none" w:sz="0" w:space="0" w:color="auto"/>
        <w:right w:val="none" w:sz="0" w:space="0" w:color="auto"/>
      </w:divBdr>
    </w:div>
    <w:div w:id="1089808313">
      <w:bodyDiv w:val="1"/>
      <w:marLeft w:val="0"/>
      <w:marRight w:val="0"/>
      <w:marTop w:val="0"/>
      <w:marBottom w:val="0"/>
      <w:divBdr>
        <w:top w:val="none" w:sz="0" w:space="0" w:color="auto"/>
        <w:left w:val="none" w:sz="0" w:space="0" w:color="auto"/>
        <w:bottom w:val="none" w:sz="0" w:space="0" w:color="auto"/>
        <w:right w:val="none" w:sz="0" w:space="0" w:color="auto"/>
      </w:divBdr>
    </w:div>
    <w:div w:id="1175270569">
      <w:bodyDiv w:val="1"/>
      <w:marLeft w:val="0"/>
      <w:marRight w:val="0"/>
      <w:marTop w:val="0"/>
      <w:marBottom w:val="0"/>
      <w:divBdr>
        <w:top w:val="none" w:sz="0" w:space="0" w:color="auto"/>
        <w:left w:val="none" w:sz="0" w:space="0" w:color="auto"/>
        <w:bottom w:val="none" w:sz="0" w:space="0" w:color="auto"/>
        <w:right w:val="none" w:sz="0" w:space="0" w:color="auto"/>
      </w:divBdr>
    </w:div>
    <w:div w:id="1177501105">
      <w:bodyDiv w:val="1"/>
      <w:marLeft w:val="0"/>
      <w:marRight w:val="0"/>
      <w:marTop w:val="0"/>
      <w:marBottom w:val="0"/>
      <w:divBdr>
        <w:top w:val="none" w:sz="0" w:space="0" w:color="auto"/>
        <w:left w:val="none" w:sz="0" w:space="0" w:color="auto"/>
        <w:bottom w:val="none" w:sz="0" w:space="0" w:color="auto"/>
        <w:right w:val="none" w:sz="0" w:space="0" w:color="auto"/>
      </w:divBdr>
    </w:div>
    <w:div w:id="1262255795">
      <w:bodyDiv w:val="1"/>
      <w:marLeft w:val="0"/>
      <w:marRight w:val="0"/>
      <w:marTop w:val="0"/>
      <w:marBottom w:val="0"/>
      <w:divBdr>
        <w:top w:val="none" w:sz="0" w:space="0" w:color="auto"/>
        <w:left w:val="none" w:sz="0" w:space="0" w:color="auto"/>
        <w:bottom w:val="none" w:sz="0" w:space="0" w:color="auto"/>
        <w:right w:val="none" w:sz="0" w:space="0" w:color="auto"/>
      </w:divBdr>
    </w:div>
    <w:div w:id="1322932613">
      <w:bodyDiv w:val="1"/>
      <w:marLeft w:val="0"/>
      <w:marRight w:val="0"/>
      <w:marTop w:val="0"/>
      <w:marBottom w:val="0"/>
      <w:divBdr>
        <w:top w:val="none" w:sz="0" w:space="0" w:color="auto"/>
        <w:left w:val="none" w:sz="0" w:space="0" w:color="auto"/>
        <w:bottom w:val="none" w:sz="0" w:space="0" w:color="auto"/>
        <w:right w:val="none" w:sz="0" w:space="0" w:color="auto"/>
      </w:divBdr>
    </w:div>
    <w:div w:id="1347053954">
      <w:bodyDiv w:val="1"/>
      <w:marLeft w:val="0"/>
      <w:marRight w:val="0"/>
      <w:marTop w:val="0"/>
      <w:marBottom w:val="0"/>
      <w:divBdr>
        <w:top w:val="none" w:sz="0" w:space="0" w:color="auto"/>
        <w:left w:val="none" w:sz="0" w:space="0" w:color="auto"/>
        <w:bottom w:val="none" w:sz="0" w:space="0" w:color="auto"/>
        <w:right w:val="none" w:sz="0" w:space="0" w:color="auto"/>
      </w:divBdr>
    </w:div>
    <w:div w:id="1455370516">
      <w:bodyDiv w:val="1"/>
      <w:marLeft w:val="0"/>
      <w:marRight w:val="0"/>
      <w:marTop w:val="0"/>
      <w:marBottom w:val="0"/>
      <w:divBdr>
        <w:top w:val="none" w:sz="0" w:space="0" w:color="auto"/>
        <w:left w:val="none" w:sz="0" w:space="0" w:color="auto"/>
        <w:bottom w:val="none" w:sz="0" w:space="0" w:color="auto"/>
        <w:right w:val="none" w:sz="0" w:space="0" w:color="auto"/>
      </w:divBdr>
    </w:div>
    <w:div w:id="1639530169">
      <w:bodyDiv w:val="1"/>
      <w:marLeft w:val="0"/>
      <w:marRight w:val="0"/>
      <w:marTop w:val="0"/>
      <w:marBottom w:val="0"/>
      <w:divBdr>
        <w:top w:val="none" w:sz="0" w:space="0" w:color="auto"/>
        <w:left w:val="none" w:sz="0" w:space="0" w:color="auto"/>
        <w:bottom w:val="none" w:sz="0" w:space="0" w:color="auto"/>
        <w:right w:val="none" w:sz="0" w:space="0" w:color="auto"/>
      </w:divBdr>
    </w:div>
    <w:div w:id="1671133903">
      <w:bodyDiv w:val="1"/>
      <w:marLeft w:val="0"/>
      <w:marRight w:val="0"/>
      <w:marTop w:val="0"/>
      <w:marBottom w:val="0"/>
      <w:divBdr>
        <w:top w:val="none" w:sz="0" w:space="0" w:color="auto"/>
        <w:left w:val="none" w:sz="0" w:space="0" w:color="auto"/>
        <w:bottom w:val="none" w:sz="0" w:space="0" w:color="auto"/>
        <w:right w:val="none" w:sz="0" w:space="0" w:color="auto"/>
      </w:divBdr>
    </w:div>
    <w:div w:id="1671830972">
      <w:bodyDiv w:val="1"/>
      <w:marLeft w:val="0"/>
      <w:marRight w:val="0"/>
      <w:marTop w:val="0"/>
      <w:marBottom w:val="0"/>
      <w:divBdr>
        <w:top w:val="none" w:sz="0" w:space="0" w:color="auto"/>
        <w:left w:val="none" w:sz="0" w:space="0" w:color="auto"/>
        <w:bottom w:val="none" w:sz="0" w:space="0" w:color="auto"/>
        <w:right w:val="none" w:sz="0" w:space="0" w:color="auto"/>
      </w:divBdr>
    </w:div>
    <w:div w:id="1794984641">
      <w:bodyDiv w:val="1"/>
      <w:marLeft w:val="0"/>
      <w:marRight w:val="0"/>
      <w:marTop w:val="0"/>
      <w:marBottom w:val="0"/>
      <w:divBdr>
        <w:top w:val="none" w:sz="0" w:space="0" w:color="auto"/>
        <w:left w:val="none" w:sz="0" w:space="0" w:color="auto"/>
        <w:bottom w:val="none" w:sz="0" w:space="0" w:color="auto"/>
        <w:right w:val="none" w:sz="0" w:space="0" w:color="auto"/>
      </w:divBdr>
    </w:div>
    <w:div w:id="1923757498">
      <w:bodyDiv w:val="1"/>
      <w:marLeft w:val="0"/>
      <w:marRight w:val="0"/>
      <w:marTop w:val="0"/>
      <w:marBottom w:val="0"/>
      <w:divBdr>
        <w:top w:val="none" w:sz="0" w:space="0" w:color="auto"/>
        <w:left w:val="none" w:sz="0" w:space="0" w:color="auto"/>
        <w:bottom w:val="none" w:sz="0" w:space="0" w:color="auto"/>
        <w:right w:val="none" w:sz="0" w:space="0" w:color="auto"/>
      </w:divBdr>
    </w:div>
    <w:div w:id="1936472662">
      <w:bodyDiv w:val="1"/>
      <w:marLeft w:val="0"/>
      <w:marRight w:val="0"/>
      <w:marTop w:val="0"/>
      <w:marBottom w:val="0"/>
      <w:divBdr>
        <w:top w:val="none" w:sz="0" w:space="0" w:color="auto"/>
        <w:left w:val="none" w:sz="0" w:space="0" w:color="auto"/>
        <w:bottom w:val="none" w:sz="0" w:space="0" w:color="auto"/>
        <w:right w:val="none" w:sz="0" w:space="0" w:color="auto"/>
      </w:divBdr>
    </w:div>
    <w:div w:id="2014140114">
      <w:bodyDiv w:val="1"/>
      <w:marLeft w:val="0"/>
      <w:marRight w:val="0"/>
      <w:marTop w:val="0"/>
      <w:marBottom w:val="0"/>
      <w:divBdr>
        <w:top w:val="none" w:sz="0" w:space="0" w:color="auto"/>
        <w:left w:val="none" w:sz="0" w:space="0" w:color="auto"/>
        <w:bottom w:val="none" w:sz="0" w:space="0" w:color="auto"/>
        <w:right w:val="none" w:sz="0" w:space="0" w:color="auto"/>
      </w:divBdr>
    </w:div>
    <w:div w:id="2067025202">
      <w:bodyDiv w:val="1"/>
      <w:marLeft w:val="0"/>
      <w:marRight w:val="0"/>
      <w:marTop w:val="0"/>
      <w:marBottom w:val="0"/>
      <w:divBdr>
        <w:top w:val="none" w:sz="0" w:space="0" w:color="auto"/>
        <w:left w:val="none" w:sz="0" w:space="0" w:color="auto"/>
        <w:bottom w:val="none" w:sz="0" w:space="0" w:color="auto"/>
        <w:right w:val="none" w:sz="0" w:space="0" w:color="auto"/>
      </w:divBdr>
    </w:div>
    <w:div w:id="2141989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htg657/"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EC8BAA-8BA2-4C44-B247-5B26C6296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13</Pages>
  <Words>3765</Words>
  <Characters>21463</Characters>
  <Application>Microsoft Office Word</Application>
  <DocSecurity>0</DocSecurity>
  <Lines>178</Lines>
  <Paragraphs>50</Paragraphs>
  <ScaleCrop>false</ScaleCrop>
  <Company>MRT www.Win2Farsi.com</Company>
  <LinksUpToDate>false</LinksUpToDate>
  <CharactersWithSpaces>25178</CharactersWithSpaces>
  <SharedDoc>false</SharedDoc>
  <HLinks>
    <vt:vector size="144" baseType="variant">
      <vt:variant>
        <vt:i4>1638402</vt:i4>
      </vt:variant>
      <vt:variant>
        <vt:i4>141</vt:i4>
      </vt:variant>
      <vt:variant>
        <vt:i4>0</vt:i4>
      </vt:variant>
      <vt:variant>
        <vt:i4>5</vt:i4>
      </vt:variant>
      <vt:variant>
        <vt:lpwstr>https://www.nice.org.uk/guidance/htg657/</vt:lpwstr>
      </vt:variant>
      <vt:variant>
        <vt:lpwstr/>
      </vt:variant>
      <vt:variant>
        <vt:i4>1966135</vt:i4>
      </vt:variant>
      <vt:variant>
        <vt:i4>134</vt:i4>
      </vt:variant>
      <vt:variant>
        <vt:i4>0</vt:i4>
      </vt:variant>
      <vt:variant>
        <vt:i4>5</vt:i4>
      </vt:variant>
      <vt:variant>
        <vt:lpwstr/>
      </vt:variant>
      <vt:variant>
        <vt:lpwstr>_Toc240561390</vt:lpwstr>
      </vt:variant>
      <vt:variant>
        <vt:i4>2031671</vt:i4>
      </vt:variant>
      <vt:variant>
        <vt:i4>128</vt:i4>
      </vt:variant>
      <vt:variant>
        <vt:i4>0</vt:i4>
      </vt:variant>
      <vt:variant>
        <vt:i4>5</vt:i4>
      </vt:variant>
      <vt:variant>
        <vt:lpwstr/>
      </vt:variant>
      <vt:variant>
        <vt:lpwstr>_Toc240561389</vt:lpwstr>
      </vt:variant>
      <vt:variant>
        <vt:i4>2031671</vt:i4>
      </vt:variant>
      <vt:variant>
        <vt:i4>122</vt:i4>
      </vt:variant>
      <vt:variant>
        <vt:i4>0</vt:i4>
      </vt:variant>
      <vt:variant>
        <vt:i4>5</vt:i4>
      </vt:variant>
      <vt:variant>
        <vt:lpwstr/>
      </vt:variant>
      <vt:variant>
        <vt:lpwstr>_Toc240561388</vt:lpwstr>
      </vt:variant>
      <vt:variant>
        <vt:i4>2031671</vt:i4>
      </vt:variant>
      <vt:variant>
        <vt:i4>116</vt:i4>
      </vt:variant>
      <vt:variant>
        <vt:i4>0</vt:i4>
      </vt:variant>
      <vt:variant>
        <vt:i4>5</vt:i4>
      </vt:variant>
      <vt:variant>
        <vt:lpwstr/>
      </vt:variant>
      <vt:variant>
        <vt:lpwstr>_Toc240561387</vt:lpwstr>
      </vt:variant>
      <vt:variant>
        <vt:i4>2031671</vt:i4>
      </vt:variant>
      <vt:variant>
        <vt:i4>110</vt:i4>
      </vt:variant>
      <vt:variant>
        <vt:i4>0</vt:i4>
      </vt:variant>
      <vt:variant>
        <vt:i4>5</vt:i4>
      </vt:variant>
      <vt:variant>
        <vt:lpwstr/>
      </vt:variant>
      <vt:variant>
        <vt:lpwstr>_Toc240561386</vt:lpwstr>
      </vt:variant>
      <vt:variant>
        <vt:i4>2031671</vt:i4>
      </vt:variant>
      <vt:variant>
        <vt:i4>104</vt:i4>
      </vt:variant>
      <vt:variant>
        <vt:i4>0</vt:i4>
      </vt:variant>
      <vt:variant>
        <vt:i4>5</vt:i4>
      </vt:variant>
      <vt:variant>
        <vt:lpwstr/>
      </vt:variant>
      <vt:variant>
        <vt:lpwstr>_Toc240561385</vt:lpwstr>
      </vt:variant>
      <vt:variant>
        <vt:i4>2031671</vt:i4>
      </vt:variant>
      <vt:variant>
        <vt:i4>98</vt:i4>
      </vt:variant>
      <vt:variant>
        <vt:i4>0</vt:i4>
      </vt:variant>
      <vt:variant>
        <vt:i4>5</vt:i4>
      </vt:variant>
      <vt:variant>
        <vt:lpwstr/>
      </vt:variant>
      <vt:variant>
        <vt:lpwstr>_Toc240561384</vt:lpwstr>
      </vt:variant>
      <vt:variant>
        <vt:i4>2031671</vt:i4>
      </vt:variant>
      <vt:variant>
        <vt:i4>92</vt:i4>
      </vt:variant>
      <vt:variant>
        <vt:i4>0</vt:i4>
      </vt:variant>
      <vt:variant>
        <vt:i4>5</vt:i4>
      </vt:variant>
      <vt:variant>
        <vt:lpwstr/>
      </vt:variant>
      <vt:variant>
        <vt:lpwstr>_Toc240561383</vt:lpwstr>
      </vt:variant>
      <vt:variant>
        <vt:i4>2031671</vt:i4>
      </vt:variant>
      <vt:variant>
        <vt:i4>86</vt:i4>
      </vt:variant>
      <vt:variant>
        <vt:i4>0</vt:i4>
      </vt:variant>
      <vt:variant>
        <vt:i4>5</vt:i4>
      </vt:variant>
      <vt:variant>
        <vt:lpwstr/>
      </vt:variant>
      <vt:variant>
        <vt:lpwstr>_Toc240561382</vt:lpwstr>
      </vt:variant>
      <vt:variant>
        <vt:i4>2031671</vt:i4>
      </vt:variant>
      <vt:variant>
        <vt:i4>80</vt:i4>
      </vt:variant>
      <vt:variant>
        <vt:i4>0</vt:i4>
      </vt:variant>
      <vt:variant>
        <vt:i4>5</vt:i4>
      </vt:variant>
      <vt:variant>
        <vt:lpwstr/>
      </vt:variant>
      <vt:variant>
        <vt:lpwstr>_Toc240561381</vt:lpwstr>
      </vt:variant>
      <vt:variant>
        <vt:i4>2031671</vt:i4>
      </vt:variant>
      <vt:variant>
        <vt:i4>74</vt:i4>
      </vt:variant>
      <vt:variant>
        <vt:i4>0</vt:i4>
      </vt:variant>
      <vt:variant>
        <vt:i4>5</vt:i4>
      </vt:variant>
      <vt:variant>
        <vt:lpwstr/>
      </vt:variant>
      <vt:variant>
        <vt:lpwstr>_Toc240561380</vt:lpwstr>
      </vt:variant>
      <vt:variant>
        <vt:i4>1048631</vt:i4>
      </vt:variant>
      <vt:variant>
        <vt:i4>68</vt:i4>
      </vt:variant>
      <vt:variant>
        <vt:i4>0</vt:i4>
      </vt:variant>
      <vt:variant>
        <vt:i4>5</vt:i4>
      </vt:variant>
      <vt:variant>
        <vt:lpwstr/>
      </vt:variant>
      <vt:variant>
        <vt:lpwstr>_Toc240561379</vt:lpwstr>
      </vt:variant>
      <vt:variant>
        <vt:i4>1048631</vt:i4>
      </vt:variant>
      <vt:variant>
        <vt:i4>62</vt:i4>
      </vt:variant>
      <vt:variant>
        <vt:i4>0</vt:i4>
      </vt:variant>
      <vt:variant>
        <vt:i4>5</vt:i4>
      </vt:variant>
      <vt:variant>
        <vt:lpwstr/>
      </vt:variant>
      <vt:variant>
        <vt:lpwstr>_Toc240561378</vt:lpwstr>
      </vt:variant>
      <vt:variant>
        <vt:i4>1048631</vt:i4>
      </vt:variant>
      <vt:variant>
        <vt:i4>56</vt:i4>
      </vt:variant>
      <vt:variant>
        <vt:i4>0</vt:i4>
      </vt:variant>
      <vt:variant>
        <vt:i4>5</vt:i4>
      </vt:variant>
      <vt:variant>
        <vt:lpwstr/>
      </vt:variant>
      <vt:variant>
        <vt:lpwstr>_Toc240561377</vt:lpwstr>
      </vt:variant>
      <vt:variant>
        <vt:i4>1048631</vt:i4>
      </vt:variant>
      <vt:variant>
        <vt:i4>50</vt:i4>
      </vt:variant>
      <vt:variant>
        <vt:i4>0</vt:i4>
      </vt:variant>
      <vt:variant>
        <vt:i4>5</vt:i4>
      </vt:variant>
      <vt:variant>
        <vt:lpwstr/>
      </vt:variant>
      <vt:variant>
        <vt:lpwstr>_Toc240561376</vt:lpwstr>
      </vt:variant>
      <vt:variant>
        <vt:i4>1048631</vt:i4>
      </vt:variant>
      <vt:variant>
        <vt:i4>44</vt:i4>
      </vt:variant>
      <vt:variant>
        <vt:i4>0</vt:i4>
      </vt:variant>
      <vt:variant>
        <vt:i4>5</vt:i4>
      </vt:variant>
      <vt:variant>
        <vt:lpwstr/>
      </vt:variant>
      <vt:variant>
        <vt:lpwstr>_Toc240561375</vt:lpwstr>
      </vt:variant>
      <vt:variant>
        <vt:i4>1048631</vt:i4>
      </vt:variant>
      <vt:variant>
        <vt:i4>38</vt:i4>
      </vt:variant>
      <vt:variant>
        <vt:i4>0</vt:i4>
      </vt:variant>
      <vt:variant>
        <vt:i4>5</vt:i4>
      </vt:variant>
      <vt:variant>
        <vt:lpwstr/>
      </vt:variant>
      <vt:variant>
        <vt:lpwstr>_Toc240561374</vt:lpwstr>
      </vt:variant>
      <vt:variant>
        <vt:i4>1048631</vt:i4>
      </vt:variant>
      <vt:variant>
        <vt:i4>32</vt:i4>
      </vt:variant>
      <vt:variant>
        <vt:i4>0</vt:i4>
      </vt:variant>
      <vt:variant>
        <vt:i4>5</vt:i4>
      </vt:variant>
      <vt:variant>
        <vt:lpwstr/>
      </vt:variant>
      <vt:variant>
        <vt:lpwstr>_Toc240561373</vt:lpwstr>
      </vt:variant>
      <vt:variant>
        <vt:i4>1048631</vt:i4>
      </vt:variant>
      <vt:variant>
        <vt:i4>26</vt:i4>
      </vt:variant>
      <vt:variant>
        <vt:i4>0</vt:i4>
      </vt:variant>
      <vt:variant>
        <vt:i4>5</vt:i4>
      </vt:variant>
      <vt:variant>
        <vt:lpwstr/>
      </vt:variant>
      <vt:variant>
        <vt:lpwstr>_Toc240561372</vt:lpwstr>
      </vt:variant>
      <vt:variant>
        <vt:i4>1048631</vt:i4>
      </vt:variant>
      <vt:variant>
        <vt:i4>20</vt:i4>
      </vt:variant>
      <vt:variant>
        <vt:i4>0</vt:i4>
      </vt:variant>
      <vt:variant>
        <vt:i4>5</vt:i4>
      </vt:variant>
      <vt:variant>
        <vt:lpwstr/>
      </vt:variant>
      <vt:variant>
        <vt:lpwstr>_Toc240561371</vt:lpwstr>
      </vt:variant>
      <vt:variant>
        <vt:i4>1048631</vt:i4>
      </vt:variant>
      <vt:variant>
        <vt:i4>14</vt:i4>
      </vt:variant>
      <vt:variant>
        <vt:i4>0</vt:i4>
      </vt:variant>
      <vt:variant>
        <vt:i4>5</vt:i4>
      </vt:variant>
      <vt:variant>
        <vt:lpwstr/>
      </vt:variant>
      <vt:variant>
        <vt:lpwstr>_Toc240561370</vt:lpwstr>
      </vt:variant>
      <vt:variant>
        <vt:i4>1114167</vt:i4>
      </vt:variant>
      <vt:variant>
        <vt:i4>8</vt:i4>
      </vt:variant>
      <vt:variant>
        <vt:i4>0</vt:i4>
      </vt:variant>
      <vt:variant>
        <vt:i4>5</vt:i4>
      </vt:variant>
      <vt:variant>
        <vt:lpwstr/>
      </vt:variant>
      <vt:variant>
        <vt:lpwstr>_Toc240561369</vt:lpwstr>
      </vt:variant>
      <vt:variant>
        <vt:i4>1114167</vt:i4>
      </vt:variant>
      <vt:variant>
        <vt:i4>2</vt:i4>
      </vt:variant>
      <vt:variant>
        <vt:i4>0</vt:i4>
      </vt:variant>
      <vt:variant>
        <vt:i4>5</vt:i4>
      </vt:variant>
      <vt:variant>
        <vt:lpwstr/>
      </vt:variant>
      <vt:variant>
        <vt:lpwstr>_Toc240561368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Moorche</dc:creator>
  <cp:keywords/>
  <dc:description/>
  <cp:lastModifiedBy>Samina Bibi (2412887)</cp:lastModifiedBy>
  <cp:revision>282</cp:revision>
  <dcterms:created xsi:type="dcterms:W3CDTF">2026-09-16T05:11:00Z</dcterms:created>
  <dcterms:modified xsi:type="dcterms:W3CDTF">2026-10-06T07:57:00Z</dcterms:modified>
</cp:coreProperties>
</file>