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F8B7F" w14:textId="6A05BB0A" w:rsidR="00684D8A" w:rsidRDefault="00684D8A">
      <w:r>
        <w:rPr>
          <w:noProof/>
        </w:rPr>
        <w:drawing>
          <wp:inline distT="0" distB="0" distL="0" distR="0" wp14:anchorId="78E5604C" wp14:editId="34E90F63">
            <wp:extent cx="1628775" cy="55245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628775" cy="552450"/>
                    </a:xfrm>
                    <a:prstGeom prst="rect">
                      <a:avLst/>
                    </a:prstGeom>
                    <a:noFill/>
                    <a:ln>
                      <a:noFill/>
                    </a:ln>
                  </pic:spPr>
                </pic:pic>
              </a:graphicData>
            </a:graphic>
          </wp:inline>
        </w:drawing>
      </w:r>
    </w:p>
    <w:p w14:paraId="792D6477" w14:textId="77777777" w:rsidR="00684D8A" w:rsidRDefault="00684D8A" w:rsidP="00684D8A">
      <w:pPr>
        <w:spacing w:line="276" w:lineRule="auto"/>
        <w:rPr>
          <w:rFonts w:ascii="Arial" w:eastAsia="Aptos" w:hAnsi="Arial" w:cs="Times New Roman"/>
          <w:b/>
          <w:bCs/>
          <w:color w:val="153D63"/>
          <w:sz w:val="36"/>
          <w:szCs w:val="36"/>
          <w:lang w:eastAsia="en-GB"/>
          <w14:ligatures w14:val="none"/>
        </w:rPr>
      </w:pPr>
    </w:p>
    <w:p w14:paraId="4E044673" w14:textId="77777777" w:rsidR="00684D8A" w:rsidRDefault="00684D8A" w:rsidP="00684D8A">
      <w:pPr>
        <w:spacing w:line="276" w:lineRule="auto"/>
        <w:rPr>
          <w:rFonts w:ascii="Arial" w:eastAsia="Aptos" w:hAnsi="Arial" w:cs="Times New Roman"/>
          <w:b/>
          <w:bCs/>
          <w:color w:val="153D63"/>
          <w:sz w:val="36"/>
          <w:szCs w:val="36"/>
          <w:lang w:eastAsia="en-GB"/>
          <w14:ligatures w14:val="none"/>
        </w:rPr>
      </w:pPr>
    </w:p>
    <w:p w14:paraId="0D8149DC" w14:textId="77777777" w:rsidR="00684D8A" w:rsidRDefault="00684D8A" w:rsidP="00684D8A">
      <w:pPr>
        <w:spacing w:line="276" w:lineRule="auto"/>
        <w:rPr>
          <w:rFonts w:ascii="Arial" w:eastAsia="Aptos" w:hAnsi="Arial" w:cs="Times New Roman"/>
          <w:b/>
          <w:bCs/>
          <w:color w:val="153D63"/>
          <w:sz w:val="36"/>
          <w:szCs w:val="36"/>
          <w:lang w:eastAsia="en-GB"/>
          <w14:ligatures w14:val="none"/>
        </w:rPr>
      </w:pPr>
    </w:p>
    <w:p w14:paraId="037923E8" w14:textId="150F7828" w:rsidR="00684D8A" w:rsidRPr="00D65516" w:rsidRDefault="00684D8A" w:rsidP="00684D8A">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Programme:</w:t>
      </w:r>
      <w:r w:rsidRPr="00D65516">
        <w:rPr>
          <w:rFonts w:ascii="Arial" w:eastAsia="Aptos" w:hAnsi="Arial" w:cs="Times New Roman"/>
          <w:color w:val="153D63"/>
          <w:sz w:val="36"/>
          <w:szCs w:val="36"/>
          <w:lang w:eastAsia="en-GB"/>
          <w14:ligatures w14:val="none"/>
        </w:rPr>
        <w:t xml:space="preserve"> </w:t>
      </w:r>
      <w:r w:rsidRPr="00D65516">
        <w:rPr>
          <w:rFonts w:ascii="Arial" w:eastAsia="Aptos" w:hAnsi="Arial" w:cs="Times New Roman"/>
          <w:b/>
          <w:bCs/>
          <w:color w:val="153D63"/>
          <w:sz w:val="36"/>
          <w:szCs w:val="36"/>
          <w:lang w:eastAsia="en-GB"/>
          <w14:ligatures w14:val="none"/>
        </w:rPr>
        <w:t>BA (Hons) Business Management</w:t>
      </w:r>
    </w:p>
    <w:p w14:paraId="59633367" w14:textId="77777777" w:rsidR="00684D8A" w:rsidRPr="003D24A7" w:rsidRDefault="00684D8A" w:rsidP="00684D8A">
      <w:pPr>
        <w:spacing w:line="276" w:lineRule="auto"/>
        <w:rPr>
          <w:rFonts w:ascii="Times New Roman" w:eastAsia="Times New Roman" w:hAnsi="Times New Roman" w:cs="Times New Roman"/>
          <w:color w:val="153D63" w:themeColor="text2" w:themeTint="E6"/>
          <w:kern w:val="0"/>
          <w:sz w:val="28"/>
          <w:szCs w:val="28"/>
          <w:lang w:eastAsia="en-GB"/>
          <w14:ligatures w14:val="none"/>
        </w:rPr>
      </w:pPr>
      <w:r w:rsidRPr="00D65516">
        <w:rPr>
          <w:rFonts w:ascii="Arial" w:eastAsia="Aptos" w:hAnsi="Arial" w:cs="Times New Roman"/>
          <w:b/>
          <w:bCs/>
          <w:color w:val="153D63"/>
          <w:sz w:val="36"/>
          <w:szCs w:val="36"/>
          <w:lang w:eastAsia="en-GB"/>
          <w14:ligatures w14:val="none"/>
        </w:rPr>
        <w:t>Module</w:t>
      </w:r>
      <w:r w:rsidRPr="003D24A7">
        <w:rPr>
          <w:rFonts w:ascii="Arial" w:eastAsia="Aptos" w:hAnsi="Arial" w:cs="Times New Roman"/>
          <w:b/>
          <w:bCs/>
          <w:color w:val="153D63" w:themeColor="text2" w:themeTint="E6"/>
          <w:sz w:val="28"/>
          <w:szCs w:val="28"/>
          <w:lang w:eastAsia="en-GB"/>
          <w14:ligatures w14:val="none"/>
        </w:rPr>
        <w:t xml:space="preserve">: </w:t>
      </w:r>
      <w:r w:rsidRPr="003D24A7">
        <w:rPr>
          <w:rFonts w:ascii="Arial" w:hAnsi="Arial" w:cs="Arial"/>
          <w:b/>
          <w:color w:val="153D63" w:themeColor="text2" w:themeTint="E6"/>
          <w:sz w:val="28"/>
          <w:szCs w:val="28"/>
        </w:rPr>
        <w:t>Project Management</w:t>
      </w:r>
    </w:p>
    <w:p w14:paraId="4DB7D221" w14:textId="77777777" w:rsidR="00684D8A" w:rsidRPr="003D24A7" w:rsidRDefault="00684D8A" w:rsidP="00684D8A">
      <w:pPr>
        <w:spacing w:line="276" w:lineRule="auto"/>
        <w:rPr>
          <w:rFonts w:ascii="Times New Roman" w:eastAsia="Times New Roman" w:hAnsi="Times New Roman" w:cs="Times New Roman"/>
          <w:color w:val="153D63" w:themeColor="text2" w:themeTint="E6"/>
          <w:kern w:val="0"/>
          <w:sz w:val="28"/>
          <w:szCs w:val="28"/>
          <w:lang w:eastAsia="en-GB"/>
          <w14:ligatures w14:val="none"/>
        </w:rPr>
      </w:pPr>
      <w:r w:rsidRPr="00D65516">
        <w:rPr>
          <w:rFonts w:ascii="Arial" w:eastAsia="Aptos" w:hAnsi="Arial" w:cs="Times New Roman"/>
          <w:b/>
          <w:bCs/>
          <w:color w:val="153D63"/>
          <w:sz w:val="36"/>
          <w:szCs w:val="36"/>
          <w:lang w:eastAsia="en-GB"/>
          <w14:ligatures w14:val="none"/>
        </w:rPr>
        <w:t xml:space="preserve">Module code: </w:t>
      </w:r>
      <w:r w:rsidRPr="003D24A7">
        <w:rPr>
          <w:rFonts w:ascii="Arial" w:hAnsi="Arial" w:cs="Arial"/>
          <w:b/>
          <w:color w:val="153D63" w:themeColor="text2" w:themeTint="E6"/>
          <w:sz w:val="28"/>
          <w:szCs w:val="28"/>
        </w:rPr>
        <w:t>LCBB6006</w:t>
      </w:r>
    </w:p>
    <w:p w14:paraId="2005226B" w14:textId="77777777" w:rsidR="00684D8A" w:rsidRPr="003D24A7" w:rsidRDefault="00684D8A" w:rsidP="00684D8A">
      <w:pPr>
        <w:spacing w:line="276" w:lineRule="auto"/>
        <w:rPr>
          <w:rFonts w:ascii="Times New Roman" w:eastAsia="Times New Roman" w:hAnsi="Times New Roman" w:cs="Times New Roman"/>
          <w:color w:val="153D63" w:themeColor="text2" w:themeTint="E6"/>
          <w:kern w:val="0"/>
          <w:sz w:val="32"/>
          <w:szCs w:val="32"/>
          <w:lang w:eastAsia="en-GB"/>
          <w14:ligatures w14:val="none"/>
        </w:rPr>
      </w:pPr>
      <w:r w:rsidRPr="00D65516">
        <w:rPr>
          <w:rFonts w:ascii="Arial" w:eastAsia="Aptos" w:hAnsi="Arial" w:cs="Times New Roman"/>
          <w:b/>
          <w:bCs/>
          <w:color w:val="153D63"/>
          <w:sz w:val="36"/>
          <w:szCs w:val="36"/>
          <w:lang w:eastAsia="en-GB"/>
          <w14:ligatures w14:val="none"/>
        </w:rPr>
        <w:t xml:space="preserve"> Assignment Title: </w:t>
      </w:r>
      <w:r w:rsidRPr="003D24A7">
        <w:rPr>
          <w:rFonts w:ascii="Arial" w:hAnsi="Arial" w:cs="Arial"/>
          <w:b/>
          <w:bCs/>
          <w:color w:val="153D63" w:themeColor="text2" w:themeTint="E6"/>
          <w:sz w:val="32"/>
          <w:szCs w:val="32"/>
        </w:rPr>
        <w:t>Essay</w:t>
      </w:r>
    </w:p>
    <w:p w14:paraId="000621F7" w14:textId="77777777" w:rsidR="00684D8A" w:rsidRPr="00D65516" w:rsidRDefault="00684D8A" w:rsidP="00684D8A">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 xml:space="preserve"> Lecturer: </w:t>
      </w:r>
      <w:r>
        <w:rPr>
          <w:rFonts w:ascii="Arial" w:eastAsia="Aptos" w:hAnsi="Arial" w:cs="Times New Roman"/>
          <w:b/>
          <w:bCs/>
          <w:color w:val="153D63"/>
          <w:sz w:val="36"/>
          <w:szCs w:val="36"/>
          <w:lang w:eastAsia="en-GB"/>
          <w14:ligatures w14:val="none"/>
        </w:rPr>
        <w:t xml:space="preserve">Dr. </w:t>
      </w:r>
      <w:proofErr w:type="spellStart"/>
      <w:r>
        <w:rPr>
          <w:rFonts w:ascii="Arial" w:eastAsia="Aptos" w:hAnsi="Arial" w:cs="Times New Roman"/>
          <w:b/>
          <w:bCs/>
          <w:color w:val="153D63"/>
          <w:sz w:val="36"/>
          <w:szCs w:val="36"/>
          <w:lang w:eastAsia="en-GB"/>
          <w14:ligatures w14:val="none"/>
        </w:rPr>
        <w:t>Shujun</w:t>
      </w:r>
      <w:proofErr w:type="spellEnd"/>
      <w:r>
        <w:rPr>
          <w:rFonts w:ascii="Arial" w:eastAsia="Aptos" w:hAnsi="Arial" w:cs="Times New Roman"/>
          <w:b/>
          <w:bCs/>
          <w:color w:val="153D63"/>
          <w:sz w:val="36"/>
          <w:szCs w:val="36"/>
          <w:lang w:eastAsia="en-GB"/>
          <w14:ligatures w14:val="none"/>
        </w:rPr>
        <w:t xml:space="preserve"> Xiao</w:t>
      </w:r>
    </w:p>
    <w:p w14:paraId="0651B1F6" w14:textId="77777777" w:rsidR="00684D8A" w:rsidRPr="00D65516" w:rsidRDefault="00684D8A" w:rsidP="00684D8A">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 xml:space="preserve"> Student Name: Dumitru Nechifor </w:t>
      </w:r>
    </w:p>
    <w:p w14:paraId="0724EAD0" w14:textId="77777777" w:rsidR="00684D8A" w:rsidRPr="00D65516" w:rsidRDefault="00684D8A" w:rsidP="00684D8A">
      <w:pPr>
        <w:rPr>
          <w:rFonts w:ascii="Arial" w:hAnsi="Arial" w:cs="Arial"/>
          <w:b/>
          <w:bCs/>
          <w:sz w:val="36"/>
          <w:szCs w:val="36"/>
        </w:rPr>
      </w:pPr>
      <w:r w:rsidRPr="00D65516">
        <w:rPr>
          <w:rFonts w:ascii="Arial" w:eastAsia="Aptos" w:hAnsi="Arial" w:cs="Times New Roman"/>
          <w:b/>
          <w:bCs/>
          <w:color w:val="153D63"/>
          <w:sz w:val="36"/>
          <w:szCs w:val="36"/>
          <w:lang w:eastAsia="en-GB"/>
          <w14:ligatures w14:val="none"/>
        </w:rPr>
        <w:t xml:space="preserve"> Student ID: 2245145</w:t>
      </w:r>
    </w:p>
    <w:p w14:paraId="30A6A0F2" w14:textId="77777777" w:rsidR="00684D8A" w:rsidRDefault="00684D8A"/>
    <w:p w14:paraId="3D951663" w14:textId="77777777" w:rsidR="00684D8A" w:rsidRDefault="00684D8A"/>
    <w:p w14:paraId="65556B72" w14:textId="77777777" w:rsidR="00684D8A" w:rsidRDefault="00684D8A"/>
    <w:p w14:paraId="2ABC2CAC" w14:textId="77777777" w:rsidR="000F6DB7" w:rsidRDefault="000F6DB7" w:rsidP="00684D8A">
      <w:pPr>
        <w:spacing w:line="360" w:lineRule="auto"/>
        <w:rPr>
          <w:rFonts w:ascii="Arial" w:hAnsi="Arial" w:cs="Arial"/>
          <w:b/>
          <w:bCs/>
          <w:sz w:val="36"/>
          <w:szCs w:val="36"/>
        </w:rPr>
      </w:pPr>
    </w:p>
    <w:p w14:paraId="01FF2F1F" w14:textId="77777777" w:rsidR="000F6DB7" w:rsidRDefault="000F6DB7" w:rsidP="00684D8A">
      <w:pPr>
        <w:spacing w:line="360" w:lineRule="auto"/>
        <w:rPr>
          <w:rFonts w:ascii="Arial" w:hAnsi="Arial" w:cs="Arial"/>
          <w:b/>
          <w:bCs/>
          <w:sz w:val="36"/>
          <w:szCs w:val="36"/>
        </w:rPr>
      </w:pPr>
    </w:p>
    <w:p w14:paraId="0BF0FF33" w14:textId="77777777" w:rsidR="000F6DB7" w:rsidRDefault="000F6DB7" w:rsidP="00684D8A">
      <w:pPr>
        <w:spacing w:line="360" w:lineRule="auto"/>
        <w:rPr>
          <w:rFonts w:ascii="Arial" w:hAnsi="Arial" w:cs="Arial"/>
          <w:b/>
          <w:bCs/>
          <w:sz w:val="36"/>
          <w:szCs w:val="36"/>
        </w:rPr>
      </w:pPr>
    </w:p>
    <w:p w14:paraId="04D97D15" w14:textId="77777777" w:rsidR="000F6DB7" w:rsidRDefault="000F6DB7" w:rsidP="00684D8A">
      <w:pPr>
        <w:spacing w:line="360" w:lineRule="auto"/>
        <w:rPr>
          <w:rFonts w:ascii="Arial" w:hAnsi="Arial" w:cs="Arial"/>
          <w:b/>
          <w:bCs/>
          <w:sz w:val="36"/>
          <w:szCs w:val="36"/>
        </w:rPr>
      </w:pPr>
    </w:p>
    <w:p w14:paraId="6B740A3B" w14:textId="77777777" w:rsidR="000F6DB7" w:rsidRDefault="000F6DB7" w:rsidP="00684D8A">
      <w:pPr>
        <w:spacing w:line="360" w:lineRule="auto"/>
        <w:rPr>
          <w:rFonts w:ascii="Arial" w:hAnsi="Arial" w:cs="Arial"/>
          <w:b/>
          <w:bCs/>
          <w:sz w:val="36"/>
          <w:szCs w:val="36"/>
        </w:rPr>
      </w:pPr>
    </w:p>
    <w:p w14:paraId="2CFB30BA" w14:textId="77777777" w:rsidR="000F6DB7" w:rsidRDefault="000F6DB7" w:rsidP="00684D8A">
      <w:pPr>
        <w:spacing w:line="360" w:lineRule="auto"/>
        <w:rPr>
          <w:rFonts w:ascii="Arial" w:hAnsi="Arial" w:cs="Arial"/>
          <w:b/>
          <w:bCs/>
          <w:sz w:val="36"/>
          <w:szCs w:val="36"/>
        </w:rPr>
      </w:pPr>
    </w:p>
    <w:p w14:paraId="645FF6B8" w14:textId="77777777" w:rsidR="000F6DB7" w:rsidRPr="00AF34DA" w:rsidRDefault="00684D8A" w:rsidP="000F6DB7">
      <w:pPr>
        <w:spacing w:line="360" w:lineRule="auto"/>
        <w:rPr>
          <w:rFonts w:ascii="Arial" w:hAnsi="Arial" w:cs="Arial"/>
          <w:b/>
          <w:bCs/>
          <w:sz w:val="36"/>
          <w:szCs w:val="36"/>
        </w:rPr>
      </w:pPr>
      <w:r w:rsidRPr="00AF34DA">
        <w:rPr>
          <w:rFonts w:ascii="Arial" w:hAnsi="Arial" w:cs="Arial"/>
          <w:b/>
          <w:bCs/>
          <w:sz w:val="36"/>
          <w:szCs w:val="36"/>
        </w:rPr>
        <w:lastRenderedPageBreak/>
        <w:t>Table of Contents</w:t>
      </w:r>
    </w:p>
    <w:p w14:paraId="113F3896" w14:textId="7A999085" w:rsidR="00140538" w:rsidRPr="00AF34DA" w:rsidRDefault="00140538" w:rsidP="00140538">
      <w:pPr>
        <w:spacing w:line="360" w:lineRule="auto"/>
        <w:rPr>
          <w:rFonts w:ascii="Arial" w:hAnsi="Arial" w:cs="Arial"/>
          <w:b/>
          <w:bCs/>
          <w:sz w:val="28"/>
          <w:szCs w:val="28"/>
        </w:rPr>
      </w:pPr>
      <w:r w:rsidRPr="00AF34DA">
        <w:rPr>
          <w:rFonts w:ascii="Arial" w:hAnsi="Arial" w:cs="Arial"/>
          <w:b/>
          <w:bCs/>
          <w:sz w:val="28"/>
          <w:szCs w:val="28"/>
        </w:rPr>
        <w:t>Introduction</w:t>
      </w:r>
      <w:r w:rsidR="00642F53" w:rsidRPr="00AF34DA">
        <w:rPr>
          <w:rFonts w:ascii="Arial" w:hAnsi="Arial" w:cs="Arial"/>
          <w:b/>
          <w:bCs/>
          <w:sz w:val="28"/>
          <w:szCs w:val="28"/>
        </w:rPr>
        <w:t>…………………</w:t>
      </w:r>
      <w:r w:rsidR="001D3D65" w:rsidRPr="00AF34DA">
        <w:rPr>
          <w:rFonts w:ascii="Arial" w:hAnsi="Arial" w:cs="Arial"/>
          <w:b/>
          <w:bCs/>
          <w:sz w:val="28"/>
          <w:szCs w:val="28"/>
        </w:rPr>
        <w:t>….</w:t>
      </w:r>
      <w:r w:rsidR="00FC0025" w:rsidRPr="00AF34DA">
        <w:rPr>
          <w:rFonts w:ascii="Arial" w:hAnsi="Arial" w:cs="Arial"/>
          <w:b/>
          <w:bCs/>
          <w:sz w:val="28"/>
          <w:szCs w:val="28"/>
        </w:rPr>
        <w:t>3</w:t>
      </w:r>
      <w:r w:rsidR="001D3D65" w:rsidRPr="00AF34DA">
        <w:rPr>
          <w:rFonts w:ascii="Arial" w:hAnsi="Arial" w:cs="Arial"/>
          <w:b/>
          <w:bCs/>
          <w:sz w:val="28"/>
          <w:szCs w:val="28"/>
        </w:rPr>
        <w:t>,4</w:t>
      </w:r>
    </w:p>
    <w:p w14:paraId="2C109F06" w14:textId="64749DC6" w:rsidR="000F6DB7" w:rsidRPr="00AF34DA" w:rsidRDefault="00140538" w:rsidP="000F6DB7">
      <w:pPr>
        <w:spacing w:line="360" w:lineRule="auto"/>
        <w:rPr>
          <w:rFonts w:ascii="Arial" w:hAnsi="Arial" w:cs="Arial"/>
          <w:b/>
          <w:bCs/>
          <w:sz w:val="28"/>
          <w:szCs w:val="28"/>
        </w:rPr>
      </w:pPr>
      <w:r w:rsidRPr="00AF34DA">
        <w:rPr>
          <w:rFonts w:ascii="Arial" w:hAnsi="Arial" w:cs="Arial"/>
          <w:b/>
          <w:bCs/>
          <w:sz w:val="28"/>
          <w:szCs w:val="28"/>
        </w:rPr>
        <w:t>Contracting Methods in Project Management</w:t>
      </w:r>
      <w:r w:rsidR="00642F53" w:rsidRPr="00AF34DA">
        <w:rPr>
          <w:rFonts w:ascii="Arial" w:hAnsi="Arial" w:cs="Arial"/>
          <w:b/>
          <w:bCs/>
          <w:sz w:val="28"/>
          <w:szCs w:val="28"/>
        </w:rPr>
        <w:t>……………</w:t>
      </w:r>
      <w:r w:rsidR="001D3D65" w:rsidRPr="00AF34DA">
        <w:rPr>
          <w:rFonts w:ascii="Arial" w:hAnsi="Arial" w:cs="Arial"/>
          <w:b/>
          <w:bCs/>
          <w:sz w:val="28"/>
          <w:szCs w:val="28"/>
        </w:rPr>
        <w:t>4,5,6,7,8,9</w:t>
      </w:r>
    </w:p>
    <w:p w14:paraId="74395F52" w14:textId="6417EA22" w:rsidR="000F6DB7" w:rsidRPr="00AF34DA" w:rsidRDefault="00140538" w:rsidP="000F6DB7">
      <w:pPr>
        <w:spacing w:line="360" w:lineRule="auto"/>
        <w:rPr>
          <w:rFonts w:ascii="Arial" w:hAnsi="Arial" w:cs="Arial"/>
          <w:b/>
          <w:bCs/>
          <w:sz w:val="28"/>
          <w:szCs w:val="28"/>
        </w:rPr>
      </w:pPr>
      <w:r w:rsidRPr="00AF34DA">
        <w:rPr>
          <w:rFonts w:ascii="Arial" w:hAnsi="Arial" w:cs="Arial"/>
          <w:b/>
          <w:bCs/>
          <w:sz w:val="28"/>
          <w:szCs w:val="28"/>
        </w:rPr>
        <w:t>Comparative Analysis and Selection Guidance</w:t>
      </w:r>
      <w:r w:rsidR="00642F53" w:rsidRPr="00AF34DA">
        <w:rPr>
          <w:rFonts w:ascii="Arial" w:hAnsi="Arial" w:cs="Arial"/>
          <w:b/>
          <w:bCs/>
          <w:sz w:val="28"/>
          <w:szCs w:val="28"/>
        </w:rPr>
        <w:t>…………….</w:t>
      </w:r>
      <w:r w:rsidR="001D3D65" w:rsidRPr="00AF34DA">
        <w:rPr>
          <w:rFonts w:ascii="Arial" w:hAnsi="Arial" w:cs="Arial"/>
          <w:b/>
          <w:bCs/>
          <w:sz w:val="28"/>
          <w:szCs w:val="28"/>
        </w:rPr>
        <w:t>9</w:t>
      </w:r>
    </w:p>
    <w:p w14:paraId="2CE954A3" w14:textId="28B6B9D3" w:rsidR="00140538" w:rsidRPr="00AF34DA" w:rsidRDefault="00140538" w:rsidP="00140538">
      <w:pPr>
        <w:spacing w:line="360" w:lineRule="auto"/>
        <w:rPr>
          <w:rFonts w:ascii="Arial" w:hAnsi="Arial" w:cs="Arial"/>
          <w:b/>
          <w:bCs/>
          <w:sz w:val="28"/>
          <w:szCs w:val="28"/>
        </w:rPr>
      </w:pPr>
      <w:r w:rsidRPr="00AF34DA">
        <w:rPr>
          <w:rFonts w:ascii="Arial" w:hAnsi="Arial" w:cs="Arial"/>
          <w:b/>
          <w:bCs/>
          <w:sz w:val="28"/>
          <w:szCs w:val="28"/>
        </w:rPr>
        <w:t>Conclusion</w:t>
      </w:r>
      <w:r w:rsidR="00642F53" w:rsidRPr="00AF34DA">
        <w:rPr>
          <w:rFonts w:ascii="Arial" w:hAnsi="Arial" w:cs="Arial"/>
          <w:b/>
          <w:bCs/>
          <w:sz w:val="28"/>
          <w:szCs w:val="28"/>
        </w:rPr>
        <w:t>………………</w:t>
      </w:r>
      <w:r w:rsidR="00AF34DA" w:rsidRPr="00AF34DA">
        <w:rPr>
          <w:rFonts w:ascii="Arial" w:hAnsi="Arial" w:cs="Arial"/>
          <w:b/>
          <w:bCs/>
          <w:sz w:val="28"/>
          <w:szCs w:val="28"/>
        </w:rPr>
        <w:t>10</w:t>
      </w:r>
    </w:p>
    <w:p w14:paraId="4E9754AF" w14:textId="76122E2A" w:rsidR="00642F53" w:rsidRPr="00AF34DA" w:rsidRDefault="00642F53" w:rsidP="00642F53">
      <w:pPr>
        <w:spacing w:line="360" w:lineRule="auto"/>
        <w:rPr>
          <w:rFonts w:ascii="Arial" w:hAnsi="Arial" w:cs="Arial"/>
          <w:b/>
          <w:bCs/>
          <w:sz w:val="28"/>
          <w:szCs w:val="28"/>
        </w:rPr>
      </w:pPr>
      <w:r w:rsidRPr="00AF34DA">
        <w:rPr>
          <w:rFonts w:ascii="Arial" w:hAnsi="Arial" w:cs="Arial"/>
          <w:b/>
          <w:bCs/>
          <w:sz w:val="28"/>
          <w:szCs w:val="28"/>
        </w:rPr>
        <w:t>Reference List</w:t>
      </w:r>
      <w:r w:rsidRPr="00AF34DA">
        <w:rPr>
          <w:rFonts w:ascii="Arial" w:hAnsi="Arial" w:cs="Arial"/>
          <w:b/>
          <w:bCs/>
          <w:sz w:val="28"/>
          <w:szCs w:val="28"/>
        </w:rPr>
        <w:t>………………….</w:t>
      </w:r>
      <w:r w:rsidR="00AF34DA" w:rsidRPr="00AF34DA">
        <w:rPr>
          <w:rFonts w:ascii="Arial" w:hAnsi="Arial" w:cs="Arial"/>
          <w:b/>
          <w:bCs/>
          <w:sz w:val="28"/>
          <w:szCs w:val="28"/>
        </w:rPr>
        <w:t>10,11</w:t>
      </w:r>
    </w:p>
    <w:p w14:paraId="2EBADCCD" w14:textId="77777777" w:rsidR="000F6DB7" w:rsidRDefault="000F6DB7" w:rsidP="000F6DB7">
      <w:pPr>
        <w:spacing w:line="360" w:lineRule="auto"/>
        <w:rPr>
          <w:rFonts w:ascii="Arial" w:hAnsi="Arial" w:cs="Arial"/>
          <w:b/>
          <w:bCs/>
          <w:sz w:val="36"/>
          <w:szCs w:val="36"/>
        </w:rPr>
      </w:pPr>
    </w:p>
    <w:p w14:paraId="39378632" w14:textId="77777777" w:rsidR="000F6DB7" w:rsidRDefault="000F6DB7" w:rsidP="000F6DB7">
      <w:pPr>
        <w:spacing w:line="360" w:lineRule="auto"/>
        <w:rPr>
          <w:rFonts w:ascii="Arial" w:hAnsi="Arial" w:cs="Arial"/>
          <w:b/>
          <w:bCs/>
          <w:sz w:val="36"/>
          <w:szCs w:val="36"/>
        </w:rPr>
      </w:pPr>
    </w:p>
    <w:p w14:paraId="5818E7CA" w14:textId="77777777" w:rsidR="000F6DB7" w:rsidRDefault="000F6DB7" w:rsidP="000F6DB7">
      <w:pPr>
        <w:spacing w:line="360" w:lineRule="auto"/>
        <w:rPr>
          <w:rFonts w:ascii="Arial" w:hAnsi="Arial" w:cs="Arial"/>
          <w:b/>
          <w:bCs/>
          <w:sz w:val="36"/>
          <w:szCs w:val="36"/>
        </w:rPr>
      </w:pPr>
    </w:p>
    <w:p w14:paraId="47975CB3" w14:textId="77777777" w:rsidR="000F6DB7" w:rsidRDefault="000F6DB7" w:rsidP="000F6DB7">
      <w:pPr>
        <w:spacing w:line="360" w:lineRule="auto"/>
        <w:rPr>
          <w:rFonts w:ascii="Arial" w:hAnsi="Arial" w:cs="Arial"/>
          <w:b/>
          <w:bCs/>
          <w:sz w:val="36"/>
          <w:szCs w:val="36"/>
        </w:rPr>
      </w:pPr>
    </w:p>
    <w:p w14:paraId="728A0959" w14:textId="77777777" w:rsidR="000F6DB7" w:rsidRDefault="000F6DB7" w:rsidP="000F6DB7">
      <w:pPr>
        <w:spacing w:line="360" w:lineRule="auto"/>
        <w:rPr>
          <w:rFonts w:ascii="Arial" w:hAnsi="Arial" w:cs="Arial"/>
          <w:b/>
          <w:bCs/>
          <w:sz w:val="36"/>
          <w:szCs w:val="36"/>
        </w:rPr>
      </w:pPr>
    </w:p>
    <w:p w14:paraId="6743AD8E" w14:textId="77777777" w:rsidR="000F6DB7" w:rsidRDefault="000F6DB7" w:rsidP="000F6DB7">
      <w:pPr>
        <w:spacing w:line="360" w:lineRule="auto"/>
        <w:rPr>
          <w:rFonts w:ascii="Arial" w:hAnsi="Arial" w:cs="Arial"/>
          <w:b/>
          <w:bCs/>
          <w:sz w:val="36"/>
          <w:szCs w:val="36"/>
        </w:rPr>
      </w:pPr>
    </w:p>
    <w:p w14:paraId="29F96315" w14:textId="77777777" w:rsidR="000F6DB7" w:rsidRDefault="000F6DB7" w:rsidP="000F6DB7">
      <w:pPr>
        <w:spacing w:line="360" w:lineRule="auto"/>
        <w:rPr>
          <w:rFonts w:ascii="Arial" w:hAnsi="Arial" w:cs="Arial"/>
          <w:b/>
          <w:bCs/>
          <w:sz w:val="36"/>
          <w:szCs w:val="36"/>
        </w:rPr>
      </w:pPr>
    </w:p>
    <w:p w14:paraId="3F8E8CB0" w14:textId="77777777" w:rsidR="000F6DB7" w:rsidRDefault="000F6DB7" w:rsidP="000F6DB7">
      <w:pPr>
        <w:spacing w:line="360" w:lineRule="auto"/>
        <w:rPr>
          <w:rFonts w:ascii="Arial" w:hAnsi="Arial" w:cs="Arial"/>
          <w:b/>
          <w:bCs/>
          <w:sz w:val="36"/>
          <w:szCs w:val="36"/>
        </w:rPr>
      </w:pPr>
    </w:p>
    <w:p w14:paraId="642259B6" w14:textId="77777777" w:rsidR="000F6DB7" w:rsidRDefault="000F6DB7" w:rsidP="000F6DB7">
      <w:pPr>
        <w:spacing w:line="360" w:lineRule="auto"/>
        <w:rPr>
          <w:rFonts w:ascii="Arial" w:hAnsi="Arial" w:cs="Arial"/>
          <w:b/>
          <w:bCs/>
          <w:sz w:val="36"/>
          <w:szCs w:val="36"/>
        </w:rPr>
      </w:pPr>
    </w:p>
    <w:p w14:paraId="52BD6220" w14:textId="77777777" w:rsidR="000F6DB7" w:rsidRDefault="000F6DB7" w:rsidP="000F6DB7">
      <w:pPr>
        <w:spacing w:line="360" w:lineRule="auto"/>
        <w:rPr>
          <w:rFonts w:ascii="Arial" w:hAnsi="Arial" w:cs="Arial"/>
          <w:b/>
          <w:bCs/>
          <w:sz w:val="36"/>
          <w:szCs w:val="36"/>
        </w:rPr>
      </w:pPr>
    </w:p>
    <w:p w14:paraId="78C8FF18" w14:textId="77777777" w:rsidR="000F6DB7" w:rsidRDefault="000F6DB7" w:rsidP="000F6DB7">
      <w:pPr>
        <w:spacing w:line="360" w:lineRule="auto"/>
        <w:rPr>
          <w:rFonts w:ascii="Arial" w:hAnsi="Arial" w:cs="Arial"/>
          <w:b/>
          <w:bCs/>
          <w:sz w:val="36"/>
          <w:szCs w:val="36"/>
        </w:rPr>
      </w:pPr>
    </w:p>
    <w:p w14:paraId="5E96240A" w14:textId="77777777" w:rsidR="000F6DB7" w:rsidRDefault="000F6DB7" w:rsidP="000F6DB7">
      <w:pPr>
        <w:spacing w:line="360" w:lineRule="auto"/>
        <w:rPr>
          <w:rFonts w:ascii="Arial" w:hAnsi="Arial" w:cs="Arial"/>
          <w:b/>
          <w:bCs/>
          <w:sz w:val="36"/>
          <w:szCs w:val="36"/>
        </w:rPr>
      </w:pPr>
    </w:p>
    <w:p w14:paraId="0A6E9C35" w14:textId="77777777" w:rsidR="000F6DB7" w:rsidRDefault="000F6DB7" w:rsidP="000F6DB7">
      <w:pPr>
        <w:spacing w:line="360" w:lineRule="auto"/>
        <w:rPr>
          <w:rFonts w:ascii="Arial" w:hAnsi="Arial" w:cs="Arial"/>
          <w:b/>
          <w:bCs/>
          <w:sz w:val="36"/>
          <w:szCs w:val="36"/>
        </w:rPr>
      </w:pPr>
    </w:p>
    <w:p w14:paraId="4201B0B7" w14:textId="77777777" w:rsidR="000F6DB7" w:rsidRDefault="000F6DB7" w:rsidP="000F6DB7">
      <w:pPr>
        <w:spacing w:line="360" w:lineRule="auto"/>
        <w:rPr>
          <w:rFonts w:ascii="Arial" w:hAnsi="Arial" w:cs="Arial"/>
          <w:b/>
          <w:bCs/>
          <w:sz w:val="36"/>
          <w:szCs w:val="36"/>
        </w:rPr>
      </w:pPr>
    </w:p>
    <w:p w14:paraId="553C5B24" w14:textId="77777777" w:rsidR="000F6DB7" w:rsidRDefault="000F6DB7" w:rsidP="000F6DB7">
      <w:pPr>
        <w:spacing w:line="360" w:lineRule="auto"/>
        <w:rPr>
          <w:rFonts w:ascii="Arial" w:hAnsi="Arial" w:cs="Arial"/>
          <w:b/>
          <w:bCs/>
          <w:sz w:val="36"/>
          <w:szCs w:val="36"/>
        </w:rPr>
      </w:pPr>
    </w:p>
    <w:p w14:paraId="4D5A260F" w14:textId="77777777" w:rsidR="00F652FD" w:rsidRDefault="00F652FD" w:rsidP="00072A7F">
      <w:pPr>
        <w:spacing w:line="360" w:lineRule="auto"/>
        <w:rPr>
          <w:rFonts w:ascii="Arial" w:hAnsi="Arial" w:cs="Arial"/>
          <w:b/>
          <w:bCs/>
          <w:sz w:val="32"/>
          <w:szCs w:val="32"/>
        </w:rPr>
      </w:pPr>
      <w:r>
        <w:rPr>
          <w:rFonts w:ascii="Arial" w:hAnsi="Arial" w:cs="Arial"/>
          <w:b/>
          <w:bCs/>
          <w:sz w:val="32"/>
          <w:szCs w:val="32"/>
        </w:rPr>
        <w:t xml:space="preserve">            </w:t>
      </w:r>
      <w:r w:rsidR="000F6DB7" w:rsidRPr="00A5131B">
        <w:rPr>
          <w:rFonts w:ascii="Arial" w:hAnsi="Arial" w:cs="Arial"/>
          <w:b/>
          <w:bCs/>
          <w:sz w:val="32"/>
          <w:szCs w:val="32"/>
        </w:rPr>
        <w:t>Contracting Methods in Project Management</w:t>
      </w:r>
    </w:p>
    <w:p w14:paraId="6F59B85D" w14:textId="1D367604" w:rsidR="000F6DB7" w:rsidRPr="00A5131B" w:rsidRDefault="000F6DB7" w:rsidP="00072A7F">
      <w:pPr>
        <w:spacing w:line="360" w:lineRule="auto"/>
        <w:rPr>
          <w:rFonts w:ascii="Arial" w:hAnsi="Arial" w:cs="Arial"/>
          <w:b/>
          <w:bCs/>
          <w:sz w:val="32"/>
          <w:szCs w:val="32"/>
        </w:rPr>
      </w:pPr>
      <w:r w:rsidRPr="00A5131B">
        <w:rPr>
          <w:rFonts w:ascii="Arial" w:hAnsi="Arial" w:cs="Arial"/>
          <w:b/>
          <w:bCs/>
          <w:sz w:val="32"/>
          <w:szCs w:val="32"/>
        </w:rPr>
        <w:t>Principles, Advantages, Disadvantages and Suitability</w:t>
      </w:r>
    </w:p>
    <w:p w14:paraId="6002C716" w14:textId="77777777" w:rsidR="000F6DB7" w:rsidRPr="00072A7F" w:rsidRDefault="000F6DB7" w:rsidP="00072A7F">
      <w:pPr>
        <w:spacing w:line="360" w:lineRule="auto"/>
        <w:rPr>
          <w:rFonts w:ascii="Arial" w:hAnsi="Arial" w:cs="Arial"/>
          <w:sz w:val="22"/>
          <w:szCs w:val="22"/>
        </w:rPr>
      </w:pPr>
    </w:p>
    <w:p w14:paraId="0AF29707" w14:textId="77777777" w:rsidR="000F6DB7" w:rsidRPr="00072A7F" w:rsidRDefault="000F6DB7" w:rsidP="00072A7F">
      <w:pPr>
        <w:spacing w:line="360" w:lineRule="auto"/>
        <w:rPr>
          <w:rFonts w:ascii="Arial" w:hAnsi="Arial" w:cs="Arial"/>
          <w:sz w:val="22"/>
          <w:szCs w:val="22"/>
        </w:rPr>
      </w:pPr>
    </w:p>
    <w:p w14:paraId="73D9A78F" w14:textId="77777777" w:rsidR="000F6DB7" w:rsidRPr="00F652FD" w:rsidRDefault="000F6DB7" w:rsidP="00072A7F">
      <w:pPr>
        <w:spacing w:line="360" w:lineRule="auto"/>
        <w:rPr>
          <w:rFonts w:ascii="Arial" w:hAnsi="Arial" w:cs="Arial"/>
          <w:b/>
          <w:bCs/>
          <w:sz w:val="28"/>
          <w:szCs w:val="28"/>
        </w:rPr>
      </w:pPr>
      <w:r w:rsidRPr="00F652FD">
        <w:rPr>
          <w:rFonts w:ascii="Arial" w:hAnsi="Arial" w:cs="Arial"/>
          <w:b/>
          <w:bCs/>
          <w:sz w:val="28"/>
          <w:szCs w:val="28"/>
        </w:rPr>
        <w:t>1. Introduction</w:t>
      </w:r>
    </w:p>
    <w:p w14:paraId="4F7E4CD1" w14:textId="77777777" w:rsidR="000F6DB7" w:rsidRPr="00F652FD" w:rsidRDefault="000F6DB7" w:rsidP="00072A7F">
      <w:pPr>
        <w:spacing w:line="360" w:lineRule="auto"/>
        <w:rPr>
          <w:rFonts w:ascii="Arial" w:hAnsi="Arial" w:cs="Arial"/>
          <w:b/>
          <w:bCs/>
          <w:sz w:val="22"/>
          <w:szCs w:val="22"/>
        </w:rPr>
      </w:pPr>
      <w:r w:rsidRPr="00F652FD">
        <w:rPr>
          <w:rFonts w:ascii="Arial" w:hAnsi="Arial" w:cs="Arial"/>
          <w:b/>
          <w:bCs/>
          <w:sz w:val="22"/>
          <w:szCs w:val="22"/>
        </w:rPr>
        <w:t>1.1 Defining Project Management</w:t>
      </w:r>
    </w:p>
    <w:p w14:paraId="6492BF3C"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Project management is the disciplined application of knowledge, skills, tools, and techniques to project activities to meet project requirements, within defined constraints of scope, time, cost, quality, risk, and resources (Project Management Institute, 2021). It involves the full lifecycle: initiation, planning, execution, monitoring and control, and closure. Central to successful delivery is the management of procurement and external relationships, where contracts serve as the formal legal and operational framework governing responsibilities, deliverables, and risk allocation between parties (Turner, 2016).</w:t>
      </w:r>
    </w:p>
    <w:p w14:paraId="03B71D29" w14:textId="77777777" w:rsidR="000F6DB7" w:rsidRPr="00F652FD" w:rsidRDefault="000F6DB7" w:rsidP="00072A7F">
      <w:pPr>
        <w:spacing w:line="360" w:lineRule="auto"/>
        <w:rPr>
          <w:rFonts w:ascii="Arial" w:hAnsi="Arial" w:cs="Arial"/>
          <w:b/>
          <w:bCs/>
          <w:sz w:val="22"/>
          <w:szCs w:val="22"/>
        </w:rPr>
      </w:pPr>
      <w:r w:rsidRPr="00F652FD">
        <w:rPr>
          <w:rFonts w:ascii="Arial" w:hAnsi="Arial" w:cs="Arial"/>
          <w:b/>
          <w:bCs/>
          <w:sz w:val="22"/>
          <w:szCs w:val="22"/>
        </w:rPr>
        <w:t>1.2 Role and Purpose of Contracts</w:t>
      </w:r>
    </w:p>
    <w:p w14:paraId="7B54C9A1" w14:textId="24DA21D1"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A contract is a mutually binding agreement that </w:t>
      </w:r>
      <w:r w:rsidR="00072A7F" w:rsidRPr="00072A7F">
        <w:rPr>
          <w:rFonts w:ascii="Arial" w:hAnsi="Arial" w:cs="Arial"/>
          <w:sz w:val="22"/>
          <w:szCs w:val="22"/>
        </w:rPr>
        <w:t>compels</w:t>
      </w:r>
      <w:r w:rsidRPr="00072A7F">
        <w:rPr>
          <w:rFonts w:ascii="Arial" w:hAnsi="Arial" w:cs="Arial"/>
          <w:sz w:val="22"/>
          <w:szCs w:val="22"/>
        </w:rPr>
        <w:t xml:space="preserve"> the supplier to provide specified goods or services and the buyer to provide agreed payment and consideration (PMI, 2021). In project contexts, contracts:</w:t>
      </w:r>
    </w:p>
    <w:p w14:paraId="5DA01CF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Clearly define scope, specifications, standards, and deliverables</w:t>
      </w:r>
    </w:p>
    <w:p w14:paraId="7CCC4A97"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Allocate risks, liabilities, and responsibilities between client and contractor</w:t>
      </w:r>
    </w:p>
    <w:p w14:paraId="440BBDEC" w14:textId="1D78AF93"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w:t>
      </w:r>
      <w:r w:rsidR="00072A7F" w:rsidRPr="00072A7F">
        <w:rPr>
          <w:rFonts w:ascii="Arial" w:hAnsi="Arial" w:cs="Arial"/>
          <w:sz w:val="22"/>
          <w:szCs w:val="22"/>
        </w:rPr>
        <w:t>Set up</w:t>
      </w:r>
      <w:r w:rsidRPr="00072A7F">
        <w:rPr>
          <w:rFonts w:ascii="Arial" w:hAnsi="Arial" w:cs="Arial"/>
          <w:sz w:val="22"/>
          <w:szCs w:val="22"/>
        </w:rPr>
        <w:t xml:space="preserve"> pricing, payment schedules, timelines, and performance criteria</w:t>
      </w:r>
    </w:p>
    <w:p w14:paraId="3FD04AB8"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Provide mechanisms for change control, quality assurance, dispute resolution, and legal protection (Kerzner, 2017; Ward, 2008)</w:t>
      </w:r>
    </w:p>
    <w:p w14:paraId="10693CFB" w14:textId="77777777" w:rsidR="000F6DB7" w:rsidRPr="00F652FD" w:rsidRDefault="000F6DB7" w:rsidP="00072A7F">
      <w:pPr>
        <w:spacing w:line="360" w:lineRule="auto"/>
        <w:rPr>
          <w:rFonts w:ascii="Arial" w:hAnsi="Arial" w:cs="Arial"/>
          <w:b/>
          <w:bCs/>
          <w:sz w:val="22"/>
          <w:szCs w:val="22"/>
        </w:rPr>
      </w:pPr>
      <w:r w:rsidRPr="00F652FD">
        <w:rPr>
          <w:rFonts w:ascii="Arial" w:hAnsi="Arial" w:cs="Arial"/>
          <w:b/>
          <w:bCs/>
          <w:sz w:val="22"/>
          <w:szCs w:val="22"/>
        </w:rPr>
        <w:t>1.3 Why Contract Out?</w:t>
      </w:r>
    </w:p>
    <w:p w14:paraId="4EC5D3B5"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Organisations choose to contract rather than execute all work internally for key reasons:</w:t>
      </w:r>
    </w:p>
    <w:p w14:paraId="3E30F0EE" w14:textId="6DC991FC"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lastRenderedPageBreak/>
        <w:t xml:space="preserve">• Specialist </w:t>
      </w:r>
      <w:r w:rsidR="00072A7F" w:rsidRPr="00072A7F">
        <w:rPr>
          <w:rFonts w:ascii="Arial" w:hAnsi="Arial" w:cs="Arial"/>
          <w:sz w:val="22"/>
          <w:szCs w:val="22"/>
        </w:rPr>
        <w:t>ability</w:t>
      </w:r>
      <w:r w:rsidRPr="00072A7F">
        <w:rPr>
          <w:rFonts w:ascii="Arial" w:hAnsi="Arial" w:cs="Arial"/>
          <w:sz w:val="22"/>
          <w:szCs w:val="22"/>
        </w:rPr>
        <w:t>: Access to skills, technology, or experience not available internally (Walker, 2015)</w:t>
      </w:r>
    </w:p>
    <w:p w14:paraId="33BEED3A"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Risk transfer: Shift responsibility for delivery, performance, and certain liabilities to external providers (Smith, 2020)</w:t>
      </w:r>
    </w:p>
    <w:p w14:paraId="791E2B14"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Cost efficiency: Competitive tendering and economies of scale can reduce capital and operational costs (Meredith and Mantel, 2018)</w:t>
      </w:r>
    </w:p>
    <w:p w14:paraId="7AE74B50" w14:textId="2CA60BC4"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Focus on core business: Free internal resources to concentrate on strategic activities rather than specialised or non</w:t>
      </w:r>
      <w:r w:rsidRPr="00072A7F">
        <w:rPr>
          <w:rFonts w:ascii="Cambria Math" w:hAnsi="Cambria Math" w:cs="Cambria Math"/>
          <w:sz w:val="22"/>
          <w:szCs w:val="22"/>
        </w:rPr>
        <w:t>‑</w:t>
      </w:r>
      <w:r w:rsidRPr="00072A7F">
        <w:rPr>
          <w:rFonts w:ascii="Arial" w:hAnsi="Arial" w:cs="Arial"/>
          <w:sz w:val="22"/>
          <w:szCs w:val="22"/>
        </w:rPr>
        <w:t>core tasks (Gray and Larson, 2020)</w:t>
      </w:r>
    </w:p>
    <w:p w14:paraId="5F7E10C7"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Capacity flexibility: Scale workforce or capability up or down without long</w:t>
      </w:r>
      <w:r w:rsidRPr="00072A7F">
        <w:rPr>
          <w:rFonts w:ascii="Cambria Math" w:hAnsi="Cambria Math" w:cs="Cambria Math"/>
          <w:sz w:val="22"/>
          <w:szCs w:val="22"/>
        </w:rPr>
        <w:t>‑</w:t>
      </w:r>
      <w:r w:rsidRPr="00072A7F">
        <w:rPr>
          <w:rFonts w:ascii="Arial" w:hAnsi="Arial" w:cs="Arial"/>
          <w:sz w:val="22"/>
          <w:szCs w:val="22"/>
        </w:rPr>
        <w:t>term employment commitments (Cooke and Williams, 2018)</w:t>
      </w:r>
    </w:p>
    <w:p w14:paraId="4B7D4F2B" w14:textId="341952BF"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However, contracting also introduces coordination burdens, dependency risks, and potential loss of control. The choice of contracting method is therefore critical and must align with project complexity, clarity of scope, available internal capability, risk appetite, and strategic </w:t>
      </w:r>
      <w:r w:rsidR="00072A7F" w:rsidRPr="00072A7F">
        <w:rPr>
          <w:rFonts w:ascii="Arial" w:hAnsi="Arial" w:cs="Arial"/>
          <w:sz w:val="22"/>
          <w:szCs w:val="22"/>
        </w:rPr>
        <w:t>goals</w:t>
      </w:r>
      <w:r w:rsidRPr="00072A7F">
        <w:rPr>
          <w:rFonts w:ascii="Arial" w:hAnsi="Arial" w:cs="Arial"/>
          <w:sz w:val="22"/>
          <w:szCs w:val="22"/>
        </w:rPr>
        <w:t xml:space="preserve"> (Morris and Pinto, 2018).</w:t>
      </w:r>
    </w:p>
    <w:p w14:paraId="09AAEA04"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This essay analyses the four defined contracting methods – Turnkey,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DIY, and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 Hybrid – explaining their features, merits, demerits, and suitability, illustrated using a medium</w:t>
      </w:r>
      <w:r w:rsidRPr="00072A7F">
        <w:rPr>
          <w:rFonts w:ascii="Cambria Math" w:hAnsi="Cambria Math" w:cs="Cambria Math"/>
          <w:sz w:val="22"/>
          <w:szCs w:val="22"/>
        </w:rPr>
        <w:t>‑</w:t>
      </w:r>
      <w:r w:rsidRPr="00072A7F">
        <w:rPr>
          <w:rFonts w:ascii="Arial" w:hAnsi="Arial" w:cs="Arial"/>
          <w:sz w:val="22"/>
          <w:szCs w:val="22"/>
        </w:rPr>
        <w:t>sized industrial plant construction project as a consistent reference case.</w:t>
      </w:r>
    </w:p>
    <w:p w14:paraId="7CE0634E" w14:textId="77777777" w:rsidR="000F6DB7" w:rsidRPr="001804BC" w:rsidRDefault="000F6DB7" w:rsidP="00072A7F">
      <w:pPr>
        <w:spacing w:line="360" w:lineRule="auto"/>
        <w:rPr>
          <w:rFonts w:ascii="Arial" w:hAnsi="Arial" w:cs="Arial"/>
          <w:b/>
          <w:bCs/>
          <w:sz w:val="28"/>
          <w:szCs w:val="28"/>
        </w:rPr>
      </w:pPr>
      <w:r w:rsidRPr="001804BC">
        <w:rPr>
          <w:rFonts w:ascii="Arial" w:hAnsi="Arial" w:cs="Arial"/>
          <w:b/>
          <w:bCs/>
          <w:sz w:val="28"/>
          <w:szCs w:val="28"/>
        </w:rPr>
        <w:t>2. Contracting Methods in Project Management</w:t>
      </w:r>
    </w:p>
    <w:p w14:paraId="309ABE27" w14:textId="77777777" w:rsidR="000F6DB7" w:rsidRPr="001804BC" w:rsidRDefault="000F6DB7" w:rsidP="00072A7F">
      <w:pPr>
        <w:spacing w:line="360" w:lineRule="auto"/>
        <w:rPr>
          <w:rFonts w:ascii="Arial" w:hAnsi="Arial" w:cs="Arial"/>
          <w:b/>
          <w:bCs/>
          <w:sz w:val="22"/>
          <w:szCs w:val="22"/>
        </w:rPr>
      </w:pPr>
      <w:r w:rsidRPr="001804BC">
        <w:rPr>
          <w:rFonts w:ascii="Arial" w:hAnsi="Arial" w:cs="Arial"/>
          <w:b/>
          <w:bCs/>
          <w:sz w:val="22"/>
          <w:szCs w:val="22"/>
        </w:rPr>
        <w:t>2.1 Turnkey Contracting</w:t>
      </w:r>
    </w:p>
    <w:p w14:paraId="5F68292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Definition and Core Features</w:t>
      </w:r>
    </w:p>
    <w:p w14:paraId="1ACFF63E"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Also known as EPC (Engineering, Procurement, Construction) or Design</w:t>
      </w:r>
      <w:r w:rsidRPr="00072A7F">
        <w:rPr>
          <w:rFonts w:ascii="Cambria Math" w:hAnsi="Cambria Math" w:cs="Cambria Math"/>
          <w:sz w:val="22"/>
          <w:szCs w:val="22"/>
        </w:rPr>
        <w:t>‑</w:t>
      </w:r>
      <w:r w:rsidRPr="00072A7F">
        <w:rPr>
          <w:rFonts w:ascii="Arial" w:hAnsi="Arial" w:cs="Arial"/>
          <w:sz w:val="22"/>
          <w:szCs w:val="22"/>
        </w:rPr>
        <w:t>Build in some contexts, Turnkey contracting involves appointing a single main contractor responsible for the complete project lifecycle: design, engineering, procurement, construction, installation, testing, commissioning, and handover of a fully operational facility ready for immediate use – “turning the key” (Oberlender, 2014; Halpin and Senior, 2011). The client provides performance specifications, functional requirements, and broad parameters; the contractor assumes full accountability for all design, execution, coordination, and integration risks. Contracts are often fixed</w:t>
      </w:r>
      <w:r w:rsidRPr="00072A7F">
        <w:rPr>
          <w:rFonts w:ascii="Cambria Math" w:hAnsi="Cambria Math" w:cs="Cambria Math"/>
          <w:sz w:val="22"/>
          <w:szCs w:val="22"/>
        </w:rPr>
        <w:t>‑</w:t>
      </w:r>
      <w:r w:rsidRPr="00072A7F">
        <w:rPr>
          <w:rFonts w:ascii="Arial" w:hAnsi="Arial" w:cs="Arial"/>
          <w:sz w:val="22"/>
          <w:szCs w:val="22"/>
        </w:rPr>
        <w:t>price or guaranteed</w:t>
      </w:r>
      <w:r w:rsidRPr="00072A7F">
        <w:rPr>
          <w:rFonts w:ascii="Cambria Math" w:hAnsi="Cambria Math" w:cs="Cambria Math"/>
          <w:sz w:val="22"/>
          <w:szCs w:val="22"/>
        </w:rPr>
        <w:t>‑</w:t>
      </w:r>
      <w:r w:rsidRPr="00072A7F">
        <w:rPr>
          <w:rFonts w:ascii="Arial" w:hAnsi="Arial" w:cs="Arial"/>
          <w:sz w:val="22"/>
          <w:szCs w:val="22"/>
        </w:rPr>
        <w:t>maximum</w:t>
      </w:r>
      <w:r w:rsidRPr="00072A7F">
        <w:rPr>
          <w:rFonts w:ascii="Cambria Math" w:hAnsi="Cambria Math" w:cs="Cambria Math"/>
          <w:sz w:val="22"/>
          <w:szCs w:val="22"/>
        </w:rPr>
        <w:t>‑</w:t>
      </w:r>
      <w:r w:rsidRPr="00072A7F">
        <w:rPr>
          <w:rFonts w:ascii="Arial" w:hAnsi="Arial" w:cs="Arial"/>
          <w:sz w:val="22"/>
          <w:szCs w:val="22"/>
        </w:rPr>
        <w:t>price arrangements (FIDIC, 2017).</w:t>
      </w:r>
    </w:p>
    <w:p w14:paraId="5550E16C"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Advantages</w:t>
      </w:r>
    </w:p>
    <w:p w14:paraId="5627F1B8"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lastRenderedPageBreak/>
        <w:t>• Single</w:t>
      </w:r>
      <w:r w:rsidRPr="00072A7F">
        <w:rPr>
          <w:rFonts w:ascii="Cambria Math" w:hAnsi="Cambria Math" w:cs="Cambria Math"/>
          <w:sz w:val="22"/>
          <w:szCs w:val="22"/>
        </w:rPr>
        <w:t>‑</w:t>
      </w:r>
      <w:r w:rsidRPr="00072A7F">
        <w:rPr>
          <w:rFonts w:ascii="Arial" w:hAnsi="Arial" w:cs="Arial"/>
          <w:sz w:val="22"/>
          <w:szCs w:val="22"/>
        </w:rPr>
        <w:t>point accountability: One organisation bears responsibility for cost, schedule, quality, and performance; minimal disputes over interfaces or coordination failures (Cooke and Williams, 2018)</w:t>
      </w:r>
    </w:p>
    <w:p w14:paraId="6BD98CB7"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Reduced client management burden: Lower internal resource requirement; oversight focus is on milestones and compliance rather than day</w:t>
      </w:r>
      <w:r w:rsidRPr="00072A7F">
        <w:rPr>
          <w:rFonts w:ascii="Cambria Math" w:hAnsi="Cambria Math" w:cs="Cambria Math"/>
          <w:sz w:val="22"/>
          <w:szCs w:val="22"/>
        </w:rPr>
        <w:t>‑</w:t>
      </w:r>
      <w:r w:rsidRPr="00072A7F">
        <w:rPr>
          <w:rFonts w:ascii="Arial" w:hAnsi="Arial" w:cs="Arial"/>
          <w:sz w:val="22"/>
          <w:szCs w:val="22"/>
        </w:rPr>
        <w:t>to</w:t>
      </w:r>
      <w:r w:rsidRPr="00072A7F">
        <w:rPr>
          <w:rFonts w:ascii="Cambria Math" w:hAnsi="Cambria Math" w:cs="Cambria Math"/>
          <w:sz w:val="22"/>
          <w:szCs w:val="22"/>
        </w:rPr>
        <w:t>‑</w:t>
      </w:r>
      <w:r w:rsidRPr="00072A7F">
        <w:rPr>
          <w:rFonts w:ascii="Arial" w:hAnsi="Arial" w:cs="Arial"/>
          <w:sz w:val="22"/>
          <w:szCs w:val="22"/>
        </w:rPr>
        <w:t>day coordination (Smith, 2020)</w:t>
      </w:r>
    </w:p>
    <w:p w14:paraId="35B322A3"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Improved schedule efficiency: Design and construction can be overlapped, reducing total duration compared to fragmented approaches (Gould and Joyce, 2014)</w:t>
      </w:r>
    </w:p>
    <w:p w14:paraId="4A0E989B"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Clear risk allocation: Most risks – design errors, integration issues, delays, cost overruns – transfer to the contractor, offering client certainty (Walker, 2015)</w:t>
      </w:r>
    </w:p>
    <w:p w14:paraId="5E00A926" w14:textId="3F8E1D80"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Disadvantages</w:t>
      </w:r>
    </w:p>
    <w:p w14:paraId="15F2C2EA"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Higher contract price: Contractor includes significant risk premiums, management overheads, and contingency, raising initial capital cost (Kerzner, 2017)</w:t>
      </w:r>
    </w:p>
    <w:p w14:paraId="481AAD8D"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Reduced client control: Limited influence over detailed design choices, procurement, or execution methods once scope is agreed; changes are costly and complex (Meredith and Mantel, 2018)</w:t>
      </w:r>
    </w:p>
    <w:p w14:paraId="63E6D4E3"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Scope definition critical: Requires fully developed, clear specifications at tender; poor definition leads to expensive change orders or disputes (PMI, 2021)</w:t>
      </w:r>
    </w:p>
    <w:p w14:paraId="79C1DA40"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Quality and performance dependency: Success relies heavily on capability, integrity, and financial stability of one contractor; failure carries high exposure (Toor and Ogunlana, 2010)</w:t>
      </w:r>
    </w:p>
    <w:p w14:paraId="299B5C32"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Suitability</w:t>
      </w:r>
    </w:p>
    <w:p w14:paraId="789EC993"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Best suited for projects with well</w:t>
      </w:r>
      <w:r w:rsidRPr="00072A7F">
        <w:rPr>
          <w:rFonts w:ascii="Cambria Math" w:hAnsi="Cambria Math" w:cs="Cambria Math"/>
          <w:sz w:val="22"/>
          <w:szCs w:val="22"/>
        </w:rPr>
        <w:t>‑</w:t>
      </w:r>
      <w:r w:rsidRPr="00072A7F">
        <w:rPr>
          <w:rFonts w:ascii="Arial" w:hAnsi="Arial" w:cs="Arial"/>
          <w:sz w:val="22"/>
          <w:szCs w:val="22"/>
        </w:rPr>
        <w:t>defined functional requirements, complex technical integration needs, and where the client lacks deep internal project management or technical capability. Examples include industrial plants, power facilities, infrastructure, or specialised manufacturing installations. For the reference industrial plant project, Turnkey would be ideal if the owner prioritises minimal involvement, maximum risk transfer, and operational certainty over detailed control or lowest upfront cost (FIDIC, 2017).</w:t>
      </w:r>
    </w:p>
    <w:p w14:paraId="7EA80A94" w14:textId="77777777" w:rsidR="000F6DB7" w:rsidRPr="001804BC" w:rsidRDefault="000F6DB7" w:rsidP="00072A7F">
      <w:pPr>
        <w:spacing w:line="360" w:lineRule="auto"/>
        <w:rPr>
          <w:rFonts w:ascii="Arial" w:hAnsi="Arial" w:cs="Arial"/>
          <w:b/>
          <w:bCs/>
          <w:sz w:val="22"/>
          <w:szCs w:val="22"/>
        </w:rPr>
      </w:pPr>
      <w:r w:rsidRPr="001804BC">
        <w:rPr>
          <w:rFonts w:ascii="Arial" w:hAnsi="Arial" w:cs="Arial"/>
          <w:b/>
          <w:bCs/>
          <w:sz w:val="22"/>
          <w:szCs w:val="22"/>
        </w:rPr>
        <w:t xml:space="preserve">2.2 </w:t>
      </w:r>
      <w:proofErr w:type="spellStart"/>
      <w:r w:rsidRPr="001804BC">
        <w:rPr>
          <w:rFonts w:ascii="Arial" w:hAnsi="Arial" w:cs="Arial"/>
          <w:b/>
          <w:bCs/>
          <w:sz w:val="22"/>
          <w:szCs w:val="22"/>
        </w:rPr>
        <w:t>Multicontract</w:t>
      </w:r>
      <w:proofErr w:type="spellEnd"/>
      <w:r w:rsidRPr="001804BC">
        <w:rPr>
          <w:rFonts w:ascii="Arial" w:hAnsi="Arial" w:cs="Arial"/>
          <w:b/>
          <w:bCs/>
          <w:sz w:val="22"/>
          <w:szCs w:val="22"/>
        </w:rPr>
        <w:t xml:space="preserve"> Method</w:t>
      </w:r>
    </w:p>
    <w:p w14:paraId="264CB69A"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Definition and Core Features</w:t>
      </w:r>
    </w:p>
    <w:p w14:paraId="48C8A92B" w14:textId="4A1439CD"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Under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contracting, the client or its project management team divides the total project into distinct, separate work packages or trade scopes such as civil works, steel fabrication, mechanical installation, electrical systems, instrumentation, and insulation and </w:t>
      </w:r>
      <w:r w:rsidRPr="00072A7F">
        <w:rPr>
          <w:rFonts w:ascii="Arial" w:hAnsi="Arial" w:cs="Arial"/>
          <w:sz w:val="22"/>
          <w:szCs w:val="22"/>
        </w:rPr>
        <w:lastRenderedPageBreak/>
        <w:t>awards individual contracts directly to different specialist contractors or suppliers (Haughey, 2016; RKS Training, 2026). The client or its appointed project manager acts as the central integrator, responsible for overall planning, scheduling, coordination, interface management, and quality control across all parties. No single entity holds end</w:t>
      </w:r>
      <w:r w:rsidRPr="00072A7F">
        <w:rPr>
          <w:rFonts w:ascii="Cambria Math" w:hAnsi="Cambria Math" w:cs="Cambria Math"/>
          <w:sz w:val="22"/>
          <w:szCs w:val="22"/>
        </w:rPr>
        <w:t>‑</w:t>
      </w:r>
      <w:r w:rsidRPr="00072A7F">
        <w:rPr>
          <w:rFonts w:ascii="Arial" w:hAnsi="Arial" w:cs="Arial"/>
          <w:sz w:val="22"/>
          <w:szCs w:val="22"/>
        </w:rPr>
        <w:t>to</w:t>
      </w:r>
      <w:r w:rsidRPr="00072A7F">
        <w:rPr>
          <w:rFonts w:ascii="Cambria Math" w:hAnsi="Cambria Math" w:cs="Cambria Math"/>
          <w:sz w:val="22"/>
          <w:szCs w:val="22"/>
        </w:rPr>
        <w:t>‑</w:t>
      </w:r>
      <w:r w:rsidRPr="00072A7F">
        <w:rPr>
          <w:rFonts w:ascii="Arial" w:hAnsi="Arial" w:cs="Arial"/>
          <w:sz w:val="22"/>
          <w:szCs w:val="22"/>
        </w:rPr>
        <w:t>end responsibility.</w:t>
      </w:r>
    </w:p>
    <w:p w14:paraId="3071C695"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Advantages</w:t>
      </w:r>
    </w:p>
    <w:p w14:paraId="7088FD84" w14:textId="11DC0ABC"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Cost optimisation: Direct engagement with specialists avoids main</w:t>
      </w:r>
      <w:r w:rsidR="00D33DE6">
        <w:rPr>
          <w:rFonts w:ascii="Cambria Math" w:hAnsi="Cambria Math" w:cs="Cambria Math"/>
          <w:sz w:val="22"/>
          <w:szCs w:val="22"/>
        </w:rPr>
        <w:t xml:space="preserve"> </w:t>
      </w:r>
      <w:r w:rsidRPr="00072A7F">
        <w:rPr>
          <w:rFonts w:ascii="Arial" w:hAnsi="Arial" w:cs="Arial"/>
          <w:sz w:val="22"/>
          <w:szCs w:val="22"/>
        </w:rPr>
        <w:t>contractor mark</w:t>
      </w:r>
      <w:r w:rsidRPr="00072A7F">
        <w:rPr>
          <w:rFonts w:ascii="Cambria Math" w:hAnsi="Cambria Math" w:cs="Cambria Math"/>
          <w:sz w:val="22"/>
          <w:szCs w:val="22"/>
        </w:rPr>
        <w:t>‑</w:t>
      </w:r>
      <w:r w:rsidRPr="00072A7F">
        <w:rPr>
          <w:rFonts w:ascii="Arial" w:hAnsi="Arial" w:cs="Arial"/>
          <w:sz w:val="22"/>
          <w:szCs w:val="22"/>
        </w:rPr>
        <w:t>ups; competition at package level improves pricing transparency and affordability (Cooke and Williams, 2018)</w:t>
      </w:r>
    </w:p>
    <w:p w14:paraId="12821A0C" w14:textId="5EF7D7BD"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Specialist capability: Each workstream is delivered by providers with deep ability in their field, potentially enhancing quality and innovation (Walker, 2015)</w:t>
      </w:r>
    </w:p>
    <w:p w14:paraId="1150142B" w14:textId="522A18FD"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Greater control and flexibility: Client keeps direct influence over design, procurement, and execution; easier to change individual packages or replace contractors without disrupting the whole project (Meredith and Mantel, 2018)</w:t>
      </w:r>
    </w:p>
    <w:p w14:paraId="6BBF0EE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Phased procurement: Work can be awarded sequentially, enabling earlier start on long</w:t>
      </w:r>
      <w:r w:rsidRPr="00072A7F">
        <w:rPr>
          <w:rFonts w:ascii="Cambria Math" w:hAnsi="Cambria Math" w:cs="Cambria Math"/>
          <w:sz w:val="22"/>
          <w:szCs w:val="22"/>
        </w:rPr>
        <w:t>‑</w:t>
      </w:r>
      <w:r w:rsidRPr="00072A7F">
        <w:rPr>
          <w:rFonts w:ascii="Arial" w:hAnsi="Arial" w:cs="Arial"/>
          <w:sz w:val="22"/>
          <w:szCs w:val="22"/>
        </w:rPr>
        <w:t>lead items and better cash</w:t>
      </w:r>
      <w:r w:rsidRPr="00072A7F">
        <w:rPr>
          <w:rFonts w:ascii="Cambria Math" w:hAnsi="Cambria Math" w:cs="Cambria Math"/>
          <w:sz w:val="22"/>
          <w:szCs w:val="22"/>
        </w:rPr>
        <w:t>‑</w:t>
      </w:r>
      <w:r w:rsidRPr="00072A7F">
        <w:rPr>
          <w:rFonts w:ascii="Arial" w:hAnsi="Arial" w:cs="Arial"/>
          <w:sz w:val="22"/>
          <w:szCs w:val="22"/>
        </w:rPr>
        <w:t>flow management (Oberlender, 2014)</w:t>
      </w:r>
    </w:p>
    <w:p w14:paraId="1B5C6BFD"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Disadvantages</w:t>
      </w:r>
    </w:p>
    <w:p w14:paraId="0C1C4AFA"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High management and coordination burden: Client carries heavy workload for planning, scheduling, interface definition, and dispute resolution; interfaces are a major risk area (Smith, 2020)</w:t>
      </w:r>
    </w:p>
    <w:p w14:paraId="0831FF1F" w14:textId="6E23D40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Kept risk: Overall integration, delay, coordination, and compatibility risks are still largely with the client organisation (PMI, 2021)</w:t>
      </w:r>
    </w:p>
    <w:p w14:paraId="1FD05364"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More administrative complexity: Multiple contracts, tender processes, and reporting lines increase governance and oversight effort (Turner, 2016)</w:t>
      </w:r>
    </w:p>
    <w:p w14:paraId="47AA3BE0"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Blame potential: When problems arise, contractors may attribute causes to other trades or design issues, complicating resolution (Gould and Joyce, 2014)</w:t>
      </w:r>
    </w:p>
    <w:p w14:paraId="5800DB0C"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Suitability</w:t>
      </w:r>
    </w:p>
    <w:p w14:paraId="3C45ED1D" w14:textId="2CA4584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Appropriate when the client owns strong in</w:t>
      </w:r>
      <w:r w:rsidRPr="00072A7F">
        <w:rPr>
          <w:rFonts w:ascii="Cambria Math" w:hAnsi="Cambria Math" w:cs="Cambria Math"/>
          <w:sz w:val="22"/>
          <w:szCs w:val="22"/>
        </w:rPr>
        <w:t>‑</w:t>
      </w:r>
      <w:r w:rsidRPr="00072A7F">
        <w:rPr>
          <w:rFonts w:ascii="Arial" w:hAnsi="Arial" w:cs="Arial"/>
          <w:sz w:val="22"/>
          <w:szCs w:val="22"/>
        </w:rPr>
        <w:t>house project management, engineering, and coordination capacity, and seeks cost efficiency alongside control. Common in large</w:t>
      </w:r>
      <w:r w:rsidRPr="00072A7F">
        <w:rPr>
          <w:rFonts w:ascii="Cambria Math" w:hAnsi="Cambria Math" w:cs="Cambria Math"/>
          <w:sz w:val="22"/>
          <w:szCs w:val="22"/>
        </w:rPr>
        <w:t>‑</w:t>
      </w:r>
      <w:r w:rsidRPr="00072A7F">
        <w:rPr>
          <w:rFonts w:ascii="Arial" w:hAnsi="Arial" w:cs="Arial"/>
          <w:sz w:val="22"/>
          <w:szCs w:val="22"/>
        </w:rPr>
        <w:t xml:space="preserve">scale industrial, infrastructure, or building projects where workstreams are relatively compartmentalised and specialist ability is critical. In the reference industrial plant example, multi-contract works well if the owner has an experienced engineering team to manage </w:t>
      </w:r>
      <w:r w:rsidRPr="00072A7F">
        <w:rPr>
          <w:rFonts w:ascii="Arial" w:hAnsi="Arial" w:cs="Arial"/>
          <w:sz w:val="22"/>
          <w:szCs w:val="22"/>
        </w:rPr>
        <w:lastRenderedPageBreak/>
        <w:t>interfaces and procurement, aiming to reduce costs and secure best</w:t>
      </w:r>
      <w:r w:rsidR="00CE48D8">
        <w:rPr>
          <w:rFonts w:ascii="Cambria Math" w:hAnsi="Cambria Math" w:cs="Cambria Math"/>
          <w:sz w:val="22"/>
          <w:szCs w:val="22"/>
        </w:rPr>
        <w:t xml:space="preserve"> </w:t>
      </w:r>
      <w:r w:rsidRPr="00072A7F">
        <w:rPr>
          <w:rFonts w:ascii="Arial" w:hAnsi="Arial" w:cs="Arial"/>
          <w:sz w:val="22"/>
          <w:szCs w:val="22"/>
        </w:rPr>
        <w:t>in</w:t>
      </w:r>
      <w:r w:rsidR="00CE48D8">
        <w:rPr>
          <w:rFonts w:ascii="Cambria Math" w:hAnsi="Cambria Math" w:cs="Cambria Math"/>
          <w:sz w:val="22"/>
          <w:szCs w:val="22"/>
        </w:rPr>
        <w:t xml:space="preserve"> </w:t>
      </w:r>
      <w:r w:rsidRPr="00072A7F">
        <w:rPr>
          <w:rFonts w:ascii="Arial" w:hAnsi="Arial" w:cs="Arial"/>
          <w:sz w:val="22"/>
          <w:szCs w:val="22"/>
        </w:rPr>
        <w:t>class performance in each discipline (Haughey, 2016).</w:t>
      </w:r>
    </w:p>
    <w:p w14:paraId="61A63C63" w14:textId="77777777" w:rsidR="000F6DB7" w:rsidRPr="007257AE" w:rsidRDefault="000F6DB7" w:rsidP="00072A7F">
      <w:pPr>
        <w:spacing w:line="360" w:lineRule="auto"/>
        <w:rPr>
          <w:rFonts w:ascii="Arial" w:hAnsi="Arial" w:cs="Arial"/>
          <w:b/>
          <w:bCs/>
          <w:sz w:val="22"/>
          <w:szCs w:val="22"/>
        </w:rPr>
      </w:pPr>
      <w:r w:rsidRPr="007257AE">
        <w:rPr>
          <w:rFonts w:ascii="Arial" w:hAnsi="Arial" w:cs="Arial"/>
          <w:b/>
          <w:bCs/>
          <w:sz w:val="22"/>
          <w:szCs w:val="22"/>
        </w:rPr>
        <w:t>2.3 Do</w:t>
      </w:r>
      <w:r w:rsidRPr="007257AE">
        <w:rPr>
          <w:rFonts w:ascii="Cambria Math" w:hAnsi="Cambria Math" w:cs="Cambria Math"/>
          <w:b/>
          <w:bCs/>
          <w:sz w:val="22"/>
          <w:szCs w:val="22"/>
        </w:rPr>
        <w:t>‑</w:t>
      </w:r>
      <w:r w:rsidRPr="007257AE">
        <w:rPr>
          <w:rFonts w:ascii="Arial" w:hAnsi="Arial" w:cs="Arial"/>
          <w:b/>
          <w:bCs/>
          <w:sz w:val="22"/>
          <w:szCs w:val="22"/>
        </w:rPr>
        <w:t>It</w:t>
      </w:r>
      <w:r w:rsidRPr="007257AE">
        <w:rPr>
          <w:rFonts w:ascii="Cambria Math" w:hAnsi="Cambria Math" w:cs="Cambria Math"/>
          <w:b/>
          <w:bCs/>
          <w:sz w:val="22"/>
          <w:szCs w:val="22"/>
        </w:rPr>
        <w:t>‑</w:t>
      </w:r>
      <w:r w:rsidRPr="007257AE">
        <w:rPr>
          <w:rFonts w:ascii="Arial" w:hAnsi="Arial" w:cs="Arial"/>
          <w:b/>
          <w:bCs/>
          <w:sz w:val="22"/>
          <w:szCs w:val="22"/>
        </w:rPr>
        <w:t>Yourself (DIY) Contracting</w:t>
      </w:r>
    </w:p>
    <w:p w14:paraId="3CA8E11E"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Definition and Core Features</w:t>
      </w:r>
    </w:p>
    <w:p w14:paraId="2FC33646" w14:textId="2D6C895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Also referred to as </w:t>
      </w:r>
      <w:r w:rsidR="00CE48D8" w:rsidRPr="00072A7F">
        <w:rPr>
          <w:rFonts w:ascii="Arial" w:hAnsi="Arial" w:cs="Arial"/>
          <w:sz w:val="22"/>
          <w:szCs w:val="22"/>
        </w:rPr>
        <w:t>self</w:t>
      </w:r>
      <w:r w:rsidR="00CE48D8">
        <w:rPr>
          <w:rFonts w:ascii="Cambria Math" w:hAnsi="Cambria Math" w:cs="Cambria Math"/>
          <w:sz w:val="22"/>
          <w:szCs w:val="22"/>
        </w:rPr>
        <w:t>-</w:t>
      </w:r>
      <w:r w:rsidR="00CE48D8" w:rsidRPr="00072A7F">
        <w:rPr>
          <w:rFonts w:ascii="Arial" w:hAnsi="Arial" w:cs="Arial"/>
          <w:sz w:val="22"/>
          <w:szCs w:val="22"/>
        </w:rPr>
        <w:t>managed</w:t>
      </w:r>
      <w:r w:rsidRPr="00072A7F">
        <w:rPr>
          <w:rFonts w:ascii="Arial" w:hAnsi="Arial" w:cs="Arial"/>
          <w:sz w:val="22"/>
          <w:szCs w:val="22"/>
        </w:rPr>
        <w:t xml:space="preserve"> or direct labour contracting, DIY means the client organisation acts as its own main contractor: it directly employs or engages individual trades, suppliers, and subcontractors, and carries out all project management, coordination, design, procurement, and administrative functions internally (Helio Urban Development, 2025; </w:t>
      </w:r>
      <w:proofErr w:type="spellStart"/>
      <w:r w:rsidRPr="00072A7F">
        <w:rPr>
          <w:rFonts w:ascii="Arial" w:hAnsi="Arial" w:cs="Arial"/>
          <w:sz w:val="22"/>
          <w:szCs w:val="22"/>
        </w:rPr>
        <w:t>Raghdan</w:t>
      </w:r>
      <w:proofErr w:type="spellEnd"/>
      <w:r w:rsidRPr="00072A7F">
        <w:rPr>
          <w:rFonts w:ascii="Arial" w:hAnsi="Arial" w:cs="Arial"/>
          <w:sz w:val="22"/>
          <w:szCs w:val="22"/>
        </w:rPr>
        <w:t xml:space="preserve"> Real Estate, 2026). It stands for the opposite end of the spectrum from Turnkey, with minimal external contracting and maximum internal control.</w:t>
      </w:r>
    </w:p>
    <w:p w14:paraId="52F845BA"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Advantages</w:t>
      </w:r>
    </w:p>
    <w:p w14:paraId="7308841A" w14:textId="46262E66"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Maximum control: Full authority over design, materials, methods, schedule, and team </w:t>
      </w:r>
      <w:r w:rsidR="00482197" w:rsidRPr="00072A7F">
        <w:rPr>
          <w:rFonts w:ascii="Arial" w:hAnsi="Arial" w:cs="Arial"/>
          <w:sz w:val="22"/>
          <w:szCs w:val="22"/>
        </w:rPr>
        <w:t>choice</w:t>
      </w:r>
      <w:r w:rsidRPr="00072A7F">
        <w:rPr>
          <w:rFonts w:ascii="Arial" w:hAnsi="Arial" w:cs="Arial"/>
          <w:sz w:val="22"/>
          <w:szCs w:val="22"/>
        </w:rPr>
        <w:t>; no external intermediaries (Kerzner, 2017)</w:t>
      </w:r>
    </w:p>
    <w:p w14:paraId="07931C44" w14:textId="37F91424"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Potential lowest cost: </w:t>
      </w:r>
      <w:r w:rsidR="00482197" w:rsidRPr="00072A7F">
        <w:rPr>
          <w:rFonts w:ascii="Arial" w:hAnsi="Arial" w:cs="Arial"/>
          <w:sz w:val="22"/>
          <w:szCs w:val="22"/>
        </w:rPr>
        <w:t>Drops</w:t>
      </w:r>
      <w:r w:rsidRPr="00072A7F">
        <w:rPr>
          <w:rFonts w:ascii="Arial" w:hAnsi="Arial" w:cs="Arial"/>
          <w:sz w:val="22"/>
          <w:szCs w:val="22"/>
        </w:rPr>
        <w:t xml:space="preserve"> all contractor overheads, management fees, and risk premiums; direct purchasing can improve margins (Meredith and Mantel, 2018)</w:t>
      </w:r>
    </w:p>
    <w:p w14:paraId="4930347B"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High flexibility: Fast decision</w:t>
      </w:r>
      <w:r w:rsidRPr="00072A7F">
        <w:rPr>
          <w:rFonts w:ascii="Cambria Math" w:hAnsi="Cambria Math" w:cs="Cambria Math"/>
          <w:sz w:val="22"/>
          <w:szCs w:val="22"/>
        </w:rPr>
        <w:t>‑</w:t>
      </w:r>
      <w:r w:rsidRPr="00072A7F">
        <w:rPr>
          <w:rFonts w:ascii="Arial" w:hAnsi="Arial" w:cs="Arial"/>
          <w:sz w:val="22"/>
          <w:szCs w:val="22"/>
        </w:rPr>
        <w:t>making and adaptability to changes without complex contract variations (Gray and Larson, 2020)</w:t>
      </w:r>
    </w:p>
    <w:p w14:paraId="71AD5665"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Capability development: Builds internal competence, knowledge, and intellectual capital for future projects (Walker, 2015)</w:t>
      </w:r>
    </w:p>
    <w:p w14:paraId="02F63AF1"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Disadvantages</w:t>
      </w:r>
    </w:p>
    <w:p w14:paraId="1E3FE659" w14:textId="768E8424"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Highest management burden: Requires extensive internal </w:t>
      </w:r>
      <w:r w:rsidR="00482197" w:rsidRPr="00072A7F">
        <w:rPr>
          <w:rFonts w:ascii="Arial" w:hAnsi="Arial" w:cs="Arial"/>
          <w:sz w:val="22"/>
          <w:szCs w:val="22"/>
        </w:rPr>
        <w:t>ability</w:t>
      </w:r>
      <w:r w:rsidRPr="00072A7F">
        <w:rPr>
          <w:rFonts w:ascii="Arial" w:hAnsi="Arial" w:cs="Arial"/>
          <w:sz w:val="22"/>
          <w:szCs w:val="22"/>
        </w:rPr>
        <w:t xml:space="preserve">, time, resources, and capacity; failure in planning or coordination directly </w:t>
      </w:r>
      <w:r w:rsidR="00482197" w:rsidRPr="00072A7F">
        <w:rPr>
          <w:rFonts w:ascii="Arial" w:hAnsi="Arial" w:cs="Arial"/>
          <w:sz w:val="22"/>
          <w:szCs w:val="22"/>
        </w:rPr>
        <w:t>changes</w:t>
      </w:r>
      <w:r w:rsidRPr="00072A7F">
        <w:rPr>
          <w:rFonts w:ascii="Arial" w:hAnsi="Arial" w:cs="Arial"/>
          <w:sz w:val="22"/>
          <w:szCs w:val="22"/>
        </w:rPr>
        <w:t xml:space="preserve"> outcomes (Smith, 2020)</w:t>
      </w:r>
    </w:p>
    <w:p w14:paraId="5949A25A" w14:textId="30B89EC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Full risk retention: Client bears all </w:t>
      </w:r>
      <w:r w:rsidR="00AC4B95" w:rsidRPr="00072A7F">
        <w:rPr>
          <w:rFonts w:ascii="Arial" w:hAnsi="Arial" w:cs="Arial"/>
          <w:sz w:val="22"/>
          <w:szCs w:val="22"/>
        </w:rPr>
        <w:t>risk</w:t>
      </w:r>
      <w:r w:rsidRPr="00072A7F">
        <w:rPr>
          <w:rFonts w:ascii="Arial" w:hAnsi="Arial" w:cs="Arial"/>
          <w:sz w:val="22"/>
          <w:szCs w:val="22"/>
        </w:rPr>
        <w:t xml:space="preserve"> technical, financial, schedule, safety, compliance, and quality</w:t>
      </w:r>
      <w:r w:rsidR="00AC4B95">
        <w:rPr>
          <w:rFonts w:ascii="Arial" w:hAnsi="Arial" w:cs="Arial"/>
          <w:sz w:val="22"/>
          <w:szCs w:val="22"/>
        </w:rPr>
        <w:t xml:space="preserve"> </w:t>
      </w:r>
      <w:r w:rsidRPr="00072A7F">
        <w:rPr>
          <w:rFonts w:ascii="Arial" w:hAnsi="Arial" w:cs="Arial"/>
          <w:sz w:val="22"/>
          <w:szCs w:val="22"/>
        </w:rPr>
        <w:t>with no transfer mechanisms (PMI, 2021)</w:t>
      </w:r>
    </w:p>
    <w:p w14:paraId="327082FA" w14:textId="738B8301"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Limited specialist depth: May lack niche skills or experience available in </w:t>
      </w:r>
      <w:r w:rsidR="00482197" w:rsidRPr="00072A7F">
        <w:rPr>
          <w:rFonts w:ascii="Arial" w:hAnsi="Arial" w:cs="Arial"/>
          <w:sz w:val="22"/>
          <w:szCs w:val="22"/>
        </w:rPr>
        <w:t>set up</w:t>
      </w:r>
      <w:r w:rsidRPr="00072A7F">
        <w:rPr>
          <w:rFonts w:ascii="Arial" w:hAnsi="Arial" w:cs="Arial"/>
          <w:sz w:val="22"/>
          <w:szCs w:val="22"/>
        </w:rPr>
        <w:t xml:space="preserve"> contracting firms; higher exposure to errors or delays (Oberlender, 2014)</w:t>
      </w:r>
    </w:p>
    <w:p w14:paraId="1A69E06B"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Compliance and liability exposure: Client assumes full responsibility for regulatory adherence, safety, insurance, and warranties (Cooke and Williams, 2018)</w:t>
      </w:r>
    </w:p>
    <w:p w14:paraId="40329129"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Suitability</w:t>
      </w:r>
    </w:p>
    <w:p w14:paraId="2C5C35CD" w14:textId="1A7895F9"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lastRenderedPageBreak/>
        <w:t xml:space="preserve">Most </w:t>
      </w:r>
      <w:r w:rsidR="00482197" w:rsidRPr="00072A7F">
        <w:rPr>
          <w:rFonts w:ascii="Arial" w:hAnsi="Arial" w:cs="Arial"/>
          <w:sz w:val="22"/>
          <w:szCs w:val="22"/>
        </w:rPr>
        <w:t>workable</w:t>
      </w:r>
      <w:r w:rsidRPr="00072A7F">
        <w:rPr>
          <w:rFonts w:ascii="Arial" w:hAnsi="Arial" w:cs="Arial"/>
          <w:sz w:val="22"/>
          <w:szCs w:val="22"/>
        </w:rPr>
        <w:t xml:space="preserve"> for small</w:t>
      </w:r>
      <w:r w:rsidRPr="00072A7F">
        <w:rPr>
          <w:rFonts w:ascii="Cambria Math" w:hAnsi="Cambria Math" w:cs="Cambria Math"/>
          <w:sz w:val="22"/>
          <w:szCs w:val="22"/>
        </w:rPr>
        <w:t>‑</w:t>
      </w:r>
      <w:r w:rsidRPr="00072A7F">
        <w:rPr>
          <w:rFonts w:ascii="Arial" w:hAnsi="Arial" w:cs="Arial"/>
          <w:sz w:val="22"/>
          <w:szCs w:val="22"/>
        </w:rPr>
        <w:t>to</w:t>
      </w:r>
      <w:r w:rsidRPr="00072A7F">
        <w:rPr>
          <w:rFonts w:ascii="Cambria Math" w:hAnsi="Cambria Math" w:cs="Cambria Math"/>
          <w:sz w:val="22"/>
          <w:szCs w:val="22"/>
        </w:rPr>
        <w:t>‑</w:t>
      </w:r>
      <w:r w:rsidRPr="00072A7F">
        <w:rPr>
          <w:rFonts w:ascii="Arial" w:hAnsi="Arial" w:cs="Arial"/>
          <w:sz w:val="22"/>
          <w:szCs w:val="22"/>
        </w:rPr>
        <w:t xml:space="preserve">medium projects, simple </w:t>
      </w:r>
      <w:r w:rsidR="00482197" w:rsidRPr="00072A7F">
        <w:rPr>
          <w:rFonts w:ascii="Arial" w:hAnsi="Arial" w:cs="Arial"/>
          <w:sz w:val="22"/>
          <w:szCs w:val="22"/>
        </w:rPr>
        <w:t>work scopes</w:t>
      </w:r>
      <w:r w:rsidRPr="00072A7F">
        <w:rPr>
          <w:rFonts w:ascii="Arial" w:hAnsi="Arial" w:cs="Arial"/>
          <w:sz w:val="22"/>
          <w:szCs w:val="22"/>
        </w:rPr>
        <w:t>, or organisations with substantial internal engineering, construction, and management resources. For the industrial plant example, DIY is only realistic if the owner is a large industrial operator with fully equipped engineering and construction departments; otherwise, complexity and risk levels make it impractical and hazardous. It is widely used for maintenance, upgrades, expansions, or facilities management works within established organisations (Helio Urban Development, 2025).</w:t>
      </w:r>
    </w:p>
    <w:p w14:paraId="6888C4A0" w14:textId="77777777" w:rsidR="000F6DB7" w:rsidRPr="00DC5C01" w:rsidRDefault="000F6DB7" w:rsidP="00072A7F">
      <w:pPr>
        <w:spacing w:line="360" w:lineRule="auto"/>
        <w:rPr>
          <w:rFonts w:ascii="Arial" w:hAnsi="Arial" w:cs="Arial"/>
          <w:b/>
          <w:bCs/>
          <w:sz w:val="22"/>
          <w:szCs w:val="22"/>
        </w:rPr>
      </w:pPr>
      <w:r w:rsidRPr="00DC5C01">
        <w:rPr>
          <w:rFonts w:ascii="Arial" w:hAnsi="Arial" w:cs="Arial"/>
          <w:b/>
          <w:bCs/>
          <w:sz w:val="22"/>
          <w:szCs w:val="22"/>
        </w:rPr>
        <w:t xml:space="preserve">2.4 </w:t>
      </w:r>
      <w:proofErr w:type="spellStart"/>
      <w:r w:rsidRPr="00DC5C01">
        <w:rPr>
          <w:rFonts w:ascii="Arial" w:hAnsi="Arial" w:cs="Arial"/>
          <w:b/>
          <w:bCs/>
          <w:sz w:val="22"/>
          <w:szCs w:val="22"/>
        </w:rPr>
        <w:t>Multicontract</w:t>
      </w:r>
      <w:proofErr w:type="spellEnd"/>
      <w:r w:rsidRPr="00DC5C01">
        <w:rPr>
          <w:rFonts w:ascii="Arial" w:hAnsi="Arial" w:cs="Arial"/>
          <w:b/>
          <w:bCs/>
          <w:sz w:val="22"/>
          <w:szCs w:val="22"/>
        </w:rPr>
        <w:t xml:space="preserve"> + DIY Hybrid Method</w:t>
      </w:r>
    </w:p>
    <w:p w14:paraId="380B741E"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Definition and Core Features</w:t>
      </w:r>
    </w:p>
    <w:p w14:paraId="03E91EB1" w14:textId="26C8D91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This approach combines elements of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and DIY: the client retains direct management and performs key activities internally such as overall design, project management, civil works, or core assembly while contracting out specialised, high</w:t>
      </w:r>
      <w:r w:rsidRPr="00072A7F">
        <w:rPr>
          <w:rFonts w:ascii="Cambria Math" w:hAnsi="Cambria Math" w:cs="Cambria Math"/>
          <w:sz w:val="22"/>
          <w:szCs w:val="22"/>
        </w:rPr>
        <w:t>‑</w:t>
      </w:r>
      <w:r w:rsidRPr="00072A7F">
        <w:rPr>
          <w:rFonts w:ascii="Arial" w:hAnsi="Arial" w:cs="Arial"/>
          <w:sz w:val="22"/>
          <w:szCs w:val="22"/>
        </w:rPr>
        <w:t>risk, or resource</w:t>
      </w:r>
      <w:r w:rsidRPr="00072A7F">
        <w:rPr>
          <w:rFonts w:ascii="Cambria Math" w:hAnsi="Cambria Math" w:cs="Cambria Math"/>
          <w:sz w:val="22"/>
          <w:szCs w:val="22"/>
        </w:rPr>
        <w:t>‑</w:t>
      </w:r>
      <w:r w:rsidRPr="00072A7F">
        <w:rPr>
          <w:rFonts w:ascii="Arial" w:hAnsi="Arial" w:cs="Arial"/>
          <w:sz w:val="22"/>
          <w:szCs w:val="22"/>
        </w:rPr>
        <w:t xml:space="preserve">intensive packages to external specialists (Haughey, 2016; Morris and Pinto, 2018). It is a flexible strategy to balance control, cost, risk, and capability needs, allowing the organisation to </w:t>
      </w:r>
      <w:r w:rsidR="00482197" w:rsidRPr="00072A7F">
        <w:rPr>
          <w:rFonts w:ascii="Arial" w:hAnsi="Arial" w:cs="Arial"/>
          <w:sz w:val="22"/>
          <w:szCs w:val="22"/>
        </w:rPr>
        <w:t>use</w:t>
      </w:r>
      <w:r w:rsidRPr="00072A7F">
        <w:rPr>
          <w:rFonts w:ascii="Arial" w:hAnsi="Arial" w:cs="Arial"/>
          <w:sz w:val="22"/>
          <w:szCs w:val="22"/>
        </w:rPr>
        <w:t xml:space="preserve"> internal strengths while accessing external </w:t>
      </w:r>
      <w:r w:rsidR="00482197" w:rsidRPr="00072A7F">
        <w:rPr>
          <w:rFonts w:ascii="Arial" w:hAnsi="Arial" w:cs="Arial"/>
          <w:sz w:val="22"/>
          <w:szCs w:val="22"/>
        </w:rPr>
        <w:t>ability</w:t>
      </w:r>
      <w:r w:rsidRPr="00072A7F">
        <w:rPr>
          <w:rFonts w:ascii="Arial" w:hAnsi="Arial" w:cs="Arial"/>
          <w:sz w:val="22"/>
          <w:szCs w:val="22"/>
        </w:rPr>
        <w:t xml:space="preserve"> where gaps exist.</w:t>
      </w:r>
    </w:p>
    <w:p w14:paraId="598D8CC9"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Advantages</w:t>
      </w:r>
    </w:p>
    <w:p w14:paraId="1E13395D" w14:textId="61D724C9"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Balanced control and </w:t>
      </w:r>
      <w:r w:rsidR="00482197" w:rsidRPr="00072A7F">
        <w:rPr>
          <w:rFonts w:ascii="Arial" w:hAnsi="Arial" w:cs="Arial"/>
          <w:sz w:val="22"/>
          <w:szCs w:val="22"/>
        </w:rPr>
        <w:t>ability</w:t>
      </w:r>
      <w:r w:rsidRPr="00072A7F">
        <w:rPr>
          <w:rFonts w:ascii="Arial" w:hAnsi="Arial" w:cs="Arial"/>
          <w:sz w:val="22"/>
          <w:szCs w:val="22"/>
        </w:rPr>
        <w:t xml:space="preserve">: </w:t>
      </w:r>
      <w:r w:rsidR="00482197" w:rsidRPr="00072A7F">
        <w:rPr>
          <w:rFonts w:ascii="Arial" w:hAnsi="Arial" w:cs="Arial"/>
          <w:sz w:val="22"/>
          <w:szCs w:val="22"/>
        </w:rPr>
        <w:t>Keeps</w:t>
      </w:r>
      <w:r w:rsidRPr="00072A7F">
        <w:rPr>
          <w:rFonts w:ascii="Arial" w:hAnsi="Arial" w:cs="Arial"/>
          <w:sz w:val="22"/>
          <w:szCs w:val="22"/>
        </w:rPr>
        <w:t xml:space="preserve"> oversight and core activities internally while outsourcing complex or specialised work to proven providers (Walker, 2015)</w:t>
      </w:r>
    </w:p>
    <w:p w14:paraId="4186C172" w14:textId="5A771AEB"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Optimised cost and risk: Avoids full outsourcing premiums but does not carry all risks alone; </w:t>
      </w:r>
      <w:r w:rsidR="00482197" w:rsidRPr="00072A7F">
        <w:rPr>
          <w:rFonts w:ascii="Arial" w:hAnsi="Arial" w:cs="Arial"/>
          <w:sz w:val="22"/>
          <w:szCs w:val="22"/>
        </w:rPr>
        <w:t>distributes</w:t>
      </w:r>
      <w:r w:rsidRPr="00072A7F">
        <w:rPr>
          <w:rFonts w:ascii="Arial" w:hAnsi="Arial" w:cs="Arial"/>
          <w:sz w:val="22"/>
          <w:szCs w:val="22"/>
        </w:rPr>
        <w:t xml:space="preserve"> tasks according to capability and risk profile (Smith, 2020)</w:t>
      </w:r>
    </w:p>
    <w:p w14:paraId="54A6CC31"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Strategic resource use: Focuses internal teams on critical path or core</w:t>
      </w:r>
      <w:r w:rsidRPr="00072A7F">
        <w:rPr>
          <w:rFonts w:ascii="Cambria Math" w:hAnsi="Cambria Math" w:cs="Cambria Math"/>
          <w:sz w:val="22"/>
          <w:szCs w:val="22"/>
        </w:rPr>
        <w:t>‑</w:t>
      </w:r>
      <w:r w:rsidRPr="00072A7F">
        <w:rPr>
          <w:rFonts w:ascii="Arial" w:hAnsi="Arial" w:cs="Arial"/>
          <w:sz w:val="22"/>
          <w:szCs w:val="22"/>
        </w:rPr>
        <w:t>competence work, using contractors for peak demand or niche requirements (Meredith and Mantel, 2018)</w:t>
      </w:r>
    </w:p>
    <w:p w14:paraId="3ED50F73"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Adaptability: Highly configurable to project needs and changing circumstances; easier to adjust scope or execution strategy (Gray and Larson, 2020)</w:t>
      </w:r>
    </w:p>
    <w:p w14:paraId="402134D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Disadvantages</w:t>
      </w:r>
    </w:p>
    <w:p w14:paraId="4DE38347"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Coordination complexity: Requires careful definition of boundaries, interfaces, and responsibilities between internal and external teams to avoid gaps or overlaps (Turner, 2016)</w:t>
      </w:r>
    </w:p>
    <w:p w14:paraId="49CB511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Dual management systems: Must manage both internal workflows and external contracts, increasing administrative and interface effort (Cooke and Williams, 2018)</w:t>
      </w:r>
    </w:p>
    <w:p w14:paraId="505C6286"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Clear governance essential: Success depends on robust procedures, communication, and interface management; ambiguity leads to delays and disputes (PMI, 2021)</w:t>
      </w:r>
    </w:p>
    <w:p w14:paraId="459E78DB" w14:textId="7D1C39E0"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lastRenderedPageBreak/>
        <w:t xml:space="preserve">• Partial risk exposure: Client </w:t>
      </w:r>
      <w:r w:rsidR="00482197" w:rsidRPr="00072A7F">
        <w:rPr>
          <w:rFonts w:ascii="Arial" w:hAnsi="Arial" w:cs="Arial"/>
          <w:sz w:val="22"/>
          <w:szCs w:val="22"/>
        </w:rPr>
        <w:t>keeps</w:t>
      </w:r>
      <w:r w:rsidRPr="00072A7F">
        <w:rPr>
          <w:rFonts w:ascii="Arial" w:hAnsi="Arial" w:cs="Arial"/>
          <w:sz w:val="22"/>
          <w:szCs w:val="22"/>
        </w:rPr>
        <w:t xml:space="preserve"> significant risk alongside benefits, demanding strong oversight and integration capability (Kerzner, 2017)</w:t>
      </w:r>
    </w:p>
    <w:p w14:paraId="103C35FA" w14:textId="77777777" w:rsidR="00DC5C01" w:rsidRDefault="000F6DB7" w:rsidP="00072A7F">
      <w:pPr>
        <w:spacing w:line="360" w:lineRule="auto"/>
        <w:rPr>
          <w:rFonts w:ascii="Arial" w:hAnsi="Arial" w:cs="Arial"/>
          <w:sz w:val="22"/>
          <w:szCs w:val="22"/>
        </w:rPr>
      </w:pPr>
      <w:r w:rsidRPr="00072A7F">
        <w:rPr>
          <w:rFonts w:ascii="Arial" w:hAnsi="Arial" w:cs="Arial"/>
          <w:sz w:val="22"/>
          <w:szCs w:val="22"/>
        </w:rPr>
        <w:t>Suitability</w:t>
      </w:r>
    </w:p>
    <w:p w14:paraId="353B94B2" w14:textId="2248CD0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Ideal for medium</w:t>
      </w:r>
      <w:r w:rsidR="00482197" w:rsidRPr="00072A7F">
        <w:rPr>
          <w:rFonts w:ascii="Arial" w:hAnsi="Arial" w:cs="Arial"/>
          <w:sz w:val="22"/>
          <w:szCs w:val="22"/>
        </w:rPr>
        <w:t xml:space="preserve"> </w:t>
      </w:r>
      <w:r w:rsidRPr="00072A7F">
        <w:rPr>
          <w:rFonts w:ascii="Arial" w:hAnsi="Arial" w:cs="Arial"/>
          <w:sz w:val="22"/>
          <w:szCs w:val="22"/>
        </w:rPr>
        <w:t>to</w:t>
      </w:r>
      <w:r w:rsidR="00482197" w:rsidRPr="00072A7F">
        <w:rPr>
          <w:rFonts w:ascii="Arial" w:hAnsi="Arial" w:cs="Arial"/>
          <w:sz w:val="22"/>
          <w:szCs w:val="22"/>
        </w:rPr>
        <w:t xml:space="preserve"> </w:t>
      </w:r>
      <w:r w:rsidRPr="00072A7F">
        <w:rPr>
          <w:rFonts w:ascii="Arial" w:hAnsi="Arial" w:cs="Arial"/>
          <w:sz w:val="22"/>
          <w:szCs w:val="22"/>
        </w:rPr>
        <w:t xml:space="preserve">large projects where the organisation has </w:t>
      </w:r>
      <w:r w:rsidR="00482197" w:rsidRPr="00072A7F">
        <w:rPr>
          <w:rFonts w:ascii="Arial" w:hAnsi="Arial" w:cs="Arial"/>
          <w:sz w:val="22"/>
          <w:szCs w:val="22"/>
        </w:rPr>
        <w:t>large</w:t>
      </w:r>
      <w:r w:rsidRPr="00072A7F">
        <w:rPr>
          <w:rFonts w:ascii="Arial" w:hAnsi="Arial" w:cs="Arial"/>
          <w:sz w:val="22"/>
          <w:szCs w:val="22"/>
        </w:rPr>
        <w:t xml:space="preserve"> but not comprehensive capability, or where certain work packages are highly specialised or require temporary capacity. In the industrial plant example, the owner might undertake civil construction, project management, and basic engineering internally, while contracting out process equipment supply, automation, and high</w:t>
      </w:r>
      <w:r w:rsidRPr="00072A7F">
        <w:rPr>
          <w:rFonts w:ascii="Cambria Math" w:hAnsi="Cambria Math" w:cs="Cambria Math"/>
          <w:sz w:val="22"/>
          <w:szCs w:val="22"/>
        </w:rPr>
        <w:t>‑</w:t>
      </w:r>
      <w:r w:rsidRPr="00072A7F">
        <w:rPr>
          <w:rFonts w:ascii="Arial" w:hAnsi="Arial" w:cs="Arial"/>
          <w:sz w:val="22"/>
          <w:szCs w:val="22"/>
        </w:rPr>
        <w:t>purity piping installation to qualified specialists a very common delivery model in industrial sectors (FIDIC, 2017; Haughey, 2016).</w:t>
      </w:r>
    </w:p>
    <w:p w14:paraId="49C44D80" w14:textId="77777777" w:rsidR="000F6DB7" w:rsidRDefault="000F6DB7" w:rsidP="00072A7F">
      <w:pPr>
        <w:spacing w:line="360" w:lineRule="auto"/>
        <w:rPr>
          <w:rFonts w:ascii="Arial" w:hAnsi="Arial" w:cs="Arial"/>
          <w:b/>
          <w:bCs/>
          <w:sz w:val="32"/>
          <w:szCs w:val="32"/>
        </w:rPr>
      </w:pPr>
      <w:r w:rsidRPr="00DC5C01">
        <w:rPr>
          <w:rFonts w:ascii="Arial" w:hAnsi="Arial" w:cs="Arial"/>
          <w:b/>
          <w:bCs/>
          <w:sz w:val="32"/>
          <w:szCs w:val="32"/>
        </w:rPr>
        <w:t>3. Comparative Analysis and Selection Guidance</w:t>
      </w:r>
    </w:p>
    <w:tbl>
      <w:tblPr>
        <w:tblStyle w:val="TableGrid"/>
        <w:tblW w:w="9351" w:type="dxa"/>
        <w:tblLook w:val="04A0" w:firstRow="1" w:lastRow="0" w:firstColumn="1" w:lastColumn="0" w:noHBand="0" w:noVBand="1"/>
      </w:tblPr>
      <w:tblGrid>
        <w:gridCol w:w="2281"/>
        <w:gridCol w:w="1244"/>
        <w:gridCol w:w="1598"/>
        <w:gridCol w:w="2515"/>
        <w:gridCol w:w="1713"/>
      </w:tblGrid>
      <w:tr w:rsidR="00EA5BA7" w14:paraId="22A4ECF6" w14:textId="77777777" w:rsidTr="00A85441">
        <w:tc>
          <w:tcPr>
            <w:tcW w:w="2430" w:type="dxa"/>
            <w:shd w:val="clear" w:color="auto" w:fill="E8E8E8" w:themeFill="background2"/>
          </w:tcPr>
          <w:p w14:paraId="0A3B019E" w14:textId="1210A6CD" w:rsidR="00EA5BA7" w:rsidRPr="00BC1466" w:rsidRDefault="00522EC8" w:rsidP="00072A7F">
            <w:pPr>
              <w:spacing w:line="360" w:lineRule="auto"/>
              <w:rPr>
                <w:rFonts w:ascii="Arial" w:hAnsi="Arial" w:cs="Arial"/>
                <w:b/>
                <w:bCs/>
                <w:sz w:val="32"/>
                <w:szCs w:val="32"/>
              </w:rPr>
            </w:pPr>
            <w:r w:rsidRPr="00BC1466">
              <w:rPr>
                <w:rFonts w:ascii="Arial" w:hAnsi="Arial" w:cs="Arial"/>
                <w:b/>
                <w:bCs/>
                <w:sz w:val="22"/>
                <w:szCs w:val="22"/>
              </w:rPr>
              <w:t>Feature</w:t>
            </w:r>
          </w:p>
        </w:tc>
        <w:tc>
          <w:tcPr>
            <w:tcW w:w="1244" w:type="dxa"/>
            <w:shd w:val="clear" w:color="auto" w:fill="E8E8E8" w:themeFill="background2"/>
          </w:tcPr>
          <w:p w14:paraId="14B9C718" w14:textId="68AB3BCB" w:rsidR="00EA5BA7" w:rsidRPr="00BC1466" w:rsidRDefault="00522EC8" w:rsidP="00072A7F">
            <w:pPr>
              <w:spacing w:line="360" w:lineRule="auto"/>
              <w:rPr>
                <w:rFonts w:ascii="Arial" w:hAnsi="Arial" w:cs="Arial"/>
                <w:b/>
                <w:bCs/>
                <w:sz w:val="32"/>
                <w:szCs w:val="32"/>
              </w:rPr>
            </w:pPr>
            <w:r w:rsidRPr="00BC1466">
              <w:rPr>
                <w:rFonts w:ascii="Arial" w:hAnsi="Arial" w:cs="Arial"/>
                <w:b/>
                <w:bCs/>
                <w:sz w:val="22"/>
                <w:szCs w:val="22"/>
              </w:rPr>
              <w:t>Turnkey</w:t>
            </w:r>
          </w:p>
        </w:tc>
        <w:tc>
          <w:tcPr>
            <w:tcW w:w="1141" w:type="dxa"/>
            <w:shd w:val="clear" w:color="auto" w:fill="E8E8E8" w:themeFill="background2"/>
          </w:tcPr>
          <w:p w14:paraId="36179C24" w14:textId="58772863" w:rsidR="00EA5BA7" w:rsidRPr="00BC1466" w:rsidRDefault="00522EC8" w:rsidP="00072A7F">
            <w:pPr>
              <w:spacing w:line="360" w:lineRule="auto"/>
              <w:rPr>
                <w:rFonts w:ascii="Arial" w:hAnsi="Arial" w:cs="Arial"/>
                <w:b/>
                <w:bCs/>
                <w:sz w:val="32"/>
                <w:szCs w:val="32"/>
              </w:rPr>
            </w:pPr>
            <w:proofErr w:type="spellStart"/>
            <w:r w:rsidRPr="00BC1466">
              <w:rPr>
                <w:rFonts w:ascii="Arial" w:hAnsi="Arial" w:cs="Arial"/>
                <w:b/>
                <w:bCs/>
                <w:sz w:val="22"/>
                <w:szCs w:val="22"/>
              </w:rPr>
              <w:t>Multicontract</w:t>
            </w:r>
            <w:proofErr w:type="spellEnd"/>
          </w:p>
        </w:tc>
        <w:tc>
          <w:tcPr>
            <w:tcW w:w="2793" w:type="dxa"/>
            <w:shd w:val="clear" w:color="auto" w:fill="E8E8E8" w:themeFill="background2"/>
          </w:tcPr>
          <w:p w14:paraId="42CDE24D" w14:textId="67D7F165" w:rsidR="00EA5BA7" w:rsidRPr="00BC1466" w:rsidRDefault="00522EC8" w:rsidP="00072A7F">
            <w:pPr>
              <w:spacing w:line="360" w:lineRule="auto"/>
              <w:rPr>
                <w:rFonts w:ascii="Arial" w:hAnsi="Arial" w:cs="Arial"/>
                <w:b/>
                <w:bCs/>
                <w:sz w:val="32"/>
                <w:szCs w:val="32"/>
              </w:rPr>
            </w:pPr>
            <w:r w:rsidRPr="00BC1466">
              <w:rPr>
                <w:rFonts w:ascii="Arial" w:hAnsi="Arial" w:cs="Arial"/>
                <w:b/>
                <w:bCs/>
                <w:sz w:val="22"/>
                <w:szCs w:val="22"/>
              </w:rPr>
              <w:t>DIY</w:t>
            </w:r>
          </w:p>
        </w:tc>
        <w:tc>
          <w:tcPr>
            <w:tcW w:w="1743" w:type="dxa"/>
            <w:shd w:val="clear" w:color="auto" w:fill="E8E8E8" w:themeFill="background2"/>
          </w:tcPr>
          <w:p w14:paraId="6F6F79EA" w14:textId="69D641A0" w:rsidR="00EA5BA7" w:rsidRDefault="00857F58" w:rsidP="00072A7F">
            <w:pPr>
              <w:spacing w:line="360" w:lineRule="auto"/>
              <w:rPr>
                <w:rFonts w:ascii="Arial" w:hAnsi="Arial" w:cs="Arial"/>
                <w:b/>
                <w:bCs/>
                <w:sz w:val="32"/>
                <w:szCs w:val="32"/>
              </w:rPr>
            </w:pPr>
            <w:proofErr w:type="spellStart"/>
            <w:r w:rsidRPr="00BC1466">
              <w:rPr>
                <w:rFonts w:ascii="Arial" w:hAnsi="Arial" w:cs="Arial"/>
                <w:b/>
                <w:bCs/>
                <w:sz w:val="22"/>
                <w:szCs w:val="22"/>
              </w:rPr>
              <w:t>Multicontract</w:t>
            </w:r>
            <w:proofErr w:type="spellEnd"/>
            <w:r w:rsidRPr="00072A7F">
              <w:rPr>
                <w:rFonts w:ascii="Arial" w:hAnsi="Arial" w:cs="Arial"/>
                <w:sz w:val="22"/>
                <w:szCs w:val="22"/>
              </w:rPr>
              <w:t xml:space="preserve"> </w:t>
            </w:r>
            <w:r w:rsidRPr="00A85441">
              <w:rPr>
                <w:rFonts w:ascii="Arial" w:hAnsi="Arial" w:cs="Arial"/>
                <w:b/>
                <w:bCs/>
                <w:sz w:val="22"/>
                <w:szCs w:val="22"/>
              </w:rPr>
              <w:t>+ DIY</w:t>
            </w:r>
          </w:p>
        </w:tc>
      </w:tr>
      <w:tr w:rsidR="00EA5BA7" w14:paraId="6F861547" w14:textId="77777777" w:rsidTr="00A629F1">
        <w:tc>
          <w:tcPr>
            <w:tcW w:w="2430" w:type="dxa"/>
            <w:shd w:val="clear" w:color="auto" w:fill="DAE9F7" w:themeFill="text2" w:themeFillTint="1A"/>
          </w:tcPr>
          <w:p w14:paraId="2C236306" w14:textId="08E3C614" w:rsidR="00EA5BA7" w:rsidRPr="00D86911" w:rsidRDefault="00A024AB" w:rsidP="00072A7F">
            <w:pPr>
              <w:spacing w:line="360" w:lineRule="auto"/>
              <w:rPr>
                <w:rFonts w:ascii="Arial" w:hAnsi="Arial" w:cs="Arial"/>
                <w:b/>
                <w:bCs/>
                <w:sz w:val="32"/>
                <w:szCs w:val="32"/>
              </w:rPr>
            </w:pPr>
            <w:r w:rsidRPr="00D86911">
              <w:rPr>
                <w:rFonts w:ascii="Arial" w:hAnsi="Arial" w:cs="Arial"/>
                <w:b/>
                <w:bCs/>
                <w:sz w:val="22"/>
                <w:szCs w:val="22"/>
              </w:rPr>
              <w:t>Client Management</w:t>
            </w:r>
            <w:r w:rsidRPr="00D86911">
              <w:rPr>
                <w:rFonts w:ascii="Arial" w:hAnsi="Arial" w:cs="Arial"/>
                <w:b/>
                <w:bCs/>
                <w:sz w:val="22"/>
                <w:szCs w:val="22"/>
              </w:rPr>
              <w:t xml:space="preserve"> Load</w:t>
            </w:r>
          </w:p>
        </w:tc>
        <w:tc>
          <w:tcPr>
            <w:tcW w:w="1244" w:type="dxa"/>
            <w:shd w:val="clear" w:color="auto" w:fill="DAE9F7" w:themeFill="text2" w:themeFillTint="1A"/>
          </w:tcPr>
          <w:p w14:paraId="649AA5DC" w14:textId="6429BFB9" w:rsidR="00EA5BA7" w:rsidRDefault="00A024AB" w:rsidP="00072A7F">
            <w:pPr>
              <w:spacing w:line="360" w:lineRule="auto"/>
              <w:rPr>
                <w:rFonts w:ascii="Arial" w:hAnsi="Arial" w:cs="Arial"/>
                <w:b/>
                <w:bCs/>
                <w:sz w:val="32"/>
                <w:szCs w:val="32"/>
              </w:rPr>
            </w:pPr>
            <w:r w:rsidRPr="00072A7F">
              <w:rPr>
                <w:rFonts w:ascii="Arial" w:hAnsi="Arial" w:cs="Arial"/>
                <w:sz w:val="22"/>
                <w:szCs w:val="22"/>
              </w:rPr>
              <w:t>Low</w:t>
            </w:r>
          </w:p>
        </w:tc>
        <w:tc>
          <w:tcPr>
            <w:tcW w:w="1141" w:type="dxa"/>
            <w:shd w:val="clear" w:color="auto" w:fill="DAE9F7" w:themeFill="text2" w:themeFillTint="1A"/>
          </w:tcPr>
          <w:p w14:paraId="1BD9CA1B" w14:textId="0CFE6352" w:rsidR="00EA5BA7" w:rsidRDefault="00A024AB" w:rsidP="00072A7F">
            <w:pPr>
              <w:spacing w:line="360" w:lineRule="auto"/>
              <w:rPr>
                <w:rFonts w:ascii="Arial" w:hAnsi="Arial" w:cs="Arial"/>
                <w:b/>
                <w:bCs/>
                <w:sz w:val="32"/>
                <w:szCs w:val="32"/>
              </w:rPr>
            </w:pPr>
            <w:r w:rsidRPr="00072A7F">
              <w:rPr>
                <w:rFonts w:ascii="Arial" w:hAnsi="Arial" w:cs="Arial"/>
                <w:sz w:val="22"/>
                <w:szCs w:val="22"/>
              </w:rPr>
              <w:t>High</w:t>
            </w:r>
          </w:p>
        </w:tc>
        <w:tc>
          <w:tcPr>
            <w:tcW w:w="2793" w:type="dxa"/>
            <w:shd w:val="clear" w:color="auto" w:fill="DAE9F7" w:themeFill="text2" w:themeFillTint="1A"/>
          </w:tcPr>
          <w:p w14:paraId="0D2B37D7" w14:textId="3722A87D" w:rsidR="00EA5BA7" w:rsidRDefault="00A024AB" w:rsidP="00072A7F">
            <w:pPr>
              <w:spacing w:line="360" w:lineRule="auto"/>
              <w:rPr>
                <w:rFonts w:ascii="Arial" w:hAnsi="Arial" w:cs="Arial"/>
                <w:b/>
                <w:bCs/>
                <w:sz w:val="32"/>
                <w:szCs w:val="32"/>
              </w:rPr>
            </w:pPr>
            <w:r w:rsidRPr="00072A7F">
              <w:rPr>
                <w:rFonts w:ascii="Arial" w:hAnsi="Arial" w:cs="Arial"/>
                <w:sz w:val="22"/>
                <w:szCs w:val="22"/>
              </w:rPr>
              <w:t>Very High</w:t>
            </w:r>
          </w:p>
        </w:tc>
        <w:tc>
          <w:tcPr>
            <w:tcW w:w="1743" w:type="dxa"/>
            <w:shd w:val="clear" w:color="auto" w:fill="DAE9F7" w:themeFill="text2" w:themeFillTint="1A"/>
          </w:tcPr>
          <w:p w14:paraId="4E09F844" w14:textId="3C50F62B" w:rsidR="00EA5BA7" w:rsidRDefault="00A024AB" w:rsidP="00072A7F">
            <w:pPr>
              <w:spacing w:line="360" w:lineRule="auto"/>
              <w:rPr>
                <w:rFonts w:ascii="Arial" w:hAnsi="Arial" w:cs="Arial"/>
                <w:b/>
                <w:bCs/>
                <w:sz w:val="32"/>
                <w:szCs w:val="32"/>
              </w:rPr>
            </w:pPr>
            <w:r w:rsidRPr="00072A7F">
              <w:rPr>
                <w:rFonts w:ascii="Arial" w:hAnsi="Arial" w:cs="Arial"/>
                <w:sz w:val="22"/>
                <w:szCs w:val="22"/>
              </w:rPr>
              <w:t>Medium</w:t>
            </w:r>
            <w:r w:rsidRPr="00072A7F">
              <w:rPr>
                <w:rFonts w:ascii="Cambria Math" w:hAnsi="Cambria Math" w:cs="Cambria Math"/>
                <w:sz w:val="22"/>
                <w:szCs w:val="22"/>
              </w:rPr>
              <w:t>‑</w:t>
            </w:r>
            <w:r w:rsidRPr="00072A7F">
              <w:rPr>
                <w:rFonts w:ascii="Arial" w:hAnsi="Arial" w:cs="Arial"/>
                <w:sz w:val="22"/>
                <w:szCs w:val="22"/>
              </w:rPr>
              <w:t>High</w:t>
            </w:r>
          </w:p>
        </w:tc>
      </w:tr>
      <w:tr w:rsidR="00EA5BA7" w14:paraId="2F7C53DA" w14:textId="77777777" w:rsidTr="00A629F1">
        <w:tc>
          <w:tcPr>
            <w:tcW w:w="2430" w:type="dxa"/>
            <w:shd w:val="clear" w:color="auto" w:fill="DAE9F7" w:themeFill="text2" w:themeFillTint="1A"/>
          </w:tcPr>
          <w:p w14:paraId="05EB3710" w14:textId="04884688" w:rsidR="00EA5BA7" w:rsidRPr="00D86911" w:rsidRDefault="00A250DA" w:rsidP="00072A7F">
            <w:pPr>
              <w:spacing w:line="360" w:lineRule="auto"/>
              <w:rPr>
                <w:rFonts w:ascii="Arial" w:hAnsi="Arial" w:cs="Arial"/>
                <w:b/>
                <w:bCs/>
                <w:sz w:val="32"/>
                <w:szCs w:val="32"/>
              </w:rPr>
            </w:pPr>
            <w:r w:rsidRPr="00D86911">
              <w:rPr>
                <w:rFonts w:ascii="Arial" w:hAnsi="Arial" w:cs="Arial"/>
                <w:b/>
                <w:bCs/>
                <w:sz w:val="22"/>
                <w:szCs w:val="22"/>
              </w:rPr>
              <w:t>Risk Retention</w:t>
            </w:r>
          </w:p>
        </w:tc>
        <w:tc>
          <w:tcPr>
            <w:tcW w:w="1244" w:type="dxa"/>
            <w:shd w:val="clear" w:color="auto" w:fill="DAE9F7" w:themeFill="text2" w:themeFillTint="1A"/>
          </w:tcPr>
          <w:p w14:paraId="2BAC1471" w14:textId="3AF5E074" w:rsidR="00EA5BA7" w:rsidRPr="00F43A51" w:rsidRDefault="00F43A51" w:rsidP="00072A7F">
            <w:pPr>
              <w:spacing w:line="360" w:lineRule="auto"/>
              <w:rPr>
                <w:rFonts w:ascii="Arial" w:hAnsi="Arial" w:cs="Arial"/>
                <w:sz w:val="22"/>
                <w:szCs w:val="22"/>
              </w:rPr>
            </w:pPr>
            <w:r w:rsidRPr="00F43A51">
              <w:rPr>
                <w:rFonts w:ascii="Arial" w:hAnsi="Arial" w:cs="Arial"/>
                <w:sz w:val="22"/>
                <w:szCs w:val="22"/>
              </w:rPr>
              <w:t>Low</w:t>
            </w:r>
          </w:p>
        </w:tc>
        <w:tc>
          <w:tcPr>
            <w:tcW w:w="1141" w:type="dxa"/>
            <w:shd w:val="clear" w:color="auto" w:fill="DAE9F7" w:themeFill="text2" w:themeFillTint="1A"/>
          </w:tcPr>
          <w:p w14:paraId="0398EC4D" w14:textId="095D158F" w:rsidR="00EA5BA7" w:rsidRPr="00743005" w:rsidRDefault="00743005" w:rsidP="00072A7F">
            <w:pPr>
              <w:spacing w:line="360" w:lineRule="auto"/>
              <w:rPr>
                <w:rFonts w:ascii="Arial" w:hAnsi="Arial" w:cs="Arial"/>
                <w:sz w:val="22"/>
                <w:szCs w:val="22"/>
              </w:rPr>
            </w:pPr>
            <w:r>
              <w:rPr>
                <w:rFonts w:ascii="Arial" w:hAnsi="Arial" w:cs="Arial"/>
                <w:sz w:val="22"/>
                <w:szCs w:val="22"/>
              </w:rPr>
              <w:t>High</w:t>
            </w:r>
          </w:p>
        </w:tc>
        <w:tc>
          <w:tcPr>
            <w:tcW w:w="2793" w:type="dxa"/>
            <w:shd w:val="clear" w:color="auto" w:fill="DAE9F7" w:themeFill="text2" w:themeFillTint="1A"/>
          </w:tcPr>
          <w:p w14:paraId="1CADF0C2" w14:textId="43845B56" w:rsidR="00EA5BA7" w:rsidRPr="00743005" w:rsidRDefault="00257E21" w:rsidP="00072A7F">
            <w:pPr>
              <w:spacing w:line="360" w:lineRule="auto"/>
              <w:rPr>
                <w:rFonts w:ascii="Arial" w:hAnsi="Arial" w:cs="Arial"/>
                <w:sz w:val="22"/>
                <w:szCs w:val="22"/>
              </w:rPr>
            </w:pPr>
            <w:r>
              <w:rPr>
                <w:rFonts w:ascii="Arial" w:hAnsi="Arial" w:cs="Arial"/>
                <w:sz w:val="22"/>
                <w:szCs w:val="22"/>
              </w:rPr>
              <w:t xml:space="preserve">Very </w:t>
            </w:r>
            <w:r w:rsidR="0094674C">
              <w:rPr>
                <w:rFonts w:ascii="Arial" w:hAnsi="Arial" w:cs="Arial"/>
                <w:sz w:val="22"/>
                <w:szCs w:val="22"/>
              </w:rPr>
              <w:t>H</w:t>
            </w:r>
            <w:r>
              <w:rPr>
                <w:rFonts w:ascii="Arial" w:hAnsi="Arial" w:cs="Arial"/>
                <w:sz w:val="22"/>
                <w:szCs w:val="22"/>
              </w:rPr>
              <w:t>igh</w:t>
            </w:r>
          </w:p>
        </w:tc>
        <w:tc>
          <w:tcPr>
            <w:tcW w:w="1743" w:type="dxa"/>
            <w:shd w:val="clear" w:color="auto" w:fill="DAE9F7" w:themeFill="text2" w:themeFillTint="1A"/>
          </w:tcPr>
          <w:p w14:paraId="57FA1173" w14:textId="67E87BF1" w:rsidR="00EA5BA7" w:rsidRPr="0094674C" w:rsidRDefault="0094674C" w:rsidP="00072A7F">
            <w:pPr>
              <w:spacing w:line="360" w:lineRule="auto"/>
              <w:rPr>
                <w:rFonts w:ascii="Arial" w:hAnsi="Arial" w:cs="Arial"/>
                <w:sz w:val="22"/>
                <w:szCs w:val="22"/>
              </w:rPr>
            </w:pPr>
            <w:r>
              <w:rPr>
                <w:rFonts w:ascii="Arial" w:hAnsi="Arial" w:cs="Arial"/>
                <w:sz w:val="22"/>
                <w:szCs w:val="22"/>
              </w:rPr>
              <w:t>M</w:t>
            </w:r>
            <w:r w:rsidR="00257E21" w:rsidRPr="0094674C">
              <w:rPr>
                <w:rFonts w:ascii="Arial" w:hAnsi="Arial" w:cs="Arial"/>
                <w:sz w:val="22"/>
                <w:szCs w:val="22"/>
              </w:rPr>
              <w:t>edium</w:t>
            </w:r>
          </w:p>
        </w:tc>
      </w:tr>
      <w:tr w:rsidR="00EA5BA7" w14:paraId="5DD08D33" w14:textId="77777777" w:rsidTr="00A629F1">
        <w:trPr>
          <w:trHeight w:val="536"/>
        </w:trPr>
        <w:tc>
          <w:tcPr>
            <w:tcW w:w="2430" w:type="dxa"/>
            <w:shd w:val="clear" w:color="auto" w:fill="DAE9F7" w:themeFill="text2" w:themeFillTint="1A"/>
          </w:tcPr>
          <w:p w14:paraId="4FA99B53" w14:textId="4FE3531D" w:rsidR="00EA5BA7" w:rsidRPr="00D86911" w:rsidRDefault="00A50976" w:rsidP="00072A7F">
            <w:pPr>
              <w:spacing w:line="360" w:lineRule="auto"/>
              <w:rPr>
                <w:rFonts w:ascii="Arial" w:hAnsi="Arial" w:cs="Arial"/>
                <w:b/>
                <w:bCs/>
                <w:sz w:val="32"/>
                <w:szCs w:val="32"/>
              </w:rPr>
            </w:pPr>
            <w:r w:rsidRPr="00D86911">
              <w:rPr>
                <w:rFonts w:ascii="Arial" w:hAnsi="Arial" w:cs="Arial"/>
                <w:b/>
                <w:bCs/>
                <w:sz w:val="22"/>
                <w:szCs w:val="22"/>
              </w:rPr>
              <w:t>Cost Level</w:t>
            </w:r>
          </w:p>
        </w:tc>
        <w:tc>
          <w:tcPr>
            <w:tcW w:w="1244" w:type="dxa"/>
            <w:shd w:val="clear" w:color="auto" w:fill="DAE9F7" w:themeFill="text2" w:themeFillTint="1A"/>
          </w:tcPr>
          <w:p w14:paraId="38B8A3C8" w14:textId="3210953D" w:rsidR="00EA5BA7" w:rsidRDefault="0032645D" w:rsidP="00072A7F">
            <w:pPr>
              <w:spacing w:line="360" w:lineRule="auto"/>
              <w:rPr>
                <w:rFonts w:ascii="Arial" w:hAnsi="Arial" w:cs="Arial"/>
                <w:b/>
                <w:bCs/>
                <w:sz w:val="32"/>
                <w:szCs w:val="32"/>
              </w:rPr>
            </w:pPr>
            <w:r w:rsidRPr="00072A7F">
              <w:rPr>
                <w:rFonts w:ascii="Arial" w:hAnsi="Arial" w:cs="Arial"/>
                <w:sz w:val="22"/>
                <w:szCs w:val="22"/>
              </w:rPr>
              <w:t>Highest</w:t>
            </w:r>
          </w:p>
        </w:tc>
        <w:tc>
          <w:tcPr>
            <w:tcW w:w="1141" w:type="dxa"/>
            <w:shd w:val="clear" w:color="auto" w:fill="DAE9F7" w:themeFill="text2" w:themeFillTint="1A"/>
          </w:tcPr>
          <w:p w14:paraId="1E700753" w14:textId="3C4F85B1" w:rsidR="00EA5BA7" w:rsidRDefault="0032645D" w:rsidP="00072A7F">
            <w:pPr>
              <w:spacing w:line="360" w:lineRule="auto"/>
              <w:rPr>
                <w:rFonts w:ascii="Arial" w:hAnsi="Arial" w:cs="Arial"/>
                <w:b/>
                <w:bCs/>
                <w:sz w:val="32"/>
                <w:szCs w:val="32"/>
              </w:rPr>
            </w:pPr>
            <w:r w:rsidRPr="00072A7F">
              <w:rPr>
                <w:rFonts w:ascii="Arial" w:hAnsi="Arial" w:cs="Arial"/>
                <w:sz w:val="22"/>
                <w:szCs w:val="22"/>
              </w:rPr>
              <w:t>Medium</w:t>
            </w:r>
          </w:p>
        </w:tc>
        <w:tc>
          <w:tcPr>
            <w:tcW w:w="2793" w:type="dxa"/>
            <w:shd w:val="clear" w:color="auto" w:fill="DAE9F7" w:themeFill="text2" w:themeFillTint="1A"/>
          </w:tcPr>
          <w:p w14:paraId="4AD5C28F" w14:textId="34B09A3B" w:rsidR="00EA5BA7" w:rsidRDefault="0032645D" w:rsidP="00072A7F">
            <w:pPr>
              <w:spacing w:line="360" w:lineRule="auto"/>
              <w:rPr>
                <w:rFonts w:ascii="Arial" w:hAnsi="Arial" w:cs="Arial"/>
                <w:b/>
                <w:bCs/>
                <w:sz w:val="32"/>
                <w:szCs w:val="32"/>
              </w:rPr>
            </w:pPr>
            <w:r w:rsidRPr="00072A7F">
              <w:rPr>
                <w:rFonts w:ascii="Arial" w:hAnsi="Arial" w:cs="Arial"/>
                <w:sz w:val="22"/>
                <w:szCs w:val="22"/>
              </w:rPr>
              <w:t>Lowest (if capable)</w:t>
            </w:r>
          </w:p>
        </w:tc>
        <w:tc>
          <w:tcPr>
            <w:tcW w:w="1743" w:type="dxa"/>
            <w:shd w:val="clear" w:color="auto" w:fill="DAE9F7" w:themeFill="text2" w:themeFillTint="1A"/>
          </w:tcPr>
          <w:p w14:paraId="0595C5C3" w14:textId="364DB602" w:rsidR="00EA5BA7" w:rsidRPr="00EA1CF8" w:rsidRDefault="0032645D" w:rsidP="00072A7F">
            <w:pPr>
              <w:spacing w:line="360" w:lineRule="auto"/>
              <w:rPr>
                <w:rFonts w:ascii="Arial" w:hAnsi="Arial" w:cs="Arial"/>
                <w:sz w:val="22"/>
                <w:szCs w:val="22"/>
              </w:rPr>
            </w:pPr>
            <w:r w:rsidRPr="00072A7F">
              <w:rPr>
                <w:rFonts w:ascii="Arial" w:hAnsi="Arial" w:cs="Arial"/>
                <w:sz w:val="22"/>
                <w:szCs w:val="22"/>
              </w:rPr>
              <w:t>Medium</w:t>
            </w:r>
            <w:r w:rsidRPr="00072A7F">
              <w:rPr>
                <w:rFonts w:ascii="Cambria Math" w:hAnsi="Cambria Math" w:cs="Cambria Math"/>
                <w:sz w:val="22"/>
                <w:szCs w:val="22"/>
              </w:rPr>
              <w:t>‑</w:t>
            </w:r>
            <w:r w:rsidRPr="00072A7F">
              <w:rPr>
                <w:rFonts w:ascii="Arial" w:hAnsi="Arial" w:cs="Arial"/>
                <w:sz w:val="22"/>
                <w:szCs w:val="22"/>
              </w:rPr>
              <w:t xml:space="preserve">Low </w:t>
            </w:r>
          </w:p>
        </w:tc>
      </w:tr>
      <w:tr w:rsidR="00EA5BA7" w14:paraId="4F4535E7" w14:textId="77777777" w:rsidTr="00A629F1">
        <w:tc>
          <w:tcPr>
            <w:tcW w:w="2430" w:type="dxa"/>
            <w:shd w:val="clear" w:color="auto" w:fill="DAE9F7" w:themeFill="text2" w:themeFillTint="1A"/>
          </w:tcPr>
          <w:p w14:paraId="24C5C2AF" w14:textId="18582D3D" w:rsidR="00EA5BA7" w:rsidRPr="00D86911" w:rsidRDefault="00EA1CF8" w:rsidP="00072A7F">
            <w:pPr>
              <w:spacing w:line="360" w:lineRule="auto"/>
              <w:rPr>
                <w:rFonts w:ascii="Arial" w:hAnsi="Arial" w:cs="Arial"/>
                <w:b/>
                <w:bCs/>
                <w:sz w:val="32"/>
                <w:szCs w:val="32"/>
              </w:rPr>
            </w:pPr>
            <w:r w:rsidRPr="00D86911">
              <w:rPr>
                <w:rFonts w:ascii="Arial" w:hAnsi="Arial" w:cs="Arial"/>
                <w:b/>
                <w:bCs/>
                <w:sz w:val="22"/>
                <w:szCs w:val="22"/>
              </w:rPr>
              <w:t>Client Control</w:t>
            </w:r>
          </w:p>
        </w:tc>
        <w:tc>
          <w:tcPr>
            <w:tcW w:w="1244" w:type="dxa"/>
            <w:shd w:val="clear" w:color="auto" w:fill="DAE9F7" w:themeFill="text2" w:themeFillTint="1A"/>
          </w:tcPr>
          <w:p w14:paraId="51CA6F4B" w14:textId="147E3A47" w:rsidR="00EA5BA7" w:rsidRDefault="00EA1CF8" w:rsidP="00072A7F">
            <w:pPr>
              <w:spacing w:line="360" w:lineRule="auto"/>
              <w:rPr>
                <w:rFonts w:ascii="Arial" w:hAnsi="Arial" w:cs="Arial"/>
                <w:b/>
                <w:bCs/>
                <w:sz w:val="32"/>
                <w:szCs w:val="32"/>
              </w:rPr>
            </w:pPr>
            <w:r w:rsidRPr="00072A7F">
              <w:rPr>
                <w:rFonts w:ascii="Arial" w:hAnsi="Arial" w:cs="Arial"/>
                <w:sz w:val="22"/>
                <w:szCs w:val="22"/>
              </w:rPr>
              <w:t>Low</w:t>
            </w:r>
          </w:p>
        </w:tc>
        <w:tc>
          <w:tcPr>
            <w:tcW w:w="1141" w:type="dxa"/>
            <w:shd w:val="clear" w:color="auto" w:fill="DAE9F7" w:themeFill="text2" w:themeFillTint="1A"/>
          </w:tcPr>
          <w:p w14:paraId="5E1C612B" w14:textId="0B62E7F8" w:rsidR="00EA5BA7" w:rsidRDefault="00EA1CF8" w:rsidP="00072A7F">
            <w:pPr>
              <w:spacing w:line="360" w:lineRule="auto"/>
              <w:rPr>
                <w:rFonts w:ascii="Arial" w:hAnsi="Arial" w:cs="Arial"/>
                <w:b/>
                <w:bCs/>
                <w:sz w:val="32"/>
                <w:szCs w:val="32"/>
              </w:rPr>
            </w:pPr>
            <w:r w:rsidRPr="00072A7F">
              <w:rPr>
                <w:rFonts w:ascii="Arial" w:hAnsi="Arial" w:cs="Arial"/>
                <w:sz w:val="22"/>
                <w:szCs w:val="22"/>
              </w:rPr>
              <w:t>High</w:t>
            </w:r>
          </w:p>
        </w:tc>
        <w:tc>
          <w:tcPr>
            <w:tcW w:w="2793" w:type="dxa"/>
            <w:shd w:val="clear" w:color="auto" w:fill="DAE9F7" w:themeFill="text2" w:themeFillTint="1A"/>
          </w:tcPr>
          <w:p w14:paraId="01C88F0F" w14:textId="69CEFCAE" w:rsidR="00EA5BA7" w:rsidRDefault="00EA1CF8" w:rsidP="00072A7F">
            <w:pPr>
              <w:spacing w:line="360" w:lineRule="auto"/>
              <w:rPr>
                <w:rFonts w:ascii="Arial" w:hAnsi="Arial" w:cs="Arial"/>
                <w:b/>
                <w:bCs/>
                <w:sz w:val="32"/>
                <w:szCs w:val="32"/>
              </w:rPr>
            </w:pPr>
            <w:r w:rsidRPr="00072A7F">
              <w:rPr>
                <w:rFonts w:ascii="Arial" w:hAnsi="Arial" w:cs="Arial"/>
                <w:sz w:val="22"/>
                <w:szCs w:val="22"/>
              </w:rPr>
              <w:t>Maximum</w:t>
            </w:r>
          </w:p>
        </w:tc>
        <w:tc>
          <w:tcPr>
            <w:tcW w:w="1743" w:type="dxa"/>
            <w:shd w:val="clear" w:color="auto" w:fill="DAE9F7" w:themeFill="text2" w:themeFillTint="1A"/>
          </w:tcPr>
          <w:p w14:paraId="0624DD2A" w14:textId="3CFC7922" w:rsidR="00EA5BA7" w:rsidRPr="00EA1CF8" w:rsidRDefault="00EA1CF8" w:rsidP="00072A7F">
            <w:pPr>
              <w:spacing w:line="360" w:lineRule="auto"/>
              <w:rPr>
                <w:rFonts w:ascii="Arial" w:hAnsi="Arial" w:cs="Arial"/>
                <w:sz w:val="22"/>
                <w:szCs w:val="22"/>
              </w:rPr>
            </w:pPr>
            <w:r w:rsidRPr="00072A7F">
              <w:rPr>
                <w:rFonts w:ascii="Arial" w:hAnsi="Arial" w:cs="Arial"/>
                <w:sz w:val="22"/>
                <w:szCs w:val="22"/>
              </w:rPr>
              <w:t xml:space="preserve">High </w:t>
            </w:r>
          </w:p>
        </w:tc>
      </w:tr>
      <w:tr w:rsidR="00EA5BA7" w14:paraId="625A4811" w14:textId="77777777" w:rsidTr="00A629F1">
        <w:tc>
          <w:tcPr>
            <w:tcW w:w="2430" w:type="dxa"/>
            <w:shd w:val="clear" w:color="auto" w:fill="DAE9F7" w:themeFill="text2" w:themeFillTint="1A"/>
          </w:tcPr>
          <w:p w14:paraId="2D31BEBE" w14:textId="010085D9" w:rsidR="00EA5BA7" w:rsidRPr="00D86911" w:rsidRDefault="00BB1D81" w:rsidP="00072A7F">
            <w:pPr>
              <w:spacing w:line="360" w:lineRule="auto"/>
              <w:rPr>
                <w:rFonts w:ascii="Arial" w:hAnsi="Arial" w:cs="Arial"/>
                <w:b/>
                <w:bCs/>
                <w:sz w:val="32"/>
                <w:szCs w:val="32"/>
              </w:rPr>
            </w:pPr>
            <w:r w:rsidRPr="00D86911">
              <w:rPr>
                <w:rFonts w:ascii="Arial" w:hAnsi="Arial" w:cs="Arial"/>
                <w:b/>
                <w:bCs/>
                <w:sz w:val="22"/>
                <w:szCs w:val="22"/>
              </w:rPr>
              <w:t>Coordination Responsibility</w:t>
            </w:r>
          </w:p>
        </w:tc>
        <w:tc>
          <w:tcPr>
            <w:tcW w:w="1244" w:type="dxa"/>
            <w:shd w:val="clear" w:color="auto" w:fill="DAE9F7" w:themeFill="text2" w:themeFillTint="1A"/>
          </w:tcPr>
          <w:p w14:paraId="686F55CA" w14:textId="5C28B5C6" w:rsidR="00EA5BA7" w:rsidRDefault="00BB1D81" w:rsidP="00072A7F">
            <w:pPr>
              <w:spacing w:line="360" w:lineRule="auto"/>
              <w:rPr>
                <w:rFonts w:ascii="Arial" w:hAnsi="Arial" w:cs="Arial"/>
                <w:b/>
                <w:bCs/>
                <w:sz w:val="32"/>
                <w:szCs w:val="32"/>
              </w:rPr>
            </w:pPr>
            <w:r w:rsidRPr="00072A7F">
              <w:rPr>
                <w:rFonts w:ascii="Arial" w:hAnsi="Arial" w:cs="Arial"/>
                <w:sz w:val="22"/>
                <w:szCs w:val="22"/>
              </w:rPr>
              <w:t>Single Contractor</w:t>
            </w:r>
          </w:p>
        </w:tc>
        <w:tc>
          <w:tcPr>
            <w:tcW w:w="1141" w:type="dxa"/>
            <w:shd w:val="clear" w:color="auto" w:fill="DAE9F7" w:themeFill="text2" w:themeFillTint="1A"/>
          </w:tcPr>
          <w:p w14:paraId="123B0D43" w14:textId="2E2753F6" w:rsidR="00EA5BA7" w:rsidRDefault="006A2768" w:rsidP="00072A7F">
            <w:pPr>
              <w:spacing w:line="360" w:lineRule="auto"/>
              <w:rPr>
                <w:rFonts w:ascii="Arial" w:hAnsi="Arial" w:cs="Arial"/>
                <w:b/>
                <w:bCs/>
                <w:sz w:val="32"/>
                <w:szCs w:val="32"/>
              </w:rPr>
            </w:pPr>
            <w:r w:rsidRPr="00072A7F">
              <w:rPr>
                <w:rFonts w:ascii="Arial" w:hAnsi="Arial" w:cs="Arial"/>
                <w:sz w:val="22"/>
                <w:szCs w:val="22"/>
              </w:rPr>
              <w:t>Client</w:t>
            </w:r>
          </w:p>
        </w:tc>
        <w:tc>
          <w:tcPr>
            <w:tcW w:w="2793" w:type="dxa"/>
            <w:shd w:val="clear" w:color="auto" w:fill="DAE9F7" w:themeFill="text2" w:themeFillTint="1A"/>
          </w:tcPr>
          <w:p w14:paraId="7E7885DF" w14:textId="47B67908" w:rsidR="00EA5BA7" w:rsidRDefault="006A2768" w:rsidP="00072A7F">
            <w:pPr>
              <w:spacing w:line="360" w:lineRule="auto"/>
              <w:rPr>
                <w:rFonts w:ascii="Arial" w:hAnsi="Arial" w:cs="Arial"/>
                <w:b/>
                <w:bCs/>
                <w:sz w:val="32"/>
                <w:szCs w:val="32"/>
              </w:rPr>
            </w:pPr>
            <w:r w:rsidRPr="00072A7F">
              <w:rPr>
                <w:rFonts w:ascii="Arial" w:hAnsi="Arial" w:cs="Arial"/>
                <w:sz w:val="22"/>
                <w:szCs w:val="22"/>
              </w:rPr>
              <w:t>Client</w:t>
            </w:r>
          </w:p>
        </w:tc>
        <w:tc>
          <w:tcPr>
            <w:tcW w:w="1743" w:type="dxa"/>
            <w:shd w:val="clear" w:color="auto" w:fill="DAE9F7" w:themeFill="text2" w:themeFillTint="1A"/>
          </w:tcPr>
          <w:p w14:paraId="70B4C79A" w14:textId="197C21FA" w:rsidR="00EA5BA7" w:rsidRDefault="006A2768" w:rsidP="00072A7F">
            <w:pPr>
              <w:spacing w:line="360" w:lineRule="auto"/>
              <w:rPr>
                <w:rFonts w:ascii="Arial" w:hAnsi="Arial" w:cs="Arial"/>
                <w:b/>
                <w:bCs/>
                <w:sz w:val="32"/>
                <w:szCs w:val="32"/>
              </w:rPr>
            </w:pPr>
            <w:r w:rsidRPr="00072A7F">
              <w:rPr>
                <w:rFonts w:ascii="Arial" w:hAnsi="Arial" w:cs="Arial"/>
                <w:sz w:val="22"/>
                <w:szCs w:val="22"/>
              </w:rPr>
              <w:t>Shared / Client led</w:t>
            </w:r>
          </w:p>
        </w:tc>
      </w:tr>
      <w:tr w:rsidR="00EA5BA7" w14:paraId="1E22464B" w14:textId="77777777" w:rsidTr="00A629F1">
        <w:tc>
          <w:tcPr>
            <w:tcW w:w="2430" w:type="dxa"/>
            <w:shd w:val="clear" w:color="auto" w:fill="DAE9F7" w:themeFill="text2" w:themeFillTint="1A"/>
          </w:tcPr>
          <w:p w14:paraId="3C8BAE62" w14:textId="5EC608A6" w:rsidR="00EA5BA7" w:rsidRPr="00D86911" w:rsidRDefault="00BE770C" w:rsidP="00072A7F">
            <w:pPr>
              <w:spacing w:line="360" w:lineRule="auto"/>
              <w:rPr>
                <w:rFonts w:ascii="Arial" w:hAnsi="Arial" w:cs="Arial"/>
                <w:b/>
                <w:bCs/>
                <w:sz w:val="32"/>
                <w:szCs w:val="32"/>
              </w:rPr>
            </w:pPr>
            <w:r w:rsidRPr="00D86911">
              <w:rPr>
                <w:rFonts w:ascii="Arial" w:hAnsi="Arial" w:cs="Arial"/>
                <w:b/>
                <w:bCs/>
                <w:sz w:val="22"/>
                <w:szCs w:val="22"/>
              </w:rPr>
              <w:t>Best Fit</w:t>
            </w:r>
          </w:p>
        </w:tc>
        <w:tc>
          <w:tcPr>
            <w:tcW w:w="1244" w:type="dxa"/>
            <w:shd w:val="clear" w:color="auto" w:fill="DAE9F7" w:themeFill="text2" w:themeFillTint="1A"/>
          </w:tcPr>
          <w:p w14:paraId="55ADC941" w14:textId="3E36B65A" w:rsidR="00EA5BA7" w:rsidRDefault="00BE770C" w:rsidP="00072A7F">
            <w:pPr>
              <w:spacing w:line="360" w:lineRule="auto"/>
              <w:rPr>
                <w:rFonts w:ascii="Arial" w:hAnsi="Arial" w:cs="Arial"/>
                <w:b/>
                <w:bCs/>
                <w:sz w:val="32"/>
                <w:szCs w:val="32"/>
              </w:rPr>
            </w:pPr>
            <w:r w:rsidRPr="00072A7F">
              <w:rPr>
                <w:rFonts w:ascii="Arial" w:hAnsi="Arial" w:cs="Arial"/>
                <w:sz w:val="22"/>
                <w:szCs w:val="22"/>
              </w:rPr>
              <w:t>Complex projects limited internal PM</w:t>
            </w:r>
          </w:p>
        </w:tc>
        <w:tc>
          <w:tcPr>
            <w:tcW w:w="1141" w:type="dxa"/>
            <w:shd w:val="clear" w:color="auto" w:fill="DAE9F7" w:themeFill="text2" w:themeFillTint="1A"/>
          </w:tcPr>
          <w:p w14:paraId="4A805B69" w14:textId="1E152206" w:rsidR="00EA5BA7" w:rsidRDefault="004D2CEE" w:rsidP="00072A7F">
            <w:pPr>
              <w:spacing w:line="360" w:lineRule="auto"/>
              <w:rPr>
                <w:rFonts w:ascii="Arial" w:hAnsi="Arial" w:cs="Arial"/>
                <w:sz w:val="22"/>
                <w:szCs w:val="22"/>
              </w:rPr>
            </w:pPr>
            <w:r w:rsidRPr="00072A7F">
              <w:rPr>
                <w:rFonts w:ascii="Arial" w:hAnsi="Arial" w:cs="Arial"/>
                <w:sz w:val="22"/>
                <w:szCs w:val="22"/>
              </w:rPr>
              <w:t>Strong in</w:t>
            </w:r>
            <w:r w:rsidRPr="00072A7F">
              <w:rPr>
                <w:rFonts w:ascii="Cambria Math" w:hAnsi="Cambria Math" w:cs="Cambria Math"/>
                <w:sz w:val="22"/>
                <w:szCs w:val="22"/>
              </w:rPr>
              <w:t>‑</w:t>
            </w:r>
            <w:r w:rsidRPr="00072A7F">
              <w:rPr>
                <w:rFonts w:ascii="Arial" w:hAnsi="Arial" w:cs="Arial"/>
                <w:sz w:val="22"/>
                <w:szCs w:val="22"/>
              </w:rPr>
              <w:t>house PM</w:t>
            </w:r>
            <w:r w:rsidR="00E27707">
              <w:rPr>
                <w:rFonts w:ascii="Arial" w:hAnsi="Arial" w:cs="Arial"/>
                <w:sz w:val="22"/>
                <w:szCs w:val="22"/>
              </w:rPr>
              <w:t>,</w:t>
            </w:r>
          </w:p>
          <w:p w14:paraId="070EB2C9" w14:textId="393FAB81" w:rsidR="004D2CEE" w:rsidRDefault="004D2CEE" w:rsidP="00072A7F">
            <w:pPr>
              <w:spacing w:line="360" w:lineRule="auto"/>
              <w:rPr>
                <w:rFonts w:ascii="Arial" w:hAnsi="Arial" w:cs="Arial"/>
                <w:b/>
                <w:bCs/>
                <w:sz w:val="32"/>
                <w:szCs w:val="32"/>
              </w:rPr>
            </w:pPr>
            <w:r w:rsidRPr="00072A7F">
              <w:rPr>
                <w:rFonts w:ascii="Arial" w:hAnsi="Arial" w:cs="Arial"/>
                <w:sz w:val="22"/>
                <w:szCs w:val="22"/>
              </w:rPr>
              <w:t>cost focus</w:t>
            </w:r>
          </w:p>
        </w:tc>
        <w:tc>
          <w:tcPr>
            <w:tcW w:w="2793" w:type="dxa"/>
            <w:shd w:val="clear" w:color="auto" w:fill="DAE9F7" w:themeFill="text2" w:themeFillTint="1A"/>
          </w:tcPr>
          <w:p w14:paraId="59ED7946" w14:textId="2509E202" w:rsidR="00EA5BA7" w:rsidRDefault="0008356C" w:rsidP="00072A7F">
            <w:pPr>
              <w:spacing w:line="360" w:lineRule="auto"/>
              <w:rPr>
                <w:rFonts w:ascii="Arial" w:hAnsi="Arial" w:cs="Arial"/>
                <w:b/>
                <w:bCs/>
                <w:sz w:val="32"/>
                <w:szCs w:val="32"/>
              </w:rPr>
            </w:pPr>
            <w:r w:rsidRPr="00072A7F">
              <w:rPr>
                <w:rFonts w:ascii="Arial" w:hAnsi="Arial" w:cs="Arial"/>
                <w:sz w:val="22"/>
                <w:szCs w:val="22"/>
              </w:rPr>
              <w:t>Small/simple projects, strong internal teams</w:t>
            </w:r>
          </w:p>
        </w:tc>
        <w:tc>
          <w:tcPr>
            <w:tcW w:w="1743" w:type="dxa"/>
            <w:shd w:val="clear" w:color="auto" w:fill="DAE9F7" w:themeFill="text2" w:themeFillTint="1A"/>
          </w:tcPr>
          <w:p w14:paraId="06524B60" w14:textId="750D593E" w:rsidR="00EA5BA7" w:rsidRDefault="0008356C" w:rsidP="00072A7F">
            <w:pPr>
              <w:spacing w:line="360" w:lineRule="auto"/>
              <w:rPr>
                <w:rFonts w:ascii="Arial" w:hAnsi="Arial" w:cs="Arial"/>
                <w:b/>
                <w:bCs/>
                <w:sz w:val="32"/>
                <w:szCs w:val="32"/>
              </w:rPr>
            </w:pPr>
            <w:r w:rsidRPr="00072A7F">
              <w:rPr>
                <w:rFonts w:ascii="Arial" w:hAnsi="Arial" w:cs="Arial"/>
                <w:sz w:val="22"/>
                <w:szCs w:val="22"/>
              </w:rPr>
              <w:t>Mixed capability, partial outsourcing</w:t>
            </w:r>
          </w:p>
        </w:tc>
      </w:tr>
    </w:tbl>
    <w:p w14:paraId="595ADC12" w14:textId="77777777" w:rsidR="00120D65" w:rsidRPr="00DC5C01" w:rsidRDefault="00120D65" w:rsidP="00072A7F">
      <w:pPr>
        <w:spacing w:line="360" w:lineRule="auto"/>
        <w:rPr>
          <w:rFonts w:ascii="Arial" w:hAnsi="Arial" w:cs="Arial"/>
          <w:b/>
          <w:bCs/>
          <w:sz w:val="32"/>
          <w:szCs w:val="32"/>
        </w:rPr>
      </w:pPr>
    </w:p>
    <w:p w14:paraId="19B886F7" w14:textId="509EFE0B" w:rsidR="000F6DB7" w:rsidRPr="00072A7F" w:rsidRDefault="00482197" w:rsidP="00072A7F">
      <w:pPr>
        <w:spacing w:line="360" w:lineRule="auto"/>
        <w:rPr>
          <w:rFonts w:ascii="Arial" w:hAnsi="Arial" w:cs="Arial"/>
          <w:sz w:val="22"/>
          <w:szCs w:val="22"/>
        </w:rPr>
      </w:pPr>
      <w:r w:rsidRPr="00072A7F">
        <w:rPr>
          <w:rFonts w:ascii="Arial" w:hAnsi="Arial" w:cs="Arial"/>
          <w:sz w:val="22"/>
          <w:szCs w:val="22"/>
        </w:rPr>
        <w:t>Choice</w:t>
      </w:r>
      <w:r w:rsidR="000F6DB7" w:rsidRPr="00072A7F">
        <w:rPr>
          <w:rFonts w:ascii="Arial" w:hAnsi="Arial" w:cs="Arial"/>
          <w:sz w:val="22"/>
          <w:szCs w:val="22"/>
        </w:rPr>
        <w:t xml:space="preserve"> should be guided by:</w:t>
      </w:r>
    </w:p>
    <w:p w14:paraId="45EC3F1B"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Project complexity and scope clarity</w:t>
      </w:r>
    </w:p>
    <w:p w14:paraId="42840E48"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Availability and strength of internal resources</w:t>
      </w:r>
    </w:p>
    <w:p w14:paraId="1E28A703" w14:textId="7B864F53"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Risk appetite and desired allocation</w:t>
      </w:r>
    </w:p>
    <w:p w14:paraId="2D059660" w14:textId="3E310840"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Cost</w:t>
      </w:r>
      <w:r w:rsidR="00482197" w:rsidRPr="00072A7F">
        <w:rPr>
          <w:rFonts w:ascii="Arial" w:hAnsi="Arial" w:cs="Arial"/>
          <w:sz w:val="22"/>
          <w:szCs w:val="22"/>
        </w:rPr>
        <w:t xml:space="preserve"> </w:t>
      </w:r>
      <w:r w:rsidRPr="00072A7F">
        <w:rPr>
          <w:rFonts w:ascii="Arial" w:hAnsi="Arial" w:cs="Arial"/>
          <w:sz w:val="22"/>
          <w:szCs w:val="22"/>
        </w:rPr>
        <w:t>control versus control</w:t>
      </w:r>
      <w:r w:rsidR="00482197" w:rsidRPr="00072A7F">
        <w:rPr>
          <w:rFonts w:ascii="Arial" w:hAnsi="Arial" w:cs="Arial"/>
          <w:sz w:val="22"/>
          <w:szCs w:val="22"/>
        </w:rPr>
        <w:t xml:space="preserve"> </w:t>
      </w:r>
      <w:r w:rsidRPr="00072A7F">
        <w:rPr>
          <w:rFonts w:ascii="Arial" w:hAnsi="Arial" w:cs="Arial"/>
          <w:sz w:val="22"/>
          <w:szCs w:val="22"/>
        </w:rPr>
        <w:t>detail priorities</w:t>
      </w:r>
    </w:p>
    <w:p w14:paraId="5F4FD018" w14:textId="7777777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Market conditions and contractor capability (PMI, 2021; Turner, 2016)</w:t>
      </w:r>
    </w:p>
    <w:p w14:paraId="13EF1691" w14:textId="77777777" w:rsidR="000F6DB7" w:rsidRPr="00DC5C01" w:rsidRDefault="000F6DB7" w:rsidP="00072A7F">
      <w:pPr>
        <w:spacing w:line="360" w:lineRule="auto"/>
        <w:rPr>
          <w:rFonts w:ascii="Arial" w:hAnsi="Arial" w:cs="Arial"/>
          <w:b/>
          <w:bCs/>
          <w:sz w:val="32"/>
          <w:szCs w:val="32"/>
        </w:rPr>
      </w:pPr>
      <w:r w:rsidRPr="00DC5C01">
        <w:rPr>
          <w:rFonts w:ascii="Arial" w:hAnsi="Arial" w:cs="Arial"/>
          <w:b/>
          <w:bCs/>
          <w:sz w:val="32"/>
          <w:szCs w:val="32"/>
        </w:rPr>
        <w:lastRenderedPageBreak/>
        <w:t>4. Conclusion</w:t>
      </w:r>
    </w:p>
    <w:p w14:paraId="288292F6" w14:textId="68F8950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Contracting is central to project management, shaping how work is organised, risk is distributed, and value is delivered. The four methods</w:t>
      </w:r>
      <w:r w:rsidR="002529FD">
        <w:rPr>
          <w:rFonts w:ascii="Arial" w:hAnsi="Arial" w:cs="Arial"/>
          <w:sz w:val="22"/>
          <w:szCs w:val="22"/>
        </w:rPr>
        <w:t xml:space="preserve"> </w:t>
      </w:r>
      <w:r w:rsidRPr="00072A7F">
        <w:rPr>
          <w:rFonts w:ascii="Arial" w:hAnsi="Arial" w:cs="Arial"/>
          <w:sz w:val="22"/>
          <w:szCs w:val="22"/>
        </w:rPr>
        <w:t xml:space="preserve">Turnkey,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DIY, and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 Hybrid represent a spectrum of risk, control, cost, and management effort. Turnkey offers simplicity and risk transfer at higher cost; </w:t>
      </w:r>
      <w:proofErr w:type="spellStart"/>
      <w:r w:rsidRPr="00072A7F">
        <w:rPr>
          <w:rFonts w:ascii="Arial" w:hAnsi="Arial" w:cs="Arial"/>
          <w:sz w:val="22"/>
          <w:szCs w:val="22"/>
        </w:rPr>
        <w:t>Multicontract</w:t>
      </w:r>
      <w:proofErr w:type="spellEnd"/>
      <w:r w:rsidRPr="00072A7F">
        <w:rPr>
          <w:rFonts w:ascii="Arial" w:hAnsi="Arial" w:cs="Arial"/>
          <w:sz w:val="22"/>
          <w:szCs w:val="22"/>
        </w:rPr>
        <w:t xml:space="preserve"> balances control and cost but demands strong internal coordination; DIY maximises control and minimises cost only where capability exists; and the hybrid approach provides a flexible middle ground suited to </w:t>
      </w:r>
      <w:r w:rsidR="002529FD" w:rsidRPr="00072A7F">
        <w:rPr>
          <w:rFonts w:ascii="Arial" w:hAnsi="Arial" w:cs="Arial"/>
          <w:sz w:val="22"/>
          <w:szCs w:val="22"/>
        </w:rPr>
        <w:t>real</w:t>
      </w:r>
      <w:r w:rsidR="002529FD">
        <w:rPr>
          <w:rFonts w:ascii="Arial" w:hAnsi="Arial" w:cs="Arial"/>
          <w:sz w:val="22"/>
          <w:szCs w:val="22"/>
        </w:rPr>
        <w:t>-world</w:t>
      </w:r>
      <w:r w:rsidRPr="00072A7F">
        <w:rPr>
          <w:rFonts w:ascii="Arial" w:hAnsi="Arial" w:cs="Arial"/>
          <w:sz w:val="22"/>
          <w:szCs w:val="22"/>
        </w:rPr>
        <w:t xml:space="preserve"> contexts. There is no universal “best” method; effectiveness depends on alignment with project characteristics, organisational capacity, and strategic </w:t>
      </w:r>
      <w:r w:rsidR="00482197" w:rsidRPr="00072A7F">
        <w:rPr>
          <w:rFonts w:ascii="Arial" w:hAnsi="Arial" w:cs="Arial"/>
          <w:sz w:val="22"/>
          <w:szCs w:val="22"/>
        </w:rPr>
        <w:t>goals</w:t>
      </w:r>
      <w:r w:rsidRPr="00072A7F">
        <w:rPr>
          <w:rFonts w:ascii="Arial" w:hAnsi="Arial" w:cs="Arial"/>
          <w:sz w:val="22"/>
          <w:szCs w:val="22"/>
        </w:rPr>
        <w:t xml:space="preserve">. Understanding these differences enables informed </w:t>
      </w:r>
      <w:r w:rsidR="00482197" w:rsidRPr="00072A7F">
        <w:rPr>
          <w:rFonts w:ascii="Arial" w:hAnsi="Arial" w:cs="Arial"/>
          <w:sz w:val="22"/>
          <w:szCs w:val="22"/>
        </w:rPr>
        <w:t>choice</w:t>
      </w:r>
      <w:r w:rsidRPr="00072A7F">
        <w:rPr>
          <w:rFonts w:ascii="Arial" w:hAnsi="Arial" w:cs="Arial"/>
          <w:sz w:val="22"/>
          <w:szCs w:val="22"/>
        </w:rPr>
        <w:t>, clearer contracts, and improved project outcomes.</w:t>
      </w:r>
    </w:p>
    <w:p w14:paraId="344CA688" w14:textId="3510BB93" w:rsidR="000F6DB7" w:rsidRPr="00DC5C01" w:rsidRDefault="000F6DB7" w:rsidP="00072A7F">
      <w:pPr>
        <w:spacing w:line="360" w:lineRule="auto"/>
        <w:rPr>
          <w:rFonts w:ascii="Arial" w:hAnsi="Arial" w:cs="Arial"/>
          <w:b/>
          <w:bCs/>
          <w:sz w:val="32"/>
          <w:szCs w:val="32"/>
        </w:rPr>
      </w:pPr>
      <w:r w:rsidRPr="00DC5C01">
        <w:rPr>
          <w:rFonts w:ascii="Arial" w:hAnsi="Arial" w:cs="Arial"/>
          <w:b/>
          <w:bCs/>
          <w:sz w:val="32"/>
          <w:szCs w:val="32"/>
        </w:rPr>
        <w:t>5.</w:t>
      </w:r>
      <w:r w:rsidR="00482197" w:rsidRPr="00DC5C01">
        <w:rPr>
          <w:rFonts w:ascii="Arial" w:hAnsi="Arial" w:cs="Arial"/>
          <w:b/>
          <w:bCs/>
          <w:sz w:val="32"/>
          <w:szCs w:val="32"/>
        </w:rPr>
        <w:t xml:space="preserve"> </w:t>
      </w:r>
      <w:r w:rsidRPr="00DC5C01">
        <w:rPr>
          <w:rFonts w:ascii="Arial" w:hAnsi="Arial" w:cs="Arial"/>
          <w:b/>
          <w:bCs/>
          <w:sz w:val="32"/>
          <w:szCs w:val="32"/>
        </w:rPr>
        <w:t>Reference List</w:t>
      </w:r>
    </w:p>
    <w:p w14:paraId="665C1F69" w14:textId="0BE624B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Cooke, B. and Williams, P. (2018) </w:t>
      </w:r>
      <w:r w:rsidRPr="00CD7F7F">
        <w:rPr>
          <w:rFonts w:ascii="Arial" w:hAnsi="Arial" w:cs="Arial"/>
          <w:i/>
          <w:iCs/>
          <w:sz w:val="22"/>
          <w:szCs w:val="22"/>
        </w:rPr>
        <w:t>Construction Planning, Programming and Control</w:t>
      </w:r>
      <w:r w:rsidRPr="00072A7F">
        <w:rPr>
          <w:rFonts w:ascii="Arial" w:hAnsi="Arial" w:cs="Arial"/>
          <w:sz w:val="22"/>
          <w:szCs w:val="22"/>
        </w:rPr>
        <w:t xml:space="preserve">. 5th </w:t>
      </w:r>
      <w:proofErr w:type="spellStart"/>
      <w:r w:rsidRPr="00072A7F">
        <w:rPr>
          <w:rFonts w:ascii="Arial" w:hAnsi="Arial" w:cs="Arial"/>
          <w:sz w:val="22"/>
          <w:szCs w:val="22"/>
        </w:rPr>
        <w:t>edn</w:t>
      </w:r>
      <w:proofErr w:type="spellEnd"/>
      <w:r w:rsidRPr="00072A7F">
        <w:rPr>
          <w:rFonts w:ascii="Arial" w:hAnsi="Arial" w:cs="Arial"/>
          <w:sz w:val="22"/>
          <w:szCs w:val="22"/>
        </w:rPr>
        <w:t>. Chichester: Wiley</w:t>
      </w:r>
      <w:r w:rsidRPr="00072A7F">
        <w:rPr>
          <w:rFonts w:ascii="Cambria Math" w:hAnsi="Cambria Math" w:cs="Cambria Math"/>
          <w:sz w:val="22"/>
          <w:szCs w:val="22"/>
        </w:rPr>
        <w:t>‑</w:t>
      </w:r>
      <w:r w:rsidRPr="00072A7F">
        <w:rPr>
          <w:rFonts w:ascii="Arial" w:hAnsi="Arial" w:cs="Arial"/>
          <w:sz w:val="22"/>
          <w:szCs w:val="22"/>
        </w:rPr>
        <w:t>Blackwell.</w:t>
      </w:r>
    </w:p>
    <w:p w14:paraId="3631BE7A" w14:textId="0E92FD9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FIDIC (2017) </w:t>
      </w:r>
      <w:r w:rsidRPr="00CD7F7F">
        <w:rPr>
          <w:rFonts w:ascii="Arial" w:hAnsi="Arial" w:cs="Arial"/>
          <w:i/>
          <w:iCs/>
          <w:sz w:val="22"/>
          <w:szCs w:val="22"/>
        </w:rPr>
        <w:t>Conditions of Contract for EPC/Turnkey Projects</w:t>
      </w:r>
      <w:r w:rsidRPr="00072A7F">
        <w:rPr>
          <w:rFonts w:ascii="Arial" w:hAnsi="Arial" w:cs="Arial"/>
          <w:sz w:val="22"/>
          <w:szCs w:val="22"/>
        </w:rPr>
        <w:t xml:space="preserve">. 2nd </w:t>
      </w:r>
      <w:proofErr w:type="spellStart"/>
      <w:r w:rsidRPr="00072A7F">
        <w:rPr>
          <w:rFonts w:ascii="Arial" w:hAnsi="Arial" w:cs="Arial"/>
          <w:sz w:val="22"/>
          <w:szCs w:val="22"/>
        </w:rPr>
        <w:t>edn</w:t>
      </w:r>
      <w:proofErr w:type="spellEnd"/>
      <w:r w:rsidRPr="00072A7F">
        <w:rPr>
          <w:rFonts w:ascii="Arial" w:hAnsi="Arial" w:cs="Arial"/>
          <w:sz w:val="22"/>
          <w:szCs w:val="22"/>
        </w:rPr>
        <w:t>. Geneva: FIDIC.</w:t>
      </w:r>
    </w:p>
    <w:p w14:paraId="1B470FA4" w14:textId="0F2790B8"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Gould, F. and Joyce, N. (2014) </w:t>
      </w:r>
      <w:r w:rsidRPr="00B624AD">
        <w:rPr>
          <w:rFonts w:ascii="Arial" w:hAnsi="Arial" w:cs="Arial"/>
          <w:i/>
          <w:iCs/>
          <w:sz w:val="22"/>
          <w:szCs w:val="22"/>
        </w:rPr>
        <w:t>Construction Project Management</w:t>
      </w:r>
      <w:r w:rsidRPr="00072A7F">
        <w:rPr>
          <w:rFonts w:ascii="Arial" w:hAnsi="Arial" w:cs="Arial"/>
          <w:sz w:val="22"/>
          <w:szCs w:val="22"/>
        </w:rPr>
        <w:t xml:space="preserve">. 4th </w:t>
      </w:r>
      <w:proofErr w:type="spellStart"/>
      <w:r w:rsidRPr="00072A7F">
        <w:rPr>
          <w:rFonts w:ascii="Arial" w:hAnsi="Arial" w:cs="Arial"/>
          <w:sz w:val="22"/>
          <w:szCs w:val="22"/>
        </w:rPr>
        <w:t>edn</w:t>
      </w:r>
      <w:proofErr w:type="spellEnd"/>
      <w:r w:rsidRPr="00072A7F">
        <w:rPr>
          <w:rFonts w:ascii="Arial" w:hAnsi="Arial" w:cs="Arial"/>
          <w:sz w:val="22"/>
          <w:szCs w:val="22"/>
        </w:rPr>
        <w:t>. Harlow: Pearson Education.</w:t>
      </w:r>
    </w:p>
    <w:p w14:paraId="12F8B1A4" w14:textId="781FA57F"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Gray, C.F. and Larson, E.W. (2020) </w:t>
      </w:r>
      <w:r w:rsidRPr="00CD7F7F">
        <w:rPr>
          <w:rFonts w:ascii="Arial" w:hAnsi="Arial" w:cs="Arial"/>
          <w:i/>
          <w:iCs/>
          <w:sz w:val="22"/>
          <w:szCs w:val="22"/>
        </w:rPr>
        <w:t>Project Management: The Managerial Process</w:t>
      </w:r>
      <w:r w:rsidRPr="00072A7F">
        <w:rPr>
          <w:rFonts w:ascii="Arial" w:hAnsi="Arial" w:cs="Arial"/>
          <w:sz w:val="22"/>
          <w:szCs w:val="22"/>
        </w:rPr>
        <w:t xml:space="preserve">. 8th </w:t>
      </w:r>
      <w:proofErr w:type="spellStart"/>
      <w:r w:rsidRPr="00072A7F">
        <w:rPr>
          <w:rFonts w:ascii="Arial" w:hAnsi="Arial" w:cs="Arial"/>
          <w:sz w:val="22"/>
          <w:szCs w:val="22"/>
        </w:rPr>
        <w:t>edn</w:t>
      </w:r>
      <w:proofErr w:type="spellEnd"/>
      <w:r w:rsidRPr="00072A7F">
        <w:rPr>
          <w:rFonts w:ascii="Arial" w:hAnsi="Arial" w:cs="Arial"/>
          <w:sz w:val="22"/>
          <w:szCs w:val="22"/>
        </w:rPr>
        <w:t>. New York: McGraw</w:t>
      </w:r>
      <w:r w:rsidRPr="00072A7F">
        <w:rPr>
          <w:rFonts w:ascii="Cambria Math" w:hAnsi="Cambria Math" w:cs="Cambria Math"/>
          <w:sz w:val="22"/>
          <w:szCs w:val="22"/>
        </w:rPr>
        <w:t>‑</w:t>
      </w:r>
      <w:r w:rsidRPr="00072A7F">
        <w:rPr>
          <w:rFonts w:ascii="Arial" w:hAnsi="Arial" w:cs="Arial"/>
          <w:sz w:val="22"/>
          <w:szCs w:val="22"/>
        </w:rPr>
        <w:t>Hill Education.</w:t>
      </w:r>
    </w:p>
    <w:p w14:paraId="0DA3BF51" w14:textId="3B302110"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Halpin, D.W. and Senior, B.A. (2011) </w:t>
      </w:r>
      <w:r w:rsidRPr="00B057C4">
        <w:rPr>
          <w:rFonts w:ascii="Arial" w:hAnsi="Arial" w:cs="Arial"/>
          <w:i/>
          <w:iCs/>
          <w:sz w:val="22"/>
          <w:szCs w:val="22"/>
        </w:rPr>
        <w:t>Construction Management</w:t>
      </w:r>
      <w:r w:rsidRPr="00072A7F">
        <w:rPr>
          <w:rFonts w:ascii="Arial" w:hAnsi="Arial" w:cs="Arial"/>
          <w:sz w:val="22"/>
          <w:szCs w:val="22"/>
        </w:rPr>
        <w:t xml:space="preserve">. 4th </w:t>
      </w:r>
      <w:proofErr w:type="spellStart"/>
      <w:r w:rsidRPr="00072A7F">
        <w:rPr>
          <w:rFonts w:ascii="Arial" w:hAnsi="Arial" w:cs="Arial"/>
          <w:sz w:val="22"/>
          <w:szCs w:val="22"/>
        </w:rPr>
        <w:t>edn</w:t>
      </w:r>
      <w:proofErr w:type="spellEnd"/>
      <w:r w:rsidRPr="00072A7F">
        <w:rPr>
          <w:rFonts w:ascii="Arial" w:hAnsi="Arial" w:cs="Arial"/>
          <w:sz w:val="22"/>
          <w:szCs w:val="22"/>
        </w:rPr>
        <w:t>. Hoboken: John Wiley &amp; Sons.</w:t>
      </w:r>
    </w:p>
    <w:p w14:paraId="23EEE1CC" w14:textId="79CE897C" w:rsidR="0048219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Haughey, R. (2016) </w:t>
      </w:r>
      <w:r w:rsidRPr="00B057C4">
        <w:rPr>
          <w:rFonts w:ascii="Arial" w:hAnsi="Arial" w:cs="Arial"/>
          <w:i/>
          <w:iCs/>
          <w:sz w:val="22"/>
          <w:szCs w:val="22"/>
        </w:rPr>
        <w:t>Project Delivery Methods: A Guide for Owners and Project Managers</w:t>
      </w:r>
      <w:r w:rsidRPr="00072A7F">
        <w:rPr>
          <w:rFonts w:ascii="Arial" w:hAnsi="Arial" w:cs="Arial"/>
          <w:sz w:val="22"/>
          <w:szCs w:val="22"/>
        </w:rPr>
        <w:t>. London: Routledge.</w:t>
      </w:r>
    </w:p>
    <w:p w14:paraId="6488D9F0" w14:textId="2B89BE2A"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Helio Urban Development (2025) ‘Design</w:t>
      </w:r>
      <w:r w:rsidRPr="00072A7F">
        <w:rPr>
          <w:rFonts w:ascii="Cambria Math" w:hAnsi="Cambria Math" w:cs="Cambria Math"/>
          <w:sz w:val="22"/>
          <w:szCs w:val="22"/>
        </w:rPr>
        <w:t>‑</w:t>
      </w:r>
      <w:r w:rsidRPr="00072A7F">
        <w:rPr>
          <w:rFonts w:ascii="Arial" w:hAnsi="Arial" w:cs="Arial"/>
          <w:sz w:val="22"/>
          <w:szCs w:val="22"/>
        </w:rPr>
        <w:t>Build vs General Contractor vs DIY: Risk, Price, and Speed Compared’, available at: https://www.heliourbandevelopment.com/blog/design-build-vs-general-contractor-vs-diy-nova-scotia-risk-price-speed (Accessed: 10 July 2026).</w:t>
      </w:r>
    </w:p>
    <w:p w14:paraId="1ED52E66" w14:textId="29A79BA7"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Kerzner, H. (2017) </w:t>
      </w:r>
      <w:r w:rsidRPr="00E45A21">
        <w:rPr>
          <w:rFonts w:ascii="Arial" w:hAnsi="Arial" w:cs="Arial"/>
          <w:i/>
          <w:iCs/>
          <w:sz w:val="22"/>
          <w:szCs w:val="22"/>
        </w:rPr>
        <w:t>Project Management: A Systems Approach to Planning, Scheduling, and Controlling</w:t>
      </w:r>
      <w:r w:rsidRPr="00072A7F">
        <w:rPr>
          <w:rFonts w:ascii="Arial" w:hAnsi="Arial" w:cs="Arial"/>
          <w:sz w:val="22"/>
          <w:szCs w:val="22"/>
        </w:rPr>
        <w:t xml:space="preserve">. 12th </w:t>
      </w:r>
      <w:proofErr w:type="spellStart"/>
      <w:r w:rsidRPr="00072A7F">
        <w:rPr>
          <w:rFonts w:ascii="Arial" w:hAnsi="Arial" w:cs="Arial"/>
          <w:sz w:val="22"/>
          <w:szCs w:val="22"/>
        </w:rPr>
        <w:t>edn</w:t>
      </w:r>
      <w:proofErr w:type="spellEnd"/>
      <w:r w:rsidRPr="00072A7F">
        <w:rPr>
          <w:rFonts w:ascii="Arial" w:hAnsi="Arial" w:cs="Arial"/>
          <w:sz w:val="22"/>
          <w:szCs w:val="22"/>
        </w:rPr>
        <w:t>. Hoboken: John Wiley &amp; Sons.</w:t>
      </w:r>
    </w:p>
    <w:p w14:paraId="09B9B2AA" w14:textId="3A8E1D6F"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Meredith, J.R. and Mantel, S.J. (2018) </w:t>
      </w:r>
      <w:r w:rsidRPr="00E45A21">
        <w:rPr>
          <w:rFonts w:ascii="Arial" w:hAnsi="Arial" w:cs="Arial"/>
          <w:i/>
          <w:iCs/>
          <w:sz w:val="22"/>
          <w:szCs w:val="22"/>
        </w:rPr>
        <w:t>Project Management: A Managerial Approach.</w:t>
      </w:r>
      <w:r w:rsidRPr="00072A7F">
        <w:rPr>
          <w:rFonts w:ascii="Arial" w:hAnsi="Arial" w:cs="Arial"/>
          <w:sz w:val="22"/>
          <w:szCs w:val="22"/>
        </w:rPr>
        <w:t xml:space="preserve"> 10th </w:t>
      </w:r>
      <w:proofErr w:type="spellStart"/>
      <w:r w:rsidRPr="00072A7F">
        <w:rPr>
          <w:rFonts w:ascii="Arial" w:hAnsi="Arial" w:cs="Arial"/>
          <w:sz w:val="22"/>
          <w:szCs w:val="22"/>
        </w:rPr>
        <w:t>edn</w:t>
      </w:r>
      <w:proofErr w:type="spellEnd"/>
      <w:r w:rsidRPr="00072A7F">
        <w:rPr>
          <w:rFonts w:ascii="Arial" w:hAnsi="Arial" w:cs="Arial"/>
          <w:sz w:val="22"/>
          <w:szCs w:val="22"/>
        </w:rPr>
        <w:t>. Hoboken: John Wiley &amp; Sons.</w:t>
      </w:r>
    </w:p>
    <w:p w14:paraId="2A747A82" w14:textId="16D29BA6"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lastRenderedPageBreak/>
        <w:t xml:space="preserve">Morris, P.W.G. and Pinto, J.K. (2018) </w:t>
      </w:r>
      <w:r w:rsidRPr="001774BB">
        <w:rPr>
          <w:rFonts w:ascii="Arial" w:hAnsi="Arial" w:cs="Arial"/>
          <w:i/>
          <w:iCs/>
          <w:sz w:val="22"/>
          <w:szCs w:val="22"/>
        </w:rPr>
        <w:t>The Wiley Guide to Project Organization and Project Management Competencies</w:t>
      </w:r>
      <w:r w:rsidRPr="00072A7F">
        <w:rPr>
          <w:rFonts w:ascii="Arial" w:hAnsi="Arial" w:cs="Arial"/>
          <w:sz w:val="22"/>
          <w:szCs w:val="22"/>
        </w:rPr>
        <w:t>. Chichester: Wiley.</w:t>
      </w:r>
    </w:p>
    <w:p w14:paraId="17F876A2" w14:textId="49614AD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Oberlender, G.D. (2014) </w:t>
      </w:r>
      <w:r w:rsidRPr="001774BB">
        <w:rPr>
          <w:rFonts w:ascii="Arial" w:hAnsi="Arial" w:cs="Arial"/>
          <w:i/>
          <w:iCs/>
          <w:sz w:val="22"/>
          <w:szCs w:val="22"/>
        </w:rPr>
        <w:t>Project Management for Engineering and Construction</w:t>
      </w:r>
      <w:r w:rsidRPr="00072A7F">
        <w:rPr>
          <w:rFonts w:ascii="Arial" w:hAnsi="Arial" w:cs="Arial"/>
          <w:sz w:val="22"/>
          <w:szCs w:val="22"/>
        </w:rPr>
        <w:t xml:space="preserve">. 3rd </w:t>
      </w:r>
      <w:proofErr w:type="spellStart"/>
      <w:r w:rsidRPr="00072A7F">
        <w:rPr>
          <w:rFonts w:ascii="Arial" w:hAnsi="Arial" w:cs="Arial"/>
          <w:sz w:val="22"/>
          <w:szCs w:val="22"/>
        </w:rPr>
        <w:t>edn</w:t>
      </w:r>
      <w:proofErr w:type="spellEnd"/>
      <w:r w:rsidRPr="00072A7F">
        <w:rPr>
          <w:rFonts w:ascii="Arial" w:hAnsi="Arial" w:cs="Arial"/>
          <w:sz w:val="22"/>
          <w:szCs w:val="22"/>
        </w:rPr>
        <w:t>. New York: McGraw</w:t>
      </w:r>
      <w:r w:rsidRPr="00072A7F">
        <w:rPr>
          <w:rFonts w:ascii="Cambria Math" w:hAnsi="Cambria Math" w:cs="Cambria Math"/>
          <w:sz w:val="22"/>
          <w:szCs w:val="22"/>
        </w:rPr>
        <w:t>‑</w:t>
      </w:r>
      <w:r w:rsidRPr="00072A7F">
        <w:rPr>
          <w:rFonts w:ascii="Arial" w:hAnsi="Arial" w:cs="Arial"/>
          <w:sz w:val="22"/>
          <w:szCs w:val="22"/>
        </w:rPr>
        <w:t>Hill Education.</w:t>
      </w:r>
    </w:p>
    <w:p w14:paraId="3FEDDF27" w14:textId="642A47E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Project Management Institute (PMI) (2021) </w:t>
      </w:r>
      <w:r w:rsidRPr="00FC0AAA">
        <w:rPr>
          <w:rFonts w:ascii="Arial" w:hAnsi="Arial" w:cs="Arial"/>
          <w:i/>
          <w:iCs/>
          <w:sz w:val="22"/>
          <w:szCs w:val="22"/>
        </w:rPr>
        <w:t>A Guide to the Project Management Body of Knowledge (PMBOK® Guide).</w:t>
      </w:r>
      <w:r w:rsidRPr="00072A7F">
        <w:rPr>
          <w:rFonts w:ascii="Arial" w:hAnsi="Arial" w:cs="Arial"/>
          <w:sz w:val="22"/>
          <w:szCs w:val="22"/>
        </w:rPr>
        <w:t xml:space="preserve"> 7th </w:t>
      </w:r>
      <w:proofErr w:type="spellStart"/>
      <w:r w:rsidRPr="00072A7F">
        <w:rPr>
          <w:rFonts w:ascii="Arial" w:hAnsi="Arial" w:cs="Arial"/>
          <w:sz w:val="22"/>
          <w:szCs w:val="22"/>
        </w:rPr>
        <w:t>edn</w:t>
      </w:r>
      <w:proofErr w:type="spellEnd"/>
      <w:r w:rsidRPr="00072A7F">
        <w:rPr>
          <w:rFonts w:ascii="Arial" w:hAnsi="Arial" w:cs="Arial"/>
          <w:sz w:val="22"/>
          <w:szCs w:val="22"/>
        </w:rPr>
        <w:t>. Newtown Square: PMI.</w:t>
      </w:r>
    </w:p>
    <w:p w14:paraId="686896DC" w14:textId="58A0E9BE"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w:t>
      </w:r>
      <w:proofErr w:type="spellStart"/>
      <w:r w:rsidRPr="00072A7F">
        <w:rPr>
          <w:rFonts w:ascii="Arial" w:hAnsi="Arial" w:cs="Arial"/>
          <w:sz w:val="22"/>
          <w:szCs w:val="22"/>
        </w:rPr>
        <w:t>Raghdan</w:t>
      </w:r>
      <w:proofErr w:type="spellEnd"/>
      <w:r w:rsidRPr="00072A7F">
        <w:rPr>
          <w:rFonts w:ascii="Arial" w:hAnsi="Arial" w:cs="Arial"/>
          <w:sz w:val="22"/>
          <w:szCs w:val="22"/>
        </w:rPr>
        <w:t xml:space="preserve"> Real Estate (2026) ‘Self</w:t>
      </w:r>
      <w:r w:rsidRPr="00072A7F">
        <w:rPr>
          <w:rFonts w:ascii="Cambria Math" w:hAnsi="Cambria Math" w:cs="Cambria Math"/>
          <w:sz w:val="22"/>
          <w:szCs w:val="22"/>
        </w:rPr>
        <w:t>‑</w:t>
      </w:r>
      <w:r w:rsidRPr="00072A7F">
        <w:rPr>
          <w:rFonts w:ascii="Arial" w:hAnsi="Arial" w:cs="Arial"/>
          <w:sz w:val="22"/>
          <w:szCs w:val="22"/>
        </w:rPr>
        <w:t>Managed Construction vs Turnkey Contracting: The Complete 2026 Guide’, available at: https://raghdan.sa/en/news/self-managed-construction-vs-turnkey-contracting-the-complete-2026-guide-to-choosing-right-and-protecting-yourself-with-contracts/ (Accessed: 10 July 2026).</w:t>
      </w:r>
    </w:p>
    <w:p w14:paraId="67DB0205" w14:textId="5E7AAD6C"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RKS Training (2026) ‘EPC vs EPCM vs Multiple Package Contracts Explained’, available at: https://rkstrainings.com/epc-vs-epcm-vs-multiple-package-contracts/ (Accessed: 10 July 2026).</w:t>
      </w:r>
    </w:p>
    <w:p w14:paraId="30883FAF" w14:textId="57DD8F94"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Smith, N.J. (2020) </w:t>
      </w:r>
      <w:r w:rsidRPr="00FC0AAA">
        <w:rPr>
          <w:rFonts w:ascii="Arial" w:hAnsi="Arial" w:cs="Arial"/>
          <w:i/>
          <w:iCs/>
          <w:sz w:val="22"/>
          <w:szCs w:val="22"/>
        </w:rPr>
        <w:t>Engineering Project Management</w:t>
      </w:r>
      <w:r w:rsidRPr="00072A7F">
        <w:rPr>
          <w:rFonts w:ascii="Arial" w:hAnsi="Arial" w:cs="Arial"/>
          <w:sz w:val="22"/>
          <w:szCs w:val="22"/>
        </w:rPr>
        <w:t xml:space="preserve">. 2nd </w:t>
      </w:r>
      <w:proofErr w:type="spellStart"/>
      <w:r w:rsidRPr="00072A7F">
        <w:rPr>
          <w:rFonts w:ascii="Arial" w:hAnsi="Arial" w:cs="Arial"/>
          <w:sz w:val="22"/>
          <w:szCs w:val="22"/>
        </w:rPr>
        <w:t>edn</w:t>
      </w:r>
      <w:proofErr w:type="spellEnd"/>
      <w:r w:rsidRPr="00072A7F">
        <w:rPr>
          <w:rFonts w:ascii="Arial" w:hAnsi="Arial" w:cs="Arial"/>
          <w:sz w:val="22"/>
          <w:szCs w:val="22"/>
        </w:rPr>
        <w:t>. London: ICE Publishing.</w:t>
      </w:r>
    </w:p>
    <w:p w14:paraId="7433397E" w14:textId="61507C79"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Toor, S.U.R. and Ogunlana, S.O. (2010) ‘Problems in managing turnkey projects: perspectives from construction industry’, </w:t>
      </w:r>
      <w:r w:rsidRPr="00FB6CDF">
        <w:rPr>
          <w:rFonts w:ascii="Arial" w:hAnsi="Arial" w:cs="Arial"/>
          <w:i/>
          <w:iCs/>
          <w:sz w:val="22"/>
          <w:szCs w:val="22"/>
        </w:rPr>
        <w:t>International Journal of Project Management</w:t>
      </w:r>
      <w:r w:rsidRPr="00072A7F">
        <w:rPr>
          <w:rFonts w:ascii="Arial" w:hAnsi="Arial" w:cs="Arial"/>
          <w:sz w:val="22"/>
          <w:szCs w:val="22"/>
        </w:rPr>
        <w:t>, 28(7), pp. 711–721.</w:t>
      </w:r>
    </w:p>
    <w:p w14:paraId="43745DD9" w14:textId="0EB888EA"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Turner, J.R. (2016) </w:t>
      </w:r>
      <w:r w:rsidRPr="00FB6CDF">
        <w:rPr>
          <w:rFonts w:ascii="Arial" w:hAnsi="Arial" w:cs="Arial"/>
          <w:i/>
          <w:iCs/>
          <w:sz w:val="22"/>
          <w:szCs w:val="22"/>
        </w:rPr>
        <w:t>The Handbook of Project</w:t>
      </w:r>
      <w:r w:rsidRPr="00FB6CDF">
        <w:rPr>
          <w:rFonts w:ascii="Cambria Math" w:hAnsi="Cambria Math" w:cs="Cambria Math"/>
          <w:i/>
          <w:iCs/>
          <w:sz w:val="22"/>
          <w:szCs w:val="22"/>
        </w:rPr>
        <w:t>‑</w:t>
      </w:r>
      <w:r w:rsidRPr="00FB6CDF">
        <w:rPr>
          <w:rFonts w:ascii="Arial" w:hAnsi="Arial" w:cs="Arial"/>
          <w:i/>
          <w:iCs/>
          <w:sz w:val="22"/>
          <w:szCs w:val="22"/>
        </w:rPr>
        <w:t>based Management: Leading Strategic Change in Organizations</w:t>
      </w:r>
      <w:r w:rsidRPr="00072A7F">
        <w:rPr>
          <w:rFonts w:ascii="Arial" w:hAnsi="Arial" w:cs="Arial"/>
          <w:sz w:val="22"/>
          <w:szCs w:val="22"/>
        </w:rPr>
        <w:t xml:space="preserve">. 4th </w:t>
      </w:r>
      <w:proofErr w:type="spellStart"/>
      <w:r w:rsidRPr="00072A7F">
        <w:rPr>
          <w:rFonts w:ascii="Arial" w:hAnsi="Arial" w:cs="Arial"/>
          <w:sz w:val="22"/>
          <w:szCs w:val="22"/>
        </w:rPr>
        <w:t>edn</w:t>
      </w:r>
      <w:proofErr w:type="spellEnd"/>
      <w:r w:rsidRPr="00072A7F">
        <w:rPr>
          <w:rFonts w:ascii="Arial" w:hAnsi="Arial" w:cs="Arial"/>
          <w:sz w:val="22"/>
          <w:szCs w:val="22"/>
        </w:rPr>
        <w:t>. Maidenhead: McGraw</w:t>
      </w:r>
      <w:r w:rsidRPr="00072A7F">
        <w:rPr>
          <w:rFonts w:ascii="Cambria Math" w:hAnsi="Cambria Math" w:cs="Cambria Math"/>
          <w:sz w:val="22"/>
          <w:szCs w:val="22"/>
        </w:rPr>
        <w:t>‑</w:t>
      </w:r>
      <w:r w:rsidRPr="00072A7F">
        <w:rPr>
          <w:rFonts w:ascii="Arial" w:hAnsi="Arial" w:cs="Arial"/>
          <w:sz w:val="22"/>
          <w:szCs w:val="22"/>
        </w:rPr>
        <w:t>Hill Education.</w:t>
      </w:r>
    </w:p>
    <w:p w14:paraId="75C763BE" w14:textId="207655C2"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Walker, A. (2015) </w:t>
      </w:r>
      <w:r w:rsidRPr="00FB6CDF">
        <w:rPr>
          <w:rFonts w:ascii="Arial" w:hAnsi="Arial" w:cs="Arial"/>
          <w:i/>
          <w:iCs/>
          <w:sz w:val="22"/>
          <w:szCs w:val="22"/>
        </w:rPr>
        <w:t>Project Management in Construction</w:t>
      </w:r>
      <w:r w:rsidRPr="00072A7F">
        <w:rPr>
          <w:rFonts w:ascii="Arial" w:hAnsi="Arial" w:cs="Arial"/>
          <w:sz w:val="22"/>
          <w:szCs w:val="22"/>
        </w:rPr>
        <w:t xml:space="preserve">. 6th </w:t>
      </w:r>
      <w:proofErr w:type="spellStart"/>
      <w:r w:rsidRPr="00072A7F">
        <w:rPr>
          <w:rFonts w:ascii="Arial" w:hAnsi="Arial" w:cs="Arial"/>
          <w:sz w:val="22"/>
          <w:szCs w:val="22"/>
        </w:rPr>
        <w:t>edn</w:t>
      </w:r>
      <w:proofErr w:type="spellEnd"/>
      <w:r w:rsidRPr="00072A7F">
        <w:rPr>
          <w:rFonts w:ascii="Arial" w:hAnsi="Arial" w:cs="Arial"/>
          <w:sz w:val="22"/>
          <w:szCs w:val="22"/>
        </w:rPr>
        <w:t>. Chichester: Wiley</w:t>
      </w:r>
      <w:r w:rsidRPr="00072A7F">
        <w:rPr>
          <w:rFonts w:ascii="Cambria Math" w:hAnsi="Cambria Math" w:cs="Cambria Math"/>
          <w:sz w:val="22"/>
          <w:szCs w:val="22"/>
        </w:rPr>
        <w:t>‑</w:t>
      </w:r>
      <w:r w:rsidRPr="00072A7F">
        <w:rPr>
          <w:rFonts w:ascii="Arial" w:hAnsi="Arial" w:cs="Arial"/>
          <w:sz w:val="22"/>
          <w:szCs w:val="22"/>
        </w:rPr>
        <w:t>Blackwell.</w:t>
      </w:r>
    </w:p>
    <w:p w14:paraId="2C166EF0" w14:textId="53D8D9D8" w:rsidR="000F6DB7" w:rsidRPr="00072A7F" w:rsidRDefault="000F6DB7" w:rsidP="00072A7F">
      <w:pPr>
        <w:spacing w:line="360" w:lineRule="auto"/>
        <w:rPr>
          <w:rFonts w:ascii="Arial" w:hAnsi="Arial" w:cs="Arial"/>
          <w:sz w:val="22"/>
          <w:szCs w:val="22"/>
        </w:rPr>
      </w:pPr>
      <w:r w:rsidRPr="00072A7F">
        <w:rPr>
          <w:rFonts w:ascii="Arial" w:hAnsi="Arial" w:cs="Arial"/>
          <w:sz w:val="22"/>
          <w:szCs w:val="22"/>
        </w:rPr>
        <w:t xml:space="preserve"> Ward, S. (2008) </w:t>
      </w:r>
      <w:r w:rsidRPr="00FB6CDF">
        <w:rPr>
          <w:rFonts w:ascii="Arial" w:hAnsi="Arial" w:cs="Arial"/>
          <w:i/>
          <w:iCs/>
          <w:sz w:val="22"/>
          <w:szCs w:val="22"/>
        </w:rPr>
        <w:t>Project Management: A Practical Guide</w:t>
      </w:r>
      <w:r w:rsidRPr="00072A7F">
        <w:rPr>
          <w:rFonts w:ascii="Arial" w:hAnsi="Arial" w:cs="Arial"/>
          <w:sz w:val="22"/>
          <w:szCs w:val="22"/>
        </w:rPr>
        <w:t>. London: Kogan Page.</w:t>
      </w:r>
    </w:p>
    <w:p w14:paraId="5EF2DD95" w14:textId="790BF5BA" w:rsidR="00684D8A" w:rsidRPr="00072A7F" w:rsidRDefault="00684D8A" w:rsidP="00072A7F">
      <w:pPr>
        <w:spacing w:line="360" w:lineRule="auto"/>
        <w:rPr>
          <w:rFonts w:ascii="Arial" w:hAnsi="Arial" w:cs="Arial"/>
          <w:sz w:val="22"/>
          <w:szCs w:val="22"/>
        </w:rPr>
      </w:pPr>
    </w:p>
    <w:sectPr w:rsidR="00684D8A" w:rsidRPr="00072A7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A6269" w14:textId="77777777" w:rsidR="008070F4" w:rsidRDefault="008070F4" w:rsidP="00684D8A">
      <w:pPr>
        <w:spacing w:after="0" w:line="240" w:lineRule="auto"/>
      </w:pPr>
      <w:r>
        <w:separator/>
      </w:r>
    </w:p>
  </w:endnote>
  <w:endnote w:type="continuationSeparator" w:id="0">
    <w:p w14:paraId="7C3A9260" w14:textId="77777777" w:rsidR="008070F4" w:rsidRDefault="008070F4" w:rsidP="0068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800588"/>
      <w:docPartObj>
        <w:docPartGallery w:val="Page Numbers (Bottom of Page)"/>
        <w:docPartUnique/>
      </w:docPartObj>
    </w:sdtPr>
    <w:sdtEndPr>
      <w:rPr>
        <w:noProof/>
      </w:rPr>
    </w:sdtEndPr>
    <w:sdtContent>
      <w:p w14:paraId="16FB9B68" w14:textId="1ABE7BAD" w:rsidR="00684D8A" w:rsidRDefault="00684D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F751D3" w14:textId="77777777" w:rsidR="00684D8A" w:rsidRDefault="0068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9D70E" w14:textId="77777777" w:rsidR="008070F4" w:rsidRDefault="008070F4" w:rsidP="00684D8A">
      <w:pPr>
        <w:spacing w:after="0" w:line="240" w:lineRule="auto"/>
      </w:pPr>
      <w:r>
        <w:separator/>
      </w:r>
    </w:p>
  </w:footnote>
  <w:footnote w:type="continuationSeparator" w:id="0">
    <w:p w14:paraId="0666BBC7" w14:textId="77777777" w:rsidR="008070F4" w:rsidRDefault="008070F4" w:rsidP="00684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477E74"/>
    <w:multiLevelType w:val="hybridMultilevel"/>
    <w:tmpl w:val="556688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06472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D8A"/>
    <w:rsid w:val="00072A7F"/>
    <w:rsid w:val="0008356C"/>
    <w:rsid w:val="000A7C9D"/>
    <w:rsid w:val="000F6DB7"/>
    <w:rsid w:val="00120D65"/>
    <w:rsid w:val="00140538"/>
    <w:rsid w:val="001774BB"/>
    <w:rsid w:val="001804BC"/>
    <w:rsid w:val="00194DE5"/>
    <w:rsid w:val="001D3D65"/>
    <w:rsid w:val="002529FD"/>
    <w:rsid w:val="00257E21"/>
    <w:rsid w:val="0032645D"/>
    <w:rsid w:val="00482197"/>
    <w:rsid w:val="004D2CEE"/>
    <w:rsid w:val="00522EC8"/>
    <w:rsid w:val="00642F53"/>
    <w:rsid w:val="00684D8A"/>
    <w:rsid w:val="006A2768"/>
    <w:rsid w:val="007229F0"/>
    <w:rsid w:val="007257AE"/>
    <w:rsid w:val="00743005"/>
    <w:rsid w:val="008070F4"/>
    <w:rsid w:val="00825ED1"/>
    <w:rsid w:val="00857F58"/>
    <w:rsid w:val="0094674C"/>
    <w:rsid w:val="00A024AB"/>
    <w:rsid w:val="00A250DA"/>
    <w:rsid w:val="00A50976"/>
    <w:rsid w:val="00A5131B"/>
    <w:rsid w:val="00A57E71"/>
    <w:rsid w:val="00A629F1"/>
    <w:rsid w:val="00A85441"/>
    <w:rsid w:val="00AA29CA"/>
    <w:rsid w:val="00AC4B95"/>
    <w:rsid w:val="00AF34DA"/>
    <w:rsid w:val="00B057C4"/>
    <w:rsid w:val="00B624AD"/>
    <w:rsid w:val="00BB1D81"/>
    <w:rsid w:val="00BC1466"/>
    <w:rsid w:val="00BE770C"/>
    <w:rsid w:val="00CD7F7F"/>
    <w:rsid w:val="00CE48D8"/>
    <w:rsid w:val="00D25C00"/>
    <w:rsid w:val="00D33DE6"/>
    <w:rsid w:val="00D86911"/>
    <w:rsid w:val="00DC5C01"/>
    <w:rsid w:val="00E27707"/>
    <w:rsid w:val="00E45A21"/>
    <w:rsid w:val="00EA1CF8"/>
    <w:rsid w:val="00EA5BA7"/>
    <w:rsid w:val="00F43A51"/>
    <w:rsid w:val="00F652FD"/>
    <w:rsid w:val="00FB6CDF"/>
    <w:rsid w:val="00FC0025"/>
    <w:rsid w:val="00FC0AAA"/>
    <w:rsid w:val="00FF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395C2"/>
  <w15:chartTrackingRefBased/>
  <w15:docId w15:val="{65B77406-30FD-461B-8C39-1BFEB201D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4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4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4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D8A"/>
    <w:rPr>
      <w:rFonts w:eastAsiaTheme="majorEastAsia" w:cstheme="majorBidi"/>
      <w:color w:val="272727" w:themeColor="text1" w:themeTint="D8"/>
    </w:rPr>
  </w:style>
  <w:style w:type="paragraph" w:styleId="Title">
    <w:name w:val="Title"/>
    <w:basedOn w:val="Normal"/>
    <w:next w:val="Normal"/>
    <w:link w:val="TitleChar"/>
    <w:uiPriority w:val="10"/>
    <w:qFormat/>
    <w:rsid w:val="00684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D8A"/>
    <w:pPr>
      <w:spacing w:before="160"/>
      <w:jc w:val="center"/>
    </w:pPr>
    <w:rPr>
      <w:i/>
      <w:iCs/>
      <w:color w:val="404040" w:themeColor="text1" w:themeTint="BF"/>
    </w:rPr>
  </w:style>
  <w:style w:type="character" w:customStyle="1" w:styleId="QuoteChar">
    <w:name w:val="Quote Char"/>
    <w:basedOn w:val="DefaultParagraphFont"/>
    <w:link w:val="Quote"/>
    <w:uiPriority w:val="29"/>
    <w:rsid w:val="00684D8A"/>
    <w:rPr>
      <w:i/>
      <w:iCs/>
      <w:color w:val="404040" w:themeColor="text1" w:themeTint="BF"/>
    </w:rPr>
  </w:style>
  <w:style w:type="paragraph" w:styleId="ListParagraph">
    <w:name w:val="List Paragraph"/>
    <w:basedOn w:val="Normal"/>
    <w:uiPriority w:val="34"/>
    <w:qFormat/>
    <w:rsid w:val="00684D8A"/>
    <w:pPr>
      <w:ind w:left="720"/>
      <w:contextualSpacing/>
    </w:pPr>
  </w:style>
  <w:style w:type="character" w:styleId="IntenseEmphasis">
    <w:name w:val="Intense Emphasis"/>
    <w:basedOn w:val="DefaultParagraphFont"/>
    <w:uiPriority w:val="21"/>
    <w:qFormat/>
    <w:rsid w:val="00684D8A"/>
    <w:rPr>
      <w:i/>
      <w:iCs/>
      <w:color w:val="0F4761" w:themeColor="accent1" w:themeShade="BF"/>
    </w:rPr>
  </w:style>
  <w:style w:type="paragraph" w:styleId="IntenseQuote">
    <w:name w:val="Intense Quote"/>
    <w:basedOn w:val="Normal"/>
    <w:next w:val="Normal"/>
    <w:link w:val="IntenseQuoteChar"/>
    <w:uiPriority w:val="30"/>
    <w:qFormat/>
    <w:rsid w:val="00684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D8A"/>
    <w:rPr>
      <w:i/>
      <w:iCs/>
      <w:color w:val="0F4761" w:themeColor="accent1" w:themeShade="BF"/>
    </w:rPr>
  </w:style>
  <w:style w:type="character" w:styleId="IntenseReference">
    <w:name w:val="Intense Reference"/>
    <w:basedOn w:val="DefaultParagraphFont"/>
    <w:uiPriority w:val="32"/>
    <w:qFormat/>
    <w:rsid w:val="00684D8A"/>
    <w:rPr>
      <w:b/>
      <w:bCs/>
      <w:smallCaps/>
      <w:color w:val="0F4761" w:themeColor="accent1" w:themeShade="BF"/>
      <w:spacing w:val="5"/>
    </w:rPr>
  </w:style>
  <w:style w:type="paragraph" w:styleId="Header">
    <w:name w:val="header"/>
    <w:basedOn w:val="Normal"/>
    <w:link w:val="HeaderChar"/>
    <w:uiPriority w:val="99"/>
    <w:unhideWhenUsed/>
    <w:rsid w:val="00684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D8A"/>
  </w:style>
  <w:style w:type="paragraph" w:styleId="Footer">
    <w:name w:val="footer"/>
    <w:basedOn w:val="Normal"/>
    <w:link w:val="FooterChar"/>
    <w:uiPriority w:val="99"/>
    <w:unhideWhenUsed/>
    <w:rsid w:val="00684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D8A"/>
  </w:style>
  <w:style w:type="table" w:styleId="TableGrid">
    <w:name w:val="Table Grid"/>
    <w:basedOn w:val="TableNormal"/>
    <w:uiPriority w:val="39"/>
    <w:rsid w:val="00EA5B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11</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Nechifor (2245145)</dc:creator>
  <cp:keywords/>
  <dc:description/>
  <cp:lastModifiedBy>Dumitru Nechifor (2245145)</cp:lastModifiedBy>
  <cp:revision>51</cp:revision>
  <dcterms:created xsi:type="dcterms:W3CDTF">2026-07-12T09:23:00Z</dcterms:created>
  <dcterms:modified xsi:type="dcterms:W3CDTF">2026-07-12T11:33:00Z</dcterms:modified>
</cp:coreProperties>
</file>