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94AF0A" w14:textId="77777777" w:rsidR="0072023A" w:rsidRPr="00EA4B29" w:rsidRDefault="00466A15">
      <w:pPr>
        <w:pStyle w:val="cvgsua"/>
        <w:spacing w:line="360" w:lineRule="auto"/>
        <w:rPr>
          <w:sz w:val="22"/>
          <w:szCs w:val="22"/>
        </w:rPr>
      </w:pPr>
      <w:bookmarkStart w:id="0" w:name="_Hlk164783229"/>
      <w:bookmarkEnd w:id="0"/>
      <w:r w:rsidRPr="00EA4B29">
        <w:rPr>
          <w:noProof/>
          <w:sz w:val="22"/>
          <w:szCs w:val="22"/>
        </w:rPr>
        <w:drawing>
          <wp:inline distT="0" distB="0" distL="0" distR="0" wp14:anchorId="5294AF0A" wp14:editId="5294AF0B">
            <wp:extent cx="3200710" cy="1834249"/>
            <wp:effectExtent l="0" t="0" r="0" b="0"/>
            <wp:docPr id="1418799996" name="Picture 1" descr="A white background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5440" t="3040" r="52960" b="73120"/>
                    <a:stretch>
                      <a:fillRect/>
                    </a:stretch>
                  </pic:blipFill>
                  <pic:spPr>
                    <a:xfrm>
                      <a:off x="0" y="0"/>
                      <a:ext cx="3200710" cy="1834249"/>
                    </a:xfrm>
                    <a:prstGeom prst="rect">
                      <a:avLst/>
                    </a:prstGeom>
                    <a:noFill/>
                    <a:ln>
                      <a:noFill/>
                      <a:prstDash/>
                    </a:ln>
                  </pic:spPr>
                </pic:pic>
              </a:graphicData>
            </a:graphic>
          </wp:inline>
        </w:drawing>
      </w:r>
    </w:p>
    <w:p w14:paraId="5294AF0B" w14:textId="77777777" w:rsidR="0072023A" w:rsidRPr="00EA4B29" w:rsidRDefault="0072023A">
      <w:pPr>
        <w:pStyle w:val="cvgsua"/>
        <w:spacing w:line="360" w:lineRule="auto"/>
        <w:rPr>
          <w:sz w:val="22"/>
          <w:szCs w:val="22"/>
        </w:rPr>
      </w:pPr>
    </w:p>
    <w:p w14:paraId="5294AF0C" w14:textId="77777777" w:rsidR="0072023A" w:rsidRPr="00EA4B29" w:rsidRDefault="0072023A">
      <w:pPr>
        <w:pStyle w:val="cvgsua"/>
        <w:spacing w:line="360" w:lineRule="auto"/>
        <w:rPr>
          <w:sz w:val="22"/>
          <w:szCs w:val="22"/>
        </w:rPr>
      </w:pPr>
    </w:p>
    <w:p w14:paraId="5294AF0D" w14:textId="77777777" w:rsidR="0072023A" w:rsidRPr="00EA4B29" w:rsidRDefault="0072023A">
      <w:pPr>
        <w:pStyle w:val="cvgsua"/>
        <w:spacing w:line="360" w:lineRule="auto"/>
        <w:rPr>
          <w:sz w:val="22"/>
          <w:szCs w:val="22"/>
        </w:rPr>
      </w:pPr>
    </w:p>
    <w:p w14:paraId="5294AF0E" w14:textId="77777777" w:rsidR="0072023A" w:rsidRPr="00EA4B29" w:rsidRDefault="0072023A">
      <w:pPr>
        <w:pStyle w:val="cvgsua"/>
        <w:spacing w:line="360" w:lineRule="auto"/>
        <w:rPr>
          <w:sz w:val="22"/>
          <w:szCs w:val="22"/>
        </w:rPr>
      </w:pPr>
    </w:p>
    <w:p w14:paraId="5294AF0F" w14:textId="77777777" w:rsidR="0072023A" w:rsidRPr="00EA4B29" w:rsidRDefault="0072023A">
      <w:pPr>
        <w:pStyle w:val="cvgsua"/>
        <w:spacing w:line="360" w:lineRule="auto"/>
        <w:rPr>
          <w:sz w:val="22"/>
          <w:szCs w:val="22"/>
        </w:rPr>
      </w:pPr>
    </w:p>
    <w:p w14:paraId="5294AF10" w14:textId="77777777" w:rsidR="0072023A" w:rsidRPr="00EA4B29" w:rsidRDefault="0072023A">
      <w:pPr>
        <w:pStyle w:val="cvgsua"/>
        <w:spacing w:line="360" w:lineRule="auto"/>
        <w:rPr>
          <w:sz w:val="22"/>
          <w:szCs w:val="22"/>
        </w:rPr>
      </w:pPr>
    </w:p>
    <w:p w14:paraId="5294AF11" w14:textId="77777777" w:rsidR="0072023A" w:rsidRPr="00EA4B29" w:rsidRDefault="00466A15">
      <w:pPr>
        <w:pStyle w:val="cvgsua"/>
        <w:spacing w:line="360" w:lineRule="auto"/>
        <w:rPr>
          <w:sz w:val="22"/>
          <w:szCs w:val="22"/>
        </w:rPr>
      </w:pPr>
      <w:r w:rsidRPr="00EA4B29">
        <w:rPr>
          <w:rStyle w:val="oypena"/>
          <w:b/>
          <w:bCs/>
          <w:color w:val="000000"/>
          <w:sz w:val="22"/>
          <w:szCs w:val="22"/>
        </w:rPr>
        <w:t xml:space="preserve">Student name: Katarina </w:t>
      </w:r>
      <w:proofErr w:type="spellStart"/>
      <w:r w:rsidRPr="00EA4B29">
        <w:rPr>
          <w:rStyle w:val="oypena"/>
          <w:b/>
          <w:bCs/>
          <w:color w:val="000000"/>
          <w:sz w:val="22"/>
          <w:szCs w:val="22"/>
        </w:rPr>
        <w:t>Dydnanska</w:t>
      </w:r>
      <w:proofErr w:type="spellEnd"/>
    </w:p>
    <w:p w14:paraId="5294AF12" w14:textId="77777777" w:rsidR="0072023A" w:rsidRPr="00EA4B29" w:rsidRDefault="00466A15">
      <w:pPr>
        <w:pStyle w:val="cvgsua"/>
        <w:spacing w:line="360" w:lineRule="auto"/>
        <w:rPr>
          <w:sz w:val="22"/>
          <w:szCs w:val="22"/>
        </w:rPr>
      </w:pPr>
      <w:r w:rsidRPr="00EA4B29">
        <w:rPr>
          <w:rStyle w:val="oypena"/>
          <w:b/>
          <w:bCs/>
          <w:color w:val="000000"/>
          <w:sz w:val="22"/>
          <w:szCs w:val="22"/>
        </w:rPr>
        <w:t>Student ID: 2247512</w:t>
      </w:r>
    </w:p>
    <w:p w14:paraId="5294AF13" w14:textId="7D24BDA9" w:rsidR="0072023A" w:rsidRPr="00EA4B29" w:rsidRDefault="00466A15">
      <w:pPr>
        <w:pStyle w:val="cvgsua"/>
        <w:spacing w:line="360" w:lineRule="auto"/>
        <w:rPr>
          <w:sz w:val="22"/>
          <w:szCs w:val="22"/>
        </w:rPr>
      </w:pPr>
      <w:r w:rsidRPr="00EA4B29">
        <w:rPr>
          <w:rStyle w:val="oypena"/>
          <w:b/>
          <w:bCs/>
          <w:color w:val="000000"/>
          <w:sz w:val="22"/>
          <w:szCs w:val="22"/>
        </w:rPr>
        <w:t xml:space="preserve">Module code: </w:t>
      </w:r>
      <w:r w:rsidR="00EA4B29" w:rsidRPr="00EA4B29">
        <w:rPr>
          <w:b/>
          <w:bCs/>
          <w:color w:val="000000"/>
          <w:sz w:val="22"/>
          <w:szCs w:val="22"/>
        </w:rPr>
        <w:t>LCBB5000</w:t>
      </w:r>
    </w:p>
    <w:p w14:paraId="5294AF14" w14:textId="310D085A" w:rsidR="0072023A" w:rsidRPr="00EA4B29" w:rsidRDefault="00466A15">
      <w:pPr>
        <w:pStyle w:val="cvgsua"/>
        <w:spacing w:line="360" w:lineRule="auto"/>
        <w:rPr>
          <w:sz w:val="22"/>
          <w:szCs w:val="22"/>
        </w:rPr>
      </w:pPr>
      <w:r w:rsidRPr="00EA4B29">
        <w:rPr>
          <w:rStyle w:val="oypena"/>
          <w:b/>
          <w:bCs/>
          <w:color w:val="000000"/>
          <w:sz w:val="22"/>
          <w:szCs w:val="22"/>
        </w:rPr>
        <w:t xml:space="preserve">Module name: </w:t>
      </w:r>
      <w:r w:rsidR="00EA4B29" w:rsidRPr="00EA4B29">
        <w:rPr>
          <w:b/>
          <w:bCs/>
          <w:sz w:val="22"/>
          <w:szCs w:val="22"/>
        </w:rPr>
        <w:t>Data Handling and Business Intelligence</w:t>
      </w:r>
    </w:p>
    <w:p w14:paraId="5294AF15" w14:textId="152D31CE" w:rsidR="0072023A" w:rsidRDefault="00466A15">
      <w:pPr>
        <w:spacing w:line="360" w:lineRule="auto"/>
        <w:rPr>
          <w:rFonts w:ascii="Times New Roman" w:hAnsi="Times New Roman"/>
          <w:b/>
          <w:bCs/>
          <w:sz w:val="22"/>
          <w:szCs w:val="22"/>
        </w:rPr>
      </w:pPr>
      <w:r w:rsidRPr="00EA4B29">
        <w:rPr>
          <w:rStyle w:val="oypena"/>
          <w:rFonts w:ascii="Times New Roman" w:hAnsi="Times New Roman"/>
          <w:b/>
          <w:bCs/>
          <w:color w:val="000000"/>
          <w:sz w:val="22"/>
          <w:szCs w:val="22"/>
        </w:rPr>
        <w:t xml:space="preserve">Lecture:  </w:t>
      </w:r>
      <w:r w:rsidR="00EA4B29" w:rsidRPr="00EA4B29">
        <w:rPr>
          <w:rFonts w:ascii="Times New Roman" w:hAnsi="Times New Roman"/>
          <w:b/>
          <w:bCs/>
          <w:color w:val="000000"/>
          <w:sz w:val="22"/>
          <w:szCs w:val="22"/>
        </w:rPr>
        <w:t xml:space="preserve">Dr </w:t>
      </w:r>
      <w:proofErr w:type="spellStart"/>
      <w:r w:rsidR="00EA4B29" w:rsidRPr="00EA4B29">
        <w:rPr>
          <w:rFonts w:ascii="Times New Roman" w:hAnsi="Times New Roman"/>
          <w:b/>
          <w:bCs/>
          <w:color w:val="000000"/>
          <w:sz w:val="22"/>
          <w:szCs w:val="22"/>
        </w:rPr>
        <w:t>Sadeque</w:t>
      </w:r>
      <w:proofErr w:type="spellEnd"/>
      <w:r w:rsidR="00EA4B29" w:rsidRPr="00EA4B29">
        <w:rPr>
          <w:rFonts w:ascii="Times New Roman" w:hAnsi="Times New Roman"/>
          <w:b/>
          <w:bCs/>
          <w:color w:val="000000"/>
          <w:sz w:val="22"/>
          <w:szCs w:val="22"/>
        </w:rPr>
        <w:t xml:space="preserve"> Shaikh</w:t>
      </w:r>
    </w:p>
    <w:p w14:paraId="261BE719" w14:textId="01E59125" w:rsidR="00EA4B29" w:rsidRPr="00EA4B29" w:rsidRDefault="00EA4B29" w:rsidP="00EA4B29">
      <w:pPr>
        <w:spacing w:line="360" w:lineRule="auto"/>
        <w:rPr>
          <w:rFonts w:ascii="Times New Roman" w:hAnsi="Times New Roman"/>
          <w:b/>
          <w:bCs/>
          <w:sz w:val="22"/>
          <w:szCs w:val="22"/>
        </w:rPr>
      </w:pPr>
      <w:r w:rsidRPr="00EA4B29">
        <w:rPr>
          <w:rFonts w:ascii="Times New Roman" w:hAnsi="Times New Roman"/>
          <w:b/>
          <w:bCs/>
          <w:sz w:val="22"/>
          <w:szCs w:val="22"/>
        </w:rPr>
        <w:t>Assessment Component 2</w:t>
      </w:r>
    </w:p>
    <w:p w14:paraId="5294AFA5" w14:textId="77777777" w:rsidR="0072023A" w:rsidRPr="00EA4B29" w:rsidRDefault="0072023A">
      <w:pPr>
        <w:spacing w:line="360" w:lineRule="auto"/>
        <w:rPr>
          <w:rFonts w:ascii="Times New Roman" w:eastAsia="Times New Roman" w:hAnsi="Times New Roman"/>
          <w:kern w:val="0"/>
          <w:sz w:val="22"/>
          <w:szCs w:val="22"/>
          <w:lang w:eastAsia="en-GB"/>
        </w:rPr>
      </w:pPr>
    </w:p>
    <w:p w14:paraId="494115F0" w14:textId="77777777" w:rsidR="00EA4B29" w:rsidRPr="00EA4B29" w:rsidRDefault="00EA4B29">
      <w:pPr>
        <w:spacing w:line="360" w:lineRule="auto"/>
        <w:rPr>
          <w:rFonts w:ascii="Times New Roman" w:eastAsia="Times New Roman" w:hAnsi="Times New Roman"/>
          <w:kern w:val="0"/>
          <w:sz w:val="22"/>
          <w:szCs w:val="22"/>
          <w:lang w:eastAsia="en-GB"/>
        </w:rPr>
      </w:pPr>
    </w:p>
    <w:p w14:paraId="779DDA60" w14:textId="77777777" w:rsidR="00EA4B29" w:rsidRPr="00EA4B29" w:rsidRDefault="00EA4B29">
      <w:pPr>
        <w:spacing w:line="360" w:lineRule="auto"/>
        <w:rPr>
          <w:rFonts w:ascii="Times New Roman" w:eastAsia="Times New Roman" w:hAnsi="Times New Roman"/>
          <w:kern w:val="0"/>
          <w:sz w:val="22"/>
          <w:szCs w:val="22"/>
          <w:lang w:eastAsia="en-GB"/>
        </w:rPr>
      </w:pPr>
    </w:p>
    <w:p w14:paraId="1CAE736F" w14:textId="77777777" w:rsidR="00EA4B29" w:rsidRPr="00EA4B29" w:rsidRDefault="00EA4B29">
      <w:pPr>
        <w:spacing w:line="360" w:lineRule="auto"/>
        <w:rPr>
          <w:rFonts w:ascii="Times New Roman" w:eastAsia="Times New Roman" w:hAnsi="Times New Roman"/>
          <w:kern w:val="0"/>
          <w:sz w:val="22"/>
          <w:szCs w:val="22"/>
          <w:lang w:eastAsia="en-GB"/>
        </w:rPr>
      </w:pPr>
    </w:p>
    <w:p w14:paraId="70FC8058" w14:textId="77777777" w:rsidR="00EA4B29" w:rsidRPr="00EA4B29" w:rsidRDefault="00EA4B29">
      <w:pPr>
        <w:spacing w:line="360" w:lineRule="auto"/>
        <w:rPr>
          <w:rFonts w:ascii="Times New Roman" w:eastAsia="Times New Roman" w:hAnsi="Times New Roman"/>
          <w:kern w:val="0"/>
          <w:sz w:val="22"/>
          <w:szCs w:val="22"/>
          <w:lang w:eastAsia="en-GB"/>
        </w:rPr>
      </w:pPr>
    </w:p>
    <w:p w14:paraId="737807C5" w14:textId="77777777" w:rsidR="00EA4B29" w:rsidRPr="00EA4B29" w:rsidRDefault="00EA4B29">
      <w:pPr>
        <w:spacing w:line="360" w:lineRule="auto"/>
        <w:rPr>
          <w:rFonts w:ascii="Times New Roman" w:eastAsia="Times New Roman" w:hAnsi="Times New Roman"/>
          <w:kern w:val="0"/>
          <w:sz w:val="22"/>
          <w:szCs w:val="22"/>
          <w:lang w:eastAsia="en-GB"/>
        </w:rPr>
      </w:pPr>
    </w:p>
    <w:p w14:paraId="4561EE51" w14:textId="77777777" w:rsidR="00EA4B29" w:rsidRPr="00EA4B29" w:rsidRDefault="00EA4B29">
      <w:pPr>
        <w:spacing w:line="360" w:lineRule="auto"/>
        <w:rPr>
          <w:rFonts w:ascii="Times New Roman" w:eastAsia="Times New Roman" w:hAnsi="Times New Roman"/>
          <w:kern w:val="0"/>
          <w:sz w:val="22"/>
          <w:szCs w:val="22"/>
          <w:lang w:eastAsia="en-GB"/>
        </w:rPr>
      </w:pPr>
    </w:p>
    <w:p w14:paraId="7F83FE31" w14:textId="77777777" w:rsidR="00EA4B29" w:rsidRPr="00EA4B29" w:rsidRDefault="00EA4B29">
      <w:pPr>
        <w:spacing w:line="360" w:lineRule="auto"/>
        <w:rPr>
          <w:rFonts w:ascii="Times New Roman" w:eastAsia="Times New Roman" w:hAnsi="Times New Roman"/>
          <w:kern w:val="0"/>
          <w:sz w:val="22"/>
          <w:szCs w:val="22"/>
          <w:lang w:eastAsia="en-GB"/>
        </w:rPr>
      </w:pPr>
    </w:p>
    <w:p w14:paraId="0B4A2B49" w14:textId="77777777" w:rsidR="00EA4B29" w:rsidRPr="00EA4B29" w:rsidRDefault="00EA4B29">
      <w:pPr>
        <w:spacing w:line="360" w:lineRule="auto"/>
        <w:rPr>
          <w:rFonts w:ascii="Times New Roman" w:eastAsia="Times New Roman" w:hAnsi="Times New Roman"/>
          <w:kern w:val="0"/>
          <w:sz w:val="22"/>
          <w:szCs w:val="22"/>
          <w:lang w:eastAsia="en-GB"/>
        </w:rPr>
      </w:pPr>
    </w:p>
    <w:p w14:paraId="2EF88CCD"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lastRenderedPageBreak/>
        <w:t>Statistical Analysis of USA Housing Dataset using Excel and SPSS</w:t>
      </w:r>
    </w:p>
    <w:p w14:paraId="103E4E52"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Introduction to the USA Housing Dataset</w:t>
      </w:r>
    </w:p>
    <w:p w14:paraId="414F5BF5"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Use datasets of your choice containing all qualities required for a typical USA housing dataset.</w:t>
      </w:r>
    </w:p>
    <w:p w14:paraId="1C879A60"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Introduction</w:t>
      </w:r>
    </w:p>
    <w:p w14:paraId="193A1C96"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Real estate analytics can be challenging and requires expertise in data analysis. Managing extensive data helps us understand customer </w:t>
      </w:r>
      <w:proofErr w:type="spellStart"/>
      <w:r w:rsidRPr="00751D08">
        <w:rPr>
          <w:rFonts w:ascii="Times New Roman" w:eastAsia="Times New Roman" w:hAnsi="Times New Roman"/>
          <w:kern w:val="0"/>
          <w:sz w:val="22"/>
          <w:szCs w:val="22"/>
          <w:lang w:eastAsia="en-GB"/>
        </w:rPr>
        <w:t>behavior</w:t>
      </w:r>
      <w:proofErr w:type="spellEnd"/>
      <w:r w:rsidRPr="00751D08">
        <w:rPr>
          <w:rFonts w:ascii="Times New Roman" w:eastAsia="Times New Roman" w:hAnsi="Times New Roman"/>
          <w:kern w:val="0"/>
          <w:sz w:val="22"/>
          <w:szCs w:val="22"/>
          <w:lang w:eastAsia="en-GB"/>
        </w:rPr>
        <w:t xml:space="preserve"> and conduct detailed market analyses. We need a suitable dataset featuring USA housing statistics, including dependent variables like prices, zip codes, and county, along with independent variables such as home age and property area. (Olu-Ajayi et al.2022)</w:t>
      </w:r>
    </w:p>
    <w:p w14:paraId="65675372"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Our dataset features comprehensive USA housing data with over 6,000 properties from 46 states. It includes 20 entries and seven updated variables for analysis, such as square footage, home age, and land sizes. The dataset provides GPS data for cities, aiding in visualizing home distribution. Key metrics include home price, land size, home age, living area, garage availability, zip codes, city names, state names, and GPS coordinates. This data offers insights into city locations and house prices. To measure housing lifespan, systematic random samples will be used for averages. Statistical analysis will compute mean, median, mode, and standard deviation, ensuring accurate interpretation. High data quality is crucial for drawing accurate conclusions, and a thorough explanation of the data collection context will affirm its suitability for rigorous analysis. (Rojas et al.2022)</w:t>
      </w:r>
    </w:p>
    <w:p w14:paraId="47F93C04"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Structure</w:t>
      </w:r>
    </w:p>
    <w:p w14:paraId="3F804C1B"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Section A deals with basic statistics, such as mean, median, mode, and standard deviation. Section B deals with statistical tests, such as regression and hypothesis testing. You can focus on one of the sections </w:t>
      </w:r>
      <w:proofErr w:type="gramStart"/>
      <w:r w:rsidRPr="00751D08">
        <w:rPr>
          <w:rFonts w:ascii="Times New Roman" w:eastAsia="Times New Roman" w:hAnsi="Times New Roman"/>
          <w:kern w:val="0"/>
          <w:sz w:val="22"/>
          <w:szCs w:val="22"/>
          <w:lang w:eastAsia="en-GB"/>
        </w:rPr>
        <w:t>in order to</w:t>
      </w:r>
      <w:proofErr w:type="gramEnd"/>
      <w:r w:rsidRPr="00751D08">
        <w:rPr>
          <w:rFonts w:ascii="Times New Roman" w:eastAsia="Times New Roman" w:hAnsi="Times New Roman"/>
          <w:kern w:val="0"/>
          <w:sz w:val="22"/>
          <w:szCs w:val="22"/>
          <w:lang w:eastAsia="en-GB"/>
        </w:rPr>
        <w:t xml:space="preserve"> elaborate on the analysis in a broader context. (Ramachandran &amp; </w:t>
      </w:r>
      <w:proofErr w:type="spellStart"/>
      <w:r w:rsidRPr="00751D08">
        <w:rPr>
          <w:rFonts w:ascii="Times New Roman" w:eastAsia="Times New Roman" w:hAnsi="Times New Roman"/>
          <w:kern w:val="0"/>
          <w:sz w:val="22"/>
          <w:szCs w:val="22"/>
          <w:lang w:eastAsia="en-GB"/>
        </w:rPr>
        <w:t>Tsokos</w:t>
      </w:r>
      <w:proofErr w:type="spellEnd"/>
      <w:r w:rsidRPr="00751D08">
        <w:rPr>
          <w:rFonts w:ascii="Times New Roman" w:eastAsia="Times New Roman" w:hAnsi="Times New Roman"/>
          <w:kern w:val="0"/>
          <w:sz w:val="22"/>
          <w:szCs w:val="22"/>
          <w:lang w:eastAsia="en-GB"/>
        </w:rPr>
        <w:t xml:space="preserve">, </w:t>
      </w:r>
      <w:proofErr w:type="gramStart"/>
      <w:r w:rsidRPr="00751D08">
        <w:rPr>
          <w:rFonts w:ascii="Times New Roman" w:eastAsia="Times New Roman" w:hAnsi="Times New Roman"/>
          <w:kern w:val="0"/>
          <w:sz w:val="22"/>
          <w:szCs w:val="22"/>
          <w:lang w:eastAsia="en-GB"/>
        </w:rPr>
        <w:t>2020)(</w:t>
      </w:r>
      <w:proofErr w:type="gramEnd"/>
      <w:r w:rsidRPr="00751D08">
        <w:rPr>
          <w:rFonts w:ascii="Times New Roman" w:eastAsia="Times New Roman" w:hAnsi="Times New Roman"/>
          <w:kern w:val="0"/>
          <w:sz w:val="22"/>
          <w:szCs w:val="22"/>
          <w:lang w:eastAsia="en-GB"/>
        </w:rPr>
        <w:t>Arel-Bundock et al., 2024)</w:t>
      </w:r>
    </w:p>
    <w:p w14:paraId="37F47BCE"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Data Quality</w:t>
      </w:r>
    </w:p>
    <w:p w14:paraId="393E5911"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Despite the datasets being relatively clean, some columns contain noise that can be problematic. For example, if the record of a house's condition in Dallas is missing, the data becomes questionable and needs recalculation. Another issue is the latitude and longitude figures for the country. Data quality problems are identified through checklists based on this information. Before generating insights and analytical graphs, thorough data cleaning is necessary to eliminate errors. Categorical fillers can be used for house types as 50 percent of the data is unknown, with the address being a suitable choice over price. This analysis leverages Excel Data Analysis and SPSS tools. (</w:t>
      </w:r>
      <w:proofErr w:type="spellStart"/>
      <w:r w:rsidRPr="00751D08">
        <w:rPr>
          <w:rFonts w:ascii="Times New Roman" w:eastAsia="Times New Roman" w:hAnsi="Times New Roman"/>
          <w:kern w:val="0"/>
          <w:sz w:val="22"/>
          <w:szCs w:val="22"/>
          <w:lang w:eastAsia="en-GB"/>
        </w:rPr>
        <w:t>Gozalo</w:t>
      </w:r>
      <w:proofErr w:type="spellEnd"/>
      <w:r w:rsidRPr="00751D08">
        <w:rPr>
          <w:rFonts w:ascii="Times New Roman" w:eastAsia="Times New Roman" w:hAnsi="Times New Roman"/>
          <w:kern w:val="0"/>
          <w:sz w:val="22"/>
          <w:szCs w:val="22"/>
          <w:lang w:eastAsia="en-GB"/>
        </w:rPr>
        <w:t>-Brizuela &amp; Garrido-Merchan, 2023)</w:t>
      </w:r>
    </w:p>
    <w:p w14:paraId="27EBA2BD"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Overview of the Dataset Format (XLS)</w:t>
      </w:r>
    </w:p>
    <w:p w14:paraId="15CF0408"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lastRenderedPageBreak/>
        <w:t>The dataset in XLS format contains 604 records of housing units, described by 21 variables. Each column represents an attribute, and each row represents a housing unit. The first worksheet provides a codebook explaining the variables, while the second holds the dataset for analyses throughout this series. (Sammour et al.2024)</w:t>
      </w:r>
    </w:p>
    <w:p w14:paraId="41DA5271"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This dataset is compatible with Excel, allowing for efficient data manipulation like </w:t>
      </w:r>
      <w:proofErr w:type="spellStart"/>
      <w:r w:rsidRPr="00751D08">
        <w:rPr>
          <w:rFonts w:ascii="Times New Roman" w:eastAsia="Times New Roman" w:hAnsi="Times New Roman"/>
          <w:kern w:val="0"/>
          <w:sz w:val="22"/>
          <w:szCs w:val="22"/>
          <w:lang w:eastAsia="en-GB"/>
        </w:rPr>
        <w:t>subsetting</w:t>
      </w:r>
      <w:proofErr w:type="spellEnd"/>
      <w:r w:rsidRPr="00751D08">
        <w:rPr>
          <w:rFonts w:ascii="Times New Roman" w:eastAsia="Times New Roman" w:hAnsi="Times New Roman"/>
          <w:kern w:val="0"/>
          <w:sz w:val="22"/>
          <w:szCs w:val="22"/>
          <w:lang w:eastAsia="en-GB"/>
        </w:rPr>
        <w:t xml:space="preserve"> and filtering. Users can sort records by specific attributes and perform straightforward tasks, such as flagging records meeting certain conditions or targeting them for oversight. This setup minimizes the need for extensive statistical evaluation and requires little preprocessing for visual analysis tasks like scatter plots. (Parekh &amp; Trabucco2024)</w:t>
      </w:r>
    </w:p>
    <w:p w14:paraId="6F9980FB"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One advantage of the XLS framework is that the statistical software allows direct importation of XLS files, reducing integration complexities. This eliminates the need to merge data across files, as we can import the XLS file and its worksheets directly for analysis. The dataset's shape is compatible with XLS format, which integrates well with typical big data storage formats, making it suitable for a benchmark competition dataset. (</w:t>
      </w:r>
      <w:proofErr w:type="spellStart"/>
      <w:r w:rsidRPr="00751D08">
        <w:rPr>
          <w:rFonts w:ascii="Times New Roman" w:eastAsia="Times New Roman" w:hAnsi="Times New Roman"/>
          <w:kern w:val="0"/>
          <w:sz w:val="22"/>
          <w:szCs w:val="22"/>
          <w:lang w:eastAsia="en-GB"/>
        </w:rPr>
        <w:t>Darzé</w:t>
      </w:r>
      <w:proofErr w:type="spellEnd"/>
      <w:r w:rsidRPr="00751D08">
        <w:rPr>
          <w:rFonts w:ascii="Times New Roman" w:eastAsia="Times New Roman" w:hAnsi="Times New Roman"/>
          <w:kern w:val="0"/>
          <w:sz w:val="22"/>
          <w:szCs w:val="22"/>
          <w:lang w:eastAsia="en-GB"/>
        </w:rPr>
        <w:t xml:space="preserve"> et al.2023)</w:t>
      </w:r>
    </w:p>
    <w:p w14:paraId="6EF60568"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Statistical Analysis with Excel</w:t>
      </w:r>
    </w:p>
    <w:p w14:paraId="6F3A5A18"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The mean, median, and mode </w:t>
      </w:r>
      <w:proofErr w:type="gramStart"/>
      <w:r w:rsidRPr="00751D08">
        <w:rPr>
          <w:rFonts w:ascii="Times New Roman" w:eastAsia="Times New Roman" w:hAnsi="Times New Roman"/>
          <w:kern w:val="0"/>
          <w:sz w:val="22"/>
          <w:szCs w:val="22"/>
          <w:lang w:eastAsia="en-GB"/>
        </w:rPr>
        <w:t>are</w:t>
      </w:r>
      <w:proofErr w:type="gramEnd"/>
      <w:r w:rsidRPr="00751D08">
        <w:rPr>
          <w:rFonts w:ascii="Times New Roman" w:eastAsia="Times New Roman" w:hAnsi="Times New Roman"/>
          <w:kern w:val="0"/>
          <w:sz w:val="22"/>
          <w:szCs w:val="22"/>
          <w:lang w:eastAsia="en-GB"/>
        </w:rPr>
        <w:t xml:space="preserve"> crucial for understanding central tendency in data. The mean offers an average, the median shows the middle point, and the mode identifies the most frequent value. Such measures aid investors in making informed decisions based on housing market characteristics. Variance and standard deviation improve our understanding by quantifying data spread, allowing risk assessment of investments. </w:t>
      </w:r>
      <w:proofErr w:type="spellStart"/>
      <w:r w:rsidRPr="00751D08">
        <w:rPr>
          <w:rFonts w:ascii="Times New Roman" w:eastAsia="Times New Roman" w:hAnsi="Times New Roman"/>
          <w:kern w:val="0"/>
          <w:sz w:val="22"/>
          <w:szCs w:val="22"/>
          <w:lang w:eastAsia="en-GB"/>
        </w:rPr>
        <w:t>Analyzing</w:t>
      </w:r>
      <w:proofErr w:type="spellEnd"/>
      <w:r w:rsidRPr="00751D08">
        <w:rPr>
          <w:rFonts w:ascii="Times New Roman" w:eastAsia="Times New Roman" w:hAnsi="Times New Roman"/>
          <w:kern w:val="0"/>
          <w:sz w:val="22"/>
          <w:szCs w:val="22"/>
          <w:lang w:eastAsia="en-GB"/>
        </w:rPr>
        <w:t xml:space="preserve"> these statistics helps identify trends and patterns that shape our housing market strategies. (Izah et al.2023)</w:t>
      </w:r>
    </w:p>
    <w:p w14:paraId="2C9F398A"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Mean, Median, and Mode Calculations</w:t>
      </w:r>
    </w:p>
    <w:p w14:paraId="736F2F7B"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One of the first steps when examining a dataset with a dependent variable is calculating measures to describe it. Mean and median indicate central tendency, while mode reveals the most frequent value. Any programmer can compute these using statistical packages. The subsequent discussion explains the significance of these measures and how to calculate them. (Hu et al.2024)</w:t>
      </w:r>
    </w:p>
    <w:p w14:paraId="0B7D8569"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The mean is a weak measure of central tendency, as outliers can greatly impact it. For instance, a manipulated maximum house price can skew the average. Even small changes in data can alter the mean, rendering it unreliable. This is problematic in housing price studies, where extreme values can distort the average representation. (Farine &amp; Carter, 2022)</w:t>
      </w:r>
    </w:p>
    <w:p w14:paraId="6973CD35"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Standard Deviation and Variance Comparison</w:t>
      </w:r>
    </w:p>
    <w:p w14:paraId="1A944FB6"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Synthesizing these values clarifies their meanings. A range of homes suggests varied pricing, while a median of 147 indicates a balanced market. With an average home price of about 192, the median </w:t>
      </w:r>
      <w:r w:rsidRPr="00751D08">
        <w:rPr>
          <w:rFonts w:ascii="Times New Roman" w:eastAsia="Times New Roman" w:hAnsi="Times New Roman"/>
          <w:kern w:val="0"/>
          <w:sz w:val="22"/>
          <w:szCs w:val="22"/>
          <w:lang w:eastAsia="en-GB"/>
        </w:rPr>
        <w:lastRenderedPageBreak/>
        <w:t xml:space="preserve">aligns closely with this average rather than extremes. Standard deviation and variance are vital in real estate analysis, showing data spread and pricing variation. </w:t>
      </w:r>
      <w:proofErr w:type="spellStart"/>
      <w:r w:rsidRPr="00751D08">
        <w:rPr>
          <w:rFonts w:ascii="Times New Roman" w:eastAsia="Times New Roman" w:hAnsi="Times New Roman"/>
          <w:kern w:val="0"/>
          <w:sz w:val="22"/>
          <w:szCs w:val="22"/>
          <w:lang w:eastAsia="en-GB"/>
        </w:rPr>
        <w:t>Analyzing</w:t>
      </w:r>
      <w:proofErr w:type="spellEnd"/>
      <w:r w:rsidRPr="00751D08">
        <w:rPr>
          <w:rFonts w:ascii="Times New Roman" w:eastAsia="Times New Roman" w:hAnsi="Times New Roman"/>
          <w:kern w:val="0"/>
          <w:sz w:val="22"/>
          <w:szCs w:val="22"/>
          <w:lang w:eastAsia="en-GB"/>
        </w:rPr>
        <w:t xml:space="preserve"> these values helps understand data variability, crucial for decision-making. High variance and standard deviation signal diverse pricing, whereas low values indicate stability and reduced risk. (Rogoff &amp; Yang, 2024)</w:t>
      </w:r>
    </w:p>
    <w:p w14:paraId="46C2AA58"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Interpretation of Statistical Measures</w:t>
      </w:r>
    </w:p>
    <w:p w14:paraId="350DD8C5"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The subject of statistics is the analysis and interpretation. It is necessary to learn the interpretation of the statistical measures calculated in descriptive statistics. It may help in identifying trends and patterns in the dataset. The ideals could give you wrong perceptions to make decisions when it comes down to the real estate world. (Maheshwari et al.2021)</w:t>
      </w:r>
    </w:p>
    <w:p w14:paraId="6F41DF7F"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Statistics textbooks often assume normal data distribution, neglecting real-life complexities. Understanding the meanings of mean, median, mode, standard deviation, and variance is essential. The mean represents a ‘typical’ price in urban studies, suggesting expected values from varied homes. However, knowing the mean alone (e.g., $180,000) is not enough without considering the median or mode. Equal values suggest normal distribution. While mean and median may seem close, the mean is skewed by high-priced homes, indicating greater value similarity. Later, it was observed that the mean was higher than the median house price. (</w:t>
      </w:r>
      <w:proofErr w:type="spellStart"/>
      <w:r w:rsidRPr="00751D08">
        <w:rPr>
          <w:rFonts w:ascii="Times New Roman" w:eastAsia="Times New Roman" w:hAnsi="Times New Roman"/>
          <w:kern w:val="0"/>
          <w:sz w:val="22"/>
          <w:szCs w:val="22"/>
          <w:lang w:eastAsia="en-GB"/>
        </w:rPr>
        <w:t>Subhanij</w:t>
      </w:r>
      <w:proofErr w:type="spellEnd"/>
      <w:r w:rsidRPr="00751D08">
        <w:rPr>
          <w:rFonts w:ascii="Times New Roman" w:eastAsia="Times New Roman" w:hAnsi="Times New Roman"/>
          <w:kern w:val="0"/>
          <w:sz w:val="22"/>
          <w:szCs w:val="22"/>
          <w:lang w:eastAsia="en-GB"/>
        </w:rPr>
        <w:t xml:space="preserve"> et al.2024)</w:t>
      </w:r>
    </w:p>
    <w:p w14:paraId="4D27F47C"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When the mean selling price exceeds the median, the price distribution is non-normal and widely spread, resulting in differences among mode, median, and mean. In real estate, the mean shows feature distribution; attractive properties entice more bids for faster sales. Therefore, linking features to price is crucial; a future mean below the purchase price signals an imbalance despite high overall prices. (Faraz et al.2023)</w:t>
      </w:r>
    </w:p>
    <w:p w14:paraId="10DB21E0"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When a larger portion of the dataset falls between the mean, median, and mode, it suggests skewness towards lower values. In real estate, these measures lack context when viewed alone. The mean price of $190,000 warrants exploring properties sold above it. Data visualization tools like histograms and scatterplots are essential. Avoid relying solely on statistics, and critically </w:t>
      </w:r>
      <w:proofErr w:type="spellStart"/>
      <w:r w:rsidRPr="00751D08">
        <w:rPr>
          <w:rFonts w:ascii="Times New Roman" w:eastAsia="Times New Roman" w:hAnsi="Times New Roman"/>
          <w:kern w:val="0"/>
          <w:sz w:val="22"/>
          <w:szCs w:val="22"/>
          <w:lang w:eastAsia="en-GB"/>
        </w:rPr>
        <w:t>analyze</w:t>
      </w:r>
      <w:proofErr w:type="spellEnd"/>
      <w:r w:rsidRPr="00751D08">
        <w:rPr>
          <w:rFonts w:ascii="Times New Roman" w:eastAsia="Times New Roman" w:hAnsi="Times New Roman"/>
          <w:kern w:val="0"/>
          <w:sz w:val="22"/>
          <w:szCs w:val="22"/>
          <w:lang w:eastAsia="en-GB"/>
        </w:rPr>
        <w:t xml:space="preserve"> statistical results, as they can be misleading. (</w:t>
      </w:r>
      <w:proofErr w:type="spellStart"/>
      <w:r w:rsidRPr="00751D08">
        <w:rPr>
          <w:rFonts w:ascii="Times New Roman" w:eastAsia="Times New Roman" w:hAnsi="Times New Roman"/>
          <w:kern w:val="0"/>
          <w:sz w:val="22"/>
          <w:szCs w:val="22"/>
          <w:lang w:eastAsia="en-GB"/>
        </w:rPr>
        <w:t>Mathotaarachchi</w:t>
      </w:r>
      <w:proofErr w:type="spellEnd"/>
      <w:r w:rsidRPr="00751D08">
        <w:rPr>
          <w:rFonts w:ascii="Times New Roman" w:eastAsia="Times New Roman" w:hAnsi="Times New Roman"/>
          <w:kern w:val="0"/>
          <w:sz w:val="22"/>
          <w:szCs w:val="22"/>
          <w:lang w:eastAsia="en-GB"/>
        </w:rPr>
        <w:t xml:space="preserve"> et al., 2024)</w:t>
      </w:r>
    </w:p>
    <w:p w14:paraId="41AF4646"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Data Presentation in Excel</w:t>
      </w:r>
    </w:p>
    <w:p w14:paraId="7C27B23C"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Correct evaluations in statistical data presentation are crucial for understanding. Emphasizing accurate analysis provides valuable insights. Visuals like tables and charts improve comprehension. Data is usually in tables, yet graphs simplify the information. Each tool has a unique purpose, so visualizations must be clear and straightforward. (Bartram et al.2021)</w:t>
      </w:r>
    </w:p>
    <w:p w14:paraId="19ED9A97"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lastRenderedPageBreak/>
        <w:t xml:space="preserve">Writing must be simple and clear. Charts will </w:t>
      </w:r>
      <w:proofErr w:type="spellStart"/>
      <w:r w:rsidRPr="00751D08">
        <w:rPr>
          <w:rFonts w:ascii="Times New Roman" w:eastAsia="Times New Roman" w:hAnsi="Times New Roman"/>
          <w:kern w:val="0"/>
          <w:sz w:val="22"/>
          <w:szCs w:val="22"/>
          <w:lang w:eastAsia="en-GB"/>
        </w:rPr>
        <w:t>analyze</w:t>
      </w:r>
      <w:proofErr w:type="spellEnd"/>
      <w:r w:rsidRPr="00751D08">
        <w:rPr>
          <w:rFonts w:ascii="Times New Roman" w:eastAsia="Times New Roman" w:hAnsi="Times New Roman"/>
          <w:kern w:val="0"/>
          <w:sz w:val="22"/>
          <w:szCs w:val="22"/>
          <w:lang w:eastAsia="en-GB"/>
        </w:rPr>
        <w:t xml:space="preserve"> variable frequency. The wizard aids in creating charts for data visualization. Tables organize information with headers. They are tidy, with </w:t>
      </w:r>
      <w:proofErr w:type="spellStart"/>
      <w:r w:rsidRPr="00751D08">
        <w:rPr>
          <w:rFonts w:ascii="Times New Roman" w:eastAsia="Times New Roman" w:hAnsi="Times New Roman"/>
          <w:kern w:val="0"/>
          <w:sz w:val="22"/>
          <w:szCs w:val="22"/>
          <w:lang w:eastAsia="en-GB"/>
        </w:rPr>
        <w:t>centered</w:t>
      </w:r>
      <w:proofErr w:type="spellEnd"/>
      <w:r w:rsidRPr="00751D08">
        <w:rPr>
          <w:rFonts w:ascii="Times New Roman" w:eastAsia="Times New Roman" w:hAnsi="Times New Roman"/>
          <w:kern w:val="0"/>
          <w:sz w:val="22"/>
          <w:szCs w:val="22"/>
          <w:lang w:eastAsia="en-GB"/>
        </w:rPr>
        <w:t xml:space="preserve"> titles and left-aligned contents. (Leite et al.2024)</w:t>
      </w:r>
    </w:p>
    <w:p w14:paraId="4B5050D2"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Demonstration of Excel Functions</w:t>
      </w:r>
    </w:p>
    <w:p w14:paraId="63396A71"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Excel provides functions for data manipulation, including combining and splitting fields, calculating statistics, managing storage, and creating charts, which are essential for accuracy and efficiency. (Bharadiya</w:t>
      </w:r>
      <w:proofErr w:type="gramStart"/>
      <w:r w:rsidRPr="00751D08">
        <w:rPr>
          <w:rFonts w:ascii="Times New Roman" w:eastAsia="Times New Roman" w:hAnsi="Times New Roman"/>
          <w:kern w:val="0"/>
          <w:sz w:val="22"/>
          <w:szCs w:val="22"/>
          <w:lang w:eastAsia="en-GB"/>
        </w:rPr>
        <w:t>2023)(</w:t>
      </w:r>
      <w:proofErr w:type="gramEnd"/>
      <w:r w:rsidRPr="00751D08">
        <w:rPr>
          <w:rFonts w:ascii="Times New Roman" w:eastAsia="Times New Roman" w:hAnsi="Times New Roman"/>
          <w:kern w:val="0"/>
          <w:sz w:val="22"/>
          <w:szCs w:val="22"/>
          <w:lang w:eastAsia="en-GB"/>
        </w:rPr>
        <w:t>Venkataramanan et al.2024)</w:t>
      </w:r>
    </w:p>
    <w:p w14:paraId="2CB56F4E"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Excel offers built-in data manipulation functions. The CHOOSE function retrieves values by position, while INDEX and MATCH are helpful too. The Data Tab enables splitting data by criteria and converting text or number columns, improving dataset manipulation and statistical calculations.</w:t>
      </w:r>
    </w:p>
    <w:p w14:paraId="477BDFA6"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Record all cell locations for the split operation as demonstrated in our Excel example. On the Data Tab, select the text-to-column option; in the pop-up, choose Delimited, then Tab, and click Next. Confirm with OK and select the format for the split data. Practicing data management aids in manipulating datasets, calculating mean, median, variance, and creating pivot tables or histograms. (Belete &amp; Huchaiah2022)</w:t>
      </w:r>
    </w:p>
    <w:p w14:paraId="763FB4C0"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Usage of Pivot Tables and Charts</w:t>
      </w:r>
    </w:p>
    <w:p w14:paraId="0506149A"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Pivot tables in Excel are crucial for </w:t>
      </w:r>
      <w:proofErr w:type="spellStart"/>
      <w:r w:rsidRPr="00751D08">
        <w:rPr>
          <w:rFonts w:ascii="Times New Roman" w:eastAsia="Times New Roman" w:hAnsi="Times New Roman"/>
          <w:kern w:val="0"/>
          <w:sz w:val="22"/>
          <w:szCs w:val="22"/>
          <w:lang w:eastAsia="en-GB"/>
        </w:rPr>
        <w:t>analyzing</w:t>
      </w:r>
      <w:proofErr w:type="spellEnd"/>
      <w:r w:rsidRPr="00751D08">
        <w:rPr>
          <w:rFonts w:ascii="Times New Roman" w:eastAsia="Times New Roman" w:hAnsi="Times New Roman"/>
          <w:kern w:val="0"/>
          <w:sz w:val="22"/>
          <w:szCs w:val="22"/>
          <w:lang w:eastAsia="en-GB"/>
        </w:rPr>
        <w:t xml:space="preserve"> large datasets, helping users focus on specific details. They summarize data and allow flexible queries on variables like area and bedrooms. For example, USA housing data can be examined by VIP number tiers from 400 to 350 inches squared, considering price and bedroom categories. (</w:t>
      </w:r>
      <w:proofErr w:type="spellStart"/>
      <w:r w:rsidRPr="00751D08">
        <w:rPr>
          <w:rFonts w:ascii="Times New Roman" w:eastAsia="Times New Roman" w:hAnsi="Times New Roman"/>
          <w:kern w:val="0"/>
          <w:sz w:val="22"/>
          <w:szCs w:val="22"/>
          <w:lang w:eastAsia="en-GB"/>
        </w:rPr>
        <w:t>Vaidynathan</w:t>
      </w:r>
      <w:proofErr w:type="spellEnd"/>
      <w:r w:rsidRPr="00751D08">
        <w:rPr>
          <w:rFonts w:ascii="Times New Roman" w:eastAsia="Times New Roman" w:hAnsi="Times New Roman"/>
          <w:kern w:val="0"/>
          <w:sz w:val="22"/>
          <w:szCs w:val="22"/>
          <w:lang w:eastAsia="en-GB"/>
        </w:rPr>
        <w:t xml:space="preserve"> et al., 2023)</w:t>
      </w:r>
    </w:p>
    <w:p w14:paraId="55510C52"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Excel enables the creation of pivot charts that showcase trends in datasets through pivot tables. These interactive charts summarize data, reflecting changes in their pivot tables. For example, a chart can depict the correlation between house prices and bedrooms. Pivot tables and charts are essential for </w:t>
      </w:r>
      <w:proofErr w:type="spellStart"/>
      <w:r w:rsidRPr="00751D08">
        <w:rPr>
          <w:rFonts w:ascii="Times New Roman" w:eastAsia="Times New Roman" w:hAnsi="Times New Roman"/>
          <w:kern w:val="0"/>
          <w:sz w:val="22"/>
          <w:szCs w:val="22"/>
          <w:lang w:eastAsia="en-GB"/>
        </w:rPr>
        <w:t>analyzing</w:t>
      </w:r>
      <w:proofErr w:type="spellEnd"/>
      <w:r w:rsidRPr="00751D08">
        <w:rPr>
          <w:rFonts w:ascii="Times New Roman" w:eastAsia="Times New Roman" w:hAnsi="Times New Roman"/>
          <w:kern w:val="0"/>
          <w:sz w:val="22"/>
          <w:szCs w:val="22"/>
          <w:lang w:eastAsia="en-GB"/>
        </w:rPr>
        <w:t xml:space="preserve"> data, highlighting trends and visualizing variables. Excel charts typically feature measured variables on the vertical axis and time on the horizontal axis, using various formats like bars, pie charts, lines, scatter plots, stock, and doughnut charts. (Choudhary et al.2024)</w:t>
      </w:r>
    </w:p>
    <w:p w14:paraId="21527E5B"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Statistical Analysis with SPSS</w:t>
      </w:r>
    </w:p>
    <w:p w14:paraId="74C6375B"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This section uses a statistical package for in-depth analysis of the USA Housing Dataset, utilizing its extensive functionalities. It can operate under strict conditions to identify and </w:t>
      </w:r>
      <w:proofErr w:type="spellStart"/>
      <w:r w:rsidRPr="00751D08">
        <w:rPr>
          <w:rFonts w:ascii="Times New Roman" w:eastAsia="Times New Roman" w:hAnsi="Times New Roman"/>
          <w:kern w:val="0"/>
          <w:sz w:val="22"/>
          <w:szCs w:val="22"/>
          <w:lang w:eastAsia="en-GB"/>
        </w:rPr>
        <w:t>analyze</w:t>
      </w:r>
      <w:proofErr w:type="spellEnd"/>
      <w:r w:rsidRPr="00751D08">
        <w:rPr>
          <w:rFonts w:ascii="Times New Roman" w:eastAsia="Times New Roman" w:hAnsi="Times New Roman"/>
          <w:kern w:val="0"/>
          <w:sz w:val="22"/>
          <w:szCs w:val="22"/>
          <w:lang w:eastAsia="en-GB"/>
        </w:rPr>
        <w:t xml:space="preserve"> data that </w:t>
      </w:r>
      <w:proofErr w:type="spellStart"/>
      <w:r w:rsidRPr="00751D08">
        <w:rPr>
          <w:rFonts w:ascii="Times New Roman" w:eastAsia="Times New Roman" w:hAnsi="Times New Roman"/>
          <w:kern w:val="0"/>
          <w:sz w:val="22"/>
          <w:szCs w:val="22"/>
          <w:lang w:eastAsia="en-GB"/>
        </w:rPr>
        <w:t>fulfill</w:t>
      </w:r>
      <w:proofErr w:type="spellEnd"/>
      <w:r w:rsidRPr="00751D08">
        <w:rPr>
          <w:rFonts w:ascii="Times New Roman" w:eastAsia="Times New Roman" w:hAnsi="Times New Roman"/>
          <w:kern w:val="0"/>
          <w:sz w:val="22"/>
          <w:szCs w:val="22"/>
          <w:lang w:eastAsia="en-GB"/>
        </w:rPr>
        <w:t xml:space="preserve"> assumptions for various statistical tests. This guarantees valid relationships, normal distribution, and minimized multicollinearity and heteroscedasticity, which are crucial for reliable research and informed real estate choices. (Subhaktiyasa2024)</w:t>
      </w:r>
    </w:p>
    <w:p w14:paraId="73469724"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lastRenderedPageBreak/>
        <w:t xml:space="preserve">In the Model Results sub-chapter, five selected tests will be conducted after necessary data preparation. Input data requirements differ among software; some can handle specific formats, while others need all data to be numeric with a defined scale. To optimize predictive </w:t>
      </w:r>
      <w:proofErr w:type="spellStart"/>
      <w:r w:rsidRPr="00751D08">
        <w:rPr>
          <w:rFonts w:ascii="Times New Roman" w:eastAsia="Times New Roman" w:hAnsi="Times New Roman"/>
          <w:kern w:val="0"/>
          <w:sz w:val="22"/>
          <w:szCs w:val="22"/>
          <w:lang w:eastAsia="en-GB"/>
        </w:rPr>
        <w:t>modeling</w:t>
      </w:r>
      <w:proofErr w:type="spellEnd"/>
      <w:r w:rsidRPr="00751D08">
        <w:rPr>
          <w:rFonts w:ascii="Times New Roman" w:eastAsia="Times New Roman" w:hAnsi="Times New Roman"/>
          <w:kern w:val="0"/>
          <w:sz w:val="22"/>
          <w:szCs w:val="22"/>
          <w:lang w:eastAsia="en-GB"/>
        </w:rPr>
        <w:t>, it's vital to maximize numeric data's rows and columns. Thus, textual and ordinal data must be converted to numeric, and missing data must be addressed for effective analysis. (</w:t>
      </w:r>
      <w:proofErr w:type="spellStart"/>
      <w:r w:rsidRPr="00751D08">
        <w:rPr>
          <w:rFonts w:ascii="Times New Roman" w:eastAsia="Times New Roman" w:hAnsi="Times New Roman"/>
          <w:kern w:val="0"/>
          <w:sz w:val="22"/>
          <w:szCs w:val="22"/>
          <w:lang w:eastAsia="en-GB"/>
        </w:rPr>
        <w:t>Prabadevi</w:t>
      </w:r>
      <w:proofErr w:type="spellEnd"/>
      <w:r w:rsidRPr="00751D08">
        <w:rPr>
          <w:rFonts w:ascii="Times New Roman" w:eastAsia="Times New Roman" w:hAnsi="Times New Roman"/>
          <w:kern w:val="0"/>
          <w:sz w:val="22"/>
          <w:szCs w:val="22"/>
          <w:lang w:eastAsia="en-GB"/>
        </w:rPr>
        <w:t xml:space="preserve"> et al.2023)</w:t>
      </w:r>
    </w:p>
    <w:p w14:paraId="76212E4B"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Correlation Analysis between Price and Number of Bedrooms</w:t>
      </w:r>
    </w:p>
    <w:p w14:paraId="71F9FAF0"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Correlation is a statistical method for </w:t>
      </w:r>
      <w:proofErr w:type="spellStart"/>
      <w:r w:rsidRPr="00751D08">
        <w:rPr>
          <w:rFonts w:ascii="Times New Roman" w:eastAsia="Times New Roman" w:hAnsi="Times New Roman"/>
          <w:kern w:val="0"/>
          <w:sz w:val="22"/>
          <w:szCs w:val="22"/>
          <w:lang w:eastAsia="en-GB"/>
        </w:rPr>
        <w:t>analyzing</w:t>
      </w:r>
      <w:proofErr w:type="spellEnd"/>
      <w:r w:rsidRPr="00751D08">
        <w:rPr>
          <w:rFonts w:ascii="Times New Roman" w:eastAsia="Times New Roman" w:hAnsi="Times New Roman"/>
          <w:kern w:val="0"/>
          <w:sz w:val="22"/>
          <w:szCs w:val="22"/>
          <w:lang w:eastAsia="en-GB"/>
        </w:rPr>
        <w:t xml:space="preserve"> relationships between variables, particularly independent and dependent ones. Tools like Excel and SPSS aid in this by revealing direction and strength. Using a housing dataset, we </w:t>
      </w:r>
      <w:proofErr w:type="spellStart"/>
      <w:r w:rsidRPr="00751D08">
        <w:rPr>
          <w:rFonts w:ascii="Times New Roman" w:eastAsia="Times New Roman" w:hAnsi="Times New Roman"/>
          <w:kern w:val="0"/>
          <w:sz w:val="22"/>
          <w:szCs w:val="22"/>
          <w:lang w:eastAsia="en-GB"/>
        </w:rPr>
        <w:t>analyze</w:t>
      </w:r>
      <w:proofErr w:type="spellEnd"/>
      <w:r w:rsidRPr="00751D08">
        <w:rPr>
          <w:rFonts w:ascii="Times New Roman" w:eastAsia="Times New Roman" w:hAnsi="Times New Roman"/>
          <w:kern w:val="0"/>
          <w:sz w:val="22"/>
          <w:szCs w:val="22"/>
          <w:lang w:eastAsia="en-GB"/>
        </w:rPr>
        <w:t xml:space="preserve"> price and bedrooms with SPSS, presenting a table with 500 samples that calculates significance and Pearson correlation coefficients. The Pearson coefficient is 0.540, indicating a moderate positive relationship between bedroom count and price. Coefficients range from -1 to 1, with positive values showing direct relationships. This analysis confirms that homes with more bedrooms generally sell for higher prices, highlighting the significance of direction, strength, and significance evaluation. (Ibrahim et al.2024)</w:t>
      </w:r>
    </w:p>
    <w:p w14:paraId="1E1CC798" w14:textId="77777777" w:rsidR="00751D08" w:rsidRPr="00751D08" w:rsidRDefault="00751D08" w:rsidP="00751D08">
      <w:pPr>
        <w:spacing w:line="360" w:lineRule="auto"/>
        <w:rPr>
          <w:rFonts w:ascii="Times New Roman" w:eastAsia="Times New Roman" w:hAnsi="Times New Roman"/>
          <w:b/>
          <w:bCs/>
          <w:kern w:val="0"/>
          <w:sz w:val="22"/>
          <w:szCs w:val="22"/>
          <w:lang w:eastAsia="en-GB"/>
        </w:rPr>
      </w:pPr>
      <w:r w:rsidRPr="00751D08">
        <w:rPr>
          <w:rFonts w:ascii="Times New Roman" w:eastAsia="Times New Roman" w:hAnsi="Times New Roman"/>
          <w:b/>
          <w:bCs/>
          <w:kern w:val="0"/>
          <w:sz w:val="22"/>
          <w:szCs w:val="22"/>
          <w:lang w:eastAsia="en-GB"/>
        </w:rPr>
        <w:t>Scatterplot Generation and Interpretation</w:t>
      </w:r>
    </w:p>
    <w:p w14:paraId="5121D62E"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After validating the variables, scatterplots for Bedrooms and Lot Area are created using Plot – Scatter. The plot shows Bedrooms on the horizontal axis and Sale Price on the vertical axis, indicating a positive trend; as Bedrooms increase, Sale Price generally rises. However, descriptive statistics can be misleading. Sale Prices of 3000, 130000, 190000, and 40000 are associated with bedroom counts of 1 and 0, while homes with 6 bedrooms sold far more than those with 10, which is unexpected. (</w:t>
      </w:r>
      <w:proofErr w:type="spellStart"/>
      <w:r w:rsidRPr="00751D08">
        <w:rPr>
          <w:rFonts w:ascii="Times New Roman" w:eastAsia="Times New Roman" w:hAnsi="Times New Roman"/>
          <w:kern w:val="0"/>
          <w:sz w:val="22"/>
          <w:szCs w:val="22"/>
          <w:lang w:eastAsia="en-GB"/>
        </w:rPr>
        <w:t>Chikhmous</w:t>
      </w:r>
      <w:proofErr w:type="spellEnd"/>
      <w:r w:rsidRPr="00751D08">
        <w:rPr>
          <w:rFonts w:ascii="Times New Roman" w:eastAsia="Times New Roman" w:hAnsi="Times New Roman"/>
          <w:kern w:val="0"/>
          <w:sz w:val="22"/>
          <w:szCs w:val="22"/>
          <w:lang w:eastAsia="en-GB"/>
        </w:rPr>
        <w:t xml:space="preserve"> &amp; Rahman, 2024)</w:t>
      </w:r>
    </w:p>
    <w:p w14:paraId="1A2272E3"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The scatterplot helps identify outliers that can skew analyses. Though not part of this analysis, scatterplots are vital for exploring relationships between binomials. Cleaning the dataset of missing values in both independent and dependent variables is essential prior to creating a scatterplot. This visual can reveal patterns not apparent in raw data or statistical outputs. Combining visual and statistical results is crucial for definitive conclusions. However, observing a relationship in the scatterplot is not enough; correlation measures must be examined as well. (</w:t>
      </w:r>
      <w:proofErr w:type="spellStart"/>
      <w:r w:rsidRPr="00751D08">
        <w:rPr>
          <w:rFonts w:ascii="Times New Roman" w:eastAsia="Times New Roman" w:hAnsi="Times New Roman"/>
          <w:kern w:val="0"/>
          <w:sz w:val="22"/>
          <w:szCs w:val="22"/>
          <w:lang w:eastAsia="en-GB"/>
        </w:rPr>
        <w:t>EskandariNasab</w:t>
      </w:r>
      <w:proofErr w:type="spellEnd"/>
      <w:r w:rsidRPr="00751D08">
        <w:rPr>
          <w:rFonts w:ascii="Times New Roman" w:eastAsia="Times New Roman" w:hAnsi="Times New Roman"/>
          <w:kern w:val="0"/>
          <w:sz w:val="22"/>
          <w:szCs w:val="22"/>
          <w:lang w:eastAsia="en-GB"/>
        </w:rPr>
        <w:t xml:space="preserve"> et al.2024)</w:t>
      </w:r>
    </w:p>
    <w:p w14:paraId="369E2F94"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References:</w:t>
      </w:r>
    </w:p>
    <w:p w14:paraId="6D9414AF"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Olu-Ajayi, R., Alaka, H., Sulaimon, I., </w:t>
      </w:r>
      <w:proofErr w:type="spellStart"/>
      <w:r w:rsidRPr="00751D08">
        <w:rPr>
          <w:rFonts w:ascii="Times New Roman" w:eastAsia="Times New Roman" w:hAnsi="Times New Roman"/>
          <w:kern w:val="0"/>
          <w:sz w:val="22"/>
          <w:szCs w:val="22"/>
          <w:lang w:eastAsia="en-GB"/>
        </w:rPr>
        <w:t>Sunmola</w:t>
      </w:r>
      <w:proofErr w:type="spellEnd"/>
      <w:r w:rsidRPr="00751D08">
        <w:rPr>
          <w:rFonts w:ascii="Times New Roman" w:eastAsia="Times New Roman" w:hAnsi="Times New Roman"/>
          <w:kern w:val="0"/>
          <w:sz w:val="22"/>
          <w:szCs w:val="22"/>
          <w:lang w:eastAsia="en-GB"/>
        </w:rPr>
        <w:t xml:space="preserve">, F. and Ajayi, S., 2022. Building energy consumption prediction for residential buildings using deep learning and other machine learning techniques. Journal of Building Engineering, 45, p.103406. </w:t>
      </w:r>
      <w:hyperlink r:id="rId8" w:tgtFrame="_blank" w:tooltip="https://uhra.herts.ac.uk/bitstream/handle/2299/25787/Building_energy_consumption_prediction_using_deep_learning.pdf?sequence=1" w:history="1">
        <w:r w:rsidRPr="00751D08">
          <w:rPr>
            <w:rStyle w:val="Hyperlink"/>
            <w:rFonts w:ascii="Times New Roman" w:eastAsia="Times New Roman" w:hAnsi="Times New Roman"/>
            <w:kern w:val="0"/>
            <w:sz w:val="22"/>
            <w:szCs w:val="22"/>
            <w:lang w:eastAsia="en-GB"/>
          </w:rPr>
          <w:t>herts.ac.uk</w:t>
        </w:r>
      </w:hyperlink>
    </w:p>
    <w:p w14:paraId="64EA6832"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lastRenderedPageBreak/>
        <w:t xml:space="preserve">Rojas, W.A.G., </w:t>
      </w:r>
      <w:proofErr w:type="spellStart"/>
      <w:r w:rsidRPr="00751D08">
        <w:rPr>
          <w:rFonts w:ascii="Times New Roman" w:eastAsia="Times New Roman" w:hAnsi="Times New Roman"/>
          <w:kern w:val="0"/>
          <w:sz w:val="22"/>
          <w:szCs w:val="22"/>
          <w:lang w:eastAsia="en-GB"/>
        </w:rPr>
        <w:t>Diamos</w:t>
      </w:r>
      <w:proofErr w:type="spellEnd"/>
      <w:r w:rsidRPr="00751D08">
        <w:rPr>
          <w:rFonts w:ascii="Times New Roman" w:eastAsia="Times New Roman" w:hAnsi="Times New Roman"/>
          <w:kern w:val="0"/>
          <w:sz w:val="22"/>
          <w:szCs w:val="22"/>
          <w:lang w:eastAsia="en-GB"/>
        </w:rPr>
        <w:t xml:space="preserve">, S., Kini, K.R., Kanter, D., Reddi, V.J. and Coleman, C., 2022. The dollar street dataset: Images representing the geographic and socioeconomic diversity of the world. In Thirty-sixth Conference on Neural Information Processing Systems Datasets and Benchmarks Track. </w:t>
      </w:r>
      <w:hyperlink r:id="rId9" w:tgtFrame="_blank" w:tooltip="https://openreview.net/pdf?id=qnfYsave0U4" w:history="1">
        <w:r w:rsidRPr="00751D08">
          <w:rPr>
            <w:rStyle w:val="Hyperlink"/>
            <w:rFonts w:ascii="Times New Roman" w:eastAsia="Times New Roman" w:hAnsi="Times New Roman"/>
            <w:kern w:val="0"/>
            <w:sz w:val="22"/>
            <w:szCs w:val="22"/>
            <w:lang w:eastAsia="en-GB"/>
          </w:rPr>
          <w:t>openreview.net</w:t>
        </w:r>
      </w:hyperlink>
    </w:p>
    <w:p w14:paraId="0FAC324A"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Ramachandran, K. M. &amp; </w:t>
      </w:r>
      <w:proofErr w:type="spellStart"/>
      <w:r w:rsidRPr="00751D08">
        <w:rPr>
          <w:rFonts w:ascii="Times New Roman" w:eastAsia="Times New Roman" w:hAnsi="Times New Roman"/>
          <w:kern w:val="0"/>
          <w:sz w:val="22"/>
          <w:szCs w:val="22"/>
          <w:lang w:eastAsia="en-GB"/>
        </w:rPr>
        <w:t>Tsokos</w:t>
      </w:r>
      <w:proofErr w:type="spellEnd"/>
      <w:r w:rsidRPr="00751D08">
        <w:rPr>
          <w:rFonts w:ascii="Times New Roman" w:eastAsia="Times New Roman" w:hAnsi="Times New Roman"/>
          <w:kern w:val="0"/>
          <w:sz w:val="22"/>
          <w:szCs w:val="22"/>
          <w:lang w:eastAsia="en-GB"/>
        </w:rPr>
        <w:t xml:space="preserve">, C. P., 2020. Mathematical statistics with applications in R. </w:t>
      </w:r>
      <w:hyperlink r:id="rId10" w:tgtFrame="_blank" w:tooltip="https://books.google.com/books?hl=en&amp;lr=&amp;id=t3bLDwAAQBAJ&amp;oi=fnd&amp;pg=PP1&amp;dq=Section+A+deals+with+basic+statistics+such+as+mean+median+mode+and+standard+deviation&amp;ots=1thPN_eTMB&amp;sig=1yd3xz9Pyh2WaT6nJqqPpYUZHMU" w:history="1">
        <w:r w:rsidRPr="00751D08">
          <w:rPr>
            <w:rStyle w:val="Hyperlink"/>
            <w:rFonts w:ascii="Times New Roman" w:eastAsia="Times New Roman" w:hAnsi="Times New Roman"/>
            <w:kern w:val="0"/>
            <w:sz w:val="22"/>
            <w:szCs w:val="22"/>
            <w:lang w:eastAsia="en-GB"/>
          </w:rPr>
          <w:t>[HTML]</w:t>
        </w:r>
      </w:hyperlink>
    </w:p>
    <w:p w14:paraId="5C11F87A"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Arel-Bundock, V., </w:t>
      </w:r>
      <w:proofErr w:type="spellStart"/>
      <w:r w:rsidRPr="00751D08">
        <w:rPr>
          <w:rFonts w:ascii="Times New Roman" w:eastAsia="Times New Roman" w:hAnsi="Times New Roman"/>
          <w:kern w:val="0"/>
          <w:sz w:val="22"/>
          <w:szCs w:val="22"/>
          <w:lang w:eastAsia="en-GB"/>
        </w:rPr>
        <w:t>Greifer</w:t>
      </w:r>
      <w:proofErr w:type="spellEnd"/>
      <w:r w:rsidRPr="00751D08">
        <w:rPr>
          <w:rFonts w:ascii="Times New Roman" w:eastAsia="Times New Roman" w:hAnsi="Times New Roman"/>
          <w:kern w:val="0"/>
          <w:sz w:val="22"/>
          <w:szCs w:val="22"/>
          <w:lang w:eastAsia="en-GB"/>
        </w:rPr>
        <w:t xml:space="preserve">, N., &amp; Heiss, A., 2024. How to Interpret Statistical Models Using </w:t>
      </w:r>
      <w:proofErr w:type="spellStart"/>
      <w:r w:rsidRPr="00751D08">
        <w:rPr>
          <w:rFonts w:ascii="Times New Roman" w:eastAsia="Times New Roman" w:hAnsi="Times New Roman"/>
          <w:kern w:val="0"/>
          <w:sz w:val="22"/>
          <w:szCs w:val="22"/>
          <w:lang w:eastAsia="en-GB"/>
        </w:rPr>
        <w:t>marginaleffects</w:t>
      </w:r>
      <w:proofErr w:type="spellEnd"/>
      <w:r w:rsidRPr="00751D08">
        <w:rPr>
          <w:rFonts w:ascii="Times New Roman" w:eastAsia="Times New Roman" w:hAnsi="Times New Roman"/>
          <w:kern w:val="0"/>
          <w:sz w:val="22"/>
          <w:szCs w:val="22"/>
          <w:lang w:eastAsia="en-GB"/>
        </w:rPr>
        <w:t xml:space="preserve"> for R and Python. Journal of Statistical Software. </w:t>
      </w:r>
      <w:hyperlink r:id="rId11" w:tgtFrame="_blank" w:tooltip="https://www.jstatsoft.org/article/view/v111i09/4641" w:history="1">
        <w:r w:rsidRPr="00751D08">
          <w:rPr>
            <w:rStyle w:val="Hyperlink"/>
            <w:rFonts w:ascii="Times New Roman" w:eastAsia="Times New Roman" w:hAnsi="Times New Roman"/>
            <w:kern w:val="0"/>
            <w:sz w:val="22"/>
            <w:szCs w:val="22"/>
            <w:lang w:eastAsia="en-GB"/>
          </w:rPr>
          <w:t>jstatsoft.org</w:t>
        </w:r>
      </w:hyperlink>
    </w:p>
    <w:p w14:paraId="387657FB"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Gozalo</w:t>
      </w:r>
      <w:proofErr w:type="spellEnd"/>
      <w:r w:rsidRPr="00751D08">
        <w:rPr>
          <w:rFonts w:ascii="Times New Roman" w:eastAsia="Times New Roman" w:hAnsi="Times New Roman"/>
          <w:kern w:val="0"/>
          <w:sz w:val="22"/>
          <w:szCs w:val="22"/>
          <w:lang w:eastAsia="en-GB"/>
        </w:rPr>
        <w:t xml:space="preserve">-Brizuela, R. &amp; Garrido-Merchan, E. C., 2023. ChatGPT is not all you need. A </w:t>
      </w:r>
      <w:proofErr w:type="gramStart"/>
      <w:r w:rsidRPr="00751D08">
        <w:rPr>
          <w:rFonts w:ascii="Times New Roman" w:eastAsia="Times New Roman" w:hAnsi="Times New Roman"/>
          <w:kern w:val="0"/>
          <w:sz w:val="22"/>
          <w:szCs w:val="22"/>
          <w:lang w:eastAsia="en-GB"/>
        </w:rPr>
        <w:t>State of the Art</w:t>
      </w:r>
      <w:proofErr w:type="gramEnd"/>
      <w:r w:rsidRPr="00751D08">
        <w:rPr>
          <w:rFonts w:ascii="Times New Roman" w:eastAsia="Times New Roman" w:hAnsi="Times New Roman"/>
          <w:kern w:val="0"/>
          <w:sz w:val="22"/>
          <w:szCs w:val="22"/>
          <w:lang w:eastAsia="en-GB"/>
        </w:rPr>
        <w:t xml:space="preserve"> Review of large Generative AI models. </w:t>
      </w:r>
      <w:proofErr w:type="spellStart"/>
      <w:r w:rsidRPr="00751D08">
        <w:rPr>
          <w:rFonts w:ascii="Times New Roman" w:eastAsia="Times New Roman" w:hAnsi="Times New Roman"/>
          <w:kern w:val="0"/>
          <w:sz w:val="22"/>
          <w:szCs w:val="22"/>
          <w:lang w:eastAsia="en-GB"/>
        </w:rPr>
        <w:t>arXiv</w:t>
      </w:r>
      <w:proofErr w:type="spellEnd"/>
      <w:r w:rsidRPr="00751D08">
        <w:rPr>
          <w:rFonts w:ascii="Times New Roman" w:eastAsia="Times New Roman" w:hAnsi="Times New Roman"/>
          <w:kern w:val="0"/>
          <w:sz w:val="22"/>
          <w:szCs w:val="22"/>
          <w:lang w:eastAsia="en-GB"/>
        </w:rPr>
        <w:t xml:space="preserve"> preprint arXiv:2301.04655. </w:t>
      </w:r>
      <w:hyperlink r:id="rId12" w:tgtFrame="_blank" w:tooltip="https://arxiv.org/pdf/2301.04655.pdf?mibextid=Zxz2cZ" w:history="1">
        <w:r w:rsidRPr="00751D08">
          <w:rPr>
            <w:rStyle w:val="Hyperlink"/>
            <w:rFonts w:ascii="Times New Roman" w:eastAsia="Times New Roman" w:hAnsi="Times New Roman"/>
            <w:kern w:val="0"/>
            <w:sz w:val="22"/>
            <w:szCs w:val="22"/>
            <w:lang w:eastAsia="en-GB"/>
          </w:rPr>
          <w:t>[PDF]</w:t>
        </w:r>
      </w:hyperlink>
    </w:p>
    <w:p w14:paraId="2F1A1519"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Sammour, F., </w:t>
      </w:r>
      <w:proofErr w:type="spellStart"/>
      <w:r w:rsidRPr="00751D08">
        <w:rPr>
          <w:rFonts w:ascii="Times New Roman" w:eastAsia="Times New Roman" w:hAnsi="Times New Roman"/>
          <w:kern w:val="0"/>
          <w:sz w:val="22"/>
          <w:szCs w:val="22"/>
          <w:lang w:eastAsia="en-GB"/>
        </w:rPr>
        <w:t>Alkailani</w:t>
      </w:r>
      <w:proofErr w:type="spellEnd"/>
      <w:r w:rsidRPr="00751D08">
        <w:rPr>
          <w:rFonts w:ascii="Times New Roman" w:eastAsia="Times New Roman" w:hAnsi="Times New Roman"/>
          <w:kern w:val="0"/>
          <w:sz w:val="22"/>
          <w:szCs w:val="22"/>
          <w:lang w:eastAsia="en-GB"/>
        </w:rPr>
        <w:t xml:space="preserve">, H., Sweis, G.J., Sweis, R.J., </w:t>
      </w:r>
      <w:proofErr w:type="spellStart"/>
      <w:r w:rsidRPr="00751D08">
        <w:rPr>
          <w:rFonts w:ascii="Times New Roman" w:eastAsia="Times New Roman" w:hAnsi="Times New Roman"/>
          <w:kern w:val="0"/>
          <w:sz w:val="22"/>
          <w:szCs w:val="22"/>
          <w:lang w:eastAsia="en-GB"/>
        </w:rPr>
        <w:t>Maaitah</w:t>
      </w:r>
      <w:proofErr w:type="spellEnd"/>
      <w:r w:rsidRPr="00751D08">
        <w:rPr>
          <w:rFonts w:ascii="Times New Roman" w:eastAsia="Times New Roman" w:hAnsi="Times New Roman"/>
          <w:kern w:val="0"/>
          <w:sz w:val="22"/>
          <w:szCs w:val="22"/>
          <w:lang w:eastAsia="en-GB"/>
        </w:rPr>
        <w:t xml:space="preserve">, W. and </w:t>
      </w:r>
      <w:proofErr w:type="spellStart"/>
      <w:r w:rsidRPr="00751D08">
        <w:rPr>
          <w:rFonts w:ascii="Times New Roman" w:eastAsia="Times New Roman" w:hAnsi="Times New Roman"/>
          <w:kern w:val="0"/>
          <w:sz w:val="22"/>
          <w:szCs w:val="22"/>
          <w:lang w:eastAsia="en-GB"/>
        </w:rPr>
        <w:t>Alashkar</w:t>
      </w:r>
      <w:proofErr w:type="spellEnd"/>
      <w:r w:rsidRPr="00751D08">
        <w:rPr>
          <w:rFonts w:ascii="Times New Roman" w:eastAsia="Times New Roman" w:hAnsi="Times New Roman"/>
          <w:kern w:val="0"/>
          <w:sz w:val="22"/>
          <w:szCs w:val="22"/>
          <w:lang w:eastAsia="en-GB"/>
        </w:rPr>
        <w:t xml:space="preserve">, A., 2024. Forecasting demand in the residential construction industry using machine learning algorithms in Jordan. Construction Innovation, 24(5), pp.1228-1254. </w:t>
      </w:r>
      <w:hyperlink r:id="rId13" w:tgtFrame="_blank" w:tooltip="https://www.emerald.com/insight/content/doi/10.1108/ci-10-2022-0279/full/html" w:history="1">
        <w:r w:rsidRPr="00751D08">
          <w:rPr>
            <w:rStyle w:val="Hyperlink"/>
            <w:rFonts w:ascii="Times New Roman" w:eastAsia="Times New Roman" w:hAnsi="Times New Roman"/>
            <w:kern w:val="0"/>
            <w:sz w:val="22"/>
            <w:szCs w:val="22"/>
            <w:lang w:eastAsia="en-GB"/>
          </w:rPr>
          <w:t>[HTML]</w:t>
        </w:r>
      </w:hyperlink>
    </w:p>
    <w:p w14:paraId="16A81C8D"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Parekh, R. and Trabucco, D., 2024. Recent Progress in Integrating BIM and LCA for Sustainable Construction: A Review. International Journal of Science and Research Archive, 13(01). </w:t>
      </w:r>
      <w:hyperlink r:id="rId14" w:tgtFrame="_blank" w:tooltip="https://www.researchgate.net/profile/Ruchit-Parekh-4/publication/384325411_Recent_progress_in_integrating_BIM_and_LCA_for_sustainable_construction_A_Review/links/66f43619553d245f9e3511ad/Recent-progress-in-integrating-BIM-and-LCA-for-sustainable-construction-A" w:history="1">
        <w:r w:rsidRPr="00751D08">
          <w:rPr>
            <w:rStyle w:val="Hyperlink"/>
            <w:rFonts w:ascii="Times New Roman" w:eastAsia="Times New Roman" w:hAnsi="Times New Roman"/>
            <w:kern w:val="0"/>
            <w:sz w:val="22"/>
            <w:szCs w:val="22"/>
            <w:lang w:eastAsia="en-GB"/>
          </w:rPr>
          <w:t>researchgate.net</w:t>
        </w:r>
      </w:hyperlink>
    </w:p>
    <w:p w14:paraId="4A5C171A"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Darzé</w:t>
      </w:r>
      <w:proofErr w:type="spellEnd"/>
      <w:r w:rsidRPr="00751D08">
        <w:rPr>
          <w:rFonts w:ascii="Times New Roman" w:eastAsia="Times New Roman" w:hAnsi="Times New Roman"/>
          <w:kern w:val="0"/>
          <w:sz w:val="22"/>
          <w:szCs w:val="22"/>
          <w:lang w:eastAsia="en-GB"/>
        </w:rPr>
        <w:t xml:space="preserve">, B.C., Lima, I.C., Luna, A.S. and Pinto, L., 2023. Chemometrics web app's part 2: Dimensionality reduction and exploratory analysis. Chemometrics and Intelligent Laboratory Systems, 237, p.104810. </w:t>
      </w:r>
      <w:hyperlink r:id="rId15" w:tgtFrame="_blank" w:tooltip="https://www.sciencedirect.com/science/article/pii/S0169743923000606" w:history="1">
        <w:r w:rsidRPr="00751D08">
          <w:rPr>
            <w:rStyle w:val="Hyperlink"/>
            <w:rFonts w:ascii="Times New Roman" w:eastAsia="Times New Roman" w:hAnsi="Times New Roman"/>
            <w:kern w:val="0"/>
            <w:sz w:val="22"/>
            <w:szCs w:val="22"/>
            <w:lang w:eastAsia="en-GB"/>
          </w:rPr>
          <w:t>[HTML]</w:t>
        </w:r>
      </w:hyperlink>
    </w:p>
    <w:p w14:paraId="49EF1E08"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Izah, S.C., Richard, G., Stanley, H.O., Sawyer, W.E., </w:t>
      </w:r>
      <w:proofErr w:type="spellStart"/>
      <w:r w:rsidRPr="00751D08">
        <w:rPr>
          <w:rFonts w:ascii="Times New Roman" w:eastAsia="Times New Roman" w:hAnsi="Times New Roman"/>
          <w:kern w:val="0"/>
          <w:sz w:val="22"/>
          <w:szCs w:val="22"/>
          <w:lang w:eastAsia="en-GB"/>
        </w:rPr>
        <w:t>Ogwu</w:t>
      </w:r>
      <w:proofErr w:type="spellEnd"/>
      <w:r w:rsidRPr="00751D08">
        <w:rPr>
          <w:rFonts w:ascii="Times New Roman" w:eastAsia="Times New Roman" w:hAnsi="Times New Roman"/>
          <w:kern w:val="0"/>
          <w:sz w:val="22"/>
          <w:szCs w:val="22"/>
          <w:lang w:eastAsia="en-GB"/>
        </w:rPr>
        <w:t xml:space="preserve">, M.C. and </w:t>
      </w:r>
      <w:proofErr w:type="spellStart"/>
      <w:r w:rsidRPr="00751D08">
        <w:rPr>
          <w:rFonts w:ascii="Times New Roman" w:eastAsia="Times New Roman" w:hAnsi="Times New Roman"/>
          <w:kern w:val="0"/>
          <w:sz w:val="22"/>
          <w:szCs w:val="22"/>
          <w:lang w:eastAsia="en-GB"/>
        </w:rPr>
        <w:t>Uwaeme</w:t>
      </w:r>
      <w:proofErr w:type="spellEnd"/>
      <w:r w:rsidRPr="00751D08">
        <w:rPr>
          <w:rFonts w:ascii="Times New Roman" w:eastAsia="Times New Roman" w:hAnsi="Times New Roman"/>
          <w:kern w:val="0"/>
          <w:sz w:val="22"/>
          <w:szCs w:val="22"/>
          <w:lang w:eastAsia="en-GB"/>
        </w:rPr>
        <w:t xml:space="preserve">, O.R., 2023. Integrating the one health approach and statistical analysis for sustainable aquatic ecosystem management and trace metal contamination mitigation. ES Food &amp; Agroforestry, 14(2), p.1012. </w:t>
      </w:r>
      <w:hyperlink r:id="rId16" w:tgtFrame="_blank" w:tooltip="https://www.espublisher.com/uploads/article_pdf/esfaf1012.pdf" w:history="1">
        <w:r w:rsidRPr="00751D08">
          <w:rPr>
            <w:rStyle w:val="Hyperlink"/>
            <w:rFonts w:ascii="Times New Roman" w:eastAsia="Times New Roman" w:hAnsi="Times New Roman"/>
            <w:kern w:val="0"/>
            <w:sz w:val="22"/>
            <w:szCs w:val="22"/>
            <w:lang w:eastAsia="en-GB"/>
          </w:rPr>
          <w:t>espublisher.com</w:t>
        </w:r>
      </w:hyperlink>
    </w:p>
    <w:p w14:paraId="755FEDB9"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Hu, X., Zhao, Z., Wei, S., Chai, Z., Ma, Q., Wang, G., Wang, X., Su, J., Xu, J., Zhu, M. and Cheng, Y., 2024. </w:t>
      </w:r>
      <w:proofErr w:type="spellStart"/>
      <w:r w:rsidRPr="00751D08">
        <w:rPr>
          <w:rFonts w:ascii="Times New Roman" w:eastAsia="Times New Roman" w:hAnsi="Times New Roman"/>
          <w:kern w:val="0"/>
          <w:sz w:val="22"/>
          <w:szCs w:val="22"/>
          <w:lang w:eastAsia="en-GB"/>
        </w:rPr>
        <w:t>Infiagent-dabench</w:t>
      </w:r>
      <w:proofErr w:type="spellEnd"/>
      <w:r w:rsidRPr="00751D08">
        <w:rPr>
          <w:rFonts w:ascii="Times New Roman" w:eastAsia="Times New Roman" w:hAnsi="Times New Roman"/>
          <w:kern w:val="0"/>
          <w:sz w:val="22"/>
          <w:szCs w:val="22"/>
          <w:lang w:eastAsia="en-GB"/>
        </w:rPr>
        <w:t xml:space="preserve">: Evaluating agents on data analysis tasks. </w:t>
      </w:r>
      <w:proofErr w:type="spellStart"/>
      <w:r w:rsidRPr="00751D08">
        <w:rPr>
          <w:rFonts w:ascii="Times New Roman" w:eastAsia="Times New Roman" w:hAnsi="Times New Roman"/>
          <w:kern w:val="0"/>
          <w:sz w:val="22"/>
          <w:szCs w:val="22"/>
          <w:lang w:eastAsia="en-GB"/>
        </w:rPr>
        <w:t>arXiv</w:t>
      </w:r>
      <w:proofErr w:type="spellEnd"/>
      <w:r w:rsidRPr="00751D08">
        <w:rPr>
          <w:rFonts w:ascii="Times New Roman" w:eastAsia="Times New Roman" w:hAnsi="Times New Roman"/>
          <w:kern w:val="0"/>
          <w:sz w:val="22"/>
          <w:szCs w:val="22"/>
          <w:lang w:eastAsia="en-GB"/>
        </w:rPr>
        <w:t xml:space="preserve"> preprint arXiv:2401.05507. </w:t>
      </w:r>
      <w:hyperlink r:id="rId17" w:tgtFrame="_blank" w:tooltip="https://arxiv.org/pdf/2401.05507" w:history="1">
        <w:r w:rsidRPr="00751D08">
          <w:rPr>
            <w:rStyle w:val="Hyperlink"/>
            <w:rFonts w:ascii="Times New Roman" w:eastAsia="Times New Roman" w:hAnsi="Times New Roman"/>
            <w:kern w:val="0"/>
            <w:sz w:val="22"/>
            <w:szCs w:val="22"/>
            <w:lang w:eastAsia="en-GB"/>
          </w:rPr>
          <w:t>[PDF]</w:t>
        </w:r>
      </w:hyperlink>
    </w:p>
    <w:p w14:paraId="7C2FC3B8"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Farine, D. R. &amp; Carter, G. G., 2022. Permutation tests for hypothesis testing with animal social network data: Problems and potential solutions. Methods in Ecology and Evolution. </w:t>
      </w:r>
      <w:hyperlink r:id="rId18" w:tgtFrame="_blank" w:tooltip="https://besjournals.onlinelibrary.wiley.com/doi/pdfdirect/10.1111/2041-210X.13741" w:history="1">
        <w:r w:rsidRPr="00751D08">
          <w:rPr>
            <w:rStyle w:val="Hyperlink"/>
            <w:rFonts w:ascii="Times New Roman" w:eastAsia="Times New Roman" w:hAnsi="Times New Roman"/>
            <w:kern w:val="0"/>
            <w:sz w:val="22"/>
            <w:szCs w:val="22"/>
            <w:lang w:eastAsia="en-GB"/>
          </w:rPr>
          <w:t>wiley.com</w:t>
        </w:r>
      </w:hyperlink>
    </w:p>
    <w:p w14:paraId="4F74713D"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Rogoff, K. S. &amp; Yang, Y., 2024. A tale of tier 3 cities. Journal of International Economics. </w:t>
      </w:r>
      <w:hyperlink r:id="rId19" w:tgtFrame="_blank" w:tooltip="https://www.nber.org/system/files/working_papers/w30519/w30519.pdf" w:history="1">
        <w:r w:rsidRPr="00751D08">
          <w:rPr>
            <w:rStyle w:val="Hyperlink"/>
            <w:rFonts w:ascii="Times New Roman" w:eastAsia="Times New Roman" w:hAnsi="Times New Roman"/>
            <w:kern w:val="0"/>
            <w:sz w:val="22"/>
            <w:szCs w:val="22"/>
            <w:lang w:eastAsia="en-GB"/>
          </w:rPr>
          <w:t>nber.org</w:t>
        </w:r>
      </w:hyperlink>
    </w:p>
    <w:p w14:paraId="412913B1"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Maheshwari, S., Gautam, P. and Jaggi, C.K., 2021. Role of Big Data Analytics in supply chain management: current trends and future perspectives. International Journal of Production Research, 59(6), pp.1875-1900. </w:t>
      </w:r>
      <w:hyperlink r:id="rId20" w:tgtFrame="_blank" w:tooltip="https://www.academia.edu/download/99249849/00207543.2020.179301120230228-1-32gjnu.pdf" w:history="1">
        <w:r w:rsidRPr="00751D08">
          <w:rPr>
            <w:rStyle w:val="Hyperlink"/>
            <w:rFonts w:ascii="Times New Roman" w:eastAsia="Times New Roman" w:hAnsi="Times New Roman"/>
            <w:kern w:val="0"/>
            <w:sz w:val="22"/>
            <w:szCs w:val="22"/>
            <w:lang w:eastAsia="en-GB"/>
          </w:rPr>
          <w:t>academia.edu</w:t>
        </w:r>
      </w:hyperlink>
    </w:p>
    <w:p w14:paraId="5FE541AB"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lastRenderedPageBreak/>
        <w:t>Subhanij</w:t>
      </w:r>
      <w:proofErr w:type="spellEnd"/>
      <w:r w:rsidRPr="00751D08">
        <w:rPr>
          <w:rFonts w:ascii="Times New Roman" w:eastAsia="Times New Roman" w:hAnsi="Times New Roman"/>
          <w:kern w:val="0"/>
          <w:sz w:val="22"/>
          <w:szCs w:val="22"/>
          <w:lang w:eastAsia="en-GB"/>
        </w:rPr>
        <w:t xml:space="preserve">, T., Szeto, J., Zhu, H. and </w:t>
      </w:r>
      <w:proofErr w:type="spellStart"/>
      <w:r w:rsidRPr="00751D08">
        <w:rPr>
          <w:rFonts w:ascii="Times New Roman" w:eastAsia="Times New Roman" w:hAnsi="Times New Roman"/>
          <w:kern w:val="0"/>
          <w:sz w:val="22"/>
          <w:szCs w:val="22"/>
          <w:lang w:eastAsia="en-GB"/>
        </w:rPr>
        <w:t>Glindro</w:t>
      </w:r>
      <w:proofErr w:type="spellEnd"/>
      <w:r w:rsidRPr="00751D08">
        <w:rPr>
          <w:rFonts w:ascii="Times New Roman" w:eastAsia="Times New Roman" w:hAnsi="Times New Roman"/>
          <w:kern w:val="0"/>
          <w:sz w:val="22"/>
          <w:szCs w:val="22"/>
          <w:lang w:eastAsia="en-GB"/>
        </w:rPr>
        <w:t xml:space="preserve">, E.T., 2024. Determinants of house prices in nine Asia-Pacific economies. 26th issue (September 2011) of the International Journal of Central Banking. </w:t>
      </w:r>
      <w:hyperlink r:id="rId21" w:tgtFrame="_blank" w:tooltip="https://www.ijcb.org/journal/ijcb11q3a6.pdf" w:history="1">
        <w:r w:rsidRPr="00751D08">
          <w:rPr>
            <w:rStyle w:val="Hyperlink"/>
            <w:rFonts w:ascii="Times New Roman" w:eastAsia="Times New Roman" w:hAnsi="Times New Roman"/>
            <w:kern w:val="0"/>
            <w:sz w:val="22"/>
            <w:szCs w:val="22"/>
            <w:lang w:eastAsia="en-GB"/>
          </w:rPr>
          <w:t>ijcb.org</w:t>
        </w:r>
      </w:hyperlink>
    </w:p>
    <w:p w14:paraId="79152B30"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Faraz, H., Raees, F. and Baig, M.M., 2023. Capturing the role of rural consumers in sensitive price indicator through geometric consistency check on urban and rural market prices. Mehran University Research Journal </w:t>
      </w:r>
      <w:proofErr w:type="gramStart"/>
      <w:r w:rsidRPr="00751D08">
        <w:rPr>
          <w:rFonts w:ascii="Times New Roman" w:eastAsia="Times New Roman" w:hAnsi="Times New Roman"/>
          <w:kern w:val="0"/>
          <w:sz w:val="22"/>
          <w:szCs w:val="22"/>
          <w:lang w:eastAsia="en-GB"/>
        </w:rPr>
        <w:t>Of</w:t>
      </w:r>
      <w:proofErr w:type="gramEnd"/>
      <w:r w:rsidRPr="00751D08">
        <w:rPr>
          <w:rFonts w:ascii="Times New Roman" w:eastAsia="Times New Roman" w:hAnsi="Times New Roman"/>
          <w:kern w:val="0"/>
          <w:sz w:val="22"/>
          <w:szCs w:val="22"/>
          <w:lang w:eastAsia="en-GB"/>
        </w:rPr>
        <w:t xml:space="preserve"> Engineering &amp; Technology, 42(4), pp.1-7. </w:t>
      </w:r>
      <w:hyperlink r:id="rId22" w:tgtFrame="_blank" w:tooltip="https://search.informit.org/doi/pdf/10.3316/informit.384051449820202" w:history="1">
        <w:r w:rsidRPr="00751D08">
          <w:rPr>
            <w:rStyle w:val="Hyperlink"/>
            <w:rFonts w:ascii="Times New Roman" w:eastAsia="Times New Roman" w:hAnsi="Times New Roman"/>
            <w:kern w:val="0"/>
            <w:sz w:val="22"/>
            <w:szCs w:val="22"/>
            <w:lang w:eastAsia="en-GB"/>
          </w:rPr>
          <w:t>informit.org</w:t>
        </w:r>
      </w:hyperlink>
    </w:p>
    <w:p w14:paraId="3C26CA1F"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Mathotaarachchi</w:t>
      </w:r>
      <w:proofErr w:type="spellEnd"/>
      <w:r w:rsidRPr="00751D08">
        <w:rPr>
          <w:rFonts w:ascii="Times New Roman" w:eastAsia="Times New Roman" w:hAnsi="Times New Roman"/>
          <w:kern w:val="0"/>
          <w:sz w:val="22"/>
          <w:szCs w:val="22"/>
          <w:lang w:eastAsia="en-GB"/>
        </w:rPr>
        <w:t xml:space="preserve">, K. V., Hasan, R., &amp; Mahmood, S., 2024. Advanced Machine Learning Techniques for Predictive </w:t>
      </w:r>
      <w:proofErr w:type="spellStart"/>
      <w:r w:rsidRPr="00751D08">
        <w:rPr>
          <w:rFonts w:ascii="Times New Roman" w:eastAsia="Times New Roman" w:hAnsi="Times New Roman"/>
          <w:kern w:val="0"/>
          <w:sz w:val="22"/>
          <w:szCs w:val="22"/>
          <w:lang w:eastAsia="en-GB"/>
        </w:rPr>
        <w:t>Modeling</w:t>
      </w:r>
      <w:proofErr w:type="spellEnd"/>
      <w:r w:rsidRPr="00751D08">
        <w:rPr>
          <w:rFonts w:ascii="Times New Roman" w:eastAsia="Times New Roman" w:hAnsi="Times New Roman"/>
          <w:kern w:val="0"/>
          <w:sz w:val="22"/>
          <w:szCs w:val="22"/>
          <w:lang w:eastAsia="en-GB"/>
        </w:rPr>
        <w:t xml:space="preserve"> of Property Prices. Information. </w:t>
      </w:r>
      <w:hyperlink r:id="rId23" w:tgtFrame="_blank" w:tooltip="https://www.mdpi.com/2078-2489/15/6/295/pdf" w:history="1">
        <w:r w:rsidRPr="00751D08">
          <w:rPr>
            <w:rStyle w:val="Hyperlink"/>
            <w:rFonts w:ascii="Times New Roman" w:eastAsia="Times New Roman" w:hAnsi="Times New Roman"/>
            <w:kern w:val="0"/>
            <w:sz w:val="22"/>
            <w:szCs w:val="22"/>
            <w:lang w:eastAsia="en-GB"/>
          </w:rPr>
          <w:t>mdpi.com</w:t>
        </w:r>
      </w:hyperlink>
    </w:p>
    <w:p w14:paraId="3724E081"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Bartram, L., Correll, M. and Tory, M., 2021. Untidy data: The unreasonable effectiveness of tables. IEEE Transactions on Visualization and Computer Graphics, 28(1), pp.686-696. </w:t>
      </w:r>
      <w:hyperlink r:id="rId24" w:tgtFrame="_blank" w:tooltip="https://ieeexplore.ieee.org/iel7/2945/9663056/09555457.pdf" w:history="1">
        <w:r w:rsidRPr="00751D08">
          <w:rPr>
            <w:rStyle w:val="Hyperlink"/>
            <w:rFonts w:ascii="Times New Roman" w:eastAsia="Times New Roman" w:hAnsi="Times New Roman"/>
            <w:kern w:val="0"/>
            <w:sz w:val="22"/>
            <w:szCs w:val="22"/>
            <w:lang w:eastAsia="en-GB"/>
          </w:rPr>
          <w:t>ieee.org</w:t>
        </w:r>
      </w:hyperlink>
    </w:p>
    <w:p w14:paraId="1CC57527"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Leite, L.S., Banerjee, S., Wei, Y., </w:t>
      </w:r>
      <w:proofErr w:type="spellStart"/>
      <w:r w:rsidRPr="00751D08">
        <w:rPr>
          <w:rFonts w:ascii="Times New Roman" w:eastAsia="Times New Roman" w:hAnsi="Times New Roman"/>
          <w:kern w:val="0"/>
          <w:sz w:val="22"/>
          <w:szCs w:val="22"/>
          <w:lang w:eastAsia="en-GB"/>
        </w:rPr>
        <w:t>Elowitt</w:t>
      </w:r>
      <w:proofErr w:type="spellEnd"/>
      <w:r w:rsidRPr="00751D08">
        <w:rPr>
          <w:rFonts w:ascii="Times New Roman" w:eastAsia="Times New Roman" w:hAnsi="Times New Roman"/>
          <w:kern w:val="0"/>
          <w:sz w:val="22"/>
          <w:szCs w:val="22"/>
          <w:lang w:eastAsia="en-GB"/>
        </w:rPr>
        <w:t xml:space="preserve">, J. and Clark, A.E., 2024. Modern chemical graph theory. Wiley Interdisciplinary Reviews: Computational Molecular Science, 14(5), p.e1729. </w:t>
      </w:r>
      <w:hyperlink r:id="rId25" w:tgtFrame="_blank" w:tooltip="https://wires.onlinelibrary.wiley.com/doi/abs/10.1002/wcms.1729" w:history="1">
        <w:r w:rsidRPr="00751D08">
          <w:rPr>
            <w:rStyle w:val="Hyperlink"/>
            <w:rFonts w:ascii="Times New Roman" w:eastAsia="Times New Roman" w:hAnsi="Times New Roman"/>
            <w:kern w:val="0"/>
            <w:sz w:val="22"/>
            <w:szCs w:val="22"/>
            <w:lang w:eastAsia="en-GB"/>
          </w:rPr>
          <w:t>[HTML]</w:t>
        </w:r>
      </w:hyperlink>
    </w:p>
    <w:p w14:paraId="5E2C2D29"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Bharadiya</w:t>
      </w:r>
      <w:proofErr w:type="spellEnd"/>
      <w:r w:rsidRPr="00751D08">
        <w:rPr>
          <w:rFonts w:ascii="Times New Roman" w:eastAsia="Times New Roman" w:hAnsi="Times New Roman"/>
          <w:kern w:val="0"/>
          <w:sz w:val="22"/>
          <w:szCs w:val="22"/>
          <w:lang w:eastAsia="en-GB"/>
        </w:rPr>
        <w:t xml:space="preserve">, J.P., 2023. The role of machine learning in transforming business intelligence. International Journal of Computing and Artificial Intelligence, 4(1), pp.16-24. </w:t>
      </w:r>
      <w:hyperlink r:id="rId26" w:tgtFrame="_blank" w:tooltip="https://www.computersciencejournals.com/ijcai/article/60/4-1-2-550.pdf" w:history="1">
        <w:r w:rsidRPr="00751D08">
          <w:rPr>
            <w:rStyle w:val="Hyperlink"/>
            <w:rFonts w:ascii="Times New Roman" w:eastAsia="Times New Roman" w:hAnsi="Times New Roman"/>
            <w:kern w:val="0"/>
            <w:sz w:val="22"/>
            <w:szCs w:val="22"/>
            <w:lang w:eastAsia="en-GB"/>
          </w:rPr>
          <w:t>computersciencejournals.com</w:t>
        </w:r>
      </w:hyperlink>
    </w:p>
    <w:p w14:paraId="5FCD6F7C"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Venkataramanan, S., Sadhu, A.K.R., </w:t>
      </w:r>
      <w:proofErr w:type="spellStart"/>
      <w:r w:rsidRPr="00751D08">
        <w:rPr>
          <w:rFonts w:ascii="Times New Roman" w:eastAsia="Times New Roman" w:hAnsi="Times New Roman"/>
          <w:kern w:val="0"/>
          <w:sz w:val="22"/>
          <w:szCs w:val="22"/>
          <w:lang w:eastAsia="en-GB"/>
        </w:rPr>
        <w:t>Gudala</w:t>
      </w:r>
      <w:proofErr w:type="spellEnd"/>
      <w:r w:rsidRPr="00751D08">
        <w:rPr>
          <w:rFonts w:ascii="Times New Roman" w:eastAsia="Times New Roman" w:hAnsi="Times New Roman"/>
          <w:kern w:val="0"/>
          <w:sz w:val="22"/>
          <w:szCs w:val="22"/>
          <w:lang w:eastAsia="en-GB"/>
        </w:rPr>
        <w:t xml:space="preserve">, L. and Reddy, A.K., 2024. Leveraging Artificial Intelligence for Enhanced Sales Forecasting Accuracy: A Review of AI-Driven Techniques and Practical Applications in Customer Relationship Management Systems. Australian Journal of Machine Learning Research &amp; Applications, 4(1), pp.267-287. </w:t>
      </w:r>
      <w:hyperlink r:id="rId27" w:tgtFrame="_blank" w:tooltip="https://sydneyacademics.com/index.php/ajmlra/article/download/77/74" w:history="1">
        <w:r w:rsidRPr="00751D08">
          <w:rPr>
            <w:rStyle w:val="Hyperlink"/>
            <w:rFonts w:ascii="Times New Roman" w:eastAsia="Times New Roman" w:hAnsi="Times New Roman"/>
            <w:kern w:val="0"/>
            <w:sz w:val="22"/>
            <w:szCs w:val="22"/>
            <w:lang w:eastAsia="en-GB"/>
          </w:rPr>
          <w:t>sydneyacademics.com</w:t>
        </w:r>
      </w:hyperlink>
    </w:p>
    <w:p w14:paraId="673ACFF8"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Belete, D.M. and </w:t>
      </w:r>
      <w:proofErr w:type="spellStart"/>
      <w:r w:rsidRPr="00751D08">
        <w:rPr>
          <w:rFonts w:ascii="Times New Roman" w:eastAsia="Times New Roman" w:hAnsi="Times New Roman"/>
          <w:kern w:val="0"/>
          <w:sz w:val="22"/>
          <w:szCs w:val="22"/>
          <w:lang w:eastAsia="en-GB"/>
        </w:rPr>
        <w:t>Huchaiah</w:t>
      </w:r>
      <w:proofErr w:type="spellEnd"/>
      <w:r w:rsidRPr="00751D08">
        <w:rPr>
          <w:rFonts w:ascii="Times New Roman" w:eastAsia="Times New Roman" w:hAnsi="Times New Roman"/>
          <w:kern w:val="0"/>
          <w:sz w:val="22"/>
          <w:szCs w:val="22"/>
          <w:lang w:eastAsia="en-GB"/>
        </w:rPr>
        <w:t xml:space="preserve">, M.D., 2022. Grid search in hyperparameter optimization of machine learning models for prediction of HIV/AIDS test results. International Journal of Computers and Applications, 44(9), pp.875-886. </w:t>
      </w:r>
      <w:hyperlink r:id="rId28" w:tgtFrame="_blank" w:tooltip="https://www.researchgate.net/profile/Daniel-Belete/publication/354541720_Grid_search_in_hyperparameter_optimization_of_machine_learning_models_for_prediction_of_HIVAIDS_test_results/links/613edd61e4419c5e6ec9cdef/Grid-search-in-hyperparameter-optimization-of-m" w:history="1">
        <w:r w:rsidRPr="00751D08">
          <w:rPr>
            <w:rStyle w:val="Hyperlink"/>
            <w:rFonts w:ascii="Times New Roman" w:eastAsia="Times New Roman" w:hAnsi="Times New Roman"/>
            <w:kern w:val="0"/>
            <w:sz w:val="22"/>
            <w:szCs w:val="22"/>
            <w:lang w:eastAsia="en-GB"/>
          </w:rPr>
          <w:t>researchgate.net</w:t>
        </w:r>
      </w:hyperlink>
    </w:p>
    <w:p w14:paraId="56495AD3"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Vaidynathan</w:t>
      </w:r>
      <w:proofErr w:type="spellEnd"/>
      <w:r w:rsidRPr="00751D08">
        <w:rPr>
          <w:rFonts w:ascii="Times New Roman" w:eastAsia="Times New Roman" w:hAnsi="Times New Roman"/>
          <w:kern w:val="0"/>
          <w:sz w:val="22"/>
          <w:szCs w:val="22"/>
          <w:lang w:eastAsia="en-GB"/>
        </w:rPr>
        <w:t xml:space="preserve">, D., Kayal, P., &amp; Maiti, M., 2023. Effects of economic factors on median list and selling prices in the US housing market. Data Science and Management. </w:t>
      </w:r>
      <w:hyperlink r:id="rId29" w:tgtFrame="_blank" w:tooltip="https://www.sciencedirect.com/science/article/pii/S2666764923000383" w:history="1">
        <w:r w:rsidRPr="00751D08">
          <w:rPr>
            <w:rStyle w:val="Hyperlink"/>
            <w:rFonts w:ascii="Times New Roman" w:eastAsia="Times New Roman" w:hAnsi="Times New Roman"/>
            <w:kern w:val="0"/>
            <w:sz w:val="22"/>
            <w:szCs w:val="22"/>
            <w:lang w:eastAsia="en-GB"/>
          </w:rPr>
          <w:t>sciencedirect.com</w:t>
        </w:r>
      </w:hyperlink>
    </w:p>
    <w:p w14:paraId="572E228C"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Choudhary, V.K., Kumar, G., Suman, S. and Kumar, A., 2024, April. A Comprehensive Review on Data Visualization Techniques for Real-Time Information. In 2024 International Conference on Inventive Computation Technologies (ICICT) (pp. 866-871). IEEE. </w:t>
      </w:r>
      <w:hyperlink r:id="rId30" w:tgtFrame="_blank" w:tooltip="https://ieeexplore.ieee.org/abstract/document/10544996/" w:history="1">
        <w:r w:rsidRPr="00751D08">
          <w:rPr>
            <w:rStyle w:val="Hyperlink"/>
            <w:rFonts w:ascii="Times New Roman" w:eastAsia="Times New Roman" w:hAnsi="Times New Roman"/>
            <w:kern w:val="0"/>
            <w:sz w:val="22"/>
            <w:szCs w:val="22"/>
            <w:lang w:eastAsia="en-GB"/>
          </w:rPr>
          <w:t>[HTML]</w:t>
        </w:r>
      </w:hyperlink>
    </w:p>
    <w:p w14:paraId="1FF04328"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Subhaktiyasa</w:t>
      </w:r>
      <w:proofErr w:type="spellEnd"/>
      <w:r w:rsidRPr="00751D08">
        <w:rPr>
          <w:rFonts w:ascii="Times New Roman" w:eastAsia="Times New Roman" w:hAnsi="Times New Roman"/>
          <w:kern w:val="0"/>
          <w:sz w:val="22"/>
          <w:szCs w:val="22"/>
          <w:lang w:eastAsia="en-GB"/>
        </w:rPr>
        <w:t xml:space="preserve">, P.G., 2024. PLS-SEM for Multivariate Analysis: A Practical Guide to Educational Research using </w:t>
      </w:r>
      <w:proofErr w:type="spellStart"/>
      <w:r w:rsidRPr="00751D08">
        <w:rPr>
          <w:rFonts w:ascii="Times New Roman" w:eastAsia="Times New Roman" w:hAnsi="Times New Roman"/>
          <w:kern w:val="0"/>
          <w:sz w:val="22"/>
          <w:szCs w:val="22"/>
          <w:lang w:eastAsia="en-GB"/>
        </w:rPr>
        <w:t>SmartPLS</w:t>
      </w:r>
      <w:proofErr w:type="spellEnd"/>
      <w:r w:rsidRPr="00751D08">
        <w:rPr>
          <w:rFonts w:ascii="Times New Roman" w:eastAsia="Times New Roman" w:hAnsi="Times New Roman"/>
          <w:kern w:val="0"/>
          <w:sz w:val="22"/>
          <w:szCs w:val="22"/>
          <w:lang w:eastAsia="en-GB"/>
        </w:rPr>
        <w:t xml:space="preserve">. </w:t>
      </w:r>
      <w:proofErr w:type="spellStart"/>
      <w:r w:rsidRPr="00751D08">
        <w:rPr>
          <w:rFonts w:ascii="Times New Roman" w:eastAsia="Times New Roman" w:hAnsi="Times New Roman"/>
          <w:kern w:val="0"/>
          <w:sz w:val="22"/>
          <w:szCs w:val="22"/>
          <w:lang w:eastAsia="en-GB"/>
        </w:rPr>
        <w:t>EduLine</w:t>
      </w:r>
      <w:proofErr w:type="spellEnd"/>
      <w:r w:rsidRPr="00751D08">
        <w:rPr>
          <w:rFonts w:ascii="Times New Roman" w:eastAsia="Times New Roman" w:hAnsi="Times New Roman"/>
          <w:kern w:val="0"/>
          <w:sz w:val="22"/>
          <w:szCs w:val="22"/>
          <w:lang w:eastAsia="en-GB"/>
        </w:rPr>
        <w:t xml:space="preserve">: Journal of Education and Learning Innovation, 4(3), pp.353-365. </w:t>
      </w:r>
      <w:hyperlink r:id="rId31" w:tgtFrame="_blank" w:tooltip="https://jpabdimas.idjournal.eu/index.php/eduline/article/download/2861/1926" w:history="1">
        <w:r w:rsidRPr="00751D08">
          <w:rPr>
            <w:rStyle w:val="Hyperlink"/>
            <w:rFonts w:ascii="Times New Roman" w:eastAsia="Times New Roman" w:hAnsi="Times New Roman"/>
            <w:kern w:val="0"/>
            <w:sz w:val="22"/>
            <w:szCs w:val="22"/>
            <w:lang w:eastAsia="en-GB"/>
          </w:rPr>
          <w:t>idjournal.eu</w:t>
        </w:r>
      </w:hyperlink>
    </w:p>
    <w:p w14:paraId="5F4D1764"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lastRenderedPageBreak/>
        <w:t>Prabadevi</w:t>
      </w:r>
      <w:proofErr w:type="spellEnd"/>
      <w:r w:rsidRPr="00751D08">
        <w:rPr>
          <w:rFonts w:ascii="Times New Roman" w:eastAsia="Times New Roman" w:hAnsi="Times New Roman"/>
          <w:kern w:val="0"/>
          <w:sz w:val="22"/>
          <w:szCs w:val="22"/>
          <w:lang w:eastAsia="en-GB"/>
        </w:rPr>
        <w:t xml:space="preserve">, B., Deepa, N., Ganesan, K. and Srivastava, G., 2023. A decision model for ranking Asian Higher Education Institutes using an NLP-based text analysis approach. ACM Transactions on Asian and Low-Resource Language Information Processing, 22(3), pp.1-20. </w:t>
      </w:r>
      <w:hyperlink r:id="rId32" w:tgtFrame="_blank" w:tooltip="https://scholar.archive.org/work/6p5bvzp3obaoreddbkbk6epqia/access/wayback/https://dl.acm.org/doi/pdf/10.1145/3534562" w:history="1">
        <w:r w:rsidRPr="00751D08">
          <w:rPr>
            <w:rStyle w:val="Hyperlink"/>
            <w:rFonts w:ascii="Times New Roman" w:eastAsia="Times New Roman" w:hAnsi="Times New Roman"/>
            <w:kern w:val="0"/>
            <w:sz w:val="22"/>
            <w:szCs w:val="22"/>
            <w:lang w:eastAsia="en-GB"/>
          </w:rPr>
          <w:t>archive.org</w:t>
        </w:r>
      </w:hyperlink>
    </w:p>
    <w:p w14:paraId="2B874A92" w14:textId="77777777" w:rsidR="00751D08" w:rsidRPr="00751D08" w:rsidRDefault="00751D08" w:rsidP="00751D08">
      <w:pPr>
        <w:spacing w:line="360" w:lineRule="auto"/>
        <w:rPr>
          <w:rFonts w:ascii="Times New Roman" w:eastAsia="Times New Roman" w:hAnsi="Times New Roman"/>
          <w:kern w:val="0"/>
          <w:sz w:val="22"/>
          <w:szCs w:val="22"/>
          <w:lang w:eastAsia="en-GB"/>
        </w:rPr>
      </w:pPr>
      <w:r w:rsidRPr="00751D08">
        <w:rPr>
          <w:rFonts w:ascii="Times New Roman" w:eastAsia="Times New Roman" w:hAnsi="Times New Roman"/>
          <w:kern w:val="0"/>
          <w:sz w:val="22"/>
          <w:szCs w:val="22"/>
          <w:lang w:eastAsia="en-GB"/>
        </w:rPr>
        <w:t xml:space="preserve">Ibrahim, F.A., Hang, Y.H., Shafiei, M.W., </w:t>
      </w:r>
      <w:proofErr w:type="spellStart"/>
      <w:r w:rsidRPr="00751D08">
        <w:rPr>
          <w:rFonts w:ascii="Times New Roman" w:eastAsia="Times New Roman" w:hAnsi="Times New Roman"/>
          <w:kern w:val="0"/>
          <w:sz w:val="22"/>
          <w:szCs w:val="22"/>
          <w:lang w:eastAsia="en-GB"/>
        </w:rPr>
        <w:t>Rafiza</w:t>
      </w:r>
      <w:proofErr w:type="spellEnd"/>
      <w:r w:rsidRPr="00751D08">
        <w:rPr>
          <w:rFonts w:ascii="Times New Roman" w:eastAsia="Times New Roman" w:hAnsi="Times New Roman"/>
          <w:kern w:val="0"/>
          <w:sz w:val="22"/>
          <w:szCs w:val="22"/>
          <w:lang w:eastAsia="en-GB"/>
        </w:rPr>
        <w:t xml:space="preserve">, A.R., </w:t>
      </w:r>
      <w:proofErr w:type="spellStart"/>
      <w:r w:rsidRPr="00751D08">
        <w:rPr>
          <w:rFonts w:ascii="Times New Roman" w:eastAsia="Times New Roman" w:hAnsi="Times New Roman"/>
          <w:kern w:val="0"/>
          <w:sz w:val="22"/>
          <w:szCs w:val="22"/>
          <w:lang w:eastAsia="en-GB"/>
        </w:rPr>
        <w:t>Soleha</w:t>
      </w:r>
      <w:proofErr w:type="spellEnd"/>
      <w:r w:rsidRPr="00751D08">
        <w:rPr>
          <w:rFonts w:ascii="Times New Roman" w:eastAsia="Times New Roman" w:hAnsi="Times New Roman"/>
          <w:kern w:val="0"/>
          <w:sz w:val="22"/>
          <w:szCs w:val="22"/>
          <w:lang w:eastAsia="en-GB"/>
        </w:rPr>
        <w:t xml:space="preserve">, A.R. and </w:t>
      </w:r>
      <w:proofErr w:type="spellStart"/>
      <w:r w:rsidRPr="00751D08">
        <w:rPr>
          <w:rFonts w:ascii="Times New Roman" w:eastAsia="Times New Roman" w:hAnsi="Times New Roman"/>
          <w:kern w:val="0"/>
          <w:sz w:val="22"/>
          <w:szCs w:val="22"/>
          <w:lang w:eastAsia="en-GB"/>
        </w:rPr>
        <w:t>Norsyakilah</w:t>
      </w:r>
      <w:proofErr w:type="spellEnd"/>
      <w:r w:rsidRPr="00751D08">
        <w:rPr>
          <w:rFonts w:ascii="Times New Roman" w:eastAsia="Times New Roman" w:hAnsi="Times New Roman"/>
          <w:kern w:val="0"/>
          <w:sz w:val="22"/>
          <w:szCs w:val="22"/>
          <w:lang w:eastAsia="en-GB"/>
        </w:rPr>
        <w:t xml:space="preserve">, R., 2024, April. Identifying real estate buyer’s feedback on three-dimensional mock-up model among house buyers in Malaysia. In AIP Conference Proceedings (Vol. 2799, No. 1). AIP Publishing. </w:t>
      </w:r>
      <w:hyperlink r:id="rId33" w:tgtFrame="_blank" w:tooltip="https://pubs.aip.org/aip/acp/article-abstract/2799/1/020039/3283442" w:history="1">
        <w:r w:rsidRPr="00751D08">
          <w:rPr>
            <w:rStyle w:val="Hyperlink"/>
            <w:rFonts w:ascii="Times New Roman" w:eastAsia="Times New Roman" w:hAnsi="Times New Roman"/>
            <w:kern w:val="0"/>
            <w:sz w:val="22"/>
            <w:szCs w:val="22"/>
            <w:lang w:eastAsia="en-GB"/>
          </w:rPr>
          <w:t>[HTML]</w:t>
        </w:r>
      </w:hyperlink>
    </w:p>
    <w:p w14:paraId="00448475"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Chikhmous</w:t>
      </w:r>
      <w:proofErr w:type="spellEnd"/>
      <w:r w:rsidRPr="00751D08">
        <w:rPr>
          <w:rFonts w:ascii="Times New Roman" w:eastAsia="Times New Roman" w:hAnsi="Times New Roman"/>
          <w:kern w:val="0"/>
          <w:sz w:val="22"/>
          <w:szCs w:val="22"/>
          <w:lang w:eastAsia="en-GB"/>
        </w:rPr>
        <w:t xml:space="preserve">, A. &amp; Rahman, M. T., 2024. Examining the effect of apartment attributes on their sale prices in Riyadh, Saudi Arabia. Spatial Information Research. </w:t>
      </w:r>
      <w:hyperlink r:id="rId34" w:tgtFrame="_blank" w:tooltip="https://link.springer.com/article/10.1007/s41324-023-00565-7" w:history="1">
        <w:r w:rsidRPr="00751D08">
          <w:rPr>
            <w:rStyle w:val="Hyperlink"/>
            <w:rFonts w:ascii="Times New Roman" w:eastAsia="Times New Roman" w:hAnsi="Times New Roman"/>
            <w:kern w:val="0"/>
            <w:sz w:val="22"/>
            <w:szCs w:val="22"/>
            <w:lang w:eastAsia="en-GB"/>
          </w:rPr>
          <w:t>[HTML]</w:t>
        </w:r>
      </w:hyperlink>
    </w:p>
    <w:p w14:paraId="5F9A1F92" w14:textId="77777777" w:rsidR="00751D08" w:rsidRPr="00751D08" w:rsidRDefault="00751D08" w:rsidP="00751D08">
      <w:pPr>
        <w:spacing w:line="360" w:lineRule="auto"/>
        <w:rPr>
          <w:rFonts w:ascii="Times New Roman" w:eastAsia="Times New Roman" w:hAnsi="Times New Roman"/>
          <w:kern w:val="0"/>
          <w:sz w:val="22"/>
          <w:szCs w:val="22"/>
          <w:lang w:eastAsia="en-GB"/>
        </w:rPr>
      </w:pPr>
      <w:proofErr w:type="spellStart"/>
      <w:r w:rsidRPr="00751D08">
        <w:rPr>
          <w:rFonts w:ascii="Times New Roman" w:eastAsia="Times New Roman" w:hAnsi="Times New Roman"/>
          <w:kern w:val="0"/>
          <w:sz w:val="22"/>
          <w:szCs w:val="22"/>
          <w:lang w:eastAsia="en-GB"/>
        </w:rPr>
        <w:t>EskandariNasab</w:t>
      </w:r>
      <w:proofErr w:type="spellEnd"/>
      <w:r w:rsidRPr="00751D08">
        <w:rPr>
          <w:rFonts w:ascii="Times New Roman" w:eastAsia="Times New Roman" w:hAnsi="Times New Roman"/>
          <w:kern w:val="0"/>
          <w:sz w:val="22"/>
          <w:szCs w:val="22"/>
          <w:lang w:eastAsia="en-GB"/>
        </w:rPr>
        <w:t xml:space="preserve">, M., Hamdi, S.M. and </w:t>
      </w:r>
      <w:proofErr w:type="spellStart"/>
      <w:r w:rsidRPr="00751D08">
        <w:rPr>
          <w:rFonts w:ascii="Times New Roman" w:eastAsia="Times New Roman" w:hAnsi="Times New Roman"/>
          <w:kern w:val="0"/>
          <w:sz w:val="22"/>
          <w:szCs w:val="22"/>
          <w:lang w:eastAsia="en-GB"/>
        </w:rPr>
        <w:t>Boubrahimi</w:t>
      </w:r>
      <w:proofErr w:type="spellEnd"/>
      <w:r w:rsidRPr="00751D08">
        <w:rPr>
          <w:rFonts w:ascii="Times New Roman" w:eastAsia="Times New Roman" w:hAnsi="Times New Roman"/>
          <w:kern w:val="0"/>
          <w:sz w:val="22"/>
          <w:szCs w:val="22"/>
          <w:lang w:eastAsia="en-GB"/>
        </w:rPr>
        <w:t xml:space="preserve">, S.F., 2024. Impacts of data preprocessing and sampling techniques on solar flare prediction from multivariate time series data of </w:t>
      </w:r>
      <w:proofErr w:type="spellStart"/>
      <w:r w:rsidRPr="00751D08">
        <w:rPr>
          <w:rFonts w:ascii="Times New Roman" w:eastAsia="Times New Roman" w:hAnsi="Times New Roman"/>
          <w:kern w:val="0"/>
          <w:sz w:val="22"/>
          <w:szCs w:val="22"/>
          <w:lang w:eastAsia="en-GB"/>
        </w:rPr>
        <w:t>photospheric</w:t>
      </w:r>
      <w:proofErr w:type="spellEnd"/>
      <w:r w:rsidRPr="00751D08">
        <w:rPr>
          <w:rFonts w:ascii="Times New Roman" w:eastAsia="Times New Roman" w:hAnsi="Times New Roman"/>
          <w:kern w:val="0"/>
          <w:sz w:val="22"/>
          <w:szCs w:val="22"/>
          <w:lang w:eastAsia="en-GB"/>
        </w:rPr>
        <w:t xml:space="preserve"> magnetic field parameters. The Astrophysical Journal Supplement Series, 275(1), p.6. </w:t>
      </w:r>
      <w:hyperlink r:id="rId35" w:tgtFrame="_blank" w:tooltip="https://iopscience.iop.org/article/10.3847/1538-4365/ad7c4a/pdf" w:history="1">
        <w:r w:rsidRPr="00751D08">
          <w:rPr>
            <w:rStyle w:val="Hyperlink"/>
            <w:rFonts w:ascii="Times New Roman" w:eastAsia="Times New Roman" w:hAnsi="Times New Roman"/>
            <w:kern w:val="0"/>
            <w:sz w:val="22"/>
            <w:szCs w:val="22"/>
            <w:lang w:eastAsia="en-GB"/>
          </w:rPr>
          <w:t>iop.org</w:t>
        </w:r>
      </w:hyperlink>
    </w:p>
    <w:p w14:paraId="2B548706" w14:textId="77777777" w:rsidR="00EA4B29" w:rsidRPr="00EA4B29" w:rsidRDefault="00EA4B29">
      <w:pPr>
        <w:spacing w:line="360" w:lineRule="auto"/>
        <w:rPr>
          <w:rFonts w:ascii="Times New Roman" w:eastAsia="Times New Roman" w:hAnsi="Times New Roman"/>
          <w:kern w:val="0"/>
          <w:sz w:val="22"/>
          <w:szCs w:val="22"/>
          <w:lang w:eastAsia="en-GB"/>
        </w:rPr>
      </w:pPr>
    </w:p>
    <w:p w14:paraId="3E32FCC5" w14:textId="77777777" w:rsidR="00751D08" w:rsidRDefault="00751D08" w:rsidP="00EA4B29">
      <w:pPr>
        <w:spacing w:line="360" w:lineRule="auto"/>
        <w:rPr>
          <w:rFonts w:ascii="Times New Roman" w:hAnsi="Times New Roman"/>
          <w:sz w:val="22"/>
          <w:szCs w:val="22"/>
        </w:rPr>
      </w:pPr>
      <w:r>
        <w:rPr>
          <w:rFonts w:ascii="Times New Roman" w:hAnsi="Times New Roman"/>
          <w:sz w:val="22"/>
          <w:szCs w:val="22"/>
        </w:rPr>
        <w:t xml:space="preserve">Section 2: </w:t>
      </w:r>
    </w:p>
    <w:p w14:paraId="64B29C0F" w14:textId="3D1A8A28"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Comparative Analysis of SPSS and Excel in Data Analysis: Advantages and Disadvantages</w:t>
      </w:r>
    </w:p>
    <w:p w14:paraId="3319C55D" w14:textId="77777777" w:rsidR="00EA4B29" w:rsidRPr="00EA4B29" w:rsidRDefault="00EA4B29" w:rsidP="00EA4B29">
      <w:pPr>
        <w:spacing w:line="360" w:lineRule="auto"/>
        <w:rPr>
          <w:rFonts w:ascii="Times New Roman" w:hAnsi="Times New Roman"/>
          <w:b/>
          <w:bCs/>
          <w:sz w:val="22"/>
          <w:szCs w:val="22"/>
        </w:rPr>
      </w:pPr>
      <w:r w:rsidRPr="00EA4B29">
        <w:rPr>
          <w:rFonts w:ascii="Times New Roman" w:hAnsi="Times New Roman"/>
          <w:b/>
          <w:bCs/>
          <w:sz w:val="22"/>
          <w:szCs w:val="22"/>
        </w:rPr>
        <w:t>1. Introduction to SPSS and Excel</w:t>
      </w:r>
    </w:p>
    <w:p w14:paraId="7EB5596C"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SPSS originated as mainframe software in 1968 and later evolved into a user-friendly PC version for Windows. It serves professionals in Social Sciences—marketing, psychology, sociology, geography, and health services—allowing them to gather, calculate, and interpret numerical data while applying statistical techniques. In contrast, MS Excel is business-oriented, targeting users needing to </w:t>
      </w:r>
      <w:proofErr w:type="spellStart"/>
      <w:r w:rsidRPr="00EA4B29">
        <w:rPr>
          <w:rFonts w:ascii="Times New Roman" w:hAnsi="Times New Roman"/>
          <w:sz w:val="22"/>
          <w:szCs w:val="22"/>
        </w:rPr>
        <w:t>analyze</w:t>
      </w:r>
      <w:proofErr w:type="spellEnd"/>
      <w:r w:rsidRPr="00EA4B29">
        <w:rPr>
          <w:rFonts w:ascii="Times New Roman" w:hAnsi="Times New Roman"/>
          <w:sz w:val="22"/>
          <w:szCs w:val="22"/>
        </w:rPr>
        <w:t xml:space="preserve"> numbers, create graphs, and display summaries in matrices. Excel caters to data handlers rather than those focused on in-depth statistical analysis, although it does include some statistical functions. (</w:t>
      </w:r>
      <w:proofErr w:type="spellStart"/>
      <w:r w:rsidRPr="00EA4B29">
        <w:rPr>
          <w:rFonts w:ascii="Times New Roman" w:hAnsi="Times New Roman"/>
          <w:sz w:val="22"/>
          <w:szCs w:val="22"/>
        </w:rPr>
        <w:t>Pratama</w:t>
      </w:r>
      <w:proofErr w:type="spellEnd"/>
      <w:r w:rsidRPr="00EA4B29">
        <w:rPr>
          <w:rFonts w:ascii="Times New Roman" w:hAnsi="Times New Roman"/>
          <w:sz w:val="22"/>
          <w:szCs w:val="22"/>
        </w:rPr>
        <w:t xml:space="preserve"> &amp; Putra, 2024)</w:t>
      </w:r>
    </w:p>
    <w:p w14:paraId="0E347FDF"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Despite the advances in software capabilities, both SPSS and Microsoft Excel are still widely used in academic and commercial organizations. To make a comparison, understanding the historical and current state of technology for </w:t>
      </w:r>
      <w:proofErr w:type="gramStart"/>
      <w:r w:rsidRPr="00EA4B29">
        <w:rPr>
          <w:rFonts w:ascii="Times New Roman" w:hAnsi="Times New Roman"/>
          <w:sz w:val="22"/>
          <w:szCs w:val="22"/>
        </w:rPr>
        <w:t>both of these</w:t>
      </w:r>
      <w:proofErr w:type="gramEnd"/>
      <w:r w:rsidRPr="00EA4B29">
        <w:rPr>
          <w:rFonts w:ascii="Times New Roman" w:hAnsi="Times New Roman"/>
          <w:sz w:val="22"/>
          <w:szCs w:val="22"/>
        </w:rPr>
        <w:t xml:space="preserve"> programs has significant implications for researchers and practitioners in academia and industries. When conducting data analysis, all users, depending on their roles and needs for data analysis, can employ SPSS, Excel, or even both. However, the capability in data cleaning, computing descriptive statistics, charting, and most importantly, statistical analyses between these two software tools is quite different. As a result, choosing the best software is critically important for professionals using these software tools in their data analyses. (Chen &amp; Pang, 2023)</w:t>
      </w:r>
    </w:p>
    <w:p w14:paraId="0F1A3667" w14:textId="77777777" w:rsidR="00EA4B29" w:rsidRPr="00EA4B29" w:rsidRDefault="00EA4B29" w:rsidP="00EA4B29">
      <w:pPr>
        <w:spacing w:line="360" w:lineRule="auto"/>
        <w:rPr>
          <w:rFonts w:ascii="Times New Roman" w:hAnsi="Times New Roman"/>
          <w:b/>
          <w:bCs/>
          <w:sz w:val="22"/>
          <w:szCs w:val="22"/>
        </w:rPr>
      </w:pPr>
      <w:r w:rsidRPr="00EA4B29">
        <w:rPr>
          <w:rFonts w:ascii="Times New Roman" w:hAnsi="Times New Roman"/>
          <w:b/>
          <w:bCs/>
          <w:sz w:val="22"/>
          <w:szCs w:val="22"/>
        </w:rPr>
        <w:t>2. Advantages of Using SPSS for Data Analysis</w:t>
      </w:r>
    </w:p>
    <w:p w14:paraId="7BA5BD38"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lastRenderedPageBreak/>
        <w:t>There are several advantages to using SPSS for data analysis. SPSS is primarily appreciated by users for its comprehensive range of statistical features and tests. One standout feature of SPSS is its user-friendly interface, which is relatively easy to use for those who have a solid understanding of basic statistics. SPSS can also be used as a graphical interface for users who do not understand syntax or need to use it for rapid data analysis. Another advantage of SPSS as a comprehensive statistical analysis tool is the software's robust statistical capabilities, as well as its advanced theoretical and analytical techniques. SPSS has advanced features that help researchers and analysts in interpreting and reporting results, such as automatically suggesting the best model or data representations to use. (</w:t>
      </w:r>
      <w:proofErr w:type="spellStart"/>
      <w:r w:rsidRPr="00EA4B29">
        <w:rPr>
          <w:rFonts w:ascii="Times New Roman" w:hAnsi="Times New Roman"/>
          <w:sz w:val="22"/>
          <w:szCs w:val="22"/>
        </w:rPr>
        <w:t>Lv</w:t>
      </w:r>
      <w:proofErr w:type="spellEnd"/>
      <w:r w:rsidRPr="00EA4B29">
        <w:rPr>
          <w:rFonts w:ascii="Times New Roman" w:hAnsi="Times New Roman"/>
          <w:sz w:val="22"/>
          <w:szCs w:val="22"/>
        </w:rPr>
        <w:t xml:space="preserve"> et al.2022)</w:t>
      </w:r>
    </w:p>
    <w:p w14:paraId="20590934"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Undoubtedly, one of the key benefits of SPSS is its capacity to handle large datasets quickly and effectively. The user-friendly interface does not require the use of syntax for even complex operations when using this software. Its sheer scope and breadth of built-in statistical tests and procedures for nearly any research design, as well as statistical </w:t>
      </w:r>
      <w:proofErr w:type="spellStart"/>
      <w:r w:rsidRPr="00EA4B29">
        <w:rPr>
          <w:rFonts w:ascii="Times New Roman" w:hAnsi="Times New Roman"/>
          <w:sz w:val="22"/>
          <w:szCs w:val="22"/>
        </w:rPr>
        <w:t>modeling</w:t>
      </w:r>
      <w:proofErr w:type="spellEnd"/>
      <w:r w:rsidRPr="00EA4B29">
        <w:rPr>
          <w:rFonts w:ascii="Times New Roman" w:hAnsi="Times New Roman"/>
          <w:sz w:val="22"/>
          <w:szCs w:val="22"/>
        </w:rPr>
        <w:t>, make it stand out. As a result, every researcher or analyst who needs accurate results for their data should consider using SPSS for data analysis. Because SPSS is a specialized analysis tool for scientists, its interface makes it suitable for scientific readings with an interface so successful that it has been deemed the 'Excel' for scientists. Generating reports in SPSS is good and full of data presentation and interpretation. It has users who regularly share new skills and discuss questions with a wide range of expertise in this area. This signifies that it is widely employed in surveys of individuals or entities involved in culture. (Valli2024)</w:t>
      </w:r>
    </w:p>
    <w:p w14:paraId="12C2CD1C" w14:textId="77777777" w:rsidR="00EA4B29" w:rsidRPr="00EA4B29" w:rsidRDefault="00EA4B29" w:rsidP="00EA4B29">
      <w:pPr>
        <w:spacing w:line="360" w:lineRule="auto"/>
        <w:rPr>
          <w:rFonts w:ascii="Times New Roman" w:hAnsi="Times New Roman"/>
          <w:b/>
          <w:bCs/>
          <w:sz w:val="22"/>
          <w:szCs w:val="22"/>
        </w:rPr>
      </w:pPr>
      <w:r w:rsidRPr="00EA4B29">
        <w:rPr>
          <w:rFonts w:ascii="Times New Roman" w:hAnsi="Times New Roman"/>
          <w:b/>
          <w:bCs/>
          <w:sz w:val="22"/>
          <w:szCs w:val="22"/>
        </w:rPr>
        <w:t>3. Disadvantages of Using SPSS for Data Analysis</w:t>
      </w:r>
    </w:p>
    <w:p w14:paraId="56436E02"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SPSS is an advanced solution for </w:t>
      </w:r>
      <w:proofErr w:type="spellStart"/>
      <w:r w:rsidRPr="00EA4B29">
        <w:rPr>
          <w:rFonts w:ascii="Times New Roman" w:hAnsi="Times New Roman"/>
          <w:sz w:val="22"/>
          <w:szCs w:val="22"/>
        </w:rPr>
        <w:t>analyzing</w:t>
      </w:r>
      <w:proofErr w:type="spellEnd"/>
      <w:r w:rsidRPr="00EA4B29">
        <w:rPr>
          <w:rFonts w:ascii="Times New Roman" w:hAnsi="Times New Roman"/>
          <w:sz w:val="22"/>
          <w:szCs w:val="22"/>
        </w:rPr>
        <w:t xml:space="preserve"> data, but it has some drawbacks that make it not suited for everyone. First and foremost, cost can be an issue. </w:t>
      </w:r>
      <w:proofErr w:type="gramStart"/>
      <w:r w:rsidRPr="00EA4B29">
        <w:rPr>
          <w:rFonts w:ascii="Times New Roman" w:hAnsi="Times New Roman"/>
          <w:sz w:val="22"/>
          <w:szCs w:val="22"/>
        </w:rPr>
        <w:t>Due to the fact that</w:t>
      </w:r>
      <w:proofErr w:type="gramEnd"/>
      <w:r w:rsidRPr="00EA4B29">
        <w:rPr>
          <w:rFonts w:ascii="Times New Roman" w:hAnsi="Times New Roman"/>
          <w:sz w:val="22"/>
          <w:szCs w:val="22"/>
        </w:rPr>
        <w:t xml:space="preserve"> SPSS is a sophisticated data analysis solution, a license to use it can be expensive. This can make it cost-prohibitive for a small organization to use. Furthermore, the solutions included in an SPSS Statistics package are neither modular nor scalable. Users are required to purchase the entire SPSS Statistics package or none of it. Due to this, it may not be the best fit for many organizations. In addition, while there are free SPSS data analysis packages, these do not include software support services, and these services can be far too expensive for independent researchers to use. (Schmidt et al.2020)</w:t>
      </w:r>
    </w:p>
    <w:p w14:paraId="73E01D76"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SPSS is an advanced statistical software known for its steep learning curve. Although more user-friendly than some alternatives, mastering it takes considerable time, making it unsuitable for organizations needing quick data analysis. Users often can't utilize it immediately post-installation. Consequently, SPSS may miss opportunities when customers seek to make initial steps, such as creating dashboards or simple reports for insights. In high-pressure situations, quick analysis methods are more beneficial. SPSS is inadequate for researchers desiring custom programming or scripting for </w:t>
      </w:r>
      <w:r w:rsidRPr="00EA4B29">
        <w:rPr>
          <w:rFonts w:ascii="Times New Roman" w:hAnsi="Times New Roman"/>
          <w:sz w:val="22"/>
          <w:szCs w:val="22"/>
        </w:rPr>
        <w:lastRenderedPageBreak/>
        <w:t>speedier, advanced analysis. Additionally, its performance speed can lag compared to other tools, resulting in slower responses during data analyses. The software sometimes compresses extensive information into single cells, leading to output clutter. Furthermore, SPSS lacks integration with other tools and cannot perform comprehensive analyses with advanced clustering algorithms, infrastructure, or industry-specific templates. (</w:t>
      </w:r>
      <w:proofErr w:type="spellStart"/>
      <w:r w:rsidRPr="00EA4B29">
        <w:rPr>
          <w:rFonts w:ascii="Times New Roman" w:hAnsi="Times New Roman"/>
          <w:sz w:val="22"/>
          <w:szCs w:val="22"/>
        </w:rPr>
        <w:t>Ugbebor</w:t>
      </w:r>
      <w:proofErr w:type="spellEnd"/>
      <w:r w:rsidRPr="00EA4B29">
        <w:rPr>
          <w:rFonts w:ascii="Times New Roman" w:hAnsi="Times New Roman"/>
          <w:sz w:val="22"/>
          <w:szCs w:val="22"/>
        </w:rPr>
        <w:t xml:space="preserve"> et al.2024)</w:t>
      </w:r>
    </w:p>
    <w:p w14:paraId="77D736CB" w14:textId="77777777" w:rsidR="00EA4B29" w:rsidRPr="00EA4B29" w:rsidRDefault="00EA4B29" w:rsidP="00EA4B29">
      <w:pPr>
        <w:spacing w:line="360" w:lineRule="auto"/>
        <w:rPr>
          <w:rFonts w:ascii="Times New Roman" w:hAnsi="Times New Roman"/>
          <w:b/>
          <w:bCs/>
          <w:sz w:val="22"/>
          <w:szCs w:val="22"/>
        </w:rPr>
      </w:pPr>
      <w:r w:rsidRPr="00EA4B29">
        <w:rPr>
          <w:rFonts w:ascii="Times New Roman" w:hAnsi="Times New Roman"/>
          <w:b/>
          <w:bCs/>
          <w:sz w:val="22"/>
          <w:szCs w:val="22"/>
        </w:rPr>
        <w:t>4. Practical Examples of SPSS in Data Analysis</w:t>
      </w:r>
    </w:p>
    <w:p w14:paraId="165DFE90"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The SPSS system features a help tool named Answer Wizard, which identifies numerous analyses and data reduction techniques categorized into 16 major types, from analysis of variance to chi-square tests. This paper focuses on three relevant categories: 1. Multiple-choice and nominal data: Enables statistical tests on nominal data, including chi-square tests of independence and measures of association. This is relevant for psychology, healthcare, and social sciences. 2. Regression: Facilitates various regression analyses such as standard linear, binary, and multinomial logistic regressions, crucial for developing predictive models in marketing, finance, and engineering. 3. Reports: A tool for generating reports from data files, valuable in any research needing data output from SPSS. The examples presented here illustrate the application of SPSS in </w:t>
      </w:r>
      <w:proofErr w:type="spellStart"/>
      <w:r w:rsidRPr="00EA4B29">
        <w:rPr>
          <w:rFonts w:ascii="Times New Roman" w:hAnsi="Times New Roman"/>
          <w:sz w:val="22"/>
          <w:szCs w:val="22"/>
        </w:rPr>
        <w:t>analyzing</w:t>
      </w:r>
      <w:proofErr w:type="spellEnd"/>
      <w:r w:rsidRPr="00EA4B29">
        <w:rPr>
          <w:rFonts w:ascii="Times New Roman" w:hAnsi="Times New Roman"/>
          <w:sz w:val="22"/>
          <w:szCs w:val="22"/>
        </w:rPr>
        <w:t xml:space="preserve"> varied data sets, created specifically for this paper. (</w:t>
      </w:r>
      <w:proofErr w:type="spellStart"/>
      <w:r w:rsidRPr="00EA4B29">
        <w:rPr>
          <w:rFonts w:ascii="Times New Roman" w:hAnsi="Times New Roman"/>
          <w:sz w:val="22"/>
          <w:szCs w:val="22"/>
        </w:rPr>
        <w:t>Silitonga</w:t>
      </w:r>
      <w:proofErr w:type="spellEnd"/>
      <w:r w:rsidRPr="00EA4B29">
        <w:rPr>
          <w:rFonts w:ascii="Times New Roman" w:hAnsi="Times New Roman"/>
          <w:sz w:val="22"/>
          <w:szCs w:val="22"/>
        </w:rPr>
        <w:t xml:space="preserve"> et al.2024)</w:t>
      </w:r>
    </w:p>
    <w:p w14:paraId="2EFB94AF" w14:textId="77777777" w:rsidR="00EA4B29" w:rsidRPr="00EA4B29" w:rsidRDefault="00EA4B29" w:rsidP="00EA4B29">
      <w:pPr>
        <w:spacing w:line="360" w:lineRule="auto"/>
        <w:rPr>
          <w:rFonts w:ascii="Times New Roman" w:hAnsi="Times New Roman"/>
          <w:b/>
          <w:bCs/>
          <w:sz w:val="28"/>
          <w:szCs w:val="28"/>
        </w:rPr>
      </w:pPr>
      <w:r w:rsidRPr="00EA4B29">
        <w:rPr>
          <w:rFonts w:ascii="Times New Roman" w:hAnsi="Times New Roman"/>
          <w:b/>
          <w:bCs/>
          <w:sz w:val="28"/>
          <w:szCs w:val="28"/>
        </w:rPr>
        <w:t>References:</w:t>
      </w:r>
    </w:p>
    <w:p w14:paraId="0483C429" w14:textId="77777777" w:rsidR="00EA4B29" w:rsidRPr="00EA4B29" w:rsidRDefault="00EA4B29" w:rsidP="00EA4B29">
      <w:pPr>
        <w:spacing w:line="360" w:lineRule="auto"/>
        <w:rPr>
          <w:rFonts w:ascii="Times New Roman" w:hAnsi="Times New Roman"/>
          <w:sz w:val="22"/>
          <w:szCs w:val="22"/>
        </w:rPr>
      </w:pPr>
      <w:proofErr w:type="spellStart"/>
      <w:r w:rsidRPr="00EA4B29">
        <w:rPr>
          <w:rFonts w:ascii="Times New Roman" w:hAnsi="Times New Roman"/>
          <w:sz w:val="22"/>
          <w:szCs w:val="22"/>
        </w:rPr>
        <w:t>Pratama</w:t>
      </w:r>
      <w:proofErr w:type="spellEnd"/>
      <w:r w:rsidRPr="00EA4B29">
        <w:rPr>
          <w:rFonts w:ascii="Times New Roman" w:hAnsi="Times New Roman"/>
          <w:sz w:val="22"/>
          <w:szCs w:val="22"/>
        </w:rPr>
        <w:t xml:space="preserve">, D. P. &amp; Putra, P. O. H., 2024. Exploring Sustainable VR Use Cases for Startup Business Models: A Customized Customer Development Approach. Sustainability. </w:t>
      </w:r>
      <w:hyperlink r:id="rId36" w:tgtFrame="_blank" w:tooltip="https://www.mdpi.com/2071-1050/16/14/6254" w:history="1">
        <w:r w:rsidRPr="00EA4B29">
          <w:rPr>
            <w:rStyle w:val="Hyperlink"/>
            <w:rFonts w:ascii="Times New Roman" w:hAnsi="Times New Roman"/>
            <w:sz w:val="22"/>
            <w:szCs w:val="22"/>
          </w:rPr>
          <w:t>mdpi.com</w:t>
        </w:r>
      </w:hyperlink>
    </w:p>
    <w:p w14:paraId="4E09106A"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Chen, J. &amp; Pang, H., 2023. </w:t>
      </w:r>
      <w:proofErr w:type="spellStart"/>
      <w:r w:rsidRPr="00EA4B29">
        <w:rPr>
          <w:rFonts w:ascii="Times New Roman" w:hAnsi="Times New Roman"/>
          <w:sz w:val="22"/>
          <w:szCs w:val="22"/>
        </w:rPr>
        <w:t>Analyzing</w:t>
      </w:r>
      <w:proofErr w:type="spellEnd"/>
      <w:r w:rsidRPr="00EA4B29">
        <w:rPr>
          <w:rFonts w:ascii="Times New Roman" w:hAnsi="Times New Roman"/>
          <w:sz w:val="22"/>
          <w:szCs w:val="22"/>
        </w:rPr>
        <w:t xml:space="preserve"> Factors Influencing Student Achievement: A Financial and Agricultural Perspective Using SPSS Statistical Analysis Software. Journal of Commercial Biotechnology. </w:t>
      </w:r>
      <w:hyperlink r:id="rId37" w:tgtFrame="_blank" w:tooltip="https://search.proquest.com/openview/0eaaa6c099ba9d072a9040cbe4590464/1?pq-origsite=gscholar&amp;cbl=27141" w:history="1">
        <w:r w:rsidRPr="00EA4B29">
          <w:rPr>
            <w:rStyle w:val="Hyperlink"/>
            <w:rFonts w:ascii="Times New Roman" w:hAnsi="Times New Roman"/>
            <w:sz w:val="22"/>
            <w:szCs w:val="22"/>
          </w:rPr>
          <w:t>[HTML]</w:t>
        </w:r>
      </w:hyperlink>
    </w:p>
    <w:p w14:paraId="4CC7A333" w14:textId="77777777" w:rsidR="00EA4B29" w:rsidRPr="00EA4B29" w:rsidRDefault="00EA4B29" w:rsidP="00EA4B29">
      <w:pPr>
        <w:spacing w:line="360" w:lineRule="auto"/>
        <w:rPr>
          <w:rFonts w:ascii="Times New Roman" w:hAnsi="Times New Roman"/>
          <w:sz w:val="22"/>
          <w:szCs w:val="22"/>
        </w:rPr>
      </w:pPr>
      <w:proofErr w:type="spellStart"/>
      <w:r w:rsidRPr="00EA4B29">
        <w:rPr>
          <w:rFonts w:ascii="Times New Roman" w:hAnsi="Times New Roman"/>
          <w:sz w:val="22"/>
          <w:szCs w:val="22"/>
        </w:rPr>
        <w:t>Lv</w:t>
      </w:r>
      <w:proofErr w:type="spellEnd"/>
      <w:r w:rsidRPr="00EA4B29">
        <w:rPr>
          <w:rFonts w:ascii="Times New Roman" w:hAnsi="Times New Roman"/>
          <w:sz w:val="22"/>
          <w:szCs w:val="22"/>
        </w:rPr>
        <w:t xml:space="preserve">, Y., Chen, H., Luo, B., Bai, W., Li, K., Wang, Z., Xia, D., Guo, W., Wang, Q., Li, X. and Yuan, J., 2022. Concurrent large spontaneous portosystemic shunt embolization for the prevention of overt hepatic encephalopathy after TIPS: a randomized controlled trial. Hepatology, 76(3), pp.676-688. </w:t>
      </w:r>
      <w:hyperlink r:id="rId38" w:tgtFrame="_blank" w:tooltip="https://www.researchgate.net/profile/Yong-Lv-2/publication/359142912_Concurrent_large_spontaneous_portosystemic_shunt_embolization_for_the_prevention_of_overt_hepatic_encephalopathy_after_transjugular_intrahepatic_portosystemic_shunt_A_randomized_controlled_tr" w:history="1">
        <w:r w:rsidRPr="00EA4B29">
          <w:rPr>
            <w:rStyle w:val="Hyperlink"/>
            <w:rFonts w:ascii="Times New Roman" w:hAnsi="Times New Roman"/>
            <w:sz w:val="22"/>
            <w:szCs w:val="22"/>
          </w:rPr>
          <w:t>researchgate.net</w:t>
        </w:r>
      </w:hyperlink>
    </w:p>
    <w:p w14:paraId="21CCBC90"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Valli, L.N., 2024. A succinct synopsis of predictive analysis applications in the contemporary period. International Journal of Multidisciplinary Sciences and Arts, 3(4), pp.26-36. </w:t>
      </w:r>
      <w:hyperlink r:id="rId39" w:tgtFrame="_blank" w:tooltip="https://jurnal.itscience.org/index.php/ijmdsa/article/download/4625/3500" w:history="1">
        <w:r w:rsidRPr="00EA4B29">
          <w:rPr>
            <w:rStyle w:val="Hyperlink"/>
            <w:rFonts w:ascii="Times New Roman" w:hAnsi="Times New Roman"/>
            <w:sz w:val="22"/>
            <w:szCs w:val="22"/>
          </w:rPr>
          <w:t>itscience.org</w:t>
        </w:r>
      </w:hyperlink>
    </w:p>
    <w:p w14:paraId="466A9C68" w14:textId="77777777" w:rsidR="00EA4B29" w:rsidRPr="00EA4B29" w:rsidRDefault="00EA4B29" w:rsidP="00EA4B29">
      <w:pPr>
        <w:spacing w:line="360" w:lineRule="auto"/>
        <w:rPr>
          <w:rFonts w:ascii="Times New Roman" w:hAnsi="Times New Roman"/>
          <w:sz w:val="22"/>
          <w:szCs w:val="22"/>
        </w:rPr>
      </w:pPr>
      <w:r w:rsidRPr="00EA4B29">
        <w:rPr>
          <w:rFonts w:ascii="Times New Roman" w:hAnsi="Times New Roman"/>
          <w:sz w:val="22"/>
          <w:szCs w:val="22"/>
        </w:rPr>
        <w:t xml:space="preserve">Schmidt, P.J., Riley, J. and Swanson Church, K., 2020. Investigating accountants' resistance to move beyond Excel and adopt new data analytics technology. Accounting Horizons, 34(4), pp.165-180. </w:t>
      </w:r>
      <w:hyperlink r:id="rId40" w:tgtFrame="_blank" w:tooltip="https://publications.aaahq.org/accounting-horizons/article-abstract/34/4/165/2435" w:history="1">
        <w:r w:rsidRPr="00EA4B29">
          <w:rPr>
            <w:rStyle w:val="Hyperlink"/>
            <w:rFonts w:ascii="Times New Roman" w:hAnsi="Times New Roman"/>
            <w:sz w:val="22"/>
            <w:szCs w:val="22"/>
          </w:rPr>
          <w:t>[HTML]</w:t>
        </w:r>
      </w:hyperlink>
    </w:p>
    <w:p w14:paraId="02FF0F30" w14:textId="77777777" w:rsidR="00EA4B29" w:rsidRPr="00EA4B29" w:rsidRDefault="00EA4B29" w:rsidP="00EA4B29">
      <w:pPr>
        <w:spacing w:line="360" w:lineRule="auto"/>
        <w:rPr>
          <w:rFonts w:ascii="Times New Roman" w:hAnsi="Times New Roman"/>
          <w:sz w:val="22"/>
          <w:szCs w:val="22"/>
        </w:rPr>
      </w:pPr>
      <w:proofErr w:type="spellStart"/>
      <w:r w:rsidRPr="00EA4B29">
        <w:rPr>
          <w:rFonts w:ascii="Times New Roman" w:hAnsi="Times New Roman"/>
          <w:sz w:val="22"/>
          <w:szCs w:val="22"/>
        </w:rPr>
        <w:t>Ugbebor</w:t>
      </w:r>
      <w:proofErr w:type="spellEnd"/>
      <w:r w:rsidRPr="00EA4B29">
        <w:rPr>
          <w:rFonts w:ascii="Times New Roman" w:hAnsi="Times New Roman"/>
          <w:sz w:val="22"/>
          <w:szCs w:val="22"/>
        </w:rPr>
        <w:t xml:space="preserve">, F., </w:t>
      </w:r>
      <w:proofErr w:type="spellStart"/>
      <w:r w:rsidRPr="00EA4B29">
        <w:rPr>
          <w:rFonts w:ascii="Times New Roman" w:hAnsi="Times New Roman"/>
          <w:sz w:val="22"/>
          <w:szCs w:val="22"/>
        </w:rPr>
        <w:t>Adeteye</w:t>
      </w:r>
      <w:proofErr w:type="spellEnd"/>
      <w:r w:rsidRPr="00EA4B29">
        <w:rPr>
          <w:rFonts w:ascii="Times New Roman" w:hAnsi="Times New Roman"/>
          <w:sz w:val="22"/>
          <w:szCs w:val="22"/>
        </w:rPr>
        <w:t xml:space="preserve">, M. and </w:t>
      </w:r>
      <w:proofErr w:type="spellStart"/>
      <w:r w:rsidRPr="00EA4B29">
        <w:rPr>
          <w:rFonts w:ascii="Times New Roman" w:hAnsi="Times New Roman"/>
          <w:sz w:val="22"/>
          <w:szCs w:val="22"/>
        </w:rPr>
        <w:t>Ugbebor</w:t>
      </w:r>
      <w:proofErr w:type="spellEnd"/>
      <w:r w:rsidRPr="00EA4B29">
        <w:rPr>
          <w:rFonts w:ascii="Times New Roman" w:hAnsi="Times New Roman"/>
          <w:sz w:val="22"/>
          <w:szCs w:val="22"/>
        </w:rPr>
        <w:t xml:space="preserve">, J., 2024. Automated Inventory Management Systems with IoT Integration to Optimize Stock Levels and Reduce Carrying Costs for SMEs: A Comprehensive </w:t>
      </w:r>
      <w:r w:rsidRPr="00EA4B29">
        <w:rPr>
          <w:rFonts w:ascii="Times New Roman" w:hAnsi="Times New Roman"/>
          <w:sz w:val="22"/>
          <w:szCs w:val="22"/>
        </w:rPr>
        <w:lastRenderedPageBreak/>
        <w:t xml:space="preserve">Review. Journal of Artificial Intelligence General Science (JAIGS) ISSN: 3006-4023, 6(1), pp.306-340. </w:t>
      </w:r>
      <w:hyperlink r:id="rId41" w:tgtFrame="_blank" w:tooltip="https://ojs.boulibrary.com/index.php/JAIGS/article/download/257/197" w:history="1">
        <w:r w:rsidRPr="00EA4B29">
          <w:rPr>
            <w:rStyle w:val="Hyperlink"/>
            <w:rFonts w:ascii="Times New Roman" w:hAnsi="Times New Roman"/>
            <w:sz w:val="22"/>
            <w:szCs w:val="22"/>
          </w:rPr>
          <w:t>boulibrary.com</w:t>
        </w:r>
      </w:hyperlink>
    </w:p>
    <w:p w14:paraId="0DF649E8" w14:textId="77777777" w:rsidR="00EA4B29" w:rsidRPr="00EA4B29" w:rsidRDefault="00EA4B29" w:rsidP="00EA4B29">
      <w:pPr>
        <w:spacing w:line="360" w:lineRule="auto"/>
        <w:rPr>
          <w:rFonts w:ascii="Times New Roman" w:hAnsi="Times New Roman"/>
          <w:sz w:val="22"/>
          <w:szCs w:val="22"/>
        </w:rPr>
      </w:pPr>
      <w:proofErr w:type="spellStart"/>
      <w:r w:rsidRPr="00EA4B29">
        <w:rPr>
          <w:rFonts w:ascii="Times New Roman" w:hAnsi="Times New Roman"/>
          <w:sz w:val="22"/>
          <w:szCs w:val="22"/>
        </w:rPr>
        <w:t>Silitonga</w:t>
      </w:r>
      <w:proofErr w:type="spellEnd"/>
      <w:r w:rsidRPr="00EA4B29">
        <w:rPr>
          <w:rFonts w:ascii="Times New Roman" w:hAnsi="Times New Roman"/>
          <w:sz w:val="22"/>
          <w:szCs w:val="22"/>
        </w:rPr>
        <w:t xml:space="preserve">, D., </w:t>
      </w:r>
      <w:proofErr w:type="spellStart"/>
      <w:r w:rsidRPr="00EA4B29">
        <w:rPr>
          <w:rFonts w:ascii="Times New Roman" w:hAnsi="Times New Roman"/>
          <w:sz w:val="22"/>
          <w:szCs w:val="22"/>
        </w:rPr>
        <w:t>Rohmayanti</w:t>
      </w:r>
      <w:proofErr w:type="spellEnd"/>
      <w:r w:rsidRPr="00EA4B29">
        <w:rPr>
          <w:rFonts w:ascii="Times New Roman" w:hAnsi="Times New Roman"/>
          <w:sz w:val="22"/>
          <w:szCs w:val="22"/>
        </w:rPr>
        <w:t xml:space="preserve">, S.A.A., </w:t>
      </w:r>
      <w:proofErr w:type="spellStart"/>
      <w:r w:rsidRPr="00EA4B29">
        <w:rPr>
          <w:rFonts w:ascii="Times New Roman" w:hAnsi="Times New Roman"/>
          <w:sz w:val="22"/>
          <w:szCs w:val="22"/>
        </w:rPr>
        <w:t>Aripin</w:t>
      </w:r>
      <w:proofErr w:type="spellEnd"/>
      <w:r w:rsidRPr="00EA4B29">
        <w:rPr>
          <w:rFonts w:ascii="Times New Roman" w:hAnsi="Times New Roman"/>
          <w:sz w:val="22"/>
          <w:szCs w:val="22"/>
        </w:rPr>
        <w:t xml:space="preserve">, Z., </w:t>
      </w:r>
      <w:proofErr w:type="spellStart"/>
      <w:r w:rsidRPr="00EA4B29">
        <w:rPr>
          <w:rFonts w:ascii="Times New Roman" w:hAnsi="Times New Roman"/>
          <w:sz w:val="22"/>
          <w:szCs w:val="22"/>
        </w:rPr>
        <w:t>Kuswandi</w:t>
      </w:r>
      <w:proofErr w:type="spellEnd"/>
      <w:r w:rsidRPr="00EA4B29">
        <w:rPr>
          <w:rFonts w:ascii="Times New Roman" w:hAnsi="Times New Roman"/>
          <w:sz w:val="22"/>
          <w:szCs w:val="22"/>
        </w:rPr>
        <w:t xml:space="preserve">, D. and </w:t>
      </w:r>
      <w:proofErr w:type="spellStart"/>
      <w:r w:rsidRPr="00EA4B29">
        <w:rPr>
          <w:rFonts w:ascii="Times New Roman" w:hAnsi="Times New Roman"/>
          <w:sz w:val="22"/>
          <w:szCs w:val="22"/>
        </w:rPr>
        <w:t>Sulistyo</w:t>
      </w:r>
      <w:proofErr w:type="spellEnd"/>
      <w:r w:rsidRPr="00EA4B29">
        <w:rPr>
          <w:rFonts w:ascii="Times New Roman" w:hAnsi="Times New Roman"/>
          <w:sz w:val="22"/>
          <w:szCs w:val="22"/>
        </w:rPr>
        <w:t xml:space="preserve">, A.B., 2024. Edge computing in E-commerce business: economic impacts and advantages of scalable information systems. EAI Endorsed Transactions on Scalable Information Systems, 11(1). </w:t>
      </w:r>
      <w:hyperlink r:id="rId42" w:tgtFrame="_blank" w:tooltip="https://publications.eai.eu/index.php/sis/article/download/4375/2686" w:history="1">
        <w:r w:rsidRPr="00EA4B29">
          <w:rPr>
            <w:rStyle w:val="Hyperlink"/>
            <w:rFonts w:ascii="Times New Roman" w:hAnsi="Times New Roman"/>
            <w:sz w:val="22"/>
            <w:szCs w:val="22"/>
          </w:rPr>
          <w:t>eai.eu</w:t>
        </w:r>
      </w:hyperlink>
    </w:p>
    <w:p w14:paraId="1BAFDD5E" w14:textId="77777777" w:rsidR="00EA4B29" w:rsidRPr="00EA4B29" w:rsidRDefault="00EA4B29">
      <w:pPr>
        <w:spacing w:line="360" w:lineRule="auto"/>
        <w:rPr>
          <w:rFonts w:ascii="Times New Roman" w:hAnsi="Times New Roman"/>
          <w:sz w:val="22"/>
          <w:szCs w:val="22"/>
        </w:rPr>
      </w:pPr>
    </w:p>
    <w:sectPr w:rsidR="00EA4B29" w:rsidRPr="00EA4B29">
      <w:footerReference w:type="default" r:id="rId43"/>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571E11" w14:textId="77777777" w:rsidR="00B30117" w:rsidRDefault="00B30117">
      <w:pPr>
        <w:spacing w:after="0" w:line="240" w:lineRule="auto"/>
      </w:pPr>
      <w:r>
        <w:separator/>
      </w:r>
    </w:p>
  </w:endnote>
  <w:endnote w:type="continuationSeparator" w:id="0">
    <w:p w14:paraId="2C3CAAD2" w14:textId="77777777" w:rsidR="00B30117" w:rsidRDefault="00B30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94AF14" w14:textId="77777777" w:rsidR="00CC10BB" w:rsidRDefault="00466A15">
    <w:pPr>
      <w:pStyle w:val="Footer"/>
      <w:jc w:val="center"/>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5294AF15" w14:textId="77777777" w:rsidR="00CC10BB" w:rsidRDefault="00CC1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3A1862" w14:textId="77777777" w:rsidR="00B30117" w:rsidRDefault="00B30117">
      <w:pPr>
        <w:spacing w:after="0" w:line="240" w:lineRule="auto"/>
      </w:pPr>
      <w:r>
        <w:rPr>
          <w:color w:val="000000"/>
        </w:rPr>
        <w:separator/>
      </w:r>
    </w:p>
  </w:footnote>
  <w:footnote w:type="continuationSeparator" w:id="0">
    <w:p w14:paraId="7B1861CF" w14:textId="77777777" w:rsidR="00B30117" w:rsidRDefault="00B30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640737"/>
    <w:multiLevelType w:val="hybridMultilevel"/>
    <w:tmpl w:val="E7A6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4354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23A"/>
    <w:rsid w:val="0038591C"/>
    <w:rsid w:val="00466A15"/>
    <w:rsid w:val="0072023A"/>
    <w:rsid w:val="00751D08"/>
    <w:rsid w:val="007E60EC"/>
    <w:rsid w:val="00B30117"/>
    <w:rsid w:val="00CC10BB"/>
    <w:rsid w:val="00EA4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4AF0A"/>
  <w15:docId w15:val="{BF44274A-C6BF-43E0-8E80-6F7C298B1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paragraph">
    <w:name w:val="paragraph"/>
    <w:basedOn w:val="Normal"/>
    <w:pPr>
      <w:spacing w:before="100" w:after="100" w:line="240" w:lineRule="auto"/>
    </w:pPr>
    <w:rPr>
      <w:rFonts w:ascii="Times New Roman" w:eastAsia="Times New Roman" w:hAnsi="Times New Roman"/>
      <w:kern w:val="0"/>
      <w:lang w:eastAsia="en-GB"/>
    </w:rPr>
  </w:style>
  <w:style w:type="character" w:styleId="Strong">
    <w:name w:val="Strong"/>
    <w:basedOn w:val="DefaultParagraphFont"/>
    <w:rPr>
      <w:b/>
      <w:bC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customStyle="1" w:styleId="cvgsua">
    <w:name w:val="cvgsua"/>
    <w:basedOn w:val="Normal"/>
    <w:pPr>
      <w:spacing w:before="100" w:after="100" w:line="240" w:lineRule="auto"/>
    </w:pPr>
    <w:rPr>
      <w:rFonts w:ascii="Times New Roman" w:eastAsia="Times New Roman" w:hAnsi="Times New Roman"/>
      <w:kern w:val="0"/>
      <w:lang w:eastAsia="en-GB"/>
    </w:rPr>
  </w:style>
  <w:style w:type="character" w:customStyle="1" w:styleId="oypena">
    <w:name w:val="oypena"/>
    <w:basedOn w:val="DefaultParagraphFont"/>
  </w:style>
  <w:style w:type="character" w:styleId="Hyperlink">
    <w:name w:val="Hyperlink"/>
    <w:basedOn w:val="DefaultParagraphFont"/>
    <w:uiPriority w:val="99"/>
    <w:unhideWhenUsed/>
    <w:rsid w:val="00EA4B29"/>
    <w:rPr>
      <w:color w:val="467886" w:themeColor="hyperlink"/>
      <w:u w:val="single"/>
    </w:rPr>
  </w:style>
  <w:style w:type="character" w:styleId="UnresolvedMention">
    <w:name w:val="Unresolved Mention"/>
    <w:basedOn w:val="DefaultParagraphFont"/>
    <w:uiPriority w:val="99"/>
    <w:semiHidden/>
    <w:unhideWhenUsed/>
    <w:rsid w:val="00EA4B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26694">
      <w:bodyDiv w:val="1"/>
      <w:marLeft w:val="0"/>
      <w:marRight w:val="0"/>
      <w:marTop w:val="0"/>
      <w:marBottom w:val="0"/>
      <w:divBdr>
        <w:top w:val="none" w:sz="0" w:space="0" w:color="auto"/>
        <w:left w:val="none" w:sz="0" w:space="0" w:color="auto"/>
        <w:bottom w:val="none" w:sz="0" w:space="0" w:color="auto"/>
        <w:right w:val="none" w:sz="0" w:space="0" w:color="auto"/>
      </w:divBdr>
    </w:div>
    <w:div w:id="155148964">
      <w:bodyDiv w:val="1"/>
      <w:marLeft w:val="0"/>
      <w:marRight w:val="0"/>
      <w:marTop w:val="0"/>
      <w:marBottom w:val="0"/>
      <w:divBdr>
        <w:top w:val="none" w:sz="0" w:space="0" w:color="auto"/>
        <w:left w:val="none" w:sz="0" w:space="0" w:color="auto"/>
        <w:bottom w:val="none" w:sz="0" w:space="0" w:color="auto"/>
        <w:right w:val="none" w:sz="0" w:space="0" w:color="auto"/>
      </w:divBdr>
    </w:div>
    <w:div w:id="793712977">
      <w:bodyDiv w:val="1"/>
      <w:marLeft w:val="0"/>
      <w:marRight w:val="0"/>
      <w:marTop w:val="0"/>
      <w:marBottom w:val="0"/>
      <w:divBdr>
        <w:top w:val="none" w:sz="0" w:space="0" w:color="auto"/>
        <w:left w:val="none" w:sz="0" w:space="0" w:color="auto"/>
        <w:bottom w:val="none" w:sz="0" w:space="0" w:color="auto"/>
        <w:right w:val="none" w:sz="0" w:space="0" w:color="auto"/>
      </w:divBdr>
    </w:div>
    <w:div w:id="10977548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ci-10-2022-0279/full/html" TargetMode="External"/><Relationship Id="rId18" Type="http://schemas.openxmlformats.org/officeDocument/2006/relationships/hyperlink" Target="https://besjournals.onlinelibrary.wiley.com/doi/pdfdirect/10.1111/2041-210X.13741" TargetMode="External"/><Relationship Id="rId26" Type="http://schemas.openxmlformats.org/officeDocument/2006/relationships/hyperlink" Target="https://www.computersciencejournals.com/ijcai/article/60/4-1-2-550.pdf" TargetMode="External"/><Relationship Id="rId39" Type="http://schemas.openxmlformats.org/officeDocument/2006/relationships/hyperlink" Target="https://jurnal.itscience.org/index.php/ijmdsa/article/download/4625/3500" TargetMode="External"/><Relationship Id="rId21" Type="http://schemas.openxmlformats.org/officeDocument/2006/relationships/hyperlink" Target="https://www.ijcb.org/journal/ijcb11q3a6.pdf" TargetMode="External"/><Relationship Id="rId34" Type="http://schemas.openxmlformats.org/officeDocument/2006/relationships/hyperlink" Target="https://link.springer.com/article/10.1007/s41324-023-00565-7" TargetMode="External"/><Relationship Id="rId42" Type="http://schemas.openxmlformats.org/officeDocument/2006/relationships/hyperlink" Target="https://publications.eai.eu/index.php/sis/article/download/4375/2686"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espublisher.com/uploads/article_pdf/esfaf1012.pdf" TargetMode="External"/><Relationship Id="rId29" Type="http://schemas.openxmlformats.org/officeDocument/2006/relationships/hyperlink" Target="https://www.sciencedirect.com/science/article/pii/S266676492300038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atsoft.org/article/view/v111i09/4641" TargetMode="External"/><Relationship Id="rId24" Type="http://schemas.openxmlformats.org/officeDocument/2006/relationships/hyperlink" Target="https://ieeexplore.ieee.org/iel7/2945/9663056/09555457.pdf" TargetMode="External"/><Relationship Id="rId32" Type="http://schemas.openxmlformats.org/officeDocument/2006/relationships/hyperlink" Target="https://scholar.archive.org/work/6p5bvzp3obaoreddbkbk6epqia/access/wayback/https:/dl.acm.org/doi/pdf/10.1145/3534562" TargetMode="External"/><Relationship Id="rId37" Type="http://schemas.openxmlformats.org/officeDocument/2006/relationships/hyperlink" Target="https://search.proquest.com/openview/0eaaa6c099ba9d072a9040cbe4590464/1?pq-origsite=gscholar&amp;cbl=27141" TargetMode="External"/><Relationship Id="rId40" Type="http://schemas.openxmlformats.org/officeDocument/2006/relationships/hyperlink" Target="https://publications.aaahq.org/accounting-horizons/article-abstract/34/4/165/243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0169743923000606" TargetMode="External"/><Relationship Id="rId23" Type="http://schemas.openxmlformats.org/officeDocument/2006/relationships/hyperlink" Target="https://www.mdpi.com/2078-2489/15/6/295/pdf" TargetMode="External"/><Relationship Id="rId28" Type="http://schemas.openxmlformats.org/officeDocument/2006/relationships/hyperlink" Target="https://www.researchgate.net/profile/Daniel-Belete/publication/354541720_Grid_search_in_hyperparameter_optimization_of_machine_learning_models_for_prediction_of_HIVAIDS_test_results/links/613edd61e4419c5e6ec9cdef/Grid-search-in-hyperparameter-optimization-of-machine-learning-models-for-prediction-of-HIV-AIDS-test-results.pdf?origin=journalDetail&amp;_tp=eyJwYWdlIjoiam91cm5hbERldGFpbCJ9" TargetMode="External"/><Relationship Id="rId36" Type="http://schemas.openxmlformats.org/officeDocument/2006/relationships/hyperlink" Target="https://www.mdpi.com/2071-1050/16/14/6254" TargetMode="External"/><Relationship Id="rId10" Type="http://schemas.openxmlformats.org/officeDocument/2006/relationships/hyperlink" Target="https://books.google.com/books?hl=en&amp;lr=&amp;id=t3bLDwAAQBAJ&amp;oi=fnd&amp;pg=PP1&amp;dq=Section+A+deals+with+basic+statistics+such+as+mean+median+mode+and+standard+deviation&amp;ots=1thPN_eTMB&amp;sig=1yd3xz9Pyh2WaT6nJqqPpYUZHMU" TargetMode="External"/><Relationship Id="rId19" Type="http://schemas.openxmlformats.org/officeDocument/2006/relationships/hyperlink" Target="https://www.nber.org/system/files/working_papers/w30519/w30519.pdf" TargetMode="External"/><Relationship Id="rId31" Type="http://schemas.openxmlformats.org/officeDocument/2006/relationships/hyperlink" Target="https://jpabdimas.idjournal.eu/index.php/eduline/article/download/2861/1926"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penreview.net/pdf?id=qnfYsave0U4" TargetMode="External"/><Relationship Id="rId14" Type="http://schemas.openxmlformats.org/officeDocument/2006/relationships/hyperlink" Target="https://www.researchgate.net/profile/Ruchit-Parekh-4/publication/384325411_Recent_progress_in_integrating_BIM_and_LCA_for_sustainable_construction_A_Review/links/66f43619553d245f9e3511ad/Recent-progress-in-integrating-BIM-and-LCA-for-sustainable-construction-A-Review.pdf" TargetMode="External"/><Relationship Id="rId22" Type="http://schemas.openxmlformats.org/officeDocument/2006/relationships/hyperlink" Target="https://search.informit.org/doi/pdf/10.3316/informit.384051449820202" TargetMode="External"/><Relationship Id="rId27" Type="http://schemas.openxmlformats.org/officeDocument/2006/relationships/hyperlink" Target="https://sydneyacademics.com/index.php/ajmlra/article/download/77/74" TargetMode="External"/><Relationship Id="rId30" Type="http://schemas.openxmlformats.org/officeDocument/2006/relationships/hyperlink" Target="https://ieeexplore.ieee.org/abstract/document/10544996/" TargetMode="External"/><Relationship Id="rId35" Type="http://schemas.openxmlformats.org/officeDocument/2006/relationships/hyperlink" Target="https://iopscience.iop.org/article/10.3847/1538-4365/ad7c4a/pdf" TargetMode="External"/><Relationship Id="rId43" Type="http://schemas.openxmlformats.org/officeDocument/2006/relationships/footer" Target="footer1.xml"/><Relationship Id="rId8" Type="http://schemas.openxmlformats.org/officeDocument/2006/relationships/hyperlink" Target="https://uhra.herts.ac.uk/bitstream/handle/2299/25787/Building_energy_consumption_prediction_using_deep_learning.pdf?sequence=1" TargetMode="External"/><Relationship Id="rId3" Type="http://schemas.openxmlformats.org/officeDocument/2006/relationships/settings" Target="settings.xml"/><Relationship Id="rId12" Type="http://schemas.openxmlformats.org/officeDocument/2006/relationships/hyperlink" Target="https://arxiv.org/pdf/2301.04655.pdf?mibextid=Zxz2cZ" TargetMode="External"/><Relationship Id="rId17" Type="http://schemas.openxmlformats.org/officeDocument/2006/relationships/hyperlink" Target="https://arxiv.org/pdf/2401.05507" TargetMode="External"/><Relationship Id="rId25" Type="http://schemas.openxmlformats.org/officeDocument/2006/relationships/hyperlink" Target="https://wires.onlinelibrary.wiley.com/doi/abs/10.1002/wcms.1729" TargetMode="External"/><Relationship Id="rId33" Type="http://schemas.openxmlformats.org/officeDocument/2006/relationships/hyperlink" Target="https://pubs.aip.org/aip/acp/article-abstract/2799/1/020039/3283442" TargetMode="External"/><Relationship Id="rId38" Type="http://schemas.openxmlformats.org/officeDocument/2006/relationships/hyperlink" Target="https://www.researchgate.net/profile/Yong-Lv-2/publication/359142912_Concurrent_large_spontaneous_portosystemic_shunt_embolization_for_the_prevention_of_overt_hepatic_encephalopathy_after_transjugular_intrahepatic_portosystemic_shunt_A_randomized_controlled_trial/links/625971789be52845a905f629/Concurrent-large-spontaneous-portosystemic-shunt-embolization-for-the-prevention-of-overt-hepatic-encephalopathy-after-transjugular-intrahepatic-portosystemic-shunt-A-randomized-controlled-trial.pdf" TargetMode="External"/><Relationship Id="rId20" Type="http://schemas.openxmlformats.org/officeDocument/2006/relationships/hyperlink" Target="https://www.academia.edu/download/99249849/00207543.2020.179301120230228-1-32gjnu.pdf" TargetMode="External"/><Relationship Id="rId41" Type="http://schemas.openxmlformats.org/officeDocument/2006/relationships/hyperlink" Target="https://ojs.boulibrary.com/index.php/JAIGS/article/download/257/1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12</Pages>
  <Words>5282</Words>
  <Characters>30108</Characters>
  <Application>Microsoft Office Word</Application>
  <DocSecurity>0</DocSecurity>
  <Lines>250</Lines>
  <Paragraphs>70</Paragraphs>
  <ScaleCrop>false</ScaleCrop>
  <Company/>
  <LinksUpToDate>false</LinksUpToDate>
  <CharactersWithSpaces>35320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Katarína Dydňanská</dc:creator>
  <dc:description/>
  <cp:lastModifiedBy>Katarína Dydňanská</cp:lastModifiedBy>
  <cp:revision>5</cp:revision>
  <dcterms:created xsi:type="dcterms:W3CDTF">2024-12-16T23:16:00Z</dcterms:created>
  <dcterms:modified xsi:type="dcterms:W3CDTF">2024-12-26T15:12:00Z</dcterms:modified>
</cp:coreProperties>
</file>