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3C962D" w14:textId="19CFD5F3" w:rsidR="007637DB" w:rsidRPr="00556B8D" w:rsidRDefault="007637DB" w:rsidP="007637DB">
      <w:pPr>
        <w:jc w:val="center"/>
        <w:rPr>
          <w:rFonts w:ascii="Arial" w:hAnsi="Arial" w:cs="Arial"/>
          <w:sz w:val="72"/>
          <w:szCs w:val="72"/>
        </w:rPr>
      </w:pPr>
      <w:r w:rsidRPr="00556B8D">
        <w:rPr>
          <w:rFonts w:ascii="Arial" w:hAnsi="Arial" w:cs="Arial"/>
          <w:sz w:val="72"/>
          <w:szCs w:val="72"/>
        </w:rPr>
        <w:t>LCLM500</w:t>
      </w:r>
      <w:r>
        <w:rPr>
          <w:rFonts w:ascii="Arial" w:hAnsi="Arial" w:cs="Arial"/>
          <w:sz w:val="72"/>
          <w:szCs w:val="72"/>
        </w:rPr>
        <w:t>2</w:t>
      </w:r>
      <w:r w:rsidRPr="00556B8D">
        <w:rPr>
          <w:rFonts w:ascii="Arial" w:hAnsi="Arial" w:cs="Arial"/>
          <w:sz w:val="72"/>
          <w:szCs w:val="72"/>
        </w:rPr>
        <w:t xml:space="preserve"> – </w:t>
      </w:r>
      <w:r w:rsidRPr="007637DB">
        <w:rPr>
          <w:rFonts w:ascii="Arial" w:hAnsi="Arial" w:cs="Arial"/>
          <w:sz w:val="72"/>
          <w:szCs w:val="72"/>
        </w:rPr>
        <w:t>Developing and Managing Individuals and Teams</w:t>
      </w:r>
    </w:p>
    <w:p w14:paraId="275A130B" w14:textId="77777777" w:rsidR="007637DB" w:rsidRPr="00556B8D" w:rsidRDefault="007637DB" w:rsidP="007637DB">
      <w:pPr>
        <w:jc w:val="center"/>
        <w:rPr>
          <w:rFonts w:ascii="Arial" w:hAnsi="Arial" w:cs="Arial"/>
          <w:sz w:val="72"/>
          <w:szCs w:val="72"/>
        </w:rPr>
      </w:pPr>
    </w:p>
    <w:p w14:paraId="5AB69672" w14:textId="7997792A" w:rsidR="007637DB" w:rsidRDefault="007637DB" w:rsidP="007637DB">
      <w:pPr>
        <w:jc w:val="center"/>
        <w:rPr>
          <w:rFonts w:ascii="Arial" w:hAnsi="Arial" w:cs="Arial"/>
          <w:sz w:val="72"/>
          <w:szCs w:val="72"/>
        </w:rPr>
      </w:pPr>
      <w:r w:rsidRPr="007637DB">
        <w:rPr>
          <w:rFonts w:ascii="Arial" w:hAnsi="Arial" w:cs="Arial"/>
          <w:sz w:val="72"/>
          <w:szCs w:val="72"/>
        </w:rPr>
        <w:t>Component 2- Individual Report</w:t>
      </w:r>
    </w:p>
    <w:p w14:paraId="79A9F0B6" w14:textId="77777777" w:rsidR="007637DB" w:rsidRPr="00556B8D" w:rsidRDefault="007637DB" w:rsidP="007637DB">
      <w:pPr>
        <w:jc w:val="center"/>
        <w:rPr>
          <w:rFonts w:ascii="Arial" w:hAnsi="Arial" w:cs="Arial"/>
          <w:sz w:val="72"/>
          <w:szCs w:val="72"/>
        </w:rPr>
      </w:pPr>
    </w:p>
    <w:p w14:paraId="7B500205" w14:textId="77777777" w:rsidR="007637DB" w:rsidRPr="00556B8D" w:rsidRDefault="007637DB" w:rsidP="007637DB">
      <w:pPr>
        <w:jc w:val="center"/>
        <w:rPr>
          <w:rFonts w:ascii="Arial" w:hAnsi="Arial" w:cs="Arial"/>
          <w:sz w:val="72"/>
          <w:szCs w:val="72"/>
        </w:rPr>
      </w:pPr>
      <w:r w:rsidRPr="00556B8D">
        <w:rPr>
          <w:rFonts w:ascii="Arial" w:hAnsi="Arial" w:cs="Arial"/>
          <w:sz w:val="72"/>
          <w:szCs w:val="72"/>
        </w:rPr>
        <w:t>L Paige Wallace – Alleyne</w:t>
      </w:r>
    </w:p>
    <w:p w14:paraId="07CA88E3" w14:textId="77777777" w:rsidR="007637DB" w:rsidRDefault="007637DB" w:rsidP="007637DB">
      <w:pPr>
        <w:jc w:val="center"/>
        <w:rPr>
          <w:rFonts w:ascii="Arial" w:hAnsi="Arial" w:cs="Arial"/>
          <w:sz w:val="72"/>
          <w:szCs w:val="72"/>
        </w:rPr>
      </w:pPr>
      <w:r w:rsidRPr="00556B8D">
        <w:rPr>
          <w:rFonts w:ascii="Arial" w:hAnsi="Arial" w:cs="Arial"/>
          <w:sz w:val="72"/>
          <w:szCs w:val="72"/>
        </w:rPr>
        <w:t>2336338</w:t>
      </w:r>
    </w:p>
    <w:p w14:paraId="2A9F991F" w14:textId="77777777" w:rsidR="007637DB" w:rsidRDefault="007637DB" w:rsidP="007637DB">
      <w:pPr>
        <w:jc w:val="center"/>
        <w:rPr>
          <w:rFonts w:ascii="Arial" w:hAnsi="Arial" w:cs="Arial"/>
          <w:sz w:val="72"/>
          <w:szCs w:val="72"/>
        </w:rPr>
      </w:pPr>
    </w:p>
    <w:p w14:paraId="62CD71DE" w14:textId="77777777" w:rsidR="007637DB" w:rsidRDefault="007637DB" w:rsidP="007637DB">
      <w:pPr>
        <w:jc w:val="center"/>
        <w:rPr>
          <w:rFonts w:ascii="Arial" w:hAnsi="Arial" w:cs="Arial"/>
          <w:sz w:val="48"/>
          <w:szCs w:val="48"/>
        </w:rPr>
      </w:pPr>
      <w:r w:rsidRPr="007637DB">
        <w:rPr>
          <w:rFonts w:ascii="Arial" w:hAnsi="Arial" w:cs="Arial"/>
          <w:sz w:val="48"/>
          <w:szCs w:val="48"/>
        </w:rPr>
        <w:t>Nishi Ramsurrun</w:t>
      </w:r>
    </w:p>
    <w:p w14:paraId="57871CE7" w14:textId="43104901" w:rsidR="007637DB" w:rsidRPr="007637DB" w:rsidRDefault="007637DB" w:rsidP="007637DB">
      <w:pPr>
        <w:jc w:val="center"/>
        <w:rPr>
          <w:rFonts w:ascii="Arial" w:hAnsi="Arial" w:cs="Arial"/>
          <w:sz w:val="72"/>
          <w:szCs w:val="72"/>
        </w:rPr>
      </w:pPr>
      <w:r w:rsidRPr="007637DB">
        <w:rPr>
          <w:rFonts w:ascii="Arial" w:hAnsi="Arial" w:cs="Arial"/>
          <w:sz w:val="48"/>
          <w:szCs w:val="48"/>
        </w:rPr>
        <w:t>Doreen Nyaa Amundam</w:t>
      </w:r>
    </w:p>
    <w:p w14:paraId="24CFDE81" w14:textId="77777777" w:rsidR="007637DB" w:rsidRDefault="007637DB" w:rsidP="00242BF1">
      <w:pPr>
        <w:pStyle w:val="Heading1"/>
      </w:pPr>
    </w:p>
    <w:p w14:paraId="2C4D8BD4" w14:textId="50C4B13A" w:rsidR="00242BF1" w:rsidRDefault="00242BF1" w:rsidP="00242BF1">
      <w:pPr>
        <w:pStyle w:val="Heading1"/>
      </w:pPr>
      <w:r>
        <w:t>Introduction</w:t>
      </w:r>
    </w:p>
    <w:p w14:paraId="3B41DE81" w14:textId="05D3E039" w:rsidR="00242BF1" w:rsidRPr="00242BF1" w:rsidRDefault="00242BF1" w:rsidP="00242BF1">
      <w:pPr>
        <w:spacing w:line="360" w:lineRule="auto"/>
        <w:jc w:val="both"/>
        <w:rPr>
          <w:rFonts w:ascii="Arial" w:hAnsi="Arial" w:cs="Arial"/>
        </w:rPr>
      </w:pPr>
      <w:r w:rsidRPr="00242BF1">
        <w:rPr>
          <w:rFonts w:ascii="Arial" w:hAnsi="Arial" w:cs="Arial"/>
        </w:rPr>
        <w:t>After graduating, I joined the Human Resources (HR) department of a London-based organisation, where my knowledge of leadership and management supported my transition into the role. During my first month, I became aware of a growing number of employee grievances, which highlighted underlying issues within the organisation. These concerns appeared to be strongly linked to recent business transformation initiatives, the increased use of digital technologies, and the introduction of flexible working arrangements.</w:t>
      </w:r>
    </w:p>
    <w:p w14:paraId="6901E050" w14:textId="77777777" w:rsidR="00242BF1" w:rsidRPr="00242BF1" w:rsidRDefault="00242BF1" w:rsidP="00242BF1">
      <w:pPr>
        <w:spacing w:line="360" w:lineRule="auto"/>
        <w:jc w:val="both"/>
        <w:rPr>
          <w:rFonts w:ascii="Arial" w:hAnsi="Arial" w:cs="Arial"/>
        </w:rPr>
      </w:pPr>
      <w:r w:rsidRPr="00242BF1">
        <w:rPr>
          <w:rFonts w:ascii="Arial" w:hAnsi="Arial" w:cs="Arial"/>
        </w:rPr>
        <w:t>In today’s competitive business environment, organisations are required to adapt quickly in order to remain effective and sustainable. Business transformation, while often necessary, can create uncertainty for employees, particularly when changes to roles, structures, or working practices are not clearly communicated. In addition, the rapid implementation of digital technologies, such as online communication platforms and digital performance systems, has significantly changed how employees carry out their roles. Although these technologies offer efficiency and flexibility, they can also lead to stress, confusion, and dissatisfaction when employees feel unsupported.</w:t>
      </w:r>
    </w:p>
    <w:p w14:paraId="08075B05" w14:textId="77777777" w:rsidR="00242BF1" w:rsidRPr="00242BF1" w:rsidRDefault="00242BF1" w:rsidP="00242BF1">
      <w:pPr>
        <w:spacing w:line="360" w:lineRule="auto"/>
        <w:jc w:val="both"/>
        <w:rPr>
          <w:rFonts w:ascii="Arial" w:hAnsi="Arial" w:cs="Arial"/>
        </w:rPr>
      </w:pPr>
      <w:r w:rsidRPr="00242BF1">
        <w:rPr>
          <w:rFonts w:ascii="Arial" w:hAnsi="Arial" w:cs="Arial"/>
        </w:rPr>
        <w:t>Flexible working arrangements have become increasingly common, especially following changes in employee expectations around work–life balance. While flexible working can improve wellbeing and motivation, it can also result in challenges such as feelings of isolation, inconsistent management approaches, and blurred boundaries between work and personal life. If these issues are not managed effectively, they may contribute to increased grievances and reduced employee engagement.</w:t>
      </w:r>
    </w:p>
    <w:p w14:paraId="1D3B8F42" w14:textId="77777777" w:rsidR="00242BF1" w:rsidRDefault="00242BF1" w:rsidP="00242BF1">
      <w:pPr>
        <w:spacing w:line="360" w:lineRule="auto"/>
        <w:jc w:val="both"/>
        <w:rPr>
          <w:rFonts w:ascii="Arial" w:hAnsi="Arial" w:cs="Arial"/>
        </w:rPr>
      </w:pPr>
      <w:r w:rsidRPr="00242BF1">
        <w:rPr>
          <w:rFonts w:ascii="Arial" w:hAnsi="Arial" w:cs="Arial"/>
        </w:rPr>
        <w:t>This report aims to examine the key factors contributing to employee grievances within the organisation, focusing on business transformation, digital technological trends, and flexible working arrangements. It will evaluate contemporary HR practices that can be used to address these challenges and critically assess how departmental managers can ensure these practices are implemented effectively and as a matter of urgency. The report will conclude with recommendations to support improved employee relations and organisational performance.</w:t>
      </w:r>
    </w:p>
    <w:p w14:paraId="17D77305" w14:textId="77777777" w:rsidR="00242BF1" w:rsidRDefault="00242BF1" w:rsidP="00242BF1">
      <w:pPr>
        <w:spacing w:line="360" w:lineRule="auto"/>
        <w:jc w:val="both"/>
        <w:rPr>
          <w:rFonts w:ascii="Arial" w:hAnsi="Arial" w:cs="Arial"/>
          <w:b/>
          <w:bCs/>
        </w:rPr>
      </w:pPr>
    </w:p>
    <w:p w14:paraId="364F55D7" w14:textId="05CF01E2" w:rsidR="00242BF1" w:rsidRPr="00242BF1" w:rsidRDefault="00242BF1" w:rsidP="00242BF1">
      <w:pPr>
        <w:pStyle w:val="Heading1"/>
      </w:pPr>
      <w:r w:rsidRPr="00242BF1">
        <w:t>Factors Related to Business Transformation, Digital Technology Trends and Flexible Working Arrangements</w:t>
      </w:r>
    </w:p>
    <w:p w14:paraId="3B8FE3C3" w14:textId="77777777" w:rsidR="00242BF1" w:rsidRPr="00242BF1" w:rsidRDefault="00242BF1" w:rsidP="00242BF1">
      <w:pPr>
        <w:spacing w:line="360" w:lineRule="auto"/>
        <w:jc w:val="both"/>
        <w:rPr>
          <w:rFonts w:ascii="Arial" w:hAnsi="Arial" w:cs="Arial"/>
        </w:rPr>
      </w:pPr>
      <w:r w:rsidRPr="00242BF1">
        <w:rPr>
          <w:rFonts w:ascii="Arial" w:hAnsi="Arial" w:cs="Arial"/>
        </w:rPr>
        <w:t>In recent years, organisations have increasingly experienced significant change in response to competitive pressures, technological advancement, and evolving employee expectations. Within the organisation, the increase in employee grievances appears to be closely linked to three key factors: business transformation, digital technological trends, and flexible working arrangements. When these factors are not managed effectively, they can negatively impact employee wellbeing, engagement, and trust in management (Armstrong and Taylor, 2023).</w:t>
      </w:r>
    </w:p>
    <w:p w14:paraId="1A217620" w14:textId="77777777" w:rsidR="00242BF1" w:rsidRPr="00242BF1" w:rsidRDefault="00242BF1" w:rsidP="00242BF1">
      <w:pPr>
        <w:spacing w:line="360" w:lineRule="auto"/>
        <w:jc w:val="both"/>
        <w:rPr>
          <w:rFonts w:ascii="Arial" w:hAnsi="Arial" w:cs="Arial"/>
        </w:rPr>
      </w:pPr>
      <w:r w:rsidRPr="00242BF1">
        <w:rPr>
          <w:rFonts w:ascii="Arial" w:hAnsi="Arial" w:cs="Arial"/>
          <w:b/>
          <w:bCs/>
        </w:rPr>
        <w:t>Business transformation</w:t>
      </w:r>
      <w:r w:rsidRPr="00242BF1">
        <w:rPr>
          <w:rFonts w:ascii="Arial" w:hAnsi="Arial" w:cs="Arial"/>
        </w:rPr>
        <w:t xml:space="preserve"> refers to major organisational changes such as restructuring, process redesign, or changes to roles and responsibilities. According to Armstrong and Taylor (2023), organisational change can create uncertainty and resistance when employees feel uninformed or excluded from decision-making. In the organisation, transformation initiatives may have led to concerns around job security, increased workloads, and unclear expectations. Taylor’s (1911) principles of Scientific Management highlight the importance of clearly defined roles and standardised processes. However, when such changes are introduced rapidly without sufficient communication or support, employees may experience anxiety and frustration, increasing the likelihood of grievances being raised.</w:t>
      </w:r>
    </w:p>
    <w:p w14:paraId="10BD6BA4" w14:textId="77777777" w:rsidR="00242BF1" w:rsidRPr="00242BF1" w:rsidRDefault="00242BF1" w:rsidP="00242BF1">
      <w:pPr>
        <w:spacing w:line="360" w:lineRule="auto"/>
        <w:jc w:val="both"/>
        <w:rPr>
          <w:rFonts w:ascii="Arial" w:hAnsi="Arial" w:cs="Arial"/>
        </w:rPr>
      </w:pPr>
      <w:r w:rsidRPr="00242BF1">
        <w:rPr>
          <w:rFonts w:ascii="Arial" w:hAnsi="Arial" w:cs="Arial"/>
          <w:b/>
          <w:bCs/>
        </w:rPr>
        <w:t>Digital technological trends</w:t>
      </w:r>
      <w:r w:rsidRPr="00242BF1">
        <w:rPr>
          <w:rFonts w:ascii="Arial" w:hAnsi="Arial" w:cs="Arial"/>
        </w:rPr>
        <w:t xml:space="preserve"> have also had a significant impact on the organisation’s working environment. The increased use of digital communication platforms, HR information systems, and digital performance monitoring tools has transformed how employees carry out their roles. While these technologies can improve efficiency and flexibility, they can also create challenges. According to Torrington et al. (2020), employees may experience stress when they lack the skills or confidence to use new systems effectively. Additionally, concerns around constant monitoring and digital surveillance can contribute to feelings of mistrust and perceived unfair treatment. Without adequate training and ongoing support, digital transformation can become a source of dissatisfaction rather than improvement.</w:t>
      </w:r>
    </w:p>
    <w:p w14:paraId="4DD72707" w14:textId="77777777" w:rsidR="00242BF1" w:rsidRPr="00242BF1" w:rsidRDefault="00242BF1" w:rsidP="00242BF1">
      <w:pPr>
        <w:spacing w:line="360" w:lineRule="auto"/>
        <w:jc w:val="both"/>
        <w:rPr>
          <w:rFonts w:ascii="Arial" w:hAnsi="Arial" w:cs="Arial"/>
        </w:rPr>
      </w:pPr>
      <w:r w:rsidRPr="00242BF1">
        <w:rPr>
          <w:rFonts w:ascii="Arial" w:hAnsi="Arial" w:cs="Arial"/>
          <w:b/>
          <w:bCs/>
        </w:rPr>
        <w:lastRenderedPageBreak/>
        <w:t>Flexible working arrangements</w:t>
      </w:r>
      <w:r w:rsidRPr="00242BF1">
        <w:rPr>
          <w:rFonts w:ascii="Arial" w:hAnsi="Arial" w:cs="Arial"/>
        </w:rPr>
        <w:t>, including remote and hybrid working, have become more common in response to changing workforce expectations. CIPD (2023) highlights that flexible working can improve work–life balance, job satisfaction, and employee retention. However, when flexible working policies are applied inconsistently or poorly managed, they can create new challenges. Employees working remotely may feel isolated from colleagues, while others may perceive inequality if flexible arrangements are not available to all roles. Maslow’s (1943) Hierarchy of Needs suggests that feelings of security and belonging are essential for motivation and wellbeing. If flexible working arrangements lead to uncertainty, isolation, or a lack of managerial support, employees may experience reduced morale and increased stress, resulting in grievances.</w:t>
      </w:r>
    </w:p>
    <w:p w14:paraId="52011713" w14:textId="77777777" w:rsidR="00242BF1" w:rsidRPr="00242BF1" w:rsidRDefault="00242BF1" w:rsidP="00242BF1">
      <w:pPr>
        <w:spacing w:line="360" w:lineRule="auto"/>
        <w:jc w:val="both"/>
        <w:rPr>
          <w:rFonts w:ascii="Arial" w:hAnsi="Arial" w:cs="Arial"/>
        </w:rPr>
      </w:pPr>
      <w:r w:rsidRPr="00242BF1">
        <w:rPr>
          <w:rFonts w:ascii="Arial" w:hAnsi="Arial" w:cs="Arial"/>
        </w:rPr>
        <w:t>Overall, business transformation, digital technological trends, and flexible working arrangements have significantly influenced employee experiences within the organisation. While each factor offers potential benefits, poor implementation and limited employee support can lead to dissatisfaction and conflict. Understanding these factors is essential for HR professionals when developing strategies to reduce grievances and support organisational effectiveness.</w:t>
      </w:r>
    </w:p>
    <w:p w14:paraId="79BCF58B" w14:textId="77777777" w:rsidR="00242BF1" w:rsidRDefault="00242BF1" w:rsidP="00242BF1">
      <w:pPr>
        <w:pStyle w:val="Heading1"/>
      </w:pPr>
      <w:r w:rsidRPr="00242BF1">
        <w:t>Evaluation of Contemporary HR Practices to Address the Identified Factors</w:t>
      </w:r>
    </w:p>
    <w:p w14:paraId="0969DDE8" w14:textId="259900B5" w:rsidR="00242BF1" w:rsidRPr="00242BF1" w:rsidRDefault="00242BF1" w:rsidP="00242BF1">
      <w:pPr>
        <w:spacing w:line="360" w:lineRule="auto"/>
        <w:jc w:val="both"/>
        <w:rPr>
          <w:rFonts w:ascii="Arial" w:hAnsi="Arial" w:cs="Arial"/>
        </w:rPr>
      </w:pPr>
      <w:r w:rsidRPr="00242BF1">
        <w:rPr>
          <w:rFonts w:ascii="Arial" w:hAnsi="Arial" w:cs="Arial"/>
        </w:rPr>
        <w:t>Contemporary HR practices play a crucial role in addressing the challenges created by business transformation, digital technological trends, and flexible working arrangements. When these challenges are not managed effectively, they can lead to increased employee grievances and reduced engagement. By applying HR practices informed by established management and motivation theories, organisations can better support employees during periods of change.</w:t>
      </w:r>
    </w:p>
    <w:p w14:paraId="3D72D391" w14:textId="77777777" w:rsidR="00242BF1" w:rsidRPr="00242BF1" w:rsidRDefault="00242BF1" w:rsidP="00242BF1">
      <w:pPr>
        <w:spacing w:line="360" w:lineRule="auto"/>
        <w:jc w:val="both"/>
        <w:rPr>
          <w:rFonts w:ascii="Arial" w:hAnsi="Arial" w:cs="Arial"/>
        </w:rPr>
      </w:pPr>
      <w:r w:rsidRPr="00242BF1">
        <w:rPr>
          <w:rFonts w:ascii="Arial" w:hAnsi="Arial" w:cs="Arial"/>
        </w:rPr>
        <w:t xml:space="preserve">In relation to business transformation, performance management and communication are essential HR practices. Taylor’s (1911) Scientific Management theory emphasises efficiency, standardisation, and clearly defined tasks. In a modern organisational context, HR can apply these principles by ensuring job roles, responsibilities, and performance objectives are clearly communicated. According to Armstrong and Taylor (2023), clarity around expectations during organisational change helps reduce </w:t>
      </w:r>
      <w:r w:rsidRPr="00242BF1">
        <w:rPr>
          <w:rFonts w:ascii="Arial" w:hAnsi="Arial" w:cs="Arial"/>
        </w:rPr>
        <w:lastRenderedPageBreak/>
        <w:t>uncertainty and resistance. While Taylor’s approach has been criticised for being overly task-focused, combining it with employee feedback and consultation allows organisations to maintain efficiency while addressing employee concerns, thereby reducing grievances.</w:t>
      </w:r>
    </w:p>
    <w:p w14:paraId="792B23AF" w14:textId="77777777" w:rsidR="00242BF1" w:rsidRPr="00242BF1" w:rsidRDefault="00242BF1" w:rsidP="00242BF1">
      <w:pPr>
        <w:spacing w:line="360" w:lineRule="auto"/>
        <w:jc w:val="both"/>
        <w:rPr>
          <w:rFonts w:ascii="Arial" w:hAnsi="Arial" w:cs="Arial"/>
        </w:rPr>
      </w:pPr>
      <w:r w:rsidRPr="00242BF1">
        <w:rPr>
          <w:rFonts w:ascii="Arial" w:hAnsi="Arial" w:cs="Arial"/>
        </w:rPr>
        <w:t>To manage challenges associated with digital technological trends, training and development is a key HR practice. Torrington et al. (2020) argue that organisations must invest in employee development to ensure staff can adapt to new technologies effectively. Drawing on the work of Frank and Lillian Gilbreth, HR can focus on designing efficient workflows that minimise unnecessary effort and stress (Gilbreth and Gilbreth, 1911). By ensuring digital systems are user-friendly and supported by appropriate training, HR can reduce frustration and increase employee confidence. This approach helps prevent dissatisfaction linked to digital overload or perceived unfair performance monitoring.</w:t>
      </w:r>
    </w:p>
    <w:p w14:paraId="348C5BE3" w14:textId="245050B2" w:rsidR="00A36228" w:rsidRPr="00A36228" w:rsidRDefault="00242BF1" w:rsidP="00A36228">
      <w:pPr>
        <w:spacing w:line="360" w:lineRule="auto"/>
        <w:jc w:val="both"/>
        <w:rPr>
          <w:rFonts w:ascii="Arial" w:hAnsi="Arial" w:cs="Arial"/>
        </w:rPr>
      </w:pPr>
      <w:r w:rsidRPr="00242BF1">
        <w:rPr>
          <w:rFonts w:ascii="Arial" w:hAnsi="Arial" w:cs="Arial"/>
        </w:rPr>
        <w:t xml:space="preserve">When addressing flexible working arrangements, HR practices that focus on wellbeing and motivation are particularly important. Maslow’s (1943) Hierarchy of Needs highlights the importance of meeting both basic and psychological needs </w:t>
      </w:r>
      <w:proofErr w:type="gramStart"/>
      <w:r w:rsidRPr="00242BF1">
        <w:rPr>
          <w:rFonts w:ascii="Arial" w:hAnsi="Arial" w:cs="Arial"/>
        </w:rPr>
        <w:t>in order to</w:t>
      </w:r>
      <w:proofErr w:type="gramEnd"/>
      <w:r w:rsidRPr="00242BF1">
        <w:rPr>
          <w:rFonts w:ascii="Arial" w:hAnsi="Arial" w:cs="Arial"/>
        </w:rPr>
        <w:t xml:space="preserve"> motivate employees. Flexible working policies can help meet safety and security needs by supporting work–life balance, while inclusive communication and regular check-ins support employees’ need for belonging. According to CIPD (2023), organisations that actively support flexible working through wellbeing initiatives and clear guidelines are more likely to maintain employee engagement and reduce stress-related grievances.</w:t>
      </w:r>
    </w:p>
    <w:p w14:paraId="63BB3248" w14:textId="77777777" w:rsidR="00242BF1" w:rsidRDefault="00242BF1" w:rsidP="00242BF1">
      <w:pPr>
        <w:spacing w:line="360" w:lineRule="auto"/>
        <w:jc w:val="both"/>
        <w:rPr>
          <w:rFonts w:ascii="Arial" w:hAnsi="Arial" w:cs="Arial"/>
        </w:rPr>
      </w:pPr>
      <w:r w:rsidRPr="00242BF1">
        <w:rPr>
          <w:rFonts w:ascii="Arial" w:hAnsi="Arial" w:cs="Arial"/>
        </w:rPr>
        <w:t>Across all three factors, effective communication and employee engagement remain essential. Practices such as employee surveys, consultation meetings, and clear grievance procedures allow employees to express concerns and feel valued (Armstrong and Taylor, 2023). By integrating efficiency-focused theories such as Taylor’s and the Gilbreths’ work with motivational approaches like Maslow’s, HR can adopt a balanced strategy that supports both organisational performance and employee wellbeing.</w:t>
      </w:r>
    </w:p>
    <w:p w14:paraId="0D6CBAB1" w14:textId="4B8D621D" w:rsidR="007637DB" w:rsidRPr="007637DB" w:rsidRDefault="007637DB" w:rsidP="007637DB">
      <w:pPr>
        <w:pStyle w:val="Heading1"/>
      </w:pPr>
      <w:r w:rsidRPr="007637DB">
        <w:lastRenderedPageBreak/>
        <w:t>Critical Evaluation of How Departmental Managers Can Ensure These Contemporary Practices Are Implemented as a Matter of Urgenc</w:t>
      </w:r>
      <w:r>
        <w:t>y</w:t>
      </w:r>
    </w:p>
    <w:p w14:paraId="1F42D00D" w14:textId="77777777" w:rsidR="007637DB" w:rsidRPr="007637DB" w:rsidRDefault="007637DB" w:rsidP="007637DB">
      <w:pPr>
        <w:spacing w:line="360" w:lineRule="auto"/>
        <w:jc w:val="both"/>
        <w:rPr>
          <w:rFonts w:ascii="Arial" w:hAnsi="Arial" w:cs="Arial"/>
        </w:rPr>
      </w:pPr>
      <w:r w:rsidRPr="007637DB">
        <w:rPr>
          <w:rFonts w:ascii="Arial" w:hAnsi="Arial" w:cs="Arial"/>
        </w:rPr>
        <w:t>Departmental managers play a crucial role in ensuring that contemporary HR practices are implemented effectively and without delay, particularly during periods of business transformation, digital change, and the expansion of flexible working arrangements. While HR may design policies and frameworks, it is managers who are responsible for applying these practices consistently at a departmental level. Failure to do so can lead to confusion, inconsistency, and an increase in employee grievances (Torrington et al., 2020).</w:t>
      </w:r>
    </w:p>
    <w:p w14:paraId="61345298" w14:textId="77777777" w:rsidR="007637DB" w:rsidRPr="007637DB" w:rsidRDefault="007637DB" w:rsidP="007637DB">
      <w:pPr>
        <w:spacing w:line="360" w:lineRule="auto"/>
        <w:jc w:val="both"/>
        <w:rPr>
          <w:rFonts w:ascii="Arial" w:hAnsi="Arial" w:cs="Arial"/>
        </w:rPr>
      </w:pPr>
      <w:r w:rsidRPr="007637DB">
        <w:rPr>
          <w:rFonts w:ascii="Arial" w:hAnsi="Arial" w:cs="Arial"/>
        </w:rPr>
        <w:t>One of the most important responsibilities of departmental managers is effective communication. During business transformation, managers must clearly explain the purpose of change, how it will affect employees, and what is expected of them. Drawing on principles associated with Taylor’s Scientific Management, managers should ensure that roles, responsibilities, and performance expectations are clearly defined (Taylor, 1911). However, this must be balanced with regular two-way communication to avoid employees feeling controlled or undervalued. Managers who provide timely updates and allow employees to raise concerns are more likely to gain employee trust and reduce resistance to change (Armstrong and Taylor, 2023).</w:t>
      </w:r>
    </w:p>
    <w:p w14:paraId="2F518330" w14:textId="77777777" w:rsidR="007637DB" w:rsidRPr="007637DB" w:rsidRDefault="007637DB" w:rsidP="007637DB">
      <w:pPr>
        <w:spacing w:line="360" w:lineRule="auto"/>
        <w:jc w:val="both"/>
        <w:rPr>
          <w:rFonts w:ascii="Arial" w:hAnsi="Arial" w:cs="Arial"/>
        </w:rPr>
      </w:pPr>
      <w:r w:rsidRPr="007637DB">
        <w:rPr>
          <w:rFonts w:ascii="Arial" w:hAnsi="Arial" w:cs="Arial"/>
        </w:rPr>
        <w:t xml:space="preserve">Managers must also take responsibility for supporting employees during digital transformation. As new technologies and digital systems are introduced, managers should ensure that employees receive adequate training and ongoing support. Reflecting the work of Frank and Lillian Gilbreth, managers should assess how digital tools affect daily workflows and </w:t>
      </w:r>
      <w:proofErr w:type="gramStart"/>
      <w:r w:rsidRPr="007637DB">
        <w:rPr>
          <w:rFonts w:ascii="Arial" w:hAnsi="Arial" w:cs="Arial"/>
        </w:rPr>
        <w:t>make adjustments</w:t>
      </w:r>
      <w:proofErr w:type="gramEnd"/>
      <w:r w:rsidRPr="007637DB">
        <w:rPr>
          <w:rFonts w:ascii="Arial" w:hAnsi="Arial" w:cs="Arial"/>
        </w:rPr>
        <w:t xml:space="preserve"> where necessary to reduce stress and inefficiency (Gilbreth and Gilbreth, 1911). By monitoring workloads and encouraging feedback on digital systems, managers can identify issues early and prevent frustration from escalating into formal grievances.</w:t>
      </w:r>
    </w:p>
    <w:p w14:paraId="6522867A" w14:textId="77777777" w:rsidR="007637DB" w:rsidRPr="007637DB" w:rsidRDefault="007637DB" w:rsidP="007637DB">
      <w:pPr>
        <w:spacing w:line="360" w:lineRule="auto"/>
        <w:jc w:val="both"/>
        <w:rPr>
          <w:rFonts w:ascii="Arial" w:hAnsi="Arial" w:cs="Arial"/>
        </w:rPr>
      </w:pPr>
      <w:r w:rsidRPr="007637DB">
        <w:rPr>
          <w:rFonts w:ascii="Arial" w:hAnsi="Arial" w:cs="Arial"/>
        </w:rPr>
        <w:t xml:space="preserve">In relation to flexible working arrangements, managers must ensure that policies are applied fairly and consistently across teams. Maslow’s Hierarchy of Needs highlights the importance of meeting employees’ safety, belonging, and esteem needs (Maslow, 1943). Managers can support this by maintaining regular contact with remote and </w:t>
      </w:r>
      <w:r w:rsidRPr="007637DB">
        <w:rPr>
          <w:rFonts w:ascii="Arial" w:hAnsi="Arial" w:cs="Arial"/>
        </w:rPr>
        <w:lastRenderedPageBreak/>
        <w:t>hybrid workers, promoting inclusion, and recognising employee contributions regardless of where work is carried out. Clear expectations around availability, performance, and communication are essential to prevent misunderstandings and perceptions of unfair treatment (CIPD, 2023).</w:t>
      </w:r>
    </w:p>
    <w:p w14:paraId="1A0ED89E" w14:textId="09F9D166" w:rsidR="00242BF1" w:rsidRDefault="007637DB" w:rsidP="00242BF1">
      <w:pPr>
        <w:spacing w:line="360" w:lineRule="auto"/>
        <w:jc w:val="both"/>
        <w:rPr>
          <w:rFonts w:ascii="Arial" w:hAnsi="Arial" w:cs="Arial"/>
        </w:rPr>
      </w:pPr>
      <w:r w:rsidRPr="007637DB">
        <w:rPr>
          <w:rFonts w:ascii="Arial" w:hAnsi="Arial" w:cs="Arial"/>
        </w:rPr>
        <w:t>Another key responsibility for departmental managers is ensuring consistency in decision-making across teams. Inconsistent application of HR policies can lead to perceptions of favouritism or unfair treatment, which are common causes of employee grievances (Torrington et al., 2020). Managers must therefore apply HR practices uniformly and document decisions where appropriate to maintain transparency. Managers should also be held accountable for the effective implementation of HR initiatives through regular monitoring and review, including feedback from HR, employee satisfaction data, and grievance trends (Armstrong and Taylor, 2023). By acting promptly and consistently, managers demonstrate commitment to employee wellbeing and organisational values, helping to reduce grievances and improve employee relations.</w:t>
      </w:r>
    </w:p>
    <w:p w14:paraId="4A924A9F" w14:textId="77777777" w:rsidR="00242BF1" w:rsidRDefault="00242BF1" w:rsidP="00242BF1">
      <w:pPr>
        <w:pStyle w:val="Heading1"/>
      </w:pPr>
      <w:r>
        <w:t>To Conclude</w:t>
      </w:r>
    </w:p>
    <w:p w14:paraId="65E336A9" w14:textId="65640EA2" w:rsidR="00242BF1" w:rsidRPr="00242BF1" w:rsidRDefault="00242BF1" w:rsidP="00242BF1">
      <w:pPr>
        <w:spacing w:line="360" w:lineRule="auto"/>
        <w:jc w:val="both"/>
        <w:rPr>
          <w:rFonts w:ascii="Arial" w:hAnsi="Arial" w:cs="Arial"/>
        </w:rPr>
      </w:pPr>
      <w:r w:rsidRPr="00242BF1">
        <w:rPr>
          <w:rFonts w:ascii="Arial" w:hAnsi="Arial" w:cs="Arial"/>
        </w:rPr>
        <w:t>This report has examined the key factors contributing to the rise in employee grievances within the organisation, focusing on business transformation, digital technological trends, and flexible working arrangements. It has shown that while these factors offer significant benefits, such as improved efficiency, flexibility, and competitiveness, they can also create uncertainty, stress, and dissatisfaction when they are not managed effectively. The discussion highlighted how poor communication, inadequate training, and inconsistent management practices can negatively impact employee wellbeing and engagement, ultimately leading to an increase in grievances (Armstrong and Taylor, 2023).</w:t>
      </w:r>
    </w:p>
    <w:p w14:paraId="58B4CD2E" w14:textId="77777777" w:rsidR="00242BF1" w:rsidRPr="00242BF1" w:rsidRDefault="00242BF1" w:rsidP="00242BF1">
      <w:pPr>
        <w:spacing w:line="360" w:lineRule="auto"/>
        <w:jc w:val="both"/>
        <w:rPr>
          <w:rFonts w:ascii="Arial" w:hAnsi="Arial" w:cs="Arial"/>
        </w:rPr>
      </w:pPr>
      <w:r w:rsidRPr="00242BF1">
        <w:rPr>
          <w:rFonts w:ascii="Arial" w:hAnsi="Arial" w:cs="Arial"/>
        </w:rPr>
        <w:t xml:space="preserve">The report also evaluated contemporary HR practices that can be used to address these challenges. By applying efficiency-focused approaches such as Taylor’s (1911) Scientific Management and the workflow principles of Frank and Lillian Gilbreth (1911), alongside motivational frameworks such as Maslow’s Hierarchy of Needs (Maslow, 1943), HR can adopt a balanced approach that supports both organisational performance and employee wellbeing. Furthermore, the role of departmental </w:t>
      </w:r>
      <w:r w:rsidRPr="00242BF1">
        <w:rPr>
          <w:rFonts w:ascii="Arial" w:hAnsi="Arial" w:cs="Arial"/>
        </w:rPr>
        <w:lastRenderedPageBreak/>
        <w:t>managers was critically assessed, highlighting the importance of clear communication, fair implementation of policies, and ongoing employee support to ensure HR practices are embedded effectively.</w:t>
      </w:r>
    </w:p>
    <w:p w14:paraId="2B304B1C" w14:textId="77777777" w:rsidR="00242BF1" w:rsidRPr="00242BF1" w:rsidRDefault="00242BF1" w:rsidP="00242BF1">
      <w:pPr>
        <w:spacing w:line="360" w:lineRule="auto"/>
        <w:jc w:val="both"/>
        <w:rPr>
          <w:rFonts w:ascii="Arial" w:hAnsi="Arial" w:cs="Arial"/>
        </w:rPr>
      </w:pPr>
      <w:r w:rsidRPr="00242BF1">
        <w:rPr>
          <w:rFonts w:ascii="Arial" w:hAnsi="Arial" w:cs="Arial"/>
        </w:rPr>
        <w:t>Based on the findings of this report, several recommendations can be made. Firstly, it is recommended that the organisation improves communication during periods of change by providing regular updates and opportunities for employee feedback. Secondly, HR should introduce structured training and development programmes to support employees adapting to digital technologies, ensuring confidence and competence across the workforce (Torrington et al., 2020). Thirdly, flexible working arrangements should be applied consistently, with clear guidelines for managers to ensure fairness and inclusion across departments (CIPD, 2023). Finally, departmental managers should work closely with HR to address issues promptly and follow grievance procedures correctly, helping to rebuild trust and improve employee relations.</w:t>
      </w:r>
    </w:p>
    <w:p w14:paraId="76BE2C23" w14:textId="77777777" w:rsidR="00242BF1" w:rsidRPr="00242BF1" w:rsidRDefault="00242BF1" w:rsidP="00242BF1">
      <w:pPr>
        <w:spacing w:line="360" w:lineRule="auto"/>
        <w:jc w:val="both"/>
        <w:rPr>
          <w:rFonts w:ascii="Arial" w:hAnsi="Arial" w:cs="Arial"/>
        </w:rPr>
      </w:pPr>
      <w:r w:rsidRPr="00242BF1">
        <w:rPr>
          <w:rFonts w:ascii="Arial" w:hAnsi="Arial" w:cs="Arial"/>
        </w:rPr>
        <w:t>Overall, by implementing these recommendations, the organisation can reduce employee grievances, enhance engagement, and create a more supportive and effective working environment.</w:t>
      </w:r>
    </w:p>
    <w:p w14:paraId="651ACDDD" w14:textId="77777777" w:rsidR="00242BF1" w:rsidRPr="00242BF1" w:rsidRDefault="00242BF1" w:rsidP="00242BF1">
      <w:pPr>
        <w:spacing w:line="360" w:lineRule="auto"/>
        <w:jc w:val="both"/>
        <w:rPr>
          <w:rFonts w:ascii="Arial" w:hAnsi="Arial" w:cs="Arial"/>
        </w:rPr>
      </w:pPr>
    </w:p>
    <w:p w14:paraId="73C93EAA" w14:textId="77777777" w:rsidR="00242BF1" w:rsidRPr="00242BF1" w:rsidRDefault="00242BF1" w:rsidP="00242BF1">
      <w:pPr>
        <w:spacing w:line="360" w:lineRule="auto"/>
        <w:jc w:val="both"/>
        <w:rPr>
          <w:rFonts w:ascii="Arial" w:hAnsi="Arial" w:cs="Arial"/>
        </w:rPr>
      </w:pPr>
    </w:p>
    <w:p w14:paraId="5562F274" w14:textId="77777777" w:rsidR="00242BF1" w:rsidRDefault="00242BF1" w:rsidP="00242BF1">
      <w:pPr>
        <w:spacing w:line="360" w:lineRule="auto"/>
        <w:jc w:val="both"/>
        <w:rPr>
          <w:rFonts w:ascii="Arial" w:hAnsi="Arial" w:cs="Arial"/>
        </w:rPr>
      </w:pPr>
    </w:p>
    <w:p w14:paraId="040C3FC7" w14:textId="77777777" w:rsidR="007637DB" w:rsidRDefault="007637DB" w:rsidP="00242BF1">
      <w:pPr>
        <w:spacing w:line="360" w:lineRule="auto"/>
        <w:jc w:val="both"/>
        <w:rPr>
          <w:rFonts w:ascii="Arial" w:hAnsi="Arial" w:cs="Arial"/>
        </w:rPr>
      </w:pPr>
    </w:p>
    <w:p w14:paraId="767AAF6E" w14:textId="77777777" w:rsidR="007637DB" w:rsidRDefault="007637DB" w:rsidP="00242BF1">
      <w:pPr>
        <w:spacing w:line="360" w:lineRule="auto"/>
        <w:jc w:val="both"/>
        <w:rPr>
          <w:rFonts w:ascii="Arial" w:hAnsi="Arial" w:cs="Arial"/>
        </w:rPr>
      </w:pPr>
    </w:p>
    <w:p w14:paraId="7C9873F4" w14:textId="77777777" w:rsidR="007637DB" w:rsidRDefault="007637DB" w:rsidP="00242BF1">
      <w:pPr>
        <w:spacing w:line="360" w:lineRule="auto"/>
        <w:jc w:val="both"/>
        <w:rPr>
          <w:rFonts w:ascii="Arial" w:hAnsi="Arial" w:cs="Arial"/>
        </w:rPr>
      </w:pPr>
    </w:p>
    <w:p w14:paraId="0558A8F2" w14:textId="77777777" w:rsidR="007637DB" w:rsidRDefault="007637DB" w:rsidP="00242BF1">
      <w:pPr>
        <w:spacing w:line="360" w:lineRule="auto"/>
        <w:jc w:val="both"/>
        <w:rPr>
          <w:rFonts w:ascii="Arial" w:hAnsi="Arial" w:cs="Arial"/>
        </w:rPr>
      </w:pPr>
    </w:p>
    <w:p w14:paraId="4024E623" w14:textId="77777777" w:rsidR="007637DB" w:rsidRDefault="007637DB" w:rsidP="00242BF1">
      <w:pPr>
        <w:spacing w:line="360" w:lineRule="auto"/>
        <w:jc w:val="both"/>
        <w:rPr>
          <w:rFonts w:ascii="Arial" w:hAnsi="Arial" w:cs="Arial"/>
        </w:rPr>
      </w:pPr>
    </w:p>
    <w:p w14:paraId="54D7A996" w14:textId="77777777" w:rsidR="007637DB" w:rsidRDefault="007637DB" w:rsidP="00242BF1">
      <w:pPr>
        <w:spacing w:line="360" w:lineRule="auto"/>
        <w:jc w:val="both"/>
        <w:rPr>
          <w:rFonts w:ascii="Arial" w:hAnsi="Arial" w:cs="Arial"/>
        </w:rPr>
      </w:pPr>
    </w:p>
    <w:p w14:paraId="210CC8BA" w14:textId="77777777" w:rsidR="007637DB" w:rsidRDefault="007637DB" w:rsidP="00242BF1">
      <w:pPr>
        <w:spacing w:line="360" w:lineRule="auto"/>
        <w:jc w:val="both"/>
        <w:rPr>
          <w:rFonts w:ascii="Arial" w:hAnsi="Arial" w:cs="Arial"/>
        </w:rPr>
      </w:pPr>
    </w:p>
    <w:p w14:paraId="5BC337D8" w14:textId="77777777" w:rsidR="007637DB" w:rsidRDefault="007637DB" w:rsidP="00242BF1">
      <w:pPr>
        <w:spacing w:line="360" w:lineRule="auto"/>
        <w:jc w:val="both"/>
        <w:rPr>
          <w:rFonts w:ascii="Arial" w:hAnsi="Arial" w:cs="Arial"/>
        </w:rPr>
      </w:pPr>
    </w:p>
    <w:p w14:paraId="6A6019B3" w14:textId="5FDE876E" w:rsidR="007637DB" w:rsidRDefault="007637DB" w:rsidP="007637DB">
      <w:pPr>
        <w:pStyle w:val="Heading1"/>
      </w:pPr>
      <w:r>
        <w:lastRenderedPageBreak/>
        <w:t>List of References</w:t>
      </w:r>
    </w:p>
    <w:p w14:paraId="474CAD41" w14:textId="77777777" w:rsidR="007637DB" w:rsidRPr="007637DB" w:rsidRDefault="007637DB" w:rsidP="007637DB">
      <w:pPr>
        <w:spacing w:line="360" w:lineRule="auto"/>
        <w:rPr>
          <w:rFonts w:ascii="Arial" w:hAnsi="Arial" w:cs="Arial"/>
        </w:rPr>
      </w:pPr>
      <w:r w:rsidRPr="007637DB">
        <w:rPr>
          <w:rFonts w:ascii="Arial" w:hAnsi="Arial" w:cs="Arial"/>
        </w:rPr>
        <w:t xml:space="preserve">Armstrong, M. and Taylor, S. (2023) </w:t>
      </w:r>
      <w:r w:rsidRPr="007637DB">
        <w:rPr>
          <w:rFonts w:ascii="Arial" w:hAnsi="Arial" w:cs="Arial"/>
          <w:i/>
          <w:iCs/>
        </w:rPr>
        <w:t>Armstrong’s Handbook of Human Resource Management Practice</w:t>
      </w:r>
      <w:r w:rsidRPr="007637DB">
        <w:rPr>
          <w:rFonts w:ascii="Arial" w:hAnsi="Arial" w:cs="Arial"/>
        </w:rPr>
        <w:t xml:space="preserve">. 16th </w:t>
      </w:r>
      <w:proofErr w:type="spellStart"/>
      <w:r w:rsidRPr="007637DB">
        <w:rPr>
          <w:rFonts w:ascii="Arial" w:hAnsi="Arial" w:cs="Arial"/>
        </w:rPr>
        <w:t>edn</w:t>
      </w:r>
      <w:proofErr w:type="spellEnd"/>
      <w:r w:rsidRPr="007637DB">
        <w:rPr>
          <w:rFonts w:ascii="Arial" w:hAnsi="Arial" w:cs="Arial"/>
        </w:rPr>
        <w:t>. London: Kogan Page.</w:t>
      </w:r>
    </w:p>
    <w:p w14:paraId="639F685C" w14:textId="77777777" w:rsidR="007637DB" w:rsidRPr="007637DB" w:rsidRDefault="007637DB" w:rsidP="007637DB">
      <w:pPr>
        <w:spacing w:line="360" w:lineRule="auto"/>
        <w:rPr>
          <w:rFonts w:ascii="Arial" w:hAnsi="Arial" w:cs="Arial"/>
        </w:rPr>
      </w:pPr>
      <w:r w:rsidRPr="007637DB">
        <w:rPr>
          <w:rFonts w:ascii="Arial" w:hAnsi="Arial" w:cs="Arial"/>
        </w:rPr>
        <w:t xml:space="preserve">CIPD (2023) </w:t>
      </w:r>
      <w:r w:rsidRPr="007637DB">
        <w:rPr>
          <w:rFonts w:ascii="Arial" w:hAnsi="Arial" w:cs="Arial"/>
          <w:i/>
          <w:iCs/>
        </w:rPr>
        <w:t>Flexible working practices</w:t>
      </w:r>
      <w:r w:rsidRPr="007637DB">
        <w:rPr>
          <w:rFonts w:ascii="Arial" w:hAnsi="Arial" w:cs="Arial"/>
        </w:rPr>
        <w:t>. London: Chartered Institute of Personnel and Development.</w:t>
      </w:r>
    </w:p>
    <w:p w14:paraId="757371C7" w14:textId="77777777" w:rsidR="007637DB" w:rsidRPr="007637DB" w:rsidRDefault="007637DB" w:rsidP="007637DB">
      <w:pPr>
        <w:spacing w:line="360" w:lineRule="auto"/>
        <w:rPr>
          <w:rFonts w:ascii="Arial" w:hAnsi="Arial" w:cs="Arial"/>
        </w:rPr>
      </w:pPr>
      <w:r w:rsidRPr="007637DB">
        <w:rPr>
          <w:rFonts w:ascii="Arial" w:hAnsi="Arial" w:cs="Arial"/>
        </w:rPr>
        <w:t xml:space="preserve">Gilbreth, F.B. and Gilbreth, L.M. (1911) </w:t>
      </w:r>
      <w:r w:rsidRPr="007637DB">
        <w:rPr>
          <w:rFonts w:ascii="Arial" w:hAnsi="Arial" w:cs="Arial"/>
          <w:i/>
          <w:iCs/>
        </w:rPr>
        <w:t>Motion Study</w:t>
      </w:r>
      <w:r w:rsidRPr="007637DB">
        <w:rPr>
          <w:rFonts w:ascii="Arial" w:hAnsi="Arial" w:cs="Arial"/>
        </w:rPr>
        <w:t>. New York: D. Van Nostrand Company.</w:t>
      </w:r>
    </w:p>
    <w:p w14:paraId="68E0CFC2" w14:textId="77777777" w:rsidR="007637DB" w:rsidRPr="007637DB" w:rsidRDefault="007637DB" w:rsidP="007637DB">
      <w:pPr>
        <w:spacing w:line="360" w:lineRule="auto"/>
        <w:rPr>
          <w:rFonts w:ascii="Arial" w:hAnsi="Arial" w:cs="Arial"/>
        </w:rPr>
      </w:pPr>
      <w:r w:rsidRPr="007637DB">
        <w:rPr>
          <w:rFonts w:ascii="Arial" w:hAnsi="Arial" w:cs="Arial"/>
        </w:rPr>
        <w:t xml:space="preserve">Maslow, A.H. (1943) ‘A theory of human motivation’, </w:t>
      </w:r>
      <w:r w:rsidRPr="007637DB">
        <w:rPr>
          <w:rFonts w:ascii="Arial" w:hAnsi="Arial" w:cs="Arial"/>
          <w:i/>
          <w:iCs/>
        </w:rPr>
        <w:t>Psychological Review</w:t>
      </w:r>
      <w:r w:rsidRPr="007637DB">
        <w:rPr>
          <w:rFonts w:ascii="Arial" w:hAnsi="Arial" w:cs="Arial"/>
        </w:rPr>
        <w:t>, 50(4), pp. 370–396.</w:t>
      </w:r>
    </w:p>
    <w:p w14:paraId="138F380C" w14:textId="77777777" w:rsidR="007637DB" w:rsidRPr="007637DB" w:rsidRDefault="007637DB" w:rsidP="007637DB">
      <w:pPr>
        <w:spacing w:line="360" w:lineRule="auto"/>
        <w:rPr>
          <w:rFonts w:ascii="Arial" w:hAnsi="Arial" w:cs="Arial"/>
        </w:rPr>
      </w:pPr>
      <w:r w:rsidRPr="007637DB">
        <w:rPr>
          <w:rFonts w:ascii="Arial" w:hAnsi="Arial" w:cs="Arial"/>
        </w:rPr>
        <w:t xml:space="preserve">Taylor, F.W. (1911) </w:t>
      </w:r>
      <w:r w:rsidRPr="007637DB">
        <w:rPr>
          <w:rFonts w:ascii="Arial" w:hAnsi="Arial" w:cs="Arial"/>
          <w:i/>
          <w:iCs/>
        </w:rPr>
        <w:t>The Principles of Scientific Management</w:t>
      </w:r>
      <w:r w:rsidRPr="007637DB">
        <w:rPr>
          <w:rFonts w:ascii="Arial" w:hAnsi="Arial" w:cs="Arial"/>
        </w:rPr>
        <w:t>. New York: Harper &amp; Brothers.</w:t>
      </w:r>
    </w:p>
    <w:p w14:paraId="7865CD6B" w14:textId="77777777" w:rsidR="007637DB" w:rsidRPr="007637DB" w:rsidRDefault="007637DB" w:rsidP="007637DB">
      <w:pPr>
        <w:spacing w:line="360" w:lineRule="auto"/>
        <w:rPr>
          <w:rFonts w:ascii="Arial" w:hAnsi="Arial" w:cs="Arial"/>
        </w:rPr>
      </w:pPr>
      <w:r w:rsidRPr="007637DB">
        <w:rPr>
          <w:rFonts w:ascii="Arial" w:hAnsi="Arial" w:cs="Arial"/>
        </w:rPr>
        <w:t xml:space="preserve">Torrington, D., Hall, L., Taylor, S. and Atkinson, C. (2020) </w:t>
      </w:r>
      <w:r w:rsidRPr="007637DB">
        <w:rPr>
          <w:rFonts w:ascii="Arial" w:hAnsi="Arial" w:cs="Arial"/>
          <w:i/>
          <w:iCs/>
        </w:rPr>
        <w:t>Human Resource Management</w:t>
      </w:r>
      <w:r w:rsidRPr="007637DB">
        <w:rPr>
          <w:rFonts w:ascii="Arial" w:hAnsi="Arial" w:cs="Arial"/>
        </w:rPr>
        <w:t xml:space="preserve">. 11th </w:t>
      </w:r>
      <w:proofErr w:type="spellStart"/>
      <w:r w:rsidRPr="007637DB">
        <w:rPr>
          <w:rFonts w:ascii="Arial" w:hAnsi="Arial" w:cs="Arial"/>
        </w:rPr>
        <w:t>edn</w:t>
      </w:r>
      <w:proofErr w:type="spellEnd"/>
      <w:r w:rsidRPr="007637DB">
        <w:rPr>
          <w:rFonts w:ascii="Arial" w:hAnsi="Arial" w:cs="Arial"/>
        </w:rPr>
        <w:t>. Harlow: Pearson Education.</w:t>
      </w:r>
    </w:p>
    <w:p w14:paraId="5506095D" w14:textId="77777777" w:rsidR="007637DB" w:rsidRPr="007637DB" w:rsidRDefault="007637DB" w:rsidP="007637DB"/>
    <w:sectPr w:rsidR="007637DB" w:rsidRPr="007637D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7C7DF" w14:textId="77777777" w:rsidR="00A36228" w:rsidRDefault="00A36228" w:rsidP="00A36228">
      <w:pPr>
        <w:spacing w:after="0" w:line="240" w:lineRule="auto"/>
      </w:pPr>
      <w:r>
        <w:separator/>
      </w:r>
    </w:p>
  </w:endnote>
  <w:endnote w:type="continuationSeparator" w:id="0">
    <w:p w14:paraId="4A38E636" w14:textId="77777777" w:rsidR="00A36228" w:rsidRDefault="00A36228" w:rsidP="00A36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576268"/>
      <w:docPartObj>
        <w:docPartGallery w:val="Page Numbers (Bottom of Page)"/>
        <w:docPartUnique/>
      </w:docPartObj>
    </w:sdtPr>
    <w:sdtEndPr>
      <w:rPr>
        <w:noProof/>
      </w:rPr>
    </w:sdtEndPr>
    <w:sdtContent>
      <w:p w14:paraId="3A100FF4" w14:textId="7432CCB7" w:rsidR="007637DB" w:rsidRDefault="007637DB">
        <w:pPr>
          <w:pStyle w:val="Footer"/>
        </w:pPr>
        <w:r>
          <w:fldChar w:fldCharType="begin"/>
        </w:r>
        <w:r>
          <w:instrText xml:space="preserve"> PAGE   \* MERGEFORMAT </w:instrText>
        </w:r>
        <w:r>
          <w:fldChar w:fldCharType="separate"/>
        </w:r>
        <w:r>
          <w:rPr>
            <w:noProof/>
          </w:rPr>
          <w:t>2</w:t>
        </w:r>
        <w:r>
          <w:rPr>
            <w:noProof/>
          </w:rPr>
          <w:fldChar w:fldCharType="end"/>
        </w:r>
      </w:p>
    </w:sdtContent>
  </w:sdt>
  <w:p w14:paraId="5D190E46" w14:textId="77777777" w:rsidR="007637DB" w:rsidRDefault="0076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BFAC5" w14:textId="77777777" w:rsidR="00A36228" w:rsidRDefault="00A36228" w:rsidP="00A36228">
      <w:pPr>
        <w:spacing w:after="0" w:line="240" w:lineRule="auto"/>
      </w:pPr>
      <w:r>
        <w:separator/>
      </w:r>
    </w:p>
  </w:footnote>
  <w:footnote w:type="continuationSeparator" w:id="0">
    <w:p w14:paraId="32BE29D2" w14:textId="77777777" w:rsidR="00A36228" w:rsidRDefault="00A36228" w:rsidP="00A36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4F8CE" w14:textId="5EF05E9D" w:rsidR="00A36228" w:rsidRDefault="00A36228" w:rsidP="007637DB">
    <w:pPr>
      <w:pStyle w:val="Header"/>
    </w:pPr>
  </w:p>
  <w:p w14:paraId="35C5140F" w14:textId="77777777" w:rsidR="00A36228" w:rsidRDefault="00A362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BF1"/>
    <w:rsid w:val="00242BF1"/>
    <w:rsid w:val="00495086"/>
    <w:rsid w:val="007637DB"/>
    <w:rsid w:val="00A36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37458"/>
  <w15:chartTrackingRefBased/>
  <w15:docId w15:val="{01DE9C16-04B4-4EB4-BDF8-92F087ACA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B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B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B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B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B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BF1"/>
    <w:rPr>
      <w:rFonts w:eastAsiaTheme="majorEastAsia" w:cstheme="majorBidi"/>
      <w:color w:val="272727" w:themeColor="text1" w:themeTint="D8"/>
    </w:rPr>
  </w:style>
  <w:style w:type="paragraph" w:styleId="Title">
    <w:name w:val="Title"/>
    <w:basedOn w:val="Normal"/>
    <w:next w:val="Normal"/>
    <w:link w:val="TitleChar"/>
    <w:uiPriority w:val="10"/>
    <w:qFormat/>
    <w:rsid w:val="00242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BF1"/>
    <w:pPr>
      <w:spacing w:before="160"/>
      <w:jc w:val="center"/>
    </w:pPr>
    <w:rPr>
      <w:i/>
      <w:iCs/>
      <w:color w:val="404040" w:themeColor="text1" w:themeTint="BF"/>
    </w:rPr>
  </w:style>
  <w:style w:type="character" w:customStyle="1" w:styleId="QuoteChar">
    <w:name w:val="Quote Char"/>
    <w:basedOn w:val="DefaultParagraphFont"/>
    <w:link w:val="Quote"/>
    <w:uiPriority w:val="29"/>
    <w:rsid w:val="00242BF1"/>
    <w:rPr>
      <w:i/>
      <w:iCs/>
      <w:color w:val="404040" w:themeColor="text1" w:themeTint="BF"/>
    </w:rPr>
  </w:style>
  <w:style w:type="paragraph" w:styleId="ListParagraph">
    <w:name w:val="List Paragraph"/>
    <w:basedOn w:val="Normal"/>
    <w:uiPriority w:val="34"/>
    <w:qFormat/>
    <w:rsid w:val="00242BF1"/>
    <w:pPr>
      <w:ind w:left="720"/>
      <w:contextualSpacing/>
    </w:pPr>
  </w:style>
  <w:style w:type="character" w:styleId="IntenseEmphasis">
    <w:name w:val="Intense Emphasis"/>
    <w:basedOn w:val="DefaultParagraphFont"/>
    <w:uiPriority w:val="21"/>
    <w:qFormat/>
    <w:rsid w:val="00242BF1"/>
    <w:rPr>
      <w:i/>
      <w:iCs/>
      <w:color w:val="0F4761" w:themeColor="accent1" w:themeShade="BF"/>
    </w:rPr>
  </w:style>
  <w:style w:type="paragraph" w:styleId="IntenseQuote">
    <w:name w:val="Intense Quote"/>
    <w:basedOn w:val="Normal"/>
    <w:next w:val="Normal"/>
    <w:link w:val="IntenseQuoteChar"/>
    <w:uiPriority w:val="30"/>
    <w:qFormat/>
    <w:rsid w:val="00242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BF1"/>
    <w:rPr>
      <w:i/>
      <w:iCs/>
      <w:color w:val="0F4761" w:themeColor="accent1" w:themeShade="BF"/>
    </w:rPr>
  </w:style>
  <w:style w:type="character" w:styleId="IntenseReference">
    <w:name w:val="Intense Reference"/>
    <w:basedOn w:val="DefaultParagraphFont"/>
    <w:uiPriority w:val="32"/>
    <w:qFormat/>
    <w:rsid w:val="00242BF1"/>
    <w:rPr>
      <w:b/>
      <w:bCs/>
      <w:smallCaps/>
      <w:color w:val="0F4761" w:themeColor="accent1" w:themeShade="BF"/>
      <w:spacing w:val="5"/>
    </w:rPr>
  </w:style>
  <w:style w:type="paragraph" w:styleId="Header">
    <w:name w:val="header"/>
    <w:basedOn w:val="Normal"/>
    <w:link w:val="HeaderChar"/>
    <w:uiPriority w:val="99"/>
    <w:unhideWhenUsed/>
    <w:rsid w:val="00A36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28"/>
  </w:style>
  <w:style w:type="paragraph" w:styleId="Footer">
    <w:name w:val="footer"/>
    <w:basedOn w:val="Normal"/>
    <w:link w:val="FooterChar"/>
    <w:uiPriority w:val="99"/>
    <w:unhideWhenUsed/>
    <w:rsid w:val="00A36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2317</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Latif Beauty</dc:creator>
  <cp:keywords/>
  <dc:description/>
  <cp:lastModifiedBy>Latif Beauty</cp:lastModifiedBy>
  <cp:revision>1</cp:revision>
  <dcterms:created xsi:type="dcterms:W3CDTF">2025-12-15T20:44:00Z</dcterms:created>
  <dcterms:modified xsi:type="dcterms:W3CDTF">2025-12-15T21:15:00Z</dcterms:modified>
</cp:coreProperties>
</file>