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Arial" w:cs="Arial" w:eastAsia="Arial" w:hAnsi="Arial"/>
        </w:rPr>
      </w:pPr>
      <w:r w:rsidDel="00000000" w:rsidR="00000000" w:rsidRPr="00000000">
        <w:rPr>
          <w:rtl w:val="0"/>
        </w:rPr>
      </w:r>
    </w:p>
    <w:p w:rsidR="00000000" w:rsidDel="00000000" w:rsidP="00000000" w:rsidRDefault="00000000" w:rsidRPr="00000000" w14:paraId="00000002">
      <w:pPr>
        <w:jc w:val="both"/>
        <w:rPr>
          <w:rFonts w:ascii="Arial" w:cs="Arial" w:eastAsia="Arial" w:hAnsi="Arial"/>
        </w:rPr>
      </w:pPr>
      <w:r w:rsidDel="00000000" w:rsidR="00000000" w:rsidRPr="00000000">
        <w:rPr>
          <w:rtl w:val="0"/>
        </w:rPr>
      </w:r>
    </w:p>
    <w:p w:rsidR="00000000" w:rsidDel="00000000" w:rsidP="00000000" w:rsidRDefault="00000000" w:rsidRPr="00000000" w14:paraId="00000003">
      <w:pPr>
        <w:jc w:val="both"/>
        <w:rPr>
          <w:rFonts w:ascii="Arial" w:cs="Arial" w:eastAsia="Arial" w:hAnsi="Arial"/>
        </w:rPr>
      </w:pPr>
      <w:r w:rsidDel="00000000" w:rsidR="00000000" w:rsidRPr="00000000">
        <w:rPr>
          <w:rtl w:val="0"/>
        </w:rPr>
      </w:r>
    </w:p>
    <w:p w:rsidR="00000000" w:rsidDel="00000000" w:rsidP="00000000" w:rsidRDefault="00000000" w:rsidRPr="00000000" w14:paraId="00000004">
      <w:pPr>
        <w:jc w:val="both"/>
        <w:rPr>
          <w:rFonts w:ascii="Arial" w:cs="Arial" w:eastAsia="Arial" w:hAnsi="Arial"/>
        </w:rPr>
      </w:pPr>
      <w:r w:rsidDel="00000000" w:rsidR="00000000" w:rsidRPr="00000000">
        <w:rPr>
          <w:rtl w:val="0"/>
        </w:rPr>
      </w:r>
    </w:p>
    <w:p w:rsidR="00000000" w:rsidDel="00000000" w:rsidP="00000000" w:rsidRDefault="00000000" w:rsidRPr="00000000" w14:paraId="00000005">
      <w:pPr>
        <w:jc w:val="center"/>
        <w:rPr>
          <w:b w:val="1"/>
          <w:bCs w:val="1"/>
          <w:sz w:val="28"/>
          <w:szCs w:val="28"/>
        </w:rPr>
      </w:pPr>
      <w:r w:rsidDel="00000000" w:rsidR="00000000" w:rsidRPr="00000000">
        <w:rPr>
          <w:b w:val="1"/>
          <w:bCs w:val="1"/>
          <w:sz w:val="28"/>
          <w:szCs w:val="28"/>
          <w:rtl w:val="0"/>
        </w:rPr>
        <w:t xml:space="preserve">Name: Sannah Kauser</w:t>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Student Number: 2423519</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Module Code And Title: LCHS4003 Introduction to Health and Social Care</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Lecturer’s Name: Daniel Hurana</w:t>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Assignment Title: Component 1</w:t>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5">
      <w:pPr>
        <w:jc w:val="center"/>
        <w:rPr>
          <w:rFonts w:ascii="Arial" w:cs="Arial" w:eastAsia="Arial" w:hAnsi="Arial"/>
          <w:b w:val="1"/>
          <w:bCs w:val="1"/>
          <w:i w:val="1"/>
          <w:iCs w:val="1"/>
          <w:sz w:val="21"/>
          <w:szCs w:val="21"/>
        </w:rPr>
      </w:pPr>
      <w:r w:rsidDel="00000000" w:rsidR="00000000" w:rsidRPr="00000000">
        <w:rPr>
          <w:rFonts w:ascii="Arial" w:cs="Arial" w:eastAsia="Arial" w:hAnsi="Arial"/>
          <w:b w:val="1"/>
          <w:bCs w:val="1"/>
          <w:i w:val="1"/>
          <w:iCs w:val="1"/>
          <w:sz w:val="21"/>
          <w:szCs w:val="21"/>
          <w:rtl w:val="0"/>
        </w:rPr>
        <w:t xml:space="preserve">TASK 1: POSTER</w:t>
      </w:r>
    </w:p>
    <w:p w:rsidR="00000000" w:rsidDel="00000000" w:rsidP="00000000" w:rsidRDefault="00000000" w:rsidRPr="00000000" w14:paraId="00000016">
      <w:pPr>
        <w:jc w:val="center"/>
        <w:rPr>
          <w:rFonts w:ascii="Arial" w:cs="Arial" w:eastAsia="Arial" w:hAnsi="Arial"/>
          <w:b w:val="1"/>
          <w:bCs w:val="1"/>
          <w:i w:val="1"/>
          <w:iCs w:val="1"/>
          <w:sz w:val="21"/>
          <w:szCs w:val="21"/>
        </w:rPr>
      </w:pPr>
      <w:r w:rsidDel="00000000" w:rsidR="00000000" w:rsidRPr="00000000">
        <w:rPr>
          <w:rFonts w:ascii="Arial" w:cs="Arial" w:eastAsia="Arial" w:hAnsi="Arial"/>
          <w:b w:val="1"/>
          <w:bCs w:val="1"/>
          <w:i w:val="1"/>
          <w:iCs w:val="1"/>
          <w:sz w:val="21"/>
          <w:szCs w:val="21"/>
          <w:rtl w:val="0"/>
        </w:rPr>
        <w:t xml:space="preserve">Dentistry Services</w:t>
      </w:r>
    </w:p>
    <w:p w:rsidR="00000000" w:rsidDel="00000000" w:rsidP="00000000" w:rsidRDefault="00000000" w:rsidRPr="00000000" w14:paraId="00000017">
      <w:pPr>
        <w:jc w:val="center"/>
        <w:rPr>
          <w:rFonts w:ascii="Arial" w:cs="Arial" w:eastAsia="Arial" w:hAnsi="Arial"/>
        </w:rPr>
        <w:sectPr>
          <w:type w:val="nextPage"/>
          <w:pgSz w:h="11906" w:w="16838" w:orient="landscape"/>
          <w:pgMar w:bottom="1440" w:top="1440" w:left="1440" w:right="1440" w:header="708" w:footer="708"/>
        </w:sectPr>
      </w:pPr>
      <w:r w:rsidDel="00000000" w:rsidR="00000000" w:rsidRPr="00000000">
        <w:rPr>
          <w:rFonts w:ascii="Arial" w:cs="Arial" w:eastAsia="Arial" w:hAnsi="Arial"/>
        </w:rPr>
        <w:drawing>
          <wp:inline distB="0" distT="0" distL="0" distR="0">
            <wp:extent cx="6298293" cy="4937592"/>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298293" cy="4937592"/>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jc w:val="center"/>
        <w:rPr>
          <w:rFonts w:ascii="Arial" w:cs="Arial" w:eastAsia="Arial" w:hAnsi="Arial"/>
          <w:b w:val="1"/>
          <w:bCs w:val="1"/>
          <w:i w:val="1"/>
          <w:iCs w:val="1"/>
          <w:sz w:val="28"/>
          <w:szCs w:val="28"/>
        </w:rPr>
      </w:pPr>
      <w:r w:rsidDel="00000000" w:rsidR="00000000" w:rsidRPr="00000000">
        <w:rPr>
          <w:rFonts w:ascii="Arial" w:cs="Arial" w:eastAsia="Arial" w:hAnsi="Arial"/>
          <w:b w:val="1"/>
          <w:bCs w:val="1"/>
          <w:i w:val="1"/>
          <w:iCs w:val="1"/>
          <w:sz w:val="28"/>
          <w:szCs w:val="28"/>
          <w:rtl w:val="0"/>
        </w:rPr>
        <w:t xml:space="preserve">TASK 2: ESSAY</w:t>
      </w:r>
    </w:p>
    <w:p w:rsidR="00000000" w:rsidDel="00000000" w:rsidP="00000000" w:rsidRDefault="00000000" w:rsidRPr="00000000" w14:paraId="00000019">
      <w:pPr>
        <w:jc w:val="center"/>
        <w:rPr>
          <w:rFonts w:ascii="Arial" w:cs="Arial" w:eastAsia="Arial" w:hAnsi="Arial"/>
          <w:b w:val="1"/>
          <w:bCs w:val="1"/>
          <w:i w:val="1"/>
          <w:iCs w:val="1"/>
          <w:sz w:val="28"/>
          <w:szCs w:val="28"/>
        </w:rPr>
      </w:pPr>
      <w:r w:rsidDel="00000000" w:rsidR="00000000" w:rsidRPr="00000000">
        <w:rPr>
          <w:rFonts w:ascii="Arial" w:cs="Arial" w:eastAsia="Arial" w:hAnsi="Arial"/>
          <w:b w:val="1"/>
          <w:bCs w:val="1"/>
          <w:i w:val="1"/>
          <w:iCs w:val="1"/>
          <w:sz w:val="28"/>
          <w:szCs w:val="28"/>
          <w:rtl w:val="0"/>
        </w:rPr>
        <w:t xml:space="preserve">Domiciliary Care Services within the Community</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Domiciliary care is a social care provision which helps clients in their own homes rather than in hospitals or other forms of residential care. This type of care is popular among the elderly, disabled, patients suffering from chronic illnesses, and patients recuperating from illnesses. Such help includes assistance with activities like bathing, dressing, cooking, administering medications, shopping, movement, companionship, and ensuring safety in the domestic environment. Domiciliary care provision is vital since it enables people to live independently in their communities (Bolton and Wibberley, 2013).</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Historically, the roots of domiciliary care have emerged against the background of welfare reforms in the United Kingdom. Prior to the establishment of social services in the UK, support services for vulnerable groups of individuals were organized in families, charities, religious organizations, or workhouses. With the formation of the welfare state in the twentieth century, the responsibility of the state for the provision of support became more evident (Grimm et al., 2022). The introduction of the National Assistance Act 1948 defined the adult social care system, providing for duties of local authorities to offer assistance to older and disabled individuals (Gov UK, 2009). In its turn, the NHS and Community Care Act 1990 prompted a move from institutions to the community-based support. Such a historical evolution has become possible owing to the recognition of the fact that the residence in the institution was not necessary for individuals who could stay with the needed support at home (Calabria and Cullen, 2024).</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Currently, domiciliary care is mostly organised through local councils, private care providers, charities, or individuals themselves through personal budgets. An individual will be assessed based on his or her requirements for care in accordance with the Care Act 2014. Based on the results, if a person is deemed eligible, a care plan will be developed outlining what kind of care the person needs and how many times a care worker will visit him or her per week. For some people, short visits multiple times a day are required, while others need more intensive care. Care workers are central to providing practical and emotional assistance (Calabria and Cullen, 2024; Social Care Institute for Excellence, 2024).</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Yet, the service is characterized by advantages and disadvantages. For example, one of the advantages is that it encourages independence. There is a preference among many people to remain at home since it is familiar and significant on an emotional level. It is more likely to be person-centred as well because services are provided on the basis of personal routines (Grimm et al., 2022). At the same time, Hughes and Burch (2019) suggest that domiciliary care is associated with various problems. Financial pressure results in care workers having limited time for visiting their patients. Workforce shortage, underpaid employees, and high turnover rates may influence continuity of care negatively as well. It may be a stressful situation for the clients of the service.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Domestic care is important because there are various benefits that come from it. It is important in helping individuals maintain their dignity by ensuring that personal care is carried out in a respectful manner. It minimizes the feeling of loneliness by ensuring that the individual gets human interaction regularly. Domestic care can also avoid hospital admission through identifying various risks such as falls, bad nutrition, and bad medication practices (Grimm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Hughes and Burch, 2019).</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conclusion, domiciliary care has evolved from the earlier system of welfare provision into an essential component of contemporary community-based social care. Despite being faced with challenges due to financial and workforce issues, domiciliary care is crucial as it ensures that people can lead their lives with autonomy, dignity, and freedom of choice. Properly funded and provided, domiciliary care can enhance well-being and enable people to be productive citizens of society.</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9">
      <w:pPr>
        <w:jc w:val="both"/>
        <w:rPr>
          <w:rFonts w:ascii="Arial" w:cs="Arial" w:eastAsia="Arial" w:hAnsi="Arial"/>
        </w:rPr>
      </w:pPr>
      <w:r w:rsidDel="00000000" w:rsidR="00000000" w:rsidRPr="00000000">
        <w:rPr>
          <w:rtl w:val="0"/>
        </w:rPr>
      </w:r>
    </w:p>
    <w:p w:rsidR="00000000" w:rsidDel="00000000" w:rsidP="00000000" w:rsidRDefault="00000000" w:rsidRPr="00000000" w14:paraId="0000002A">
      <w:pPr>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Bolton, S.C. and Wibberley, G. (2013) ‘Domiciliary Care: The Formal and Informal Labour Process’,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Sociology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48(4), pp. 682–697. Available at: https://doi.org/10.1177/0038038513500098.</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Brocklehurst, P.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(2016) ‘Organisation of NHS dentistry in primary care’, in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Determining the optimal model for role substitution in NHS dental services in the UK: a mixed-methods study.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NIHR Journals Library. Available at: https://www.ncbi.nlm.nih.gov/books/NBK378807/.</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Calabria, V. and Cullen, L.T. (2024) ‘Deinstitutionalisation and the move to community care: comparing the changing dimensions of mental healthcare after 1922 in the Republic of Ireland and England’,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History of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35(2). Available at: https://doi.org/10.1177/0957154x241231057.</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Clarkson, J.E.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(2020) ‘Risk-based, 6-monthly and 24-monthly dental check-ups for adults: the INTERVAL three-arm RCT’,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Technology Assessment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24(60), pp. 1–138. Available at: https://doi.org/10.3310/hta24600.</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Evans, 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(2023) ‘The Dental Workforce Recruitment and Retention Crisis in the UK’,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British Dental Journal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234(8), pp. 573–577. Available at: https://doi.org/10.1038/s41415-023-5737-5.</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Gordon, I.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Corporate dentistry: three decades of transformation - Dentistry.co.uk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Dentistry.co.uk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Dentistry Online. Available at: https://dentistry.co.uk/corporate-dentistry-three-decades-of-transformation/ (Accessed: 19 June 2026).</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Gov UK (2009)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National Assistance Act 1948</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Legislation.gov.uk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https://www.legislation.gov.uk/ukpga/Geo6/11-12/29 (Accessed: 19 June 2026).</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Grimm, F.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‘Conditions associated with the initiation of domiciliary care following a hospital admission: a cohort study in East London, England’,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12(9), p. e061875. Available at: https://doi.org/10.1136/bmjopen-2022-061875.</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Hughes, S. and Burch, S. (2019) ‘“I’m not just a number on a sheet, I’m a person”: Domiciliary care, self and getting older’,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&amp; Social Care in the Community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28(3). Available at: https://doi.org/10.1111/hsc.12921.</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Joda, 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(2020) ‘Disruptive Innovation in Dentistry: What It Is and What Could Be Next’,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Dental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100(5), p. 002203452097877. Available at: https://doi.org/10.1177/0022034520978774.</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Mills, A., Berlin-Broner, Y. and Levin, L. (2023) ‘Improving Patient Well-Being as a Broader Perspective in Dentistry’,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Dental Journal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73(6), pp. 785–792. Available at: https://doi.org/10.1016/j.identj.2023.05.005.</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(2020)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dental services are available on the NHS?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https://www.nhs.uk/nhs-services/dentists/what-dental-services-are-available-on-the-nhs/ (Accessed: 19 June 2026).</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UK (2020)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much NHS dental treatment costs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https://www.nhs.uk/nhs-services/dentists/how-much-nhs-dental-treatment-costs/ (Accessed: 19 June 2026).</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Social Care Institute for Excellence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Assessment of needs under the Care Act 2014</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SCIE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https://www.scie.org.uk/assessment-and-eligibility/assessment-of-needs-under-the-care-act-2014/ (Accessed: 19 June 2026).</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Triggle, N. (2022) ‘Patients in pain as many struggle to find dental care’,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BBC News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9 May. Available at: https://www.bbc.com/news/health-61340244 (Accessed: 19 June 2026).</w:t>
      </w:r>
    </w:p>
    <w:p w:rsidR="00000000" w:rsidDel="00000000" w:rsidP="00000000" w:rsidRDefault="00000000" w:rsidRPr="00000000" w14:paraId="0000003A">
      <w:pPr>
        <w:jc w:val="both"/>
        <w:rPr>
          <w:rFonts w:ascii="Arial" w:cs="Arial" w:eastAsia="Arial" w:hAnsi="Arial"/>
          <w:b w:val="1"/>
          <w:bCs w:val="1"/>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OR7z3PC1tOIqoi6/C3wryJwGUw==">CgMxLjA4AHIhMXNoVC1fc3BMWE1yRFZuRVE0X2FzSWhlbUVsQXNWS2lo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