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53549" w14:textId="77777777" w:rsidR="00354CB7" w:rsidRDefault="00354CB7" w:rsidP="008D0066">
      <w:pPr>
        <w:pStyle w:val="Heading1"/>
      </w:pPr>
    </w:p>
    <w:p w14:paraId="4D8C389D" w14:textId="77777777" w:rsidR="00354CB7" w:rsidRDefault="00354CB7" w:rsidP="008D0066">
      <w:pPr>
        <w:pStyle w:val="Heading1"/>
      </w:pPr>
    </w:p>
    <w:p w14:paraId="221A6A60" w14:textId="779D0F38" w:rsidR="00354CB7" w:rsidRDefault="00354CB7" w:rsidP="00354CB7">
      <w:pPr>
        <w:rPr>
          <w:rFonts w:eastAsia="Times New Roman" w:cstheme="minorHAnsi"/>
          <w:b/>
          <w:bCs/>
          <w:szCs w:val="24"/>
        </w:rPr>
      </w:pPr>
      <w:r>
        <w:rPr>
          <w:noProof/>
        </w:rPr>
        <w:drawing>
          <wp:anchor distT="0" distB="0" distL="114300" distR="114300" simplePos="0" relativeHeight="251658240" behindDoc="0" locked="0" layoutInCell="1" allowOverlap="1" wp14:anchorId="015EF985" wp14:editId="0794EEE2">
            <wp:simplePos x="914400" y="1367246"/>
            <wp:positionH relativeFrom="column">
              <wp:align>left</wp:align>
            </wp:positionH>
            <wp:positionV relativeFrom="paragraph">
              <wp:align>top</wp:align>
            </wp:positionV>
            <wp:extent cx="1701800" cy="682865"/>
            <wp:effectExtent l="0" t="0" r="0" b="3175"/>
            <wp:wrapSquare wrapText="bothSides"/>
            <wp:docPr id="4" name="Llun 4"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un 4" descr="UWTSD logo with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01800" cy="682865"/>
                    </a:xfrm>
                    <a:prstGeom prst="rect">
                      <a:avLst/>
                    </a:prstGeom>
                  </pic:spPr>
                </pic:pic>
              </a:graphicData>
            </a:graphic>
          </wp:anchor>
        </w:drawing>
      </w:r>
      <w:r w:rsidR="00A713FE">
        <w:rPr>
          <w:rFonts w:eastAsia="Times New Roman" w:cstheme="minorHAnsi"/>
          <w:b/>
          <w:bCs/>
          <w:szCs w:val="24"/>
        </w:rPr>
        <w:br w:type="textWrapping" w:clear="all"/>
      </w:r>
    </w:p>
    <w:p w14:paraId="6A6FB1C0" w14:textId="77777777" w:rsidR="00354CB7" w:rsidRDefault="00354CB7" w:rsidP="00354CB7">
      <w:pPr>
        <w:outlineLvl w:val="0"/>
        <w:rPr>
          <w:rFonts w:ascii="Arial" w:eastAsia="Times New Roman" w:hAnsi="Arial" w:cs="Arial"/>
          <w:b/>
          <w:bCs/>
          <w:color w:val="111111"/>
          <w:kern w:val="36"/>
          <w:szCs w:val="24"/>
        </w:rPr>
      </w:pPr>
    </w:p>
    <w:p w14:paraId="5A02FA86" w14:textId="77777777" w:rsidR="00354CB7" w:rsidRDefault="00354CB7" w:rsidP="00354CB7">
      <w:pPr>
        <w:outlineLvl w:val="0"/>
        <w:rPr>
          <w:rFonts w:ascii="Arial" w:eastAsia="Times New Roman" w:hAnsi="Arial" w:cs="Arial"/>
          <w:b/>
          <w:bCs/>
          <w:color w:val="111111"/>
          <w:kern w:val="36"/>
          <w:szCs w:val="24"/>
        </w:rPr>
      </w:pPr>
    </w:p>
    <w:p w14:paraId="3F51D679" w14:textId="77777777" w:rsidR="00354CB7" w:rsidRDefault="00354CB7" w:rsidP="00354CB7">
      <w:pPr>
        <w:outlineLvl w:val="0"/>
        <w:rPr>
          <w:rFonts w:ascii="Arial" w:eastAsia="Times New Roman" w:hAnsi="Arial" w:cs="Arial"/>
          <w:b/>
          <w:bCs/>
          <w:color w:val="111111"/>
          <w:kern w:val="36"/>
          <w:szCs w:val="24"/>
        </w:rPr>
      </w:pPr>
    </w:p>
    <w:p w14:paraId="419DBA19" w14:textId="77777777" w:rsidR="00354CB7" w:rsidRDefault="00354CB7" w:rsidP="00354CB7">
      <w:pPr>
        <w:outlineLvl w:val="0"/>
        <w:rPr>
          <w:rFonts w:ascii="Arial" w:eastAsia="Times New Roman" w:hAnsi="Arial" w:cs="Arial"/>
          <w:b/>
          <w:bCs/>
          <w:color w:val="111111"/>
          <w:kern w:val="36"/>
          <w:szCs w:val="24"/>
        </w:rPr>
      </w:pPr>
    </w:p>
    <w:p w14:paraId="5AF91843" w14:textId="24C1B35E" w:rsidR="00354CB7" w:rsidRDefault="00354CB7" w:rsidP="00354CB7">
      <w:pPr>
        <w:pStyle w:val="Heading1"/>
        <w:spacing w:line="480" w:lineRule="auto"/>
        <w:ind w:firstLine="850"/>
        <w:jc w:val="center"/>
        <w:rPr>
          <w:rFonts w:eastAsia="Times New Roman" w:cs="Times New Roman"/>
          <w:sz w:val="24"/>
          <w:szCs w:val="24"/>
        </w:rPr>
      </w:pPr>
      <w:r>
        <w:rPr>
          <w:rFonts w:eastAsia="Times New Roman" w:cs="Times New Roman"/>
          <w:sz w:val="24"/>
          <w:szCs w:val="24"/>
        </w:rPr>
        <w:t>BA</w:t>
      </w:r>
      <w:r>
        <w:rPr>
          <w:rFonts w:eastAsia="Times New Roman" w:cs="Times New Roman"/>
          <w:sz w:val="24"/>
          <w:szCs w:val="24"/>
        </w:rPr>
        <w:t xml:space="preserve"> (Hons)</w:t>
      </w:r>
      <w:r>
        <w:rPr>
          <w:rFonts w:eastAsia="Times New Roman" w:cs="Times New Roman"/>
          <w:sz w:val="24"/>
          <w:szCs w:val="24"/>
        </w:rPr>
        <w:t xml:space="preserve"> BUSINESS MANAGEMENT</w:t>
      </w:r>
    </w:p>
    <w:p w14:paraId="2124B19C" w14:textId="516BAB35" w:rsidR="00354CB7" w:rsidRDefault="00354CB7" w:rsidP="00354CB7">
      <w:pPr>
        <w:pStyle w:val="Heading1"/>
        <w:spacing w:line="480" w:lineRule="auto"/>
        <w:jc w:val="center"/>
        <w:rPr>
          <w:rFonts w:eastAsia="Times New Roman" w:cs="Times New Roman"/>
          <w:sz w:val="24"/>
          <w:szCs w:val="24"/>
        </w:rPr>
      </w:pPr>
      <w:bookmarkStart w:id="0" w:name="_heading=h.30j0zll" w:colFirst="0" w:colLast="0"/>
      <w:bookmarkEnd w:id="0"/>
      <w:r>
        <w:rPr>
          <w:rFonts w:eastAsia="Times New Roman" w:cs="Times New Roman"/>
          <w:sz w:val="24"/>
          <w:szCs w:val="24"/>
        </w:rPr>
        <w:t xml:space="preserve">              Global Business Environment</w:t>
      </w:r>
    </w:p>
    <w:p w14:paraId="17BE7D66" w14:textId="77777777" w:rsidR="00354CB7" w:rsidRDefault="00354CB7" w:rsidP="00354CB7">
      <w:pPr>
        <w:jc w:val="center"/>
        <w:rPr>
          <w:rFonts w:eastAsia="Times New Roman" w:cs="Times New Roman"/>
          <w:szCs w:val="24"/>
        </w:rPr>
      </w:pPr>
    </w:p>
    <w:p w14:paraId="42127A75" w14:textId="77777777" w:rsidR="00354CB7" w:rsidRDefault="00354CB7" w:rsidP="00354CB7">
      <w:pPr>
        <w:rPr>
          <w:rFonts w:eastAsia="Times New Roman" w:cs="Times New Roman"/>
          <w:szCs w:val="24"/>
        </w:rPr>
      </w:pPr>
    </w:p>
    <w:p w14:paraId="77D2CD35" w14:textId="77777777" w:rsidR="00354CB7" w:rsidRDefault="00354CB7" w:rsidP="00354CB7">
      <w:pPr>
        <w:rPr>
          <w:rFonts w:eastAsia="Times New Roman" w:cs="Times New Roman"/>
          <w:szCs w:val="24"/>
        </w:rPr>
      </w:pPr>
    </w:p>
    <w:p w14:paraId="20FE7BA9" w14:textId="77777777" w:rsidR="00354CB7" w:rsidRDefault="00354CB7" w:rsidP="00354CB7">
      <w:pPr>
        <w:rPr>
          <w:rFonts w:eastAsia="Times New Roman" w:cs="Times New Roman"/>
          <w:i/>
          <w:szCs w:val="24"/>
        </w:rPr>
      </w:pPr>
    </w:p>
    <w:p w14:paraId="2CDBA287" w14:textId="77777777" w:rsidR="00354CB7" w:rsidRDefault="00354CB7" w:rsidP="00354CB7">
      <w:pPr>
        <w:rPr>
          <w:rFonts w:eastAsia="Times New Roman" w:cs="Times New Roman"/>
          <w:i/>
          <w:szCs w:val="24"/>
        </w:rPr>
      </w:pPr>
    </w:p>
    <w:p w14:paraId="6D175B9E" w14:textId="5DDAC59B" w:rsidR="00354CB7" w:rsidRDefault="00354CB7" w:rsidP="00354CB7">
      <w:pPr>
        <w:rPr>
          <w:rFonts w:eastAsia="Times New Roman" w:cs="Times New Roman"/>
          <w:i/>
          <w:szCs w:val="24"/>
        </w:rPr>
      </w:pPr>
      <w:r>
        <w:rPr>
          <w:rFonts w:eastAsia="Times New Roman" w:cs="Times New Roman"/>
          <w:i/>
          <w:szCs w:val="24"/>
        </w:rPr>
        <w:t xml:space="preserve">Student name: </w:t>
      </w:r>
      <w:proofErr w:type="spellStart"/>
      <w:r>
        <w:rPr>
          <w:rFonts w:eastAsia="Times New Roman" w:cs="Times New Roman"/>
          <w:i/>
          <w:szCs w:val="24"/>
        </w:rPr>
        <w:t>Talida</w:t>
      </w:r>
      <w:proofErr w:type="spellEnd"/>
      <w:r>
        <w:rPr>
          <w:rFonts w:eastAsia="Times New Roman" w:cs="Times New Roman"/>
          <w:i/>
          <w:szCs w:val="24"/>
        </w:rPr>
        <w:t xml:space="preserve"> </w:t>
      </w:r>
      <w:proofErr w:type="spellStart"/>
      <w:r>
        <w:rPr>
          <w:rFonts w:eastAsia="Times New Roman" w:cs="Times New Roman"/>
          <w:i/>
          <w:szCs w:val="24"/>
        </w:rPr>
        <w:t>Burcus-Coman</w:t>
      </w:r>
      <w:proofErr w:type="spellEnd"/>
    </w:p>
    <w:p w14:paraId="3422B5DC" w14:textId="2332DF6E" w:rsidR="00354CB7" w:rsidRDefault="00354CB7" w:rsidP="00354CB7">
      <w:pPr>
        <w:rPr>
          <w:rFonts w:eastAsia="Times New Roman" w:cs="Times New Roman"/>
          <w:i/>
          <w:szCs w:val="24"/>
        </w:rPr>
      </w:pPr>
      <w:r>
        <w:rPr>
          <w:rFonts w:eastAsia="Times New Roman" w:cs="Times New Roman"/>
          <w:i/>
          <w:szCs w:val="24"/>
        </w:rPr>
        <w:t xml:space="preserve">Student ID: </w:t>
      </w:r>
      <w:r>
        <w:rPr>
          <w:rFonts w:eastAsia="Times New Roman" w:cs="Times New Roman"/>
          <w:i/>
          <w:szCs w:val="24"/>
        </w:rPr>
        <w:t>2318220</w:t>
      </w:r>
    </w:p>
    <w:p w14:paraId="32A77D55" w14:textId="225211F1" w:rsidR="00354CB7" w:rsidRDefault="00354CB7" w:rsidP="00354CB7">
      <w:pPr>
        <w:rPr>
          <w:rFonts w:eastAsia="Times New Roman" w:cs="Times New Roman"/>
          <w:i/>
          <w:szCs w:val="24"/>
        </w:rPr>
      </w:pPr>
      <w:r>
        <w:rPr>
          <w:rFonts w:eastAsia="Times New Roman" w:cs="Times New Roman"/>
          <w:i/>
          <w:szCs w:val="24"/>
        </w:rPr>
        <w:t>Course code name: LCBB40</w:t>
      </w:r>
      <w:r>
        <w:rPr>
          <w:rFonts w:eastAsia="Times New Roman" w:cs="Times New Roman"/>
          <w:i/>
          <w:szCs w:val="24"/>
        </w:rPr>
        <w:t>10</w:t>
      </w:r>
    </w:p>
    <w:p w14:paraId="5E7FF97F" w14:textId="3426C31B" w:rsidR="00354CB7" w:rsidRDefault="00354CB7" w:rsidP="00354CB7">
      <w:pPr>
        <w:rPr>
          <w:rFonts w:eastAsia="Times New Roman" w:cs="Times New Roman"/>
          <w:i/>
          <w:szCs w:val="24"/>
        </w:rPr>
      </w:pPr>
      <w:r>
        <w:rPr>
          <w:rFonts w:eastAsia="Times New Roman" w:cs="Times New Roman"/>
          <w:i/>
          <w:szCs w:val="24"/>
        </w:rPr>
        <w:t>Module</w:t>
      </w:r>
      <w:r>
        <w:rPr>
          <w:rFonts w:eastAsia="Times New Roman" w:cs="Times New Roman"/>
          <w:i/>
          <w:szCs w:val="24"/>
        </w:rPr>
        <w:t xml:space="preserve"> </w:t>
      </w:r>
      <w:r>
        <w:rPr>
          <w:rFonts w:eastAsia="Times New Roman" w:cs="Times New Roman"/>
          <w:i/>
          <w:szCs w:val="24"/>
        </w:rPr>
        <w:t>Tutor(s)</w:t>
      </w:r>
      <w:r>
        <w:rPr>
          <w:rFonts w:eastAsia="Times New Roman" w:cs="Times New Roman"/>
          <w:i/>
          <w:szCs w:val="24"/>
        </w:rPr>
        <w:t xml:space="preserve">: </w:t>
      </w:r>
      <w:r>
        <w:rPr>
          <w:rFonts w:eastAsia="Times New Roman" w:cs="Times New Roman"/>
          <w:i/>
          <w:szCs w:val="24"/>
        </w:rPr>
        <w:t xml:space="preserve">Rita </w:t>
      </w:r>
      <w:proofErr w:type="spellStart"/>
      <w:r>
        <w:rPr>
          <w:rFonts w:eastAsia="Times New Roman" w:cs="Times New Roman"/>
          <w:i/>
          <w:szCs w:val="24"/>
        </w:rPr>
        <w:t>Ukachi</w:t>
      </w:r>
      <w:proofErr w:type="spellEnd"/>
      <w:r>
        <w:rPr>
          <w:rFonts w:eastAsia="Times New Roman" w:cs="Times New Roman"/>
          <w:i/>
          <w:szCs w:val="24"/>
        </w:rPr>
        <w:t>-Lois</w:t>
      </w:r>
    </w:p>
    <w:p w14:paraId="4E17BDEC" w14:textId="3F4DDA21" w:rsidR="00354CB7" w:rsidRDefault="00354CB7" w:rsidP="00354CB7">
      <w:pPr>
        <w:rPr>
          <w:rFonts w:eastAsia="Times New Roman" w:cs="Times New Roman"/>
          <w:i/>
          <w:szCs w:val="24"/>
        </w:rPr>
      </w:pPr>
      <w:r>
        <w:rPr>
          <w:rFonts w:eastAsia="Times New Roman" w:cs="Times New Roman"/>
          <w:i/>
          <w:szCs w:val="24"/>
        </w:rPr>
        <w:t xml:space="preserve">                            Zainab Atta</w:t>
      </w:r>
    </w:p>
    <w:p w14:paraId="6E93723F" w14:textId="77777777" w:rsidR="00354CB7" w:rsidRDefault="00354CB7" w:rsidP="00354CB7">
      <w:pPr>
        <w:rPr>
          <w:rFonts w:eastAsia="Times New Roman" w:cs="Times New Roman"/>
          <w:i/>
          <w:szCs w:val="24"/>
        </w:rPr>
      </w:pPr>
    </w:p>
    <w:p w14:paraId="2992D76B" w14:textId="28B60579" w:rsidR="00354CB7" w:rsidRDefault="00354CB7" w:rsidP="00354CB7">
      <w:pPr>
        <w:rPr>
          <w:rFonts w:ascii="Arial" w:eastAsia="Times New Roman" w:hAnsi="Arial" w:cs="Arial"/>
          <w:b/>
          <w:bCs/>
          <w:color w:val="111111"/>
          <w:kern w:val="36"/>
          <w:szCs w:val="24"/>
        </w:rPr>
      </w:pPr>
    </w:p>
    <w:sdt>
      <w:sdtPr>
        <w:rPr>
          <w:rFonts w:asciiTheme="minorHAnsi" w:eastAsiaTheme="minorEastAsia" w:hAnsiTheme="minorHAnsi" w:cstheme="minorBidi"/>
          <w:b w:val="0"/>
          <w:bCs w:val="0"/>
          <w:color w:val="auto"/>
          <w:kern w:val="2"/>
          <w:sz w:val="22"/>
          <w:szCs w:val="22"/>
          <w:lang w:val="en-GB" w:eastAsia="en-GB"/>
          <w14:ligatures w14:val="standardContextual"/>
        </w:rPr>
        <w:id w:val="759561585"/>
        <w:docPartObj>
          <w:docPartGallery w:val="Table of Contents"/>
          <w:docPartUnique/>
        </w:docPartObj>
      </w:sdtPr>
      <w:sdtEndPr>
        <w:rPr>
          <w:rFonts w:ascii="Times New Roman" w:eastAsiaTheme="minorHAnsi" w:hAnsi="Times New Roman"/>
          <w:noProof/>
          <w:kern w:val="0"/>
          <w:sz w:val="24"/>
          <w:lang w:eastAsia="en-US"/>
          <w14:ligatures w14:val="none"/>
        </w:rPr>
      </w:sdtEndPr>
      <w:sdtContent>
        <w:p w14:paraId="5EF32F08" w14:textId="25D57C5B" w:rsidR="00354CB7" w:rsidRDefault="00354CB7" w:rsidP="00354CB7">
          <w:pPr>
            <w:pStyle w:val="TOCHeading"/>
            <w:rPr>
              <w:rFonts w:asciiTheme="minorHAnsi" w:eastAsiaTheme="minorEastAsia" w:hAnsiTheme="minorHAnsi" w:cstheme="minorBidi"/>
              <w:b w:val="0"/>
              <w:bCs w:val="0"/>
              <w:color w:val="auto"/>
              <w:kern w:val="2"/>
              <w:sz w:val="22"/>
              <w:szCs w:val="22"/>
              <w:lang w:val="en-GB" w:eastAsia="en-GB"/>
              <w14:ligatures w14:val="standardContextual"/>
            </w:rPr>
          </w:pPr>
        </w:p>
        <w:p w14:paraId="0A107FD6" w14:textId="3142C1D4" w:rsidR="00354CB7" w:rsidRDefault="00354CB7" w:rsidP="00354CB7">
          <w:pPr>
            <w:rPr>
              <w:lang w:eastAsia="en-GB"/>
            </w:rPr>
          </w:pPr>
        </w:p>
        <w:p w14:paraId="6912B2F0" w14:textId="77777777" w:rsidR="00354CB7" w:rsidRPr="00354CB7" w:rsidRDefault="00354CB7" w:rsidP="00354CB7">
          <w:pPr>
            <w:rPr>
              <w:lang w:eastAsia="en-GB"/>
            </w:rPr>
          </w:pPr>
        </w:p>
        <w:p w14:paraId="2D32EE1C" w14:textId="77777777" w:rsidR="00354CB7" w:rsidRDefault="00354CB7" w:rsidP="00354CB7">
          <w:pPr>
            <w:pStyle w:val="TOCHeading"/>
            <w:rPr>
              <w:rFonts w:asciiTheme="minorHAnsi" w:eastAsiaTheme="minorEastAsia" w:hAnsiTheme="minorHAnsi" w:cstheme="minorBidi"/>
              <w:b w:val="0"/>
              <w:bCs w:val="0"/>
              <w:color w:val="auto"/>
              <w:kern w:val="2"/>
              <w:sz w:val="22"/>
              <w:szCs w:val="22"/>
              <w:lang w:val="en-GB" w:eastAsia="en-GB"/>
              <w14:ligatures w14:val="standardContextual"/>
            </w:rPr>
          </w:pPr>
        </w:p>
        <w:p w14:paraId="6C17175F" w14:textId="32602331" w:rsidR="00354CB7" w:rsidRDefault="00354CB7" w:rsidP="00354CB7">
          <w:pPr>
            <w:pStyle w:val="TOCHeading"/>
          </w:pPr>
          <w:r>
            <w:t>Table of Contents</w:t>
          </w:r>
        </w:p>
        <w:p w14:paraId="4CE89996" w14:textId="77777777" w:rsidR="00354CB7" w:rsidRPr="00A713FE" w:rsidRDefault="00354CB7" w:rsidP="00354CB7">
          <w:pPr>
            <w:pStyle w:val="TOC1"/>
            <w:tabs>
              <w:tab w:val="right" w:leader="dot" w:pos="9016"/>
            </w:tabs>
            <w:rPr>
              <w:rFonts w:ascii="Calibri" w:hAnsi="Calibri" w:cs="Calibri"/>
              <w:noProof/>
            </w:rPr>
          </w:pPr>
          <w:r>
            <w:rPr>
              <w:b w:val="0"/>
              <w:bCs w:val="0"/>
            </w:rPr>
            <w:fldChar w:fldCharType="begin"/>
          </w:r>
          <w:r>
            <w:instrText xml:space="preserve"> TOC \o "1-3" \h \z \u </w:instrText>
          </w:r>
          <w:r>
            <w:rPr>
              <w:b w:val="0"/>
              <w:bCs w:val="0"/>
            </w:rPr>
            <w:fldChar w:fldCharType="separate"/>
          </w:r>
          <w:hyperlink w:anchor="_Toc164962432" w:history="1">
            <w:r w:rsidRPr="00A713FE">
              <w:rPr>
                <w:rStyle w:val="Hyperlink"/>
                <w:rFonts w:ascii="Calibri" w:eastAsia="Times New Roman" w:hAnsi="Calibri" w:cs="Calibri"/>
                <w:noProof/>
              </w:rPr>
              <w:t>Introduction</w:t>
            </w:r>
            <w:r w:rsidRPr="00A713FE">
              <w:rPr>
                <w:rFonts w:ascii="Calibri" w:hAnsi="Calibri" w:cs="Calibri"/>
                <w:noProof/>
                <w:webHidden/>
              </w:rPr>
              <w:tab/>
            </w:r>
            <w:r w:rsidRPr="00A713FE">
              <w:rPr>
                <w:rFonts w:ascii="Calibri" w:hAnsi="Calibri" w:cs="Calibri"/>
                <w:noProof/>
                <w:webHidden/>
              </w:rPr>
              <w:fldChar w:fldCharType="begin"/>
            </w:r>
            <w:r w:rsidRPr="00A713FE">
              <w:rPr>
                <w:rFonts w:ascii="Calibri" w:hAnsi="Calibri" w:cs="Calibri"/>
                <w:noProof/>
                <w:webHidden/>
              </w:rPr>
              <w:instrText xml:space="preserve"> PAGEREF _Toc164962432 \h </w:instrText>
            </w:r>
            <w:r w:rsidRPr="00A713FE">
              <w:rPr>
                <w:rFonts w:ascii="Calibri" w:hAnsi="Calibri" w:cs="Calibri"/>
                <w:noProof/>
                <w:webHidden/>
              </w:rPr>
            </w:r>
            <w:r w:rsidRPr="00A713FE">
              <w:rPr>
                <w:rFonts w:ascii="Calibri" w:hAnsi="Calibri" w:cs="Calibri"/>
                <w:noProof/>
                <w:webHidden/>
              </w:rPr>
              <w:fldChar w:fldCharType="separate"/>
            </w:r>
            <w:r w:rsidRPr="00A713FE">
              <w:rPr>
                <w:rFonts w:ascii="Calibri" w:hAnsi="Calibri" w:cs="Calibri"/>
                <w:noProof/>
                <w:webHidden/>
              </w:rPr>
              <w:t>3</w:t>
            </w:r>
            <w:r w:rsidRPr="00A713FE">
              <w:rPr>
                <w:rFonts w:ascii="Calibri" w:hAnsi="Calibri" w:cs="Calibri"/>
                <w:noProof/>
                <w:webHidden/>
              </w:rPr>
              <w:fldChar w:fldCharType="end"/>
            </w:r>
          </w:hyperlink>
        </w:p>
        <w:p w14:paraId="1258F5EC" w14:textId="49AD2787" w:rsidR="00354CB7" w:rsidRPr="00A713FE" w:rsidRDefault="00354CB7" w:rsidP="00354CB7">
          <w:pPr>
            <w:pStyle w:val="TOC1"/>
            <w:tabs>
              <w:tab w:val="right" w:leader="dot" w:pos="9016"/>
            </w:tabs>
            <w:rPr>
              <w:rFonts w:ascii="Calibri" w:hAnsi="Calibri" w:cs="Calibri"/>
              <w:noProof/>
            </w:rPr>
          </w:pPr>
          <w:r w:rsidRPr="00A713FE">
            <w:rPr>
              <w:rFonts w:ascii="Calibri" w:hAnsi="Calibri" w:cs="Calibri"/>
            </w:rPr>
            <w:fldChar w:fldCharType="begin"/>
          </w:r>
          <w:r w:rsidRPr="00A713FE">
            <w:rPr>
              <w:rFonts w:ascii="Calibri" w:hAnsi="Calibri" w:cs="Calibri"/>
            </w:rPr>
            <w:instrText xml:space="preserve"> HYPERLINK \l "_Toc164962433" </w:instrText>
          </w:r>
          <w:r w:rsidRPr="00A713FE">
            <w:rPr>
              <w:rFonts w:ascii="Calibri" w:hAnsi="Calibri" w:cs="Calibri"/>
            </w:rPr>
            <w:fldChar w:fldCharType="separate"/>
          </w:r>
          <w:r w:rsidRPr="00A713FE">
            <w:rPr>
              <w:rStyle w:val="Hyperlink"/>
              <w:rFonts w:ascii="Calibri" w:hAnsi="Calibri" w:cs="Calibri"/>
              <w:noProof/>
            </w:rPr>
            <w:t xml:space="preserve">Political </w:t>
          </w:r>
          <w:r w:rsidR="00A855A0" w:rsidRPr="00A713FE">
            <w:rPr>
              <w:rStyle w:val="Hyperlink"/>
              <w:rFonts w:ascii="Calibri" w:hAnsi="Calibri" w:cs="Calibri"/>
              <w:noProof/>
            </w:rPr>
            <w:t>Factors</w:t>
          </w:r>
          <w:r w:rsidRPr="00A713FE">
            <w:rPr>
              <w:rFonts w:ascii="Calibri" w:hAnsi="Calibri" w:cs="Calibri"/>
              <w:noProof/>
              <w:webHidden/>
            </w:rPr>
            <w:tab/>
          </w:r>
          <w:r w:rsidRPr="00A713FE">
            <w:rPr>
              <w:rFonts w:ascii="Calibri" w:hAnsi="Calibri" w:cs="Calibri"/>
              <w:noProof/>
              <w:webHidden/>
            </w:rPr>
            <w:fldChar w:fldCharType="begin"/>
          </w:r>
          <w:r w:rsidRPr="00A713FE">
            <w:rPr>
              <w:rFonts w:ascii="Calibri" w:hAnsi="Calibri" w:cs="Calibri"/>
              <w:noProof/>
              <w:webHidden/>
            </w:rPr>
            <w:instrText xml:space="preserve"> PAGEREF _Toc164962433 \h </w:instrText>
          </w:r>
          <w:r w:rsidRPr="00A713FE">
            <w:rPr>
              <w:rFonts w:ascii="Calibri" w:hAnsi="Calibri" w:cs="Calibri"/>
              <w:noProof/>
              <w:webHidden/>
            </w:rPr>
          </w:r>
          <w:r w:rsidRPr="00A713FE">
            <w:rPr>
              <w:rFonts w:ascii="Calibri" w:hAnsi="Calibri" w:cs="Calibri"/>
              <w:noProof/>
              <w:webHidden/>
            </w:rPr>
            <w:fldChar w:fldCharType="separate"/>
          </w:r>
          <w:r w:rsidRPr="00A713FE">
            <w:rPr>
              <w:rFonts w:ascii="Calibri" w:hAnsi="Calibri" w:cs="Calibri"/>
              <w:noProof/>
              <w:webHidden/>
            </w:rPr>
            <w:t>3</w:t>
          </w:r>
          <w:r w:rsidRPr="00A713FE">
            <w:rPr>
              <w:rFonts w:ascii="Calibri" w:hAnsi="Calibri" w:cs="Calibri"/>
              <w:noProof/>
              <w:webHidden/>
            </w:rPr>
            <w:fldChar w:fldCharType="end"/>
          </w:r>
          <w:r w:rsidRPr="00A713FE">
            <w:rPr>
              <w:rFonts w:ascii="Calibri" w:hAnsi="Calibri" w:cs="Calibri"/>
              <w:noProof/>
            </w:rPr>
            <w:fldChar w:fldCharType="end"/>
          </w:r>
        </w:p>
        <w:p w14:paraId="79DF1DD2" w14:textId="2B302356" w:rsidR="00354CB7" w:rsidRPr="00A713FE" w:rsidRDefault="00354CB7" w:rsidP="00354CB7">
          <w:pPr>
            <w:pStyle w:val="TOC1"/>
            <w:tabs>
              <w:tab w:val="right" w:leader="dot" w:pos="9016"/>
            </w:tabs>
            <w:rPr>
              <w:rFonts w:ascii="Calibri" w:hAnsi="Calibri" w:cs="Calibri"/>
              <w:noProof/>
            </w:rPr>
          </w:pPr>
          <w:hyperlink w:anchor="_Toc164962434" w:history="1">
            <w:r w:rsidRPr="00A713FE">
              <w:rPr>
                <w:rStyle w:val="Hyperlink"/>
                <w:rFonts w:ascii="Calibri" w:hAnsi="Calibri" w:cs="Calibri"/>
                <w:noProof/>
              </w:rPr>
              <w:t>Economic</w:t>
            </w:r>
          </w:hyperlink>
          <w:r w:rsidRPr="00A713FE">
            <w:rPr>
              <w:rFonts w:ascii="Calibri" w:hAnsi="Calibri" w:cs="Calibri"/>
              <w:noProof/>
            </w:rPr>
            <w:t xml:space="preserve"> Environment</w:t>
          </w:r>
          <w:r w:rsidRPr="00A713FE">
            <w:rPr>
              <w:rFonts w:ascii="Calibri" w:hAnsi="Calibri" w:cs="Calibri"/>
              <w:noProof/>
              <w:webHidden/>
            </w:rPr>
            <w:tab/>
          </w:r>
          <w:r w:rsidRPr="00A713FE">
            <w:rPr>
              <w:rFonts w:ascii="Calibri" w:hAnsi="Calibri" w:cs="Calibri"/>
              <w:noProof/>
              <w:webHidden/>
            </w:rPr>
            <w:t>4</w:t>
          </w:r>
        </w:p>
        <w:p w14:paraId="7F87FF3D" w14:textId="66B73B68" w:rsidR="00354CB7" w:rsidRPr="00A713FE" w:rsidRDefault="00A855A0" w:rsidP="00354CB7">
          <w:pPr>
            <w:pStyle w:val="TOC1"/>
            <w:tabs>
              <w:tab w:val="right" w:leader="dot" w:pos="9016"/>
            </w:tabs>
            <w:rPr>
              <w:rFonts w:ascii="Calibri" w:hAnsi="Calibri" w:cs="Calibri"/>
              <w:noProof/>
              <w:webHidden/>
            </w:rPr>
          </w:pPr>
          <w:r w:rsidRPr="00A713FE">
            <w:rPr>
              <w:rFonts w:ascii="Calibri" w:hAnsi="Calibri" w:cs="Calibri"/>
            </w:rPr>
            <w:t>Social Environment</w:t>
          </w:r>
          <w:r w:rsidR="00354CB7" w:rsidRPr="00A713FE">
            <w:rPr>
              <w:rFonts w:ascii="Calibri" w:hAnsi="Calibri" w:cs="Calibri"/>
              <w:noProof/>
              <w:webHidden/>
            </w:rPr>
            <w:tab/>
          </w:r>
          <w:r w:rsidR="00354CB7" w:rsidRPr="00A713FE">
            <w:rPr>
              <w:rFonts w:ascii="Calibri" w:hAnsi="Calibri" w:cs="Calibri"/>
              <w:noProof/>
              <w:webHidden/>
            </w:rPr>
            <w:t>4</w:t>
          </w:r>
        </w:p>
        <w:p w14:paraId="2222401D" w14:textId="3B4C1D9F" w:rsidR="00A855A0" w:rsidRPr="00A713FE" w:rsidRDefault="00A855A0" w:rsidP="00A855A0">
          <w:pPr>
            <w:pStyle w:val="TOC1"/>
            <w:tabs>
              <w:tab w:val="right" w:leader="dot" w:pos="9016"/>
            </w:tabs>
            <w:rPr>
              <w:rFonts w:ascii="Calibri" w:hAnsi="Calibri" w:cs="Calibri"/>
              <w:noProof/>
            </w:rPr>
          </w:pPr>
          <w:r w:rsidRPr="00A713FE">
            <w:rPr>
              <w:rFonts w:ascii="Calibri" w:hAnsi="Calibri" w:cs="Calibri"/>
            </w:rPr>
            <w:fldChar w:fldCharType="begin"/>
          </w:r>
          <w:r w:rsidRPr="00A713FE">
            <w:rPr>
              <w:rFonts w:ascii="Calibri" w:hAnsi="Calibri" w:cs="Calibri"/>
            </w:rPr>
            <w:instrText xml:space="preserve"> HYPERLINK \l "_Toc164962434" </w:instrText>
          </w:r>
          <w:r w:rsidRPr="00A713FE">
            <w:rPr>
              <w:rFonts w:ascii="Calibri" w:hAnsi="Calibri" w:cs="Calibri"/>
            </w:rPr>
            <w:fldChar w:fldCharType="separate"/>
          </w:r>
          <w:r w:rsidRPr="00A713FE">
            <w:rPr>
              <w:rStyle w:val="Hyperlink"/>
              <w:rFonts w:ascii="Calibri" w:hAnsi="Calibri" w:cs="Calibri"/>
              <w:noProof/>
            </w:rPr>
            <w:t>Technical</w:t>
          </w:r>
          <w:r w:rsidRPr="00A713FE">
            <w:rPr>
              <w:rFonts w:ascii="Calibri" w:hAnsi="Calibri" w:cs="Calibri"/>
              <w:noProof/>
            </w:rPr>
            <w:fldChar w:fldCharType="end"/>
          </w:r>
          <w:r w:rsidRPr="00A713FE">
            <w:rPr>
              <w:rFonts w:ascii="Calibri" w:hAnsi="Calibri" w:cs="Calibri"/>
              <w:noProof/>
            </w:rPr>
            <w:t xml:space="preserve"> Environment</w:t>
          </w:r>
          <w:r w:rsidRPr="00A713FE">
            <w:rPr>
              <w:rFonts w:ascii="Calibri" w:hAnsi="Calibri" w:cs="Calibri"/>
              <w:noProof/>
              <w:webHidden/>
            </w:rPr>
            <w:tab/>
          </w:r>
          <w:r w:rsidRPr="00A713FE">
            <w:rPr>
              <w:rFonts w:ascii="Calibri" w:hAnsi="Calibri" w:cs="Calibri"/>
              <w:noProof/>
              <w:webHidden/>
            </w:rPr>
            <w:t>5</w:t>
          </w:r>
        </w:p>
        <w:p w14:paraId="1E6EF7B9" w14:textId="48C2F66F" w:rsidR="00A855A0" w:rsidRPr="00A713FE" w:rsidRDefault="00A855A0" w:rsidP="00A855A0">
          <w:pPr>
            <w:rPr>
              <w:rFonts w:ascii="Calibri" w:hAnsi="Calibri" w:cs="Calibri"/>
              <w:b/>
              <w:bCs/>
              <w:i/>
              <w:iCs/>
              <w:noProof/>
              <w:szCs w:val="24"/>
            </w:rPr>
          </w:pPr>
          <w:r w:rsidRPr="00A713FE">
            <w:rPr>
              <w:rFonts w:ascii="Calibri" w:hAnsi="Calibri" w:cs="Calibri"/>
              <w:b/>
              <w:bCs/>
              <w:i/>
              <w:iCs/>
              <w:szCs w:val="24"/>
            </w:rPr>
            <w:t xml:space="preserve">Legal </w:t>
          </w:r>
          <w:r w:rsidRPr="00A713FE">
            <w:rPr>
              <w:rFonts w:ascii="Calibri" w:hAnsi="Calibri" w:cs="Calibri"/>
              <w:b/>
              <w:bCs/>
              <w:i/>
              <w:iCs/>
              <w:szCs w:val="24"/>
            </w:rPr>
            <w:t>Environment</w:t>
          </w:r>
          <w:r w:rsidRPr="00A713FE">
            <w:rPr>
              <w:rFonts w:ascii="Calibri" w:hAnsi="Calibri" w:cs="Calibri"/>
              <w:b/>
              <w:bCs/>
              <w:i/>
              <w:iCs/>
              <w:szCs w:val="24"/>
            </w:rPr>
            <w:t>…………………………………………………………………………………………………………</w:t>
          </w:r>
          <w:r w:rsidRPr="00A713FE">
            <w:rPr>
              <w:rFonts w:ascii="Calibri" w:hAnsi="Calibri" w:cs="Calibri"/>
              <w:b/>
              <w:bCs/>
              <w:i/>
              <w:iCs/>
              <w:noProof/>
              <w:webHidden/>
              <w:szCs w:val="24"/>
            </w:rPr>
            <w:t xml:space="preserve">…5  </w:t>
          </w:r>
          <w:r w:rsidRPr="00A713FE">
            <w:rPr>
              <w:rFonts w:ascii="Calibri" w:hAnsi="Calibri" w:cs="Calibri"/>
              <w:b/>
              <w:bCs/>
              <w:i/>
              <w:iCs/>
              <w:noProof/>
              <w:szCs w:val="24"/>
            </w:rPr>
            <w:t>Environment</w:t>
          </w:r>
          <w:r w:rsidR="00A713FE" w:rsidRPr="00A713FE">
            <w:rPr>
              <w:rFonts w:ascii="Calibri" w:hAnsi="Calibri" w:cs="Calibri"/>
              <w:b/>
              <w:bCs/>
              <w:i/>
              <w:iCs/>
              <w:noProof/>
              <w:szCs w:val="24"/>
            </w:rPr>
            <w:t>a</w:t>
          </w:r>
          <w:r w:rsidRPr="00A713FE">
            <w:rPr>
              <w:rFonts w:ascii="Calibri" w:hAnsi="Calibri" w:cs="Calibri"/>
              <w:b/>
              <w:bCs/>
              <w:i/>
              <w:iCs/>
              <w:noProof/>
              <w:szCs w:val="24"/>
            </w:rPr>
            <w:t>l Factor</w:t>
          </w:r>
          <w:r w:rsidR="00A713FE" w:rsidRPr="00A713FE">
            <w:rPr>
              <w:rFonts w:ascii="Calibri" w:hAnsi="Calibri" w:cs="Calibri"/>
              <w:b/>
              <w:bCs/>
              <w:i/>
              <w:iCs/>
              <w:noProof/>
              <w:szCs w:val="24"/>
            </w:rPr>
            <w:t>s………………………………………………</w:t>
          </w:r>
          <w:r w:rsidR="00A713FE">
            <w:rPr>
              <w:rFonts w:ascii="Calibri" w:hAnsi="Calibri" w:cs="Calibri"/>
              <w:b/>
              <w:bCs/>
              <w:i/>
              <w:iCs/>
              <w:noProof/>
              <w:szCs w:val="24"/>
            </w:rPr>
            <w:t>…….</w:t>
          </w:r>
          <w:r w:rsidR="00A713FE" w:rsidRPr="00A713FE">
            <w:rPr>
              <w:rFonts w:ascii="Calibri" w:hAnsi="Calibri" w:cs="Calibri"/>
              <w:b/>
              <w:bCs/>
              <w:i/>
              <w:iCs/>
              <w:noProof/>
              <w:szCs w:val="24"/>
            </w:rPr>
            <w:t>……………………...</w:t>
          </w:r>
          <w:r w:rsidR="00A713FE">
            <w:rPr>
              <w:rFonts w:ascii="Calibri" w:hAnsi="Calibri" w:cs="Calibri"/>
              <w:b/>
              <w:bCs/>
              <w:i/>
              <w:iCs/>
              <w:noProof/>
              <w:szCs w:val="24"/>
            </w:rPr>
            <w:t>........................</w:t>
          </w:r>
          <w:r w:rsidR="00A713FE">
            <w:rPr>
              <w:rFonts w:ascii="Calibri" w:hAnsi="Calibri" w:cs="Calibri"/>
              <w:b/>
              <w:bCs/>
              <w:i/>
              <w:iCs/>
              <w:noProof/>
              <w:webHidden/>
              <w:szCs w:val="24"/>
            </w:rPr>
            <w:t xml:space="preserve"> </w:t>
          </w:r>
          <w:r w:rsidR="00A713FE" w:rsidRPr="00A713FE">
            <w:rPr>
              <w:rFonts w:ascii="Calibri" w:hAnsi="Calibri" w:cs="Calibri"/>
              <w:b/>
              <w:bCs/>
              <w:i/>
              <w:iCs/>
              <w:noProof/>
              <w:webHidden/>
              <w:szCs w:val="24"/>
            </w:rPr>
            <w:t>6</w:t>
          </w:r>
        </w:p>
        <w:p w14:paraId="1F57D467" w14:textId="2A31F4ED" w:rsidR="00354CB7" w:rsidRPr="00A713FE" w:rsidRDefault="00354CB7" w:rsidP="00354CB7">
          <w:pPr>
            <w:pStyle w:val="TOC1"/>
            <w:tabs>
              <w:tab w:val="right" w:leader="dot" w:pos="9016"/>
            </w:tabs>
            <w:rPr>
              <w:rFonts w:ascii="Calibri" w:hAnsi="Calibri" w:cs="Calibri"/>
              <w:noProof/>
            </w:rPr>
          </w:pPr>
          <w:r w:rsidRPr="00A713FE">
            <w:rPr>
              <w:rFonts w:ascii="Calibri" w:hAnsi="Calibri" w:cs="Calibri"/>
            </w:rPr>
            <w:fldChar w:fldCharType="begin"/>
          </w:r>
          <w:r w:rsidRPr="00A713FE">
            <w:rPr>
              <w:rFonts w:ascii="Calibri" w:hAnsi="Calibri" w:cs="Calibri"/>
            </w:rPr>
            <w:instrText xml:space="preserve"> HYPERLINK \l "_Toc164962436" </w:instrText>
          </w:r>
          <w:r w:rsidRPr="00A713FE">
            <w:rPr>
              <w:rFonts w:ascii="Calibri" w:hAnsi="Calibri" w:cs="Calibri"/>
            </w:rPr>
            <w:fldChar w:fldCharType="separate"/>
          </w:r>
          <w:r w:rsidRPr="00A713FE">
            <w:rPr>
              <w:rStyle w:val="Hyperlink"/>
              <w:rFonts w:ascii="Calibri" w:hAnsi="Calibri" w:cs="Calibri"/>
              <w:noProof/>
            </w:rPr>
            <w:t>Co</w:t>
          </w:r>
          <w:r w:rsidRPr="00A713FE">
            <w:rPr>
              <w:rStyle w:val="Hyperlink"/>
              <w:rFonts w:ascii="Calibri" w:hAnsi="Calibri" w:cs="Calibri"/>
              <w:noProof/>
            </w:rPr>
            <w:t>n</w:t>
          </w:r>
          <w:r w:rsidRPr="00A713FE">
            <w:rPr>
              <w:rStyle w:val="Hyperlink"/>
              <w:rFonts w:ascii="Calibri" w:hAnsi="Calibri" w:cs="Calibri"/>
              <w:noProof/>
            </w:rPr>
            <w:t>clusio</w:t>
          </w:r>
          <w:r w:rsidRPr="00A713FE">
            <w:rPr>
              <w:rStyle w:val="Hyperlink"/>
              <w:rFonts w:ascii="Calibri" w:hAnsi="Calibri" w:cs="Calibri"/>
              <w:noProof/>
            </w:rPr>
            <w:t>n</w:t>
          </w:r>
          <w:r w:rsidRPr="00A713FE">
            <w:rPr>
              <w:rFonts w:ascii="Calibri" w:hAnsi="Calibri" w:cs="Calibri"/>
              <w:noProof/>
              <w:webHidden/>
            </w:rPr>
            <w:tab/>
          </w:r>
          <w:r w:rsidR="00A713FE" w:rsidRPr="00A713FE">
            <w:rPr>
              <w:rFonts w:ascii="Calibri" w:hAnsi="Calibri" w:cs="Calibri"/>
              <w:noProof/>
              <w:webHidden/>
            </w:rPr>
            <w:t>6</w:t>
          </w:r>
          <w:r w:rsidRPr="00A713FE">
            <w:rPr>
              <w:rFonts w:ascii="Calibri" w:hAnsi="Calibri" w:cs="Calibri"/>
              <w:noProof/>
            </w:rPr>
            <w:fldChar w:fldCharType="end"/>
          </w:r>
        </w:p>
        <w:p w14:paraId="077C3608" w14:textId="3629DA2A" w:rsidR="00354CB7" w:rsidRPr="00A713FE" w:rsidRDefault="00354CB7" w:rsidP="00354CB7">
          <w:pPr>
            <w:pStyle w:val="TOC1"/>
            <w:tabs>
              <w:tab w:val="right" w:leader="dot" w:pos="9016"/>
            </w:tabs>
            <w:rPr>
              <w:rFonts w:ascii="Times New Roman" w:hAnsi="Times New Roman" w:cs="Times New Roman"/>
              <w:i w:val="0"/>
              <w:iCs w:val="0"/>
              <w:noProof/>
            </w:rPr>
          </w:pPr>
          <w:hyperlink w:anchor="_Toc164962437" w:history="1">
            <w:r w:rsidRPr="00A713FE">
              <w:rPr>
                <w:rStyle w:val="Hyperlink"/>
                <w:rFonts w:ascii="Calibri" w:hAnsi="Calibri" w:cs="Calibri"/>
                <w:noProof/>
              </w:rPr>
              <w:t>References:</w:t>
            </w:r>
            <w:r w:rsidRPr="00A713FE">
              <w:rPr>
                <w:rFonts w:ascii="Calibri" w:hAnsi="Calibri" w:cs="Calibri"/>
                <w:noProof/>
                <w:webHidden/>
              </w:rPr>
              <w:tab/>
            </w:r>
            <w:r w:rsidR="00A713FE" w:rsidRPr="00A713FE">
              <w:rPr>
                <w:rFonts w:ascii="Calibri" w:hAnsi="Calibri" w:cs="Calibri"/>
                <w:noProof/>
                <w:webHidden/>
              </w:rPr>
              <w:t>7</w:t>
            </w:r>
          </w:hyperlink>
        </w:p>
        <w:p w14:paraId="433196BD" w14:textId="77777777" w:rsidR="00354CB7" w:rsidRPr="000D2263" w:rsidRDefault="00354CB7" w:rsidP="00354CB7">
          <w:r>
            <w:rPr>
              <w:b/>
              <w:bCs/>
              <w:noProof/>
            </w:rPr>
            <w:fldChar w:fldCharType="end"/>
          </w:r>
        </w:p>
      </w:sdtContent>
    </w:sdt>
    <w:p w14:paraId="1009648C" w14:textId="77777777" w:rsidR="00354CB7" w:rsidRDefault="00354CB7" w:rsidP="008D0066">
      <w:pPr>
        <w:pStyle w:val="Heading1"/>
      </w:pPr>
    </w:p>
    <w:p w14:paraId="1A125B42" w14:textId="1C364400" w:rsidR="00354CB7" w:rsidRDefault="00354CB7" w:rsidP="008D0066">
      <w:pPr>
        <w:pStyle w:val="Heading1"/>
      </w:pPr>
    </w:p>
    <w:p w14:paraId="68DB7D0E" w14:textId="47595FBF" w:rsidR="00354CB7" w:rsidRDefault="00354CB7" w:rsidP="00354CB7">
      <w:pPr>
        <w:rPr>
          <w:lang w:val="en-US"/>
        </w:rPr>
      </w:pPr>
    </w:p>
    <w:p w14:paraId="4ABAFE2C" w14:textId="02B5CB62" w:rsidR="00354CB7" w:rsidRDefault="00354CB7" w:rsidP="00354CB7">
      <w:pPr>
        <w:rPr>
          <w:lang w:val="en-US"/>
        </w:rPr>
      </w:pPr>
    </w:p>
    <w:p w14:paraId="13482993" w14:textId="526F9E02" w:rsidR="00354CB7" w:rsidRDefault="00354CB7" w:rsidP="00354CB7">
      <w:pPr>
        <w:rPr>
          <w:lang w:val="en-US"/>
        </w:rPr>
      </w:pPr>
    </w:p>
    <w:p w14:paraId="1F0D86A6" w14:textId="64F35290" w:rsidR="00354CB7" w:rsidRDefault="00354CB7" w:rsidP="00354CB7">
      <w:pPr>
        <w:rPr>
          <w:lang w:val="en-US"/>
        </w:rPr>
      </w:pPr>
    </w:p>
    <w:p w14:paraId="65B34A5B" w14:textId="2A38826A" w:rsidR="00354CB7" w:rsidRDefault="00354CB7" w:rsidP="00354CB7">
      <w:pPr>
        <w:rPr>
          <w:lang w:val="en-US"/>
        </w:rPr>
      </w:pPr>
    </w:p>
    <w:p w14:paraId="54EFF1ED" w14:textId="1420EDA3" w:rsidR="00354CB7" w:rsidRDefault="00354CB7" w:rsidP="00354CB7">
      <w:pPr>
        <w:rPr>
          <w:lang w:val="en-US"/>
        </w:rPr>
      </w:pPr>
    </w:p>
    <w:p w14:paraId="4E494634" w14:textId="77777777" w:rsidR="00354CB7" w:rsidRPr="00354CB7" w:rsidRDefault="00354CB7" w:rsidP="00354CB7">
      <w:pPr>
        <w:rPr>
          <w:lang w:val="en-US"/>
        </w:rPr>
      </w:pPr>
    </w:p>
    <w:p w14:paraId="18EFCB8A" w14:textId="77777777" w:rsidR="00354CB7" w:rsidRDefault="00354CB7" w:rsidP="008D0066">
      <w:pPr>
        <w:pStyle w:val="Heading1"/>
      </w:pPr>
    </w:p>
    <w:p w14:paraId="4E6135D2" w14:textId="7012C7C5" w:rsidR="008D0066" w:rsidRDefault="008D0066" w:rsidP="00A713FE">
      <w:pPr>
        <w:rPr>
          <w:lang w:val="en-US"/>
        </w:rPr>
      </w:pPr>
    </w:p>
    <w:p w14:paraId="025C3121" w14:textId="77777777" w:rsidR="00354CB7" w:rsidRPr="00354CB7" w:rsidRDefault="00354CB7" w:rsidP="00354CB7">
      <w:pPr>
        <w:pStyle w:val="Heading1"/>
        <w:jc w:val="center"/>
        <w:rPr>
          <w:sz w:val="32"/>
        </w:rPr>
      </w:pPr>
      <w:r w:rsidRPr="00354CB7">
        <w:rPr>
          <w:sz w:val="32"/>
        </w:rPr>
        <w:lastRenderedPageBreak/>
        <w:t>PESTEL analysis</w:t>
      </w:r>
    </w:p>
    <w:p w14:paraId="59ED5ED7" w14:textId="77777777" w:rsidR="00354CB7" w:rsidRDefault="00354CB7" w:rsidP="008D0066">
      <w:pPr>
        <w:pStyle w:val="Heading2"/>
      </w:pPr>
    </w:p>
    <w:p w14:paraId="025AAB42" w14:textId="5DA339CD" w:rsidR="008D0066" w:rsidRDefault="008D0066" w:rsidP="008D0066">
      <w:pPr>
        <w:pStyle w:val="Heading2"/>
      </w:pPr>
      <w:r>
        <w:t>Introduction:</w:t>
      </w:r>
    </w:p>
    <w:p w14:paraId="6B68C104" w14:textId="77777777" w:rsidR="008D0066" w:rsidRDefault="008D0066" w:rsidP="00354CB7">
      <w:pPr>
        <w:jc w:val="both"/>
      </w:pPr>
      <w:r w:rsidRPr="008D0066">
        <w:t>This paper seeks to highlight the various external factors that an organization ought to consider in a world that is characterized by heightened interconnectivity and global competition. The most common of these tools is the PESTLE analysis that looks at the Political, Economic, Social, Technological, Legal and Environmental factors prevalent in the organisation operating environment (</w:t>
      </w:r>
      <w:proofErr w:type="spellStart"/>
      <w:r w:rsidRPr="008D0066">
        <w:t>Yüksel</w:t>
      </w:r>
      <w:proofErr w:type="spellEnd"/>
      <w:r w:rsidRPr="008D0066">
        <w:t>, 2012). This framework assists firms to be aware of the dynamics of the operating environment with an added that involves an evaluation of the challenges or opportunities that may emanate from the environment.</w:t>
      </w:r>
      <w:r w:rsidRPr="008D0066">
        <w:br/>
        <w:t>These external factors have to be clearly understood and analysed so that businesses should be able to cope up with these changes and be able to come up with an apt strategy that will make them withstand the competition. For example, changes in factors like inflation or exchange rates, are likely to influence directly the profitability of a business as well as decisions (Gupta, 2013). Likewise, using innovation communication technology may bring innovation opportunities that are diseased with risks if companies do not respond positively at the right time (Rastogi and Trivedi, 2016).</w:t>
      </w:r>
      <w:r w:rsidRPr="008D0066">
        <w:br/>
        <w:t xml:space="preserve">In this essay, the intention is to expand on each of the factors in the PESTLE model and explain how each influences </w:t>
      </w:r>
      <w:proofErr w:type="gramStart"/>
      <w:r w:rsidRPr="008D0066">
        <w:t>businesses</w:t>
      </w:r>
      <w:proofErr w:type="gramEnd"/>
      <w:r w:rsidRPr="008D0066">
        <w:t xml:space="preserve"> on the same directly. This will be illustrated by examples and make clear that the systematic conduct of environment analysis is an important prerequisite for strategic guidance as well as for business viability in the long term.</w:t>
      </w:r>
    </w:p>
    <w:p w14:paraId="2CC19F95" w14:textId="77777777" w:rsidR="00613F2F" w:rsidRDefault="00613F2F" w:rsidP="00354CB7">
      <w:pPr>
        <w:pStyle w:val="Heading3"/>
        <w:jc w:val="both"/>
      </w:pPr>
      <w:r>
        <w:t>Political factors:</w:t>
      </w:r>
    </w:p>
    <w:p w14:paraId="1B13DB8B" w14:textId="77777777" w:rsidR="00613F2F" w:rsidRDefault="008544CF" w:rsidP="00354CB7">
      <w:pPr>
        <w:jc w:val="both"/>
      </w:pPr>
      <w:r w:rsidRPr="008544CF">
        <w:t xml:space="preserve">Political environment comprises of government involvement or support, political regulations that affect the business operations. Where political culture is relative and dynamic, political factors work as both opportunities and </w:t>
      </w:r>
      <w:proofErr w:type="gramStart"/>
      <w:r w:rsidRPr="008544CF">
        <w:t>threats .</w:t>
      </w:r>
      <w:proofErr w:type="gramEnd"/>
      <w:r w:rsidRPr="008544CF">
        <w:t xml:space="preserve"> For example, there is information on the following business factors that might influence business operations: government policies, including taxes, trade barriers, or labour relations. In general, political stability creates a </w:t>
      </w:r>
      <w:proofErr w:type="spellStart"/>
      <w:r w:rsidRPr="008544CF">
        <w:t>favorable</w:t>
      </w:r>
      <w:proofErr w:type="spellEnd"/>
      <w:r w:rsidRPr="008544CF">
        <w:t xml:space="preserve"> environment for business expansion and investment, while respect generates business risk and instability (Hill et al., 2017).</w:t>
      </w:r>
      <w:r w:rsidRPr="008544CF">
        <w:br/>
        <w:t xml:space="preserve">One of the best examples of the implications of political factors can be observed in the Brexit referendum which unsettled the numerous companies in the UK and the European Union. This obviously presented firms with challenges in aspects relating to trade agreements, tariffs, and </w:t>
      </w:r>
      <w:r w:rsidRPr="008544CF">
        <w:lastRenderedPageBreak/>
        <w:t xml:space="preserve">regulatory work, which interfered with the supply chains and tended to trigger higher expenses (Dhingra </w:t>
      </w:r>
      <w:proofErr w:type="gramStart"/>
      <w:r w:rsidRPr="008544CF">
        <w:t>et al. ,</w:t>
      </w:r>
      <w:proofErr w:type="gramEnd"/>
      <w:r w:rsidRPr="008544CF">
        <w:t xml:space="preserve"> 2017). In the same respect, the US-China trade war, which saw both countries place tariffs or taxes on several billions of </w:t>
      </w:r>
      <w:proofErr w:type="spellStart"/>
      <w:r w:rsidRPr="008544CF">
        <w:t>dollars worth</w:t>
      </w:r>
      <w:proofErr w:type="spellEnd"/>
      <w:r w:rsidRPr="008544CF">
        <w:t xml:space="preserve"> of commodities have affected companies operating in diverse sectors to switch tact on their supply and marketing approaches (</w:t>
      </w:r>
      <w:proofErr w:type="spellStart"/>
      <w:r w:rsidRPr="008544CF">
        <w:t>Bown</w:t>
      </w:r>
      <w:proofErr w:type="spellEnd"/>
      <w:r w:rsidRPr="008544CF">
        <w:t>, 2019).</w:t>
      </w:r>
    </w:p>
    <w:p w14:paraId="63DA10C0" w14:textId="77777777" w:rsidR="00B72E21" w:rsidRDefault="00B72E21" w:rsidP="00354CB7">
      <w:pPr>
        <w:pStyle w:val="Heading3"/>
        <w:jc w:val="both"/>
      </w:pPr>
      <w:r>
        <w:t>Economic Environment:</w:t>
      </w:r>
    </w:p>
    <w:p w14:paraId="3FC18ADD" w14:textId="77777777" w:rsidR="00B72E21" w:rsidRPr="00B72E21" w:rsidRDefault="00C16E15" w:rsidP="00354CB7">
      <w:pPr>
        <w:jc w:val="both"/>
      </w:pPr>
      <w:r w:rsidRPr="00C16E15">
        <w:t>Economic factors are among the most important factors impacting business operations as they determine such factors as price as well as the total demand. Inflation plus interest rates and economic growth, either positively or negative impact on the profitability of the business, and viability. Inflation for instance reduces purchasing power and can result in additional costs to factors of production such as raw materials and labour which organizations tend to transfer to consumers in the form of price charges. This in turn limits spending by consumers, and may cut sales and profitability to the extent that many companies may struggle to survive if they cannot move to a model which will support the higher overheads (</w:t>
      </w:r>
      <w:proofErr w:type="spellStart"/>
      <w:r w:rsidRPr="00C16E15">
        <w:t>Sloman</w:t>
      </w:r>
      <w:proofErr w:type="spellEnd"/>
      <w:r w:rsidRPr="00C16E15">
        <w:t xml:space="preserve"> </w:t>
      </w:r>
      <w:proofErr w:type="gramStart"/>
      <w:r w:rsidRPr="00C16E15">
        <w:t>et al. ,</w:t>
      </w:r>
      <w:proofErr w:type="gramEnd"/>
      <w:r w:rsidRPr="00C16E15">
        <w:t xml:space="preserve"> 2016).</w:t>
      </w:r>
      <w:r w:rsidRPr="00C16E15">
        <w:br/>
        <w:t>Another factor of the economy is the rate of interest paid on the borrowed fund. Automobile and house purchases are sensitive to changes in the cost of borrowing since this affects consumers’ disposable income, thus higher interest rates lower the rate of expansion of businesses since consumers will not be able to buy such items. On the other hand, situations where interest rates are lowered have more positives because this will help the economy to borrow at cheaper rates hence the boost in the spending spree by consumers and investment by firms (Mankiw, 2016). For instance, during the financial crisis in the year 2008, most organizations received both higher cost pressures and lower revenues and many organizations closed down and filed for bankruptcy.</w:t>
      </w:r>
    </w:p>
    <w:p w14:paraId="7EF91673" w14:textId="77777777" w:rsidR="00B72E21" w:rsidRDefault="009076D4" w:rsidP="00354CB7">
      <w:pPr>
        <w:pStyle w:val="Heading3"/>
        <w:jc w:val="both"/>
      </w:pPr>
      <w:r>
        <w:t>Social environment:</w:t>
      </w:r>
    </w:p>
    <w:p w14:paraId="34DF35A3" w14:textId="77777777" w:rsidR="009076D4" w:rsidRPr="009076D4" w:rsidRDefault="0036391B" w:rsidP="00354CB7">
      <w:pPr>
        <w:jc w:val="both"/>
      </w:pPr>
      <w:r w:rsidRPr="0036391B">
        <w:t xml:space="preserve">The social environment includes the cultural factors, population growth, and social trends that affect consumers and in turn organizations. Social factors are that are important to business as they influence the level of demand in the market, the products to be marketed and the methods through which a product is marketed. For </w:t>
      </w:r>
      <w:proofErr w:type="gramStart"/>
      <w:r w:rsidRPr="0036391B">
        <w:t>instance</w:t>
      </w:r>
      <w:proofErr w:type="gramEnd"/>
      <w:r w:rsidRPr="0036391B">
        <w:t xml:space="preserve"> there has been a change in population characteristics such as ageing which is prevalent in many developed countries and this has caused organisations to direction their products and services towards the elderly. This shift has been more visible in such sectors as healthcare there is growing concern for products and services that target elderly people (Kotler and Keller, 2016).</w:t>
      </w:r>
      <w:r w:rsidRPr="0036391B">
        <w:br/>
      </w:r>
      <w:r w:rsidRPr="0036391B">
        <w:br/>
        <w:t xml:space="preserve">Another feature, which is critical to explain the state of affairs in business, is cultural imperatives </w:t>
      </w:r>
      <w:r w:rsidRPr="0036391B">
        <w:lastRenderedPageBreak/>
        <w:t>and role models. For instance, the increased pressure on people to consume products that are friendly to the environment has forced many organizations to embrace environmental conservation. It has brought about establishment of new firms dealing with environmentally friendly goods and services, and forced firms producing unfair merchandise to change their image or alter the contents of their products. One good example is the fashion industry and textile industries where companies that do not embrace sustainability as a model are likely to lose business to those embracing the model (Solomon, 2018).</w:t>
      </w:r>
    </w:p>
    <w:p w14:paraId="72196B6E" w14:textId="77777777" w:rsidR="008D0066" w:rsidRDefault="00B76F05" w:rsidP="00354CB7">
      <w:pPr>
        <w:pStyle w:val="Heading3"/>
        <w:jc w:val="both"/>
      </w:pPr>
      <w:r>
        <w:t>Technological Environment:</w:t>
      </w:r>
    </w:p>
    <w:p w14:paraId="62A2266A" w14:textId="12EA32BA" w:rsidR="00DB212A" w:rsidRDefault="00BC6FD3" w:rsidP="00354CB7">
      <w:pPr>
        <w:jc w:val="both"/>
      </w:pPr>
      <w:r w:rsidRPr="00BC6FD3">
        <w:t>Technological factors and innovation are among the most significant and fast-changing forces that shape the business environment. Technological advances bring growth and expansion opportunities on the other extreme organizations find these advances as a major challenge to contend with. For instance, in today’s society, the distribution channels have been affected mainly by digital technologies, for instance, the retail, and media industries among others whereby many companies are able to have their products accessed globally through online and e-commerce platforms. Some of the firms that have adopted these technologies are Amazon, Netflix and others that have benefited by improving customer experience and deploying technologies decisively (Brynjolfsson and McAfee, 2014).</w:t>
      </w:r>
      <w:r w:rsidRPr="00BC6FD3">
        <w:br/>
      </w:r>
      <w:r w:rsidRPr="00BC6FD3">
        <w:br/>
        <w:t xml:space="preserve">However, organizations that do not change with the growing technology end up being on the receiving end of it. For example, store-based retailers who have failed to implement the internet commerce capabilities have lagged behind e-tailers. Some examples include Blockbuster that was displaced by digital technologies because of its inability to embrace the new wave of change (Christensen </w:t>
      </w:r>
      <w:proofErr w:type="gramStart"/>
      <w:r w:rsidRPr="00BC6FD3">
        <w:t>et al. ,</w:t>
      </w:r>
      <w:proofErr w:type="gramEnd"/>
      <w:r w:rsidRPr="00BC6FD3">
        <w:t xml:space="preserve"> 2016). The capacity to innovate or transform itself in response to new technologies is therefore these crucial for businesses that wish to ensure its continued competitiveness within a fast-changing environment.</w:t>
      </w:r>
    </w:p>
    <w:p w14:paraId="01A8A52D" w14:textId="77777777" w:rsidR="00DB212A" w:rsidRDefault="00DB212A" w:rsidP="00354CB7">
      <w:pPr>
        <w:pStyle w:val="Heading3"/>
        <w:jc w:val="both"/>
      </w:pPr>
      <w:r>
        <w:t>Legal Environment:</w:t>
      </w:r>
    </w:p>
    <w:p w14:paraId="3DD5672B" w14:textId="77777777" w:rsidR="005A20D1" w:rsidRDefault="005A20D1" w:rsidP="00354CB7">
      <w:pPr>
        <w:jc w:val="both"/>
      </w:pPr>
      <w:r w:rsidRPr="005A20D1">
        <w:t xml:space="preserve">Legal factors refer to the legal systems that exist and the legal structures within which firms and organizations have to operate. This category comprises </w:t>
      </w:r>
      <w:proofErr w:type="gramStart"/>
      <w:r w:rsidRPr="005A20D1">
        <w:t>of;</w:t>
      </w:r>
      <w:proofErr w:type="gramEnd"/>
      <w:r w:rsidRPr="005A20D1">
        <w:t xml:space="preserve"> employment and immigration law, health and safety regulations, consumer rights laws, and environment laws. These laws are obligatory to be implemented, and if not followed they can lead to severe consequences, legal suits, or even loss of business reputation. For instance, organisations in the pharmaceutical sector are closely controlled and various rules and regulations govern the approval of new drugs and how </w:t>
      </w:r>
      <w:r w:rsidRPr="005A20D1">
        <w:lastRenderedPageBreak/>
        <w:t xml:space="preserve">they are advertised, among others. One of the most striking examples is Johnson &amp; Johnson, which suffered several lawsuits regarding its talcum powder </w:t>
      </w:r>
      <w:proofErr w:type="gramStart"/>
      <w:r w:rsidRPr="005A20D1">
        <w:t>products</w:t>
      </w:r>
      <w:proofErr w:type="gramEnd"/>
      <w:r w:rsidRPr="005A20D1">
        <w:t xml:space="preserve"> and which amounts to billions of dollars (Harris, 2020).</w:t>
      </w:r>
    </w:p>
    <w:p w14:paraId="3EE3C2D3" w14:textId="63D5172D" w:rsidR="00DB212A" w:rsidRPr="00DB212A" w:rsidRDefault="005A20D1" w:rsidP="00354CB7">
      <w:pPr>
        <w:jc w:val="both"/>
      </w:pPr>
      <w:r w:rsidRPr="005A20D1">
        <w:br/>
      </w:r>
      <w:proofErr w:type="spellStart"/>
      <w:r w:rsidRPr="005A20D1">
        <w:rPr>
          <w:rStyle w:val="Heading3Char"/>
        </w:rPr>
        <w:t>EnvironmentalFactors</w:t>
      </w:r>
      <w:proofErr w:type="spellEnd"/>
      <w:r w:rsidRPr="005A20D1">
        <w:rPr>
          <w:rStyle w:val="Heading3Char"/>
        </w:rPr>
        <w:t>:</w:t>
      </w:r>
      <w:r w:rsidRPr="005A20D1">
        <w:br/>
        <w:t>Environmental factors include the natural and environmental components that influence the operations of businesses including climate change, sustainability, and environmental policies. Businesses have a responsibility to embrace environmental conservation through cutting down their emission of pollutants in accordance with the law and customer preferences for products from environmentally conscious enterprises. For instance, the automotive industry has undergone great changes as more manufacturers turn to the production of electric vehicle due to environmentally friendly considerations and set standards of emission. Tesla has excelled in this environment by posturing its company as a pioneer in sustainable technology while traditional automakers had to reckon their positions fast (Sarkis, 2017).</w:t>
      </w:r>
    </w:p>
    <w:p w14:paraId="42B5F4AA" w14:textId="77777777" w:rsidR="008D0066" w:rsidRDefault="001E6AA2" w:rsidP="00354CB7">
      <w:pPr>
        <w:pStyle w:val="Heading2"/>
        <w:jc w:val="both"/>
      </w:pPr>
      <w:r>
        <w:t>Conclusion:</w:t>
      </w:r>
    </w:p>
    <w:p w14:paraId="5977F9B2" w14:textId="77777777" w:rsidR="008D0066" w:rsidRDefault="001E6AA2" w:rsidP="00354CB7">
      <w:pPr>
        <w:jc w:val="both"/>
      </w:pPr>
      <w:r w:rsidRPr="001E6AA2">
        <w:t xml:space="preserve">The PESTLE model which includes political, </w:t>
      </w:r>
      <w:proofErr w:type="spellStart"/>
      <w:r w:rsidRPr="001E6AA2">
        <w:t>economical</w:t>
      </w:r>
      <w:proofErr w:type="spellEnd"/>
      <w:r w:rsidRPr="001E6AA2">
        <w:t xml:space="preserve">, social, technical, legal and environmental elements of environment analysis is specifically looks at the macro environment in a broader way in contrast to </w:t>
      </w:r>
      <w:proofErr w:type="gramStart"/>
      <w:r w:rsidRPr="001E6AA2">
        <w:t>micro environment</w:t>
      </w:r>
      <w:proofErr w:type="gramEnd"/>
      <w:r w:rsidRPr="001E6AA2">
        <w:t xml:space="preserve"> analysis. Any of these elements can impact on business decisions and the interaction between them, and these elements, effectively dictate the success or failure of organisations in international business. For instance, advancement in technology brings new opportunities for innovations, it also brings problems to organizations that are unable to embrace such changes. In the same vein, it is possible to refer to such factors as legal changes and environmental regulations: it increases costs if a company fails to respond to </w:t>
      </w:r>
      <w:proofErr w:type="gramStart"/>
      <w:r w:rsidRPr="001E6AA2">
        <w:t>them, or</w:t>
      </w:r>
      <w:proofErr w:type="gramEnd"/>
      <w:r w:rsidRPr="001E6AA2">
        <w:t xml:space="preserve"> creates new opportunities for proactive companies. Indeed, the social factors, including the changing attitudes to sustainability or environment, prompt organizations to reconsider their offerings. With the help of PESTLE analysis performed on a constant basis, the different changes within the external environment of a given company can be partly prevented or, at worst, foreseen and, thus, a possible threat may turn into an opportunity and vice versa. So, the long-term success is guaranteed. Thus, the consideration of PESTLE factors is not just for mere existence in the dynamic and competitive environment but actually for growth and prosperity.</w:t>
      </w:r>
    </w:p>
    <w:p w14:paraId="30C0B5FD" w14:textId="77777777" w:rsidR="008D0066" w:rsidRDefault="008D0066" w:rsidP="00354CB7">
      <w:pPr>
        <w:jc w:val="both"/>
      </w:pPr>
    </w:p>
    <w:p w14:paraId="6C126FB1" w14:textId="77777777" w:rsidR="008D0066" w:rsidRDefault="008D0066" w:rsidP="008D0066">
      <w:pPr>
        <w:pStyle w:val="Heading2"/>
      </w:pPr>
      <w:r>
        <w:lastRenderedPageBreak/>
        <w:t>References:</w:t>
      </w:r>
    </w:p>
    <w:p w14:paraId="1A53CFC4" w14:textId="77777777" w:rsidR="0053286A" w:rsidRPr="0053286A" w:rsidRDefault="0053286A" w:rsidP="00354CB7">
      <w:pPr>
        <w:jc w:val="both"/>
        <w:rPr>
          <w:lang w:val="en-US"/>
        </w:rPr>
      </w:pPr>
      <w:r w:rsidRPr="0053286A">
        <w:rPr>
          <w:lang w:val="en-US"/>
        </w:rPr>
        <w:t>Gupta, A. (2013) 'Environmental and PEST Analysis: An Approach to External Business Environment', International Journal of Modern Social Sciences, 2(1), pp. 34-43.</w:t>
      </w:r>
      <w:r>
        <w:rPr>
          <w:lang w:val="en-US"/>
        </w:rPr>
        <w:t xml:space="preserve"> Online available at: </w:t>
      </w:r>
      <w:hyperlink r:id="rId7" w:history="1">
        <w:r w:rsidRPr="003F0285">
          <w:rPr>
            <w:rStyle w:val="Hyperlink"/>
            <w:lang w:val="en-US"/>
          </w:rPr>
          <w:t>https://modernscientificpress.com/Journals/ViewArticle.aspx?YTDXIp8pwb35qABc+2BV/1WJUQnMuLGNSj0NcUX/H4nrYH2pOUyBFV904kXBzuJV</w:t>
        </w:r>
      </w:hyperlink>
      <w:r>
        <w:rPr>
          <w:lang w:val="en-US"/>
        </w:rPr>
        <w:t xml:space="preserve"> </w:t>
      </w:r>
    </w:p>
    <w:p w14:paraId="1C564C6D" w14:textId="77777777" w:rsidR="0053286A" w:rsidRPr="0053286A" w:rsidRDefault="0053286A" w:rsidP="00354CB7">
      <w:pPr>
        <w:jc w:val="both"/>
        <w:rPr>
          <w:lang w:val="en-US"/>
        </w:rPr>
      </w:pPr>
      <w:r w:rsidRPr="0053286A">
        <w:rPr>
          <w:lang w:val="en-US"/>
        </w:rPr>
        <w:t>Rastogi, P. and Trivedi, M. (2016) 'PESTLE Technique – A Tool to Identify External Risks in Construction Projects', International Research Journal of Engineering and Technology, 3(1), pp. 384-388.</w:t>
      </w:r>
      <w:r>
        <w:rPr>
          <w:lang w:val="en-US"/>
        </w:rPr>
        <w:t xml:space="preserve"> Online available at:</w:t>
      </w:r>
      <w:r w:rsidRPr="0053286A">
        <w:t xml:space="preserve"> </w:t>
      </w:r>
      <w:hyperlink r:id="rId8" w:history="1">
        <w:r w:rsidRPr="003F0285">
          <w:rPr>
            <w:rStyle w:val="Hyperlink"/>
            <w:lang w:val="en-US"/>
          </w:rPr>
          <w:t>https://www.irjet.net/archives/V3/i1/IRJET-V3I165.pdf</w:t>
        </w:r>
      </w:hyperlink>
      <w:r>
        <w:rPr>
          <w:lang w:val="en-US"/>
        </w:rPr>
        <w:t xml:space="preserve"> </w:t>
      </w:r>
    </w:p>
    <w:p w14:paraId="35BEAA3F" w14:textId="77777777" w:rsidR="008D0066" w:rsidRDefault="0053286A" w:rsidP="00354CB7">
      <w:pPr>
        <w:jc w:val="both"/>
        <w:rPr>
          <w:lang w:val="en-US"/>
        </w:rPr>
      </w:pPr>
      <w:proofErr w:type="spellStart"/>
      <w:r w:rsidRPr="0053286A">
        <w:rPr>
          <w:lang w:val="en-US"/>
        </w:rPr>
        <w:t>Yüksel</w:t>
      </w:r>
      <w:proofErr w:type="spellEnd"/>
      <w:r w:rsidRPr="0053286A">
        <w:rPr>
          <w:lang w:val="en-US"/>
        </w:rPr>
        <w:t>, I. (2012) 'Developing a Multi-</w:t>
      </w:r>
      <w:proofErr w:type="gramStart"/>
      <w:r w:rsidRPr="0053286A">
        <w:rPr>
          <w:lang w:val="en-US"/>
        </w:rPr>
        <w:t>Criteria Decision Making</w:t>
      </w:r>
      <w:proofErr w:type="gramEnd"/>
      <w:r w:rsidRPr="0053286A">
        <w:rPr>
          <w:lang w:val="en-US"/>
        </w:rPr>
        <w:t xml:space="preserve"> Model for PESTEL Analysis', International Journal of Business and Management, 7(24), pp. 52-66.</w:t>
      </w:r>
      <w:r>
        <w:rPr>
          <w:lang w:val="en-US"/>
        </w:rPr>
        <w:t xml:space="preserve"> Online available at: </w:t>
      </w:r>
      <w:hyperlink r:id="rId9" w:history="1">
        <w:r w:rsidRPr="003F0285">
          <w:rPr>
            <w:rStyle w:val="Hyperlink"/>
            <w:lang w:val="en-US"/>
          </w:rPr>
          <w:t>https://www.researchgate.net/publication/274863692_Developing_a_Multi-Criteria_Decision_Making_Model_for_PESTEL_Analysis</w:t>
        </w:r>
      </w:hyperlink>
      <w:r>
        <w:rPr>
          <w:lang w:val="en-US"/>
        </w:rPr>
        <w:t xml:space="preserve"> </w:t>
      </w:r>
    </w:p>
    <w:p w14:paraId="6E95F2A6" w14:textId="77777777" w:rsidR="008544CF" w:rsidRPr="008544CF" w:rsidRDefault="008544CF" w:rsidP="00354CB7">
      <w:pPr>
        <w:jc w:val="both"/>
        <w:rPr>
          <w:lang w:val="en-US"/>
        </w:rPr>
      </w:pPr>
      <w:proofErr w:type="spellStart"/>
      <w:r w:rsidRPr="008544CF">
        <w:rPr>
          <w:lang w:val="en-US"/>
        </w:rPr>
        <w:t>Bown</w:t>
      </w:r>
      <w:proofErr w:type="spellEnd"/>
      <w:r w:rsidRPr="008544CF">
        <w:rPr>
          <w:lang w:val="en-US"/>
        </w:rPr>
        <w:t>, C. P. (2019) 'The 2018 US-China Trade Conflict After 40 Years of Special Protection', China Economic Journal, 12(2), pp. 109-136.</w:t>
      </w:r>
      <w:r>
        <w:rPr>
          <w:lang w:val="en-US"/>
        </w:rPr>
        <w:t xml:space="preserve"> Online available at: </w:t>
      </w:r>
      <w:hyperlink r:id="rId10" w:history="1">
        <w:r w:rsidRPr="003F0285">
          <w:rPr>
            <w:rStyle w:val="Hyperlink"/>
            <w:lang w:val="en-US"/>
          </w:rPr>
          <w:t>https://www.piie.com/publications/working-papers/2018-us-china-trade-conflict-after-40-years-special-protection</w:t>
        </w:r>
      </w:hyperlink>
      <w:r>
        <w:rPr>
          <w:lang w:val="en-US"/>
        </w:rPr>
        <w:t xml:space="preserve"> </w:t>
      </w:r>
    </w:p>
    <w:p w14:paraId="098ABA40" w14:textId="77777777" w:rsidR="008544CF" w:rsidRPr="008544CF" w:rsidRDefault="008544CF" w:rsidP="00354CB7">
      <w:pPr>
        <w:jc w:val="both"/>
        <w:rPr>
          <w:lang w:val="en-US"/>
        </w:rPr>
      </w:pPr>
      <w:r w:rsidRPr="008544CF">
        <w:rPr>
          <w:lang w:val="en-US"/>
        </w:rPr>
        <w:t xml:space="preserve">Dhingra, S., Huang, H., </w:t>
      </w:r>
      <w:proofErr w:type="spellStart"/>
      <w:r w:rsidRPr="008544CF">
        <w:rPr>
          <w:lang w:val="en-US"/>
        </w:rPr>
        <w:t>Ottaviano</w:t>
      </w:r>
      <w:proofErr w:type="spellEnd"/>
      <w:r w:rsidRPr="008544CF">
        <w:rPr>
          <w:lang w:val="en-US"/>
        </w:rPr>
        <w:t>, G., Pessoa, J. P., Sampson, T. and Van Reenen, J. (2017) 'The Costs and Benefits of Leaving the EU: Trade Effects', Economic Policy, 32(92), pp. 651-705.</w:t>
      </w:r>
      <w:r>
        <w:rPr>
          <w:lang w:val="en-US"/>
        </w:rPr>
        <w:t xml:space="preserve"> </w:t>
      </w:r>
      <w:r w:rsidRPr="008544CF">
        <w:rPr>
          <w:lang w:val="en-US"/>
        </w:rPr>
        <w:t>Online available at:</w:t>
      </w:r>
      <w:r>
        <w:rPr>
          <w:lang w:val="en-US"/>
        </w:rPr>
        <w:t xml:space="preserve"> </w:t>
      </w:r>
      <w:hyperlink r:id="rId11" w:history="1">
        <w:r w:rsidRPr="003F0285">
          <w:rPr>
            <w:rStyle w:val="Hyperlink"/>
            <w:lang w:val="en-US"/>
          </w:rPr>
          <w:t>https://eprints.lse.ac.uk/84087/1/Sampson%20et%20al._The%20costs%20and%20benefits%20of%20leaving%20the%20EU_Final_2017.pdf</w:t>
        </w:r>
      </w:hyperlink>
      <w:r>
        <w:rPr>
          <w:lang w:val="en-US"/>
        </w:rPr>
        <w:t xml:space="preserve"> </w:t>
      </w:r>
    </w:p>
    <w:p w14:paraId="2A17EB1D" w14:textId="77777777" w:rsidR="00613F2F" w:rsidRDefault="008544CF" w:rsidP="00354CB7">
      <w:pPr>
        <w:jc w:val="both"/>
        <w:rPr>
          <w:lang w:val="en-US"/>
        </w:rPr>
      </w:pPr>
      <w:r w:rsidRPr="008544CF">
        <w:rPr>
          <w:lang w:val="en-US"/>
        </w:rPr>
        <w:t xml:space="preserve">Hill, C. W. L., Schilling, M. A. and Jones, G. R. (2017) Strategic Management: Theory &amp; Cases: An Integrated Approach. 12th </w:t>
      </w:r>
      <w:proofErr w:type="spellStart"/>
      <w:r w:rsidRPr="008544CF">
        <w:rPr>
          <w:lang w:val="en-US"/>
        </w:rPr>
        <w:t>edn</w:t>
      </w:r>
      <w:proofErr w:type="spellEnd"/>
      <w:r w:rsidRPr="008544CF">
        <w:rPr>
          <w:lang w:val="en-US"/>
        </w:rPr>
        <w:t>. Boston: Cengage Learning.</w:t>
      </w:r>
      <w:r>
        <w:rPr>
          <w:lang w:val="en-US"/>
        </w:rPr>
        <w:t xml:space="preserve"> </w:t>
      </w:r>
      <w:r w:rsidRPr="008544CF">
        <w:rPr>
          <w:lang w:val="en-US"/>
        </w:rPr>
        <w:t>Online available at:</w:t>
      </w:r>
      <w:r>
        <w:rPr>
          <w:lang w:val="en-US"/>
        </w:rPr>
        <w:t xml:space="preserve"> </w:t>
      </w:r>
      <w:hyperlink r:id="rId12" w:history="1">
        <w:r w:rsidRPr="003F0285">
          <w:rPr>
            <w:rStyle w:val="Hyperlink"/>
            <w:lang w:val="en-US"/>
          </w:rPr>
          <w:t>https://www.researchgate.net/publication/298791895_Strategic_Management_An_Integrated_Approach_12e</w:t>
        </w:r>
      </w:hyperlink>
      <w:r>
        <w:rPr>
          <w:lang w:val="en-US"/>
        </w:rPr>
        <w:t xml:space="preserve"> </w:t>
      </w:r>
    </w:p>
    <w:p w14:paraId="72A38469" w14:textId="77777777" w:rsidR="009076D4" w:rsidRPr="009076D4" w:rsidRDefault="009076D4" w:rsidP="00354CB7">
      <w:pPr>
        <w:jc w:val="both"/>
        <w:rPr>
          <w:lang w:val="en-US"/>
        </w:rPr>
      </w:pPr>
      <w:r w:rsidRPr="009076D4">
        <w:rPr>
          <w:lang w:val="en-US"/>
        </w:rPr>
        <w:t xml:space="preserve">Mankiw, N. G. (2016) Principles of Economics. 8th </w:t>
      </w:r>
      <w:proofErr w:type="spellStart"/>
      <w:r w:rsidRPr="009076D4">
        <w:rPr>
          <w:lang w:val="en-US"/>
        </w:rPr>
        <w:t>edn</w:t>
      </w:r>
      <w:proofErr w:type="spellEnd"/>
      <w:r w:rsidRPr="009076D4">
        <w:rPr>
          <w:lang w:val="en-US"/>
        </w:rPr>
        <w:t>. Boston: Cengage Learning.</w:t>
      </w:r>
      <w:r>
        <w:rPr>
          <w:lang w:val="en-US"/>
        </w:rPr>
        <w:t xml:space="preserve"> Online available at: </w:t>
      </w:r>
      <w:hyperlink r:id="rId13" w:history="1">
        <w:r w:rsidRPr="003F0285">
          <w:rPr>
            <w:rStyle w:val="Hyperlink"/>
            <w:lang w:val="en-US"/>
          </w:rPr>
          <w:t>https://zalamsyah.staff.unja.ac.id/wp-content/uploads/sites/286/2020/10/Principles-of-Microeconomics-8th-Ed.-GREGORY-MANKIW-1.pdf</w:t>
        </w:r>
      </w:hyperlink>
      <w:r>
        <w:rPr>
          <w:lang w:val="en-US"/>
        </w:rPr>
        <w:t xml:space="preserve"> </w:t>
      </w:r>
    </w:p>
    <w:p w14:paraId="061B97ED" w14:textId="77777777" w:rsidR="009076D4" w:rsidRDefault="009076D4" w:rsidP="00354CB7">
      <w:pPr>
        <w:jc w:val="both"/>
        <w:rPr>
          <w:lang w:val="en-US"/>
        </w:rPr>
      </w:pPr>
      <w:proofErr w:type="spellStart"/>
      <w:r w:rsidRPr="009076D4">
        <w:rPr>
          <w:lang w:val="en-US"/>
        </w:rPr>
        <w:lastRenderedPageBreak/>
        <w:t>Sloman</w:t>
      </w:r>
      <w:proofErr w:type="spellEnd"/>
      <w:r w:rsidRPr="009076D4">
        <w:rPr>
          <w:lang w:val="en-US"/>
        </w:rPr>
        <w:t xml:space="preserve">, J., Garratt, D. and Guest, J. (2016) Economics for Business. 7th </w:t>
      </w:r>
      <w:proofErr w:type="spellStart"/>
      <w:r w:rsidRPr="009076D4">
        <w:rPr>
          <w:lang w:val="en-US"/>
        </w:rPr>
        <w:t>edn</w:t>
      </w:r>
      <w:proofErr w:type="spellEnd"/>
      <w:r w:rsidRPr="009076D4">
        <w:rPr>
          <w:lang w:val="en-US"/>
        </w:rPr>
        <w:t>. Harlow: Pearson Education.</w:t>
      </w:r>
    </w:p>
    <w:p w14:paraId="6BA0023D" w14:textId="77777777" w:rsidR="0036391B" w:rsidRDefault="0036391B" w:rsidP="00354CB7">
      <w:pPr>
        <w:jc w:val="both"/>
      </w:pPr>
      <w:r w:rsidRPr="0036391B">
        <w:t xml:space="preserve">Kotler, P. and Keller, K. L. (2016) </w:t>
      </w:r>
      <w:r w:rsidRPr="0036391B">
        <w:rPr>
          <w:i/>
          <w:iCs/>
        </w:rPr>
        <w:t>Marketing Management</w:t>
      </w:r>
      <w:r w:rsidRPr="0036391B">
        <w:t xml:space="preserve">. 15th </w:t>
      </w:r>
      <w:proofErr w:type="spellStart"/>
      <w:r w:rsidRPr="0036391B">
        <w:t>edn</w:t>
      </w:r>
      <w:proofErr w:type="spellEnd"/>
      <w:r w:rsidRPr="0036391B">
        <w:t>. Harlow: Pearson Education.</w:t>
      </w:r>
    </w:p>
    <w:p w14:paraId="7482BF44" w14:textId="77777777" w:rsidR="00BC6FD3" w:rsidRPr="00BC6FD3" w:rsidRDefault="00BC6FD3" w:rsidP="00354CB7">
      <w:pPr>
        <w:jc w:val="both"/>
        <w:rPr>
          <w:lang w:val="en-US"/>
        </w:rPr>
      </w:pPr>
      <w:r w:rsidRPr="00BC6FD3">
        <w:rPr>
          <w:lang w:val="en-US"/>
        </w:rPr>
        <w:t>Brynjolfsson, E. and McAfee, A. (2014) 'The Second Machine Age: Work, Progress, and Prosperity in a Time of Brilliant Technologies', Journal of Economic Perspectives, 29(3), pp. 3-25.</w:t>
      </w:r>
      <w:r>
        <w:rPr>
          <w:lang w:val="en-US"/>
        </w:rPr>
        <w:t xml:space="preserve"> Online available at: </w:t>
      </w:r>
      <w:hyperlink r:id="rId14" w:history="1">
        <w:r w:rsidRPr="003F0285">
          <w:rPr>
            <w:rStyle w:val="Hyperlink"/>
            <w:lang w:val="en-US"/>
          </w:rPr>
          <w:t>https://edisciplinas.usp.br/pluginfile.php/4312922/mod_resource/content/2/Erik%20-%20The%20Second%20Machine%20Age.pdf</w:t>
        </w:r>
      </w:hyperlink>
      <w:r>
        <w:rPr>
          <w:lang w:val="en-US"/>
        </w:rPr>
        <w:t xml:space="preserve"> </w:t>
      </w:r>
    </w:p>
    <w:p w14:paraId="56F07D20" w14:textId="77777777" w:rsidR="00BC6FD3" w:rsidRDefault="00BC6FD3" w:rsidP="00354CB7">
      <w:pPr>
        <w:jc w:val="both"/>
        <w:rPr>
          <w:lang w:val="en-US"/>
        </w:rPr>
      </w:pPr>
      <w:r w:rsidRPr="00BC6FD3">
        <w:rPr>
          <w:lang w:val="en-US"/>
        </w:rPr>
        <w:t>Christensen, C. M., Raynor, M. E. and McDonald, R. (2016) 'What Is Disruptive Innovation?', Harvard Business Review, 93(12), pp. 44-53.</w:t>
      </w:r>
      <w:r w:rsidR="00454C79">
        <w:rPr>
          <w:lang w:val="en-US"/>
        </w:rPr>
        <w:t xml:space="preserve"> Online available at: </w:t>
      </w:r>
      <w:hyperlink r:id="rId15" w:history="1">
        <w:r w:rsidR="00454C79" w:rsidRPr="003F0285">
          <w:rPr>
            <w:rStyle w:val="Hyperlink"/>
            <w:lang w:val="en-US"/>
          </w:rPr>
          <w:t>https://hbr.org/2015/12/what-is-disruptive-innovation</w:t>
        </w:r>
      </w:hyperlink>
    </w:p>
    <w:p w14:paraId="62FD2457" w14:textId="77777777" w:rsidR="00F5160F" w:rsidRDefault="00F5160F" w:rsidP="00354CB7">
      <w:pPr>
        <w:jc w:val="both"/>
        <w:rPr>
          <w:lang w:val="en-US"/>
        </w:rPr>
      </w:pPr>
    </w:p>
    <w:p w14:paraId="24681724" w14:textId="77777777" w:rsidR="00F5160F" w:rsidRDefault="00F5160F" w:rsidP="00354CB7">
      <w:pPr>
        <w:jc w:val="both"/>
        <w:rPr>
          <w:lang w:val="en-US"/>
        </w:rPr>
      </w:pPr>
      <w:r w:rsidRPr="00F5160F">
        <w:rPr>
          <w:lang w:val="en-US"/>
        </w:rPr>
        <w:t>Harris, G. (2020) 'Johnson &amp; Johnson to Pay $2.1 Billion in Talc Case', The New York Times, 23 June. Available at: https://www.nytimes.com/2020/06/23/health/johnson-johnson-talc-cancer-verdict.html (Accessed: 21 August 2024).</w:t>
      </w:r>
    </w:p>
    <w:p w14:paraId="484C8B62" w14:textId="77777777" w:rsidR="00F5160F" w:rsidRDefault="00F5160F" w:rsidP="00354CB7">
      <w:pPr>
        <w:jc w:val="both"/>
        <w:rPr>
          <w:lang w:val="en-US"/>
        </w:rPr>
      </w:pPr>
      <w:r w:rsidRPr="00F5160F">
        <w:rPr>
          <w:lang w:val="en-US"/>
        </w:rPr>
        <w:t>Sarkis, J. (2017) 'A Strategic Decision Framework for Green Supply Chain Management', Journal of Cleaner Production, 105, pp. 224-236.</w:t>
      </w:r>
    </w:p>
    <w:p w14:paraId="3B8BF722" w14:textId="77777777" w:rsidR="00454C79" w:rsidRPr="008D0066" w:rsidRDefault="00454C79" w:rsidP="00354CB7">
      <w:pPr>
        <w:jc w:val="both"/>
        <w:rPr>
          <w:lang w:val="en-US"/>
        </w:rPr>
      </w:pPr>
    </w:p>
    <w:sectPr w:rsidR="00454C79" w:rsidRPr="008D0066" w:rsidSect="00354CB7">
      <w:pgSz w:w="12240" w:h="15840"/>
      <w:pgMar w:top="712"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D6B1FC" w14:textId="77777777" w:rsidR="000E3E7E" w:rsidRDefault="000E3E7E" w:rsidP="00354CB7">
      <w:pPr>
        <w:spacing w:after="0" w:line="240" w:lineRule="auto"/>
      </w:pPr>
      <w:r>
        <w:separator/>
      </w:r>
    </w:p>
  </w:endnote>
  <w:endnote w:type="continuationSeparator" w:id="0">
    <w:p w14:paraId="6748377D" w14:textId="77777777" w:rsidR="000E3E7E" w:rsidRDefault="000E3E7E" w:rsidP="00354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E6E659" w14:textId="77777777" w:rsidR="000E3E7E" w:rsidRDefault="000E3E7E" w:rsidP="00354CB7">
      <w:pPr>
        <w:spacing w:after="0" w:line="240" w:lineRule="auto"/>
      </w:pPr>
      <w:r>
        <w:separator/>
      </w:r>
    </w:p>
  </w:footnote>
  <w:footnote w:type="continuationSeparator" w:id="0">
    <w:p w14:paraId="173D58C9" w14:textId="77777777" w:rsidR="000E3E7E" w:rsidRDefault="000E3E7E" w:rsidP="00354C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066"/>
    <w:rsid w:val="000E3E7E"/>
    <w:rsid w:val="001E6AA2"/>
    <w:rsid w:val="00354CB7"/>
    <w:rsid w:val="0036391B"/>
    <w:rsid w:val="00454C79"/>
    <w:rsid w:val="004F071A"/>
    <w:rsid w:val="0053286A"/>
    <w:rsid w:val="005433C3"/>
    <w:rsid w:val="00572FEA"/>
    <w:rsid w:val="005A20D1"/>
    <w:rsid w:val="0060069E"/>
    <w:rsid w:val="00613F2F"/>
    <w:rsid w:val="006B1AA8"/>
    <w:rsid w:val="006E3892"/>
    <w:rsid w:val="008544CF"/>
    <w:rsid w:val="008D0066"/>
    <w:rsid w:val="009076D4"/>
    <w:rsid w:val="00A70B38"/>
    <w:rsid w:val="00A713FE"/>
    <w:rsid w:val="00A855A0"/>
    <w:rsid w:val="00AB025F"/>
    <w:rsid w:val="00B72E21"/>
    <w:rsid w:val="00B76F05"/>
    <w:rsid w:val="00BC6FD3"/>
    <w:rsid w:val="00C16E15"/>
    <w:rsid w:val="00DB212A"/>
    <w:rsid w:val="00F51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80DDA"/>
  <w15:chartTrackingRefBased/>
  <w15:docId w15:val="{74D847F6-ECD9-4BA3-805E-48B714783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360"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69E"/>
    <w:pPr>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A70B38"/>
    <w:pPr>
      <w:keepNext/>
      <w:keepLines/>
      <w:spacing w:before="240" w:after="0"/>
      <w:outlineLvl w:val="0"/>
    </w:pPr>
    <w:rPr>
      <w:rFonts w:eastAsiaTheme="majorEastAsia" w:cstheme="majorBidi"/>
      <w:b/>
      <w:sz w:val="28"/>
      <w:szCs w:val="32"/>
      <w:lang w:val="en-US"/>
    </w:rPr>
  </w:style>
  <w:style w:type="paragraph" w:styleId="Heading2">
    <w:name w:val="heading 2"/>
    <w:basedOn w:val="Normal"/>
    <w:next w:val="Normal"/>
    <w:link w:val="Heading2Char"/>
    <w:uiPriority w:val="9"/>
    <w:unhideWhenUsed/>
    <w:qFormat/>
    <w:rsid w:val="0060069E"/>
    <w:pPr>
      <w:keepNext/>
      <w:keepLines/>
      <w:spacing w:before="40" w:after="0"/>
      <w:outlineLvl w:val="1"/>
    </w:pPr>
    <w:rPr>
      <w:rFonts w:eastAsiaTheme="majorEastAsia" w:cstheme="majorBidi"/>
      <w:b/>
      <w:color w:val="000000" w:themeColor="text1"/>
      <w:sz w:val="26"/>
      <w:szCs w:val="26"/>
      <w:lang w:val="en-US"/>
    </w:rPr>
  </w:style>
  <w:style w:type="paragraph" w:styleId="Heading3">
    <w:name w:val="heading 3"/>
    <w:basedOn w:val="Normal"/>
    <w:next w:val="Normal"/>
    <w:link w:val="Heading3Char"/>
    <w:uiPriority w:val="9"/>
    <w:unhideWhenUsed/>
    <w:qFormat/>
    <w:rsid w:val="006B1AA8"/>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B3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0069E"/>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B1AA8"/>
    <w:rPr>
      <w:rFonts w:ascii="Times New Roman" w:eastAsiaTheme="majorEastAsia" w:hAnsi="Times New Roman" w:cstheme="majorBidi"/>
      <w:b/>
      <w:sz w:val="24"/>
      <w:szCs w:val="24"/>
      <w:lang w:val="en-GB"/>
    </w:rPr>
  </w:style>
  <w:style w:type="character" w:styleId="Hyperlink">
    <w:name w:val="Hyperlink"/>
    <w:basedOn w:val="DefaultParagraphFont"/>
    <w:uiPriority w:val="99"/>
    <w:unhideWhenUsed/>
    <w:rsid w:val="0053286A"/>
    <w:rPr>
      <w:color w:val="0563C1" w:themeColor="hyperlink"/>
      <w:u w:val="single"/>
    </w:rPr>
  </w:style>
  <w:style w:type="character" w:styleId="CommentReference">
    <w:name w:val="annotation reference"/>
    <w:basedOn w:val="DefaultParagraphFont"/>
    <w:uiPriority w:val="99"/>
    <w:semiHidden/>
    <w:unhideWhenUsed/>
    <w:rsid w:val="0036391B"/>
    <w:rPr>
      <w:sz w:val="16"/>
      <w:szCs w:val="16"/>
    </w:rPr>
  </w:style>
  <w:style w:type="paragraph" w:styleId="CommentText">
    <w:name w:val="annotation text"/>
    <w:basedOn w:val="Normal"/>
    <w:link w:val="CommentTextChar"/>
    <w:uiPriority w:val="99"/>
    <w:semiHidden/>
    <w:unhideWhenUsed/>
    <w:rsid w:val="0036391B"/>
    <w:pPr>
      <w:spacing w:line="240" w:lineRule="auto"/>
    </w:pPr>
    <w:rPr>
      <w:sz w:val="20"/>
      <w:szCs w:val="20"/>
    </w:rPr>
  </w:style>
  <w:style w:type="character" w:customStyle="1" w:styleId="CommentTextChar">
    <w:name w:val="Comment Text Char"/>
    <w:basedOn w:val="DefaultParagraphFont"/>
    <w:link w:val="CommentText"/>
    <w:uiPriority w:val="99"/>
    <w:semiHidden/>
    <w:rsid w:val="0036391B"/>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36391B"/>
    <w:rPr>
      <w:b/>
      <w:bCs/>
    </w:rPr>
  </w:style>
  <w:style w:type="character" w:customStyle="1" w:styleId="CommentSubjectChar">
    <w:name w:val="Comment Subject Char"/>
    <w:basedOn w:val="CommentTextChar"/>
    <w:link w:val="CommentSubject"/>
    <w:uiPriority w:val="99"/>
    <w:semiHidden/>
    <w:rsid w:val="0036391B"/>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3639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91B"/>
    <w:rPr>
      <w:rFonts w:ascii="Segoe UI" w:hAnsi="Segoe UI" w:cs="Segoe UI"/>
      <w:sz w:val="18"/>
      <w:szCs w:val="18"/>
      <w:lang w:val="en-GB"/>
    </w:rPr>
  </w:style>
  <w:style w:type="paragraph" w:styleId="TOCHeading">
    <w:name w:val="TOC Heading"/>
    <w:basedOn w:val="Heading1"/>
    <w:next w:val="Normal"/>
    <w:uiPriority w:val="39"/>
    <w:unhideWhenUsed/>
    <w:qFormat/>
    <w:rsid w:val="00354CB7"/>
    <w:pPr>
      <w:spacing w:before="480" w:line="276" w:lineRule="auto"/>
      <w:outlineLvl w:val="9"/>
    </w:pPr>
    <w:rPr>
      <w:rFonts w:asciiTheme="majorHAnsi" w:hAnsiTheme="majorHAnsi"/>
      <w:bCs/>
      <w:color w:val="2E74B5" w:themeColor="accent1" w:themeShade="BF"/>
      <w:szCs w:val="28"/>
    </w:rPr>
  </w:style>
  <w:style w:type="paragraph" w:styleId="TOC1">
    <w:name w:val="toc 1"/>
    <w:basedOn w:val="Normal"/>
    <w:next w:val="Normal"/>
    <w:autoRedefine/>
    <w:uiPriority w:val="39"/>
    <w:unhideWhenUsed/>
    <w:rsid w:val="00354CB7"/>
    <w:pPr>
      <w:spacing w:before="120" w:after="0" w:line="240" w:lineRule="auto"/>
    </w:pPr>
    <w:rPr>
      <w:rFonts w:asciiTheme="minorHAnsi" w:eastAsiaTheme="minorEastAsia" w:hAnsiTheme="minorHAnsi" w:cstheme="minorHAnsi"/>
      <w:b/>
      <w:bCs/>
      <w:i/>
      <w:iCs/>
      <w:kern w:val="2"/>
      <w:szCs w:val="24"/>
      <w:lang w:eastAsia="en-GB"/>
      <w14:ligatures w14:val="standardContextual"/>
    </w:rPr>
  </w:style>
  <w:style w:type="paragraph" w:styleId="Header">
    <w:name w:val="header"/>
    <w:basedOn w:val="Normal"/>
    <w:link w:val="HeaderChar"/>
    <w:uiPriority w:val="99"/>
    <w:unhideWhenUsed/>
    <w:rsid w:val="00354C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CB7"/>
    <w:rPr>
      <w:rFonts w:ascii="Times New Roman" w:hAnsi="Times New Roman"/>
      <w:sz w:val="24"/>
      <w:lang w:val="en-GB"/>
    </w:rPr>
  </w:style>
  <w:style w:type="paragraph" w:styleId="Footer">
    <w:name w:val="footer"/>
    <w:basedOn w:val="Normal"/>
    <w:link w:val="FooterChar"/>
    <w:uiPriority w:val="99"/>
    <w:unhideWhenUsed/>
    <w:rsid w:val="00354C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CB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185734">
      <w:bodyDiv w:val="1"/>
      <w:marLeft w:val="0"/>
      <w:marRight w:val="0"/>
      <w:marTop w:val="0"/>
      <w:marBottom w:val="0"/>
      <w:divBdr>
        <w:top w:val="none" w:sz="0" w:space="0" w:color="auto"/>
        <w:left w:val="none" w:sz="0" w:space="0" w:color="auto"/>
        <w:bottom w:val="none" w:sz="0" w:space="0" w:color="auto"/>
        <w:right w:val="none" w:sz="0" w:space="0" w:color="auto"/>
      </w:divBdr>
    </w:div>
    <w:div w:id="1580363434">
      <w:bodyDiv w:val="1"/>
      <w:marLeft w:val="0"/>
      <w:marRight w:val="0"/>
      <w:marTop w:val="0"/>
      <w:marBottom w:val="0"/>
      <w:divBdr>
        <w:top w:val="none" w:sz="0" w:space="0" w:color="auto"/>
        <w:left w:val="none" w:sz="0" w:space="0" w:color="auto"/>
        <w:bottom w:val="none" w:sz="0" w:space="0" w:color="auto"/>
        <w:right w:val="none" w:sz="0" w:space="0" w:color="auto"/>
      </w:divBdr>
    </w:div>
    <w:div w:id="1757245965">
      <w:bodyDiv w:val="1"/>
      <w:marLeft w:val="0"/>
      <w:marRight w:val="0"/>
      <w:marTop w:val="0"/>
      <w:marBottom w:val="0"/>
      <w:divBdr>
        <w:top w:val="none" w:sz="0" w:space="0" w:color="auto"/>
        <w:left w:val="none" w:sz="0" w:space="0" w:color="auto"/>
        <w:bottom w:val="none" w:sz="0" w:space="0" w:color="auto"/>
        <w:right w:val="none" w:sz="0" w:space="0" w:color="auto"/>
      </w:divBdr>
    </w:div>
    <w:div w:id="211759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rjet.net/archives/V3/i1/IRJET-V3I165.pdf" TargetMode="External"/><Relationship Id="rId13" Type="http://schemas.openxmlformats.org/officeDocument/2006/relationships/hyperlink" Target="https://zalamsyah.staff.unja.ac.id/wp-content/uploads/sites/286/2020/10/Principles-of-Microeconomics-8th-Ed.-GREGORY-MANKIW-1.pdf" TargetMode="External"/><Relationship Id="rId3" Type="http://schemas.openxmlformats.org/officeDocument/2006/relationships/webSettings" Target="webSettings.xml"/><Relationship Id="rId7" Type="http://schemas.openxmlformats.org/officeDocument/2006/relationships/hyperlink" Target="https://modernscientificpress.com/Journals/ViewArticle.aspx?YTDXIp8pwb35qABc+2BV/1WJUQnMuLGNSj0NcUX/H4nrYH2pOUyBFV904kXBzuJV" TargetMode="External"/><Relationship Id="rId12" Type="http://schemas.openxmlformats.org/officeDocument/2006/relationships/hyperlink" Target="https://www.researchgate.net/publication/298791895_Strategic_Management_An_Integrated_Approach_12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eprints.lse.ac.uk/84087/1/Sampson%20et%20al._The%20costs%20and%20benefits%20of%20leaving%20the%20EU_Final_2017.pdf" TargetMode="External"/><Relationship Id="rId5" Type="http://schemas.openxmlformats.org/officeDocument/2006/relationships/endnotes" Target="endnotes.xml"/><Relationship Id="rId15" Type="http://schemas.openxmlformats.org/officeDocument/2006/relationships/hyperlink" Target="https://hbr.org/2015/12/what-is-disruptive-innovation" TargetMode="External"/><Relationship Id="rId10" Type="http://schemas.openxmlformats.org/officeDocument/2006/relationships/hyperlink" Target="https://www.piie.com/publications/working-papers/2018-us-china-trade-conflict-after-40-years-special-protection" TargetMode="External"/><Relationship Id="rId4" Type="http://schemas.openxmlformats.org/officeDocument/2006/relationships/footnotes" Target="footnotes.xml"/><Relationship Id="rId9" Type="http://schemas.openxmlformats.org/officeDocument/2006/relationships/hyperlink" Target="https://www.researchgate.net/publication/274863692_Developing_a_Multi-Criteria_Decision_Making_Model_for_PESTEL_Analysis" TargetMode="External"/><Relationship Id="rId14" Type="http://schemas.openxmlformats.org/officeDocument/2006/relationships/hyperlink" Target="https://edisciplinas.usp.br/pluginfile.php/4312922/mod_resource/content/2/Erik%20-%20The%20Second%20Machine%20Ag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8</Pages>
  <Words>2293</Words>
  <Characters>13072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uzair taj</dc:creator>
  <cp:keywords/>
  <dc:description/>
  <cp:lastModifiedBy>Microsoft Office User</cp:lastModifiedBy>
  <cp:revision>16</cp:revision>
  <dcterms:created xsi:type="dcterms:W3CDTF">2024-08-22T18:10:00Z</dcterms:created>
  <dcterms:modified xsi:type="dcterms:W3CDTF">2024-08-22T21:00:00Z</dcterms:modified>
</cp:coreProperties>
</file>