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1303DFC">
      <w:pPr>
        <w:pStyle w:val="9"/>
        <w:spacing w:before="100" w:beforeAutospacing="1" w:after="100" w:afterAutospacing="1" w:line="360" w:lineRule="auto"/>
        <w:ind w:left="880"/>
        <w:jc w:val="center"/>
        <w:rPr>
          <w:rFonts w:ascii="Times New Roman" w:hAnsi="Times New Roman" w:cs="Times New Roman"/>
          <w:sz w:val="24"/>
          <w:szCs w:val="24"/>
        </w:rPr>
      </w:pPr>
      <w:r>
        <w:rPr>
          <w:rFonts w:ascii="Times New Roman" w:hAnsi="Times New Roman" w:cs="Times New Roman"/>
          <w:sz w:val="24"/>
          <w:szCs w:val="24"/>
        </w:rPr>
        <w:t>Unit name: International Business Communication</w:t>
      </w:r>
    </w:p>
    <w:p w14:paraId="3D53632F">
      <w:pPr>
        <w:pStyle w:val="9"/>
        <w:spacing w:before="100" w:beforeAutospacing="1" w:after="100" w:afterAutospacing="1" w:line="360" w:lineRule="auto"/>
        <w:ind w:left="880"/>
        <w:jc w:val="center"/>
        <w:rPr>
          <w:rFonts w:ascii="Times New Roman" w:hAnsi="Times New Roman" w:cs="Times New Roman"/>
          <w:sz w:val="24"/>
          <w:szCs w:val="24"/>
        </w:rPr>
      </w:pPr>
      <w:r>
        <w:rPr>
          <w:rFonts w:ascii="Times New Roman" w:hAnsi="Times New Roman" w:cs="Times New Roman"/>
          <w:sz w:val="24"/>
          <w:szCs w:val="24"/>
        </w:rPr>
        <w:t>Module code: BMBM6021</w:t>
      </w:r>
    </w:p>
    <w:p w14:paraId="5659B346">
      <w:pPr>
        <w:pStyle w:val="9"/>
        <w:spacing w:before="100" w:beforeAutospacing="1" w:after="100" w:afterAutospacing="1" w:line="360" w:lineRule="auto"/>
        <w:ind w:left="880"/>
        <w:jc w:val="center"/>
        <w:rPr>
          <w:rFonts w:ascii="Times New Roman" w:hAnsi="Times New Roman" w:cs="Times New Roman"/>
          <w:b/>
          <w:sz w:val="24"/>
          <w:szCs w:val="24"/>
        </w:rPr>
      </w:pPr>
      <w:r>
        <w:rPr>
          <w:rFonts w:ascii="Times New Roman" w:hAnsi="Times New Roman" w:cs="Times New Roman"/>
          <w:b/>
          <w:sz w:val="24"/>
          <w:szCs w:val="24"/>
        </w:rPr>
        <w:t>Global Business Expansion Strategies</w:t>
      </w:r>
    </w:p>
    <w:p w14:paraId="6C366463">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Written by: Yuanping Yue</w:t>
      </w:r>
    </w:p>
    <w:p w14:paraId="5CAE971B">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Student ID: 2324444</w:t>
      </w:r>
    </w:p>
    <w:p w14:paraId="338FF4E2">
      <w:pPr>
        <w:spacing w:line="360" w:lineRule="auto"/>
        <w:rPr>
          <w:rFonts w:ascii="Times New Roman" w:hAnsi="Times New Roman" w:cs="Times New Roman"/>
          <w:sz w:val="24"/>
          <w:szCs w:val="24"/>
        </w:rPr>
      </w:pPr>
    </w:p>
    <w:p w14:paraId="607B0154">
      <w:pPr>
        <w:spacing w:after="0" w:line="240" w:lineRule="auto"/>
        <w:jc w:val="center"/>
        <w:rPr>
          <w:rFonts w:ascii="Times New Roman" w:hAnsi="Times New Roman" w:cs="Times New Roman"/>
          <w:sz w:val="24"/>
          <w:szCs w:val="24"/>
        </w:rPr>
      </w:pPr>
      <w:r>
        <w:rPr>
          <w:rFonts w:ascii="Times New Roman" w:hAnsi="Times New Roman" w:cs="Times New Roman"/>
          <w:sz w:val="24"/>
          <w:szCs w:val="24"/>
        </w:rPr>
        <w:br w:type="page"/>
      </w:r>
    </w:p>
    <w:p w14:paraId="24B41495">
      <w:pPr>
        <w:pBdr>
          <w:bottom w:val="single" w:color="auto" w:sz="4" w:space="1"/>
        </w:pBd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Executive Summary</w:t>
      </w:r>
    </w:p>
    <w:p w14:paraId="6547B59B">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provides a comprehensive analysis aimed at guiding a large retail clothing group in expanding its global partnership network. The key findings highlight the importance of strategic market entry, cultural adaptation, and leveraging local partnerships to enhance brand presence and operational efficiency. The report emphasizes that success in global markets requires thorough research into regional consumer behavior, tailored marketing strategies, and effective supply chain management.</w:t>
      </w:r>
    </w:p>
    <w:p w14:paraId="612D023A">
      <w:pPr>
        <w:spacing w:line="360" w:lineRule="auto"/>
        <w:jc w:val="both"/>
        <w:rPr>
          <w:rFonts w:ascii="Times New Roman" w:hAnsi="Times New Roman" w:cs="Times New Roman"/>
          <w:sz w:val="24"/>
          <w:szCs w:val="24"/>
        </w:rPr>
      </w:pPr>
      <w:r>
        <w:rPr>
          <w:rFonts w:ascii="Times New Roman" w:hAnsi="Times New Roman" w:cs="Times New Roman"/>
          <w:sz w:val="24"/>
          <w:szCs w:val="24"/>
        </w:rPr>
        <w:t>The conclusions drawn from the analysis suggest that global expansion should be approached with a well-structured partnership model, focusing on local expertise and mutual benefit. Moreover, fostering long-term relationships with local partners will be crucial for navigating regulatory challenges and adapting to market dynamics. The report also stresses the importance of a robust digital infrastructure to support e-commerce and facilitate cross-border transactions.</w:t>
      </w:r>
    </w:p>
    <w:p w14:paraId="06F58A0F">
      <w:pPr>
        <w:spacing w:line="360" w:lineRule="auto"/>
        <w:jc w:val="both"/>
        <w:rPr>
          <w:rFonts w:ascii="Times New Roman" w:hAnsi="Times New Roman" w:cs="Times New Roman"/>
          <w:sz w:val="24"/>
          <w:szCs w:val="24"/>
        </w:rPr>
      </w:pPr>
      <w:r>
        <w:rPr>
          <w:rFonts w:ascii="Times New Roman" w:hAnsi="Times New Roman" w:cs="Times New Roman"/>
          <w:sz w:val="24"/>
          <w:szCs w:val="24"/>
        </w:rPr>
        <w:t>The recommendations put forward include a phased approach to international growth, starting with markets that align with the company’s core competencies and expanding based on performance and feedback. It is also recommended that the company prioritize partnerships with established players in key regions to gain market entry and leverage local knowledge. Finally, enhancing digital capabilities and focusing on sustainability initiatives are essential to maintaining competitiveness in a globalized retail environment.</w:t>
      </w:r>
    </w:p>
    <w:p w14:paraId="5A87479B">
      <w:pPr>
        <w:spacing w:line="360" w:lineRule="auto"/>
        <w:jc w:val="both"/>
        <w:rPr>
          <w:rFonts w:ascii="Times New Roman" w:hAnsi="Times New Roman" w:cs="Times New Roman"/>
          <w:sz w:val="24"/>
          <w:szCs w:val="24"/>
        </w:rPr>
      </w:pPr>
      <w:r>
        <w:rPr>
          <w:rFonts w:ascii="Times New Roman" w:hAnsi="Times New Roman" w:cs="Times New Roman"/>
          <w:sz w:val="24"/>
          <w:szCs w:val="24"/>
        </w:rPr>
        <w:t>In summary, the report suggests a methodical and adaptive strategy for global partnership development, ensuring sustainable growth and market resilience in the long term.</w:t>
      </w:r>
    </w:p>
    <w:p w14:paraId="467FE1B0">
      <w:pPr>
        <w:spacing w:line="360" w:lineRule="auto"/>
        <w:jc w:val="both"/>
        <w:rPr>
          <w:rFonts w:ascii="Times New Roman" w:hAnsi="Times New Roman" w:cs="Times New Roman"/>
          <w:sz w:val="24"/>
          <w:szCs w:val="24"/>
        </w:rPr>
      </w:pPr>
    </w:p>
    <w:p w14:paraId="4B1D89B0">
      <w:pPr>
        <w:spacing w:line="360" w:lineRule="auto"/>
        <w:jc w:val="both"/>
        <w:rPr>
          <w:rFonts w:ascii="Times New Roman" w:hAnsi="Times New Roman" w:cs="Times New Roman"/>
          <w:sz w:val="24"/>
          <w:szCs w:val="24"/>
        </w:rPr>
      </w:pPr>
    </w:p>
    <w:p w14:paraId="2EF8043A">
      <w:pPr>
        <w:spacing w:line="360" w:lineRule="auto"/>
        <w:jc w:val="both"/>
        <w:rPr>
          <w:rFonts w:ascii="Times New Roman" w:hAnsi="Times New Roman" w:cs="Times New Roman"/>
          <w:sz w:val="24"/>
          <w:szCs w:val="24"/>
        </w:rPr>
      </w:pPr>
    </w:p>
    <w:p w14:paraId="785C7D9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7FBD35F3">
      <w:pPr>
        <w:pBdr>
          <w:bottom w:val="single" w:color="auto" w:sz="4" w:space="1"/>
        </w:pBd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Content Page</w:t>
      </w:r>
    </w:p>
    <w:sdt>
      <w:sdtPr>
        <w:rPr>
          <w:rFonts w:ascii="Times New Roman" w:hAnsi="Times New Roman" w:eastAsia="宋体" w:cs="Times New Roman"/>
          <w:b/>
          <w:bCs/>
          <w:sz w:val="24"/>
          <w:szCs w:val="24"/>
        </w:rPr>
        <w:id w:val="147474131"/>
        <w15:color w:val="DBDBDB"/>
        <w:docPartObj>
          <w:docPartGallery w:val="Table of Contents"/>
          <w:docPartUnique/>
        </w:docPartObj>
      </w:sdtPr>
      <w:sdtEndPr>
        <w:rPr>
          <w:rFonts w:ascii="Times New Roman" w:hAnsi="Times New Roman" w:cs="Times New Roman" w:eastAsiaTheme="minorEastAsia"/>
          <w:b/>
          <w:bCs/>
          <w:sz w:val="24"/>
          <w:szCs w:val="24"/>
        </w:rPr>
      </w:sdtEndPr>
      <w:sdtContent>
        <w:p w14:paraId="6AA9D696">
          <w:pPr>
            <w:spacing w:after="0" w:line="360" w:lineRule="auto"/>
            <w:jc w:val="center"/>
            <w:rPr>
              <w:rFonts w:ascii="Times New Roman" w:hAnsi="Times New Roman" w:cs="Times New Roman"/>
              <w:b/>
              <w:bCs/>
              <w:sz w:val="24"/>
              <w:szCs w:val="24"/>
            </w:rPr>
          </w:pPr>
          <w:r>
            <w:rPr>
              <w:rFonts w:ascii="Times New Roman" w:hAnsi="Times New Roman" w:eastAsia="宋体" w:cs="Times New Roman"/>
              <w:b/>
              <w:bCs/>
              <w:sz w:val="24"/>
              <w:szCs w:val="24"/>
            </w:rPr>
            <w:t>Content</w:t>
          </w:r>
        </w:p>
        <w:p w14:paraId="3E432E17">
          <w:pPr>
            <w:pStyle w:val="6"/>
            <w:tabs>
              <w:tab w:val="right" w:leader="dot" w:pos="9016"/>
            </w:tabs>
            <w:rPr>
              <w:rFonts w:ascii="Times New Roman" w:hAnsi="Times New Roman" w:cs="Times New Roman"/>
              <w:kern w:val="2"/>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TOC \o "1-3" \h \u </w:instrText>
          </w:r>
          <w:r>
            <w:rPr>
              <w:rFonts w:ascii="Times New Roman" w:hAnsi="Times New Roman" w:cs="Times New Roman"/>
              <w:sz w:val="24"/>
              <w:szCs w:val="24"/>
            </w:rPr>
            <w:fldChar w:fldCharType="separate"/>
          </w:r>
          <w:r>
            <w:fldChar w:fldCharType="begin"/>
          </w:r>
          <w:r>
            <w:instrText xml:space="preserve"> HYPERLINK \l "_Toc184401945" </w:instrText>
          </w:r>
          <w:r>
            <w:fldChar w:fldCharType="separate"/>
          </w:r>
          <w:r>
            <w:rPr>
              <w:rStyle w:val="13"/>
              <w:rFonts w:ascii="Times New Roman" w:hAnsi="Times New Roman" w:cs="Times New Roman"/>
              <w:b/>
              <w:bCs/>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_Toc184401945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AD49621">
          <w:pPr>
            <w:pStyle w:val="6"/>
            <w:tabs>
              <w:tab w:val="right" w:leader="dot" w:pos="9016"/>
            </w:tabs>
            <w:rPr>
              <w:rFonts w:ascii="Times New Roman" w:hAnsi="Times New Roman" w:cs="Times New Roman"/>
              <w:kern w:val="2"/>
              <w:sz w:val="24"/>
              <w:szCs w:val="24"/>
              <w:lang w:val="en-US"/>
            </w:rPr>
          </w:pPr>
          <w:r>
            <w:fldChar w:fldCharType="begin"/>
          </w:r>
          <w:r>
            <w:instrText xml:space="preserve"> HYPERLINK \l "_Toc184401946" </w:instrText>
          </w:r>
          <w:r>
            <w:fldChar w:fldCharType="separate"/>
          </w:r>
          <w:r>
            <w:rPr>
              <w:rStyle w:val="13"/>
              <w:rFonts w:ascii="Times New Roman" w:hAnsi="Times New Roman" w:cs="Times New Roman"/>
              <w:b/>
              <w:bCs/>
              <w:sz w:val="24"/>
              <w:szCs w:val="24"/>
            </w:rPr>
            <w:t>2. 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_Toc184401946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358CED">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"_Toc184401947" </w:instrText>
          </w:r>
          <w:r>
            <w:fldChar w:fldCharType="separate"/>
          </w:r>
          <w:r>
            <w:rPr>
              <w:rStyle w:val="13"/>
              <w:rFonts w:ascii="Times New Roman" w:hAnsi="Times New Roman" w:cs="Times New Roman"/>
              <w:sz w:val="24"/>
              <w:szCs w:val="24"/>
            </w:rPr>
            <w:t>2.1 International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_Toc184401947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15F376C">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"_Toc184401948" </w:instrText>
          </w:r>
          <w:r>
            <w:fldChar w:fldCharType="separate"/>
          </w:r>
          <w:r>
            <w:rPr>
              <w:rStyle w:val="13"/>
              <w:rFonts w:ascii="Times New Roman" w:hAnsi="Times New Roman" w:cs="Times New Roman"/>
              <w:sz w:val="24"/>
              <w:szCs w:val="24"/>
            </w:rPr>
            <w:t>2.2 Skill Requirements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_Toc184401948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11E8778">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"_Toc184401949" </w:instrText>
          </w:r>
          <w:r>
            <w:fldChar w:fldCharType="separate"/>
          </w:r>
          <w:r>
            <w:rPr>
              <w:rStyle w:val="13"/>
              <w:rFonts w:ascii="Times New Roman" w:hAnsi="Times New Roman" w:cs="Times New Roman"/>
              <w:sz w:val="24"/>
              <w:szCs w:val="24"/>
            </w:rPr>
            <w:t>2.3 Methods of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_Toc184401949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956220F">
          <w:pPr>
            <w:pStyle w:val="3"/>
            <w:tabs>
              <w:tab w:val="right" w:leader="dot" w:pos="9016"/>
            </w:tabs>
            <w:ind w:left="880"/>
            <w:rPr>
              <w:rFonts w:ascii="Times New Roman" w:hAnsi="Times New Roman" w:cs="Times New Roman"/>
              <w:kern w:val="2"/>
              <w:sz w:val="24"/>
              <w:szCs w:val="24"/>
              <w:lang w:val="en-US"/>
            </w:rPr>
          </w:pPr>
          <w:r>
            <w:fldChar w:fldCharType="begin"/>
          </w:r>
          <w:r>
            <w:instrText xml:space="preserve"> HYPERLINK \l "_Toc184401950" </w:instrText>
          </w:r>
          <w:r>
            <w:fldChar w:fldCharType="separate"/>
          </w:r>
          <w:r>
            <w:rPr>
              <w:rStyle w:val="13"/>
              <w:rFonts w:ascii="Times New Roman" w:hAnsi="Times New Roman" w:cs="Times New Roman"/>
              <w:sz w:val="24"/>
              <w:szCs w:val="24"/>
            </w:rPr>
            <w:t>2.3.1 Halls High Low Context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_Toc184401950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D1FC8ED">
          <w:pPr>
            <w:pStyle w:val="3"/>
            <w:tabs>
              <w:tab w:val="right" w:leader="dot" w:pos="9016"/>
            </w:tabs>
            <w:ind w:left="880"/>
            <w:rPr>
              <w:rFonts w:ascii="Times New Roman" w:hAnsi="Times New Roman" w:cs="Times New Roman"/>
              <w:kern w:val="2"/>
              <w:sz w:val="24"/>
              <w:szCs w:val="24"/>
              <w:lang w:val="en-US"/>
            </w:rPr>
          </w:pPr>
          <w:r>
            <w:fldChar w:fldCharType="begin"/>
          </w:r>
          <w:r>
            <w:instrText xml:space="preserve"> HYPERLINK \l "_Toc184401951" </w:instrText>
          </w:r>
          <w:r>
            <w:fldChar w:fldCharType="separate"/>
          </w:r>
          <w:r>
            <w:rPr>
              <w:rStyle w:val="13"/>
              <w:rFonts w:ascii="Times New Roman" w:hAnsi="Times New Roman" w:cs="Times New Roman"/>
              <w:sz w:val="24"/>
              <w:szCs w:val="24"/>
            </w:rPr>
            <w:t>2.3.2 Verbal and Non-Verbal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_Toc184401951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23C45C9">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"_Toc184401952" </w:instrText>
          </w:r>
          <w:r>
            <w:fldChar w:fldCharType="separate"/>
          </w:r>
          <w:r>
            <w:rPr>
              <w:rStyle w:val="13"/>
              <w:rFonts w:ascii="Times New Roman" w:hAnsi="Times New Roman" w:cs="Times New Roman"/>
              <w:sz w:val="24"/>
              <w:szCs w:val="24"/>
            </w:rPr>
            <w:t>2.4 Effective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_Toc184401952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748038F">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"_Toc184401953" </w:instrText>
          </w:r>
          <w:r>
            <w:fldChar w:fldCharType="separate"/>
          </w:r>
          <w:r>
            <w:rPr>
              <w:rStyle w:val="13"/>
              <w:rFonts w:ascii="Times New Roman" w:hAnsi="Times New Roman" w:cs="Times New Roman"/>
              <w:sz w:val="24"/>
              <w:szCs w:val="24"/>
            </w:rPr>
            <w:t>2.5 International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_Toc184401953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AA23DDB">
          <w:pPr>
            <w:pStyle w:val="3"/>
            <w:tabs>
              <w:tab w:val="right" w:leader="dot" w:pos="9016"/>
            </w:tabs>
            <w:ind w:left="880"/>
            <w:rPr>
              <w:rFonts w:ascii="Times New Roman" w:hAnsi="Times New Roman" w:cs="Times New Roman"/>
              <w:kern w:val="2"/>
              <w:sz w:val="24"/>
              <w:szCs w:val="24"/>
              <w:lang w:val="en-US"/>
            </w:rPr>
          </w:pPr>
          <w:r>
            <w:fldChar w:fldCharType="begin"/>
          </w:r>
          <w:r>
            <w:instrText xml:space="preserve"> HYPERLINK \l "_Toc184401954" </w:instrText>
          </w:r>
          <w:r>
            <w:fldChar w:fldCharType="separate"/>
          </w:r>
          <w:r>
            <w:rPr>
              <w:rStyle w:val="13"/>
              <w:rFonts w:ascii="Times New Roman" w:hAnsi="Times New Roman" w:cs="Times New Roman"/>
              <w:sz w:val="24"/>
              <w:szCs w:val="24"/>
            </w:rPr>
            <w:t>2.5.1 Trompenaars’ 7 Dimensions of Culture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_Toc184401954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94F4057">
          <w:pPr>
            <w:pStyle w:val="3"/>
            <w:tabs>
              <w:tab w:val="right" w:leader="dot" w:pos="9016"/>
            </w:tabs>
            <w:ind w:left="880"/>
            <w:rPr>
              <w:rFonts w:ascii="Times New Roman" w:hAnsi="Times New Roman" w:cs="Times New Roman"/>
              <w:kern w:val="2"/>
              <w:sz w:val="24"/>
              <w:szCs w:val="24"/>
              <w:lang w:val="en-US"/>
            </w:rPr>
          </w:pPr>
          <w:r>
            <w:fldChar w:fldCharType="begin"/>
          </w:r>
          <w:r>
            <w:instrText xml:space="preserve"> HYPERLINK \l "_Toc184401955" </w:instrText>
          </w:r>
          <w:r>
            <w:fldChar w:fldCharType="separate"/>
          </w:r>
          <w:r>
            <w:rPr>
              <w:rStyle w:val="13"/>
              <w:rFonts w:ascii="Times New Roman" w:hAnsi="Times New Roman" w:cs="Times New Roman"/>
              <w:sz w:val="24"/>
              <w:szCs w:val="24"/>
            </w:rPr>
            <w:t>2.5.2 Challenges in Cross-Cultural Leadership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_Toc184401955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0575F64">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"_Toc184401956" </w:instrText>
          </w:r>
          <w:r>
            <w:fldChar w:fldCharType="separate"/>
          </w:r>
          <w:r>
            <w:rPr>
              <w:rStyle w:val="13"/>
              <w:rFonts w:ascii="Times New Roman" w:hAnsi="Times New Roman" w:cs="Times New Roman"/>
              <w:sz w:val="24"/>
              <w:szCs w:val="24"/>
            </w:rPr>
            <w:t>2.6 Importance of Building Relationships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_Toc184401956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5BAF1D2">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"_Toc184401957" </w:instrText>
          </w:r>
          <w:r>
            <w:fldChar w:fldCharType="separate"/>
          </w:r>
          <w:r>
            <w:rPr>
              <w:rStyle w:val="13"/>
              <w:rFonts w:ascii="Times New Roman" w:hAnsi="Times New Roman" w:cs="Times New Roman"/>
              <w:sz w:val="24"/>
              <w:szCs w:val="24"/>
            </w:rPr>
            <w:t>2.7 How to Build Trust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_Toc184401957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A69494D">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"_Toc184401958" </w:instrText>
          </w:r>
          <w:r>
            <w:fldChar w:fldCharType="separate"/>
          </w:r>
          <w:r>
            <w:rPr>
              <w:rStyle w:val="13"/>
              <w:rFonts w:ascii="Times New Roman" w:hAnsi="Times New Roman" w:cs="Times New Roman"/>
              <w:sz w:val="24"/>
              <w:szCs w:val="24"/>
            </w:rPr>
            <w:t>2.8 Failed Relationships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_Toc184401958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E2294EA">
          <w:pPr>
            <w:pStyle w:val="6"/>
            <w:tabs>
              <w:tab w:val="right" w:leader="dot" w:pos="9016"/>
            </w:tabs>
            <w:rPr>
              <w:rFonts w:ascii="Times New Roman" w:hAnsi="Times New Roman" w:cs="Times New Roman"/>
              <w:kern w:val="2"/>
              <w:sz w:val="24"/>
              <w:szCs w:val="24"/>
              <w:lang w:val="en-US"/>
            </w:rPr>
          </w:pPr>
          <w:r>
            <w:fldChar w:fldCharType="begin"/>
          </w:r>
          <w:r>
            <w:instrText xml:space="preserve"> HYPERLINK \l "_Toc184401959" </w:instrText>
          </w:r>
          <w:r>
            <w:fldChar w:fldCharType="separate"/>
          </w:r>
          <w:r>
            <w:rPr>
              <w:rStyle w:val="13"/>
              <w:rFonts w:ascii="Times New Roman" w:hAnsi="Times New Roman" w:cs="Times New Roman"/>
              <w:b/>
              <w:bCs/>
              <w:sz w:val="24"/>
              <w:szCs w:val="24"/>
            </w:rPr>
            <w:t>3.  Conclusions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_Toc184401959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5D5D92">
          <w:pPr>
            <w:pStyle w:val="6"/>
            <w:tabs>
              <w:tab w:val="right" w:leader="dot" w:pos="9016"/>
            </w:tabs>
            <w:rPr>
              <w:rFonts w:ascii="Times New Roman" w:hAnsi="Times New Roman" w:cs="Times New Roman"/>
              <w:kern w:val="2"/>
              <w:sz w:val="24"/>
              <w:szCs w:val="24"/>
              <w:lang w:val="en-US"/>
            </w:rPr>
          </w:pPr>
          <w:r>
            <w:fldChar w:fldCharType="begin"/>
          </w:r>
          <w:r>
            <w:instrText xml:space="preserve"> HYPERLINK \l "_Toc184401960" </w:instrText>
          </w:r>
          <w:r>
            <w:fldChar w:fldCharType="separate"/>
          </w:r>
          <w:r>
            <w:rPr>
              <w:rStyle w:val="13"/>
              <w:rFonts w:ascii="Times New Roman" w:hAnsi="Times New Roman" w:cs="Times New Roman"/>
              <w:b/>
              <w:bCs/>
              <w:sz w:val="24"/>
              <w:szCs w:val="24"/>
            </w:rPr>
            <w:t>4. 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_Toc184401960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0866BF8">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"_Toc184401961" </w:instrText>
          </w:r>
          <w:r>
            <w:fldChar w:fldCharType="separate"/>
          </w:r>
          <w:r>
            <w:rPr>
              <w:rStyle w:val="13"/>
              <w:rFonts w:ascii="Times New Roman" w:hAnsi="Times New Roman" w:cs="Times New Roman"/>
              <w:sz w:val="24"/>
              <w:szCs w:val="24"/>
              <w:lang w:val="en-US"/>
            </w:rPr>
            <w:t>4.1</w:t>
          </w:r>
          <w:r>
            <w:rPr>
              <w:rStyle w:val="13"/>
              <w:rFonts w:ascii="Times New Roman" w:hAnsi="Times New Roman" w:cs="Times New Roman"/>
              <w:sz w:val="24"/>
              <w:szCs w:val="24"/>
            </w:rPr>
            <w:t xml:space="preserve"> Rebuilding Trust and Reputation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_Toc184401961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9440A31">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"_Toc184401962" </w:instrText>
          </w:r>
          <w:r>
            <w:fldChar w:fldCharType="separate"/>
          </w:r>
          <w:r>
            <w:rPr>
              <w:rStyle w:val="13"/>
              <w:rFonts w:ascii="Times New Roman" w:hAnsi="Times New Roman" w:cs="Times New Roman"/>
              <w:sz w:val="24"/>
              <w:szCs w:val="24"/>
              <w:lang w:val="en-US"/>
            </w:rPr>
            <w:t>4.2</w:t>
          </w:r>
          <w:r>
            <w:rPr>
              <w:rStyle w:val="13"/>
              <w:rFonts w:ascii="Times New Roman" w:hAnsi="Times New Roman" w:cs="Times New Roman"/>
              <w:sz w:val="24"/>
              <w:szCs w:val="24"/>
            </w:rPr>
            <w:t xml:space="preserve"> Adaptation of Communication Strategies and Cultural Sensitivity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_Toc184401962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4C84460">
          <w:pPr>
            <w:pStyle w:val="7"/>
            <w:tabs>
              <w:tab w:val="right" w:leader="dot" w:pos="9016"/>
            </w:tabs>
            <w:ind w:left="440"/>
            <w:rPr>
              <w:rFonts w:ascii="Times New Roman" w:hAnsi="Times New Roman" w:cs="Times New Roman"/>
              <w:kern w:val="2"/>
              <w:sz w:val="24"/>
              <w:szCs w:val="24"/>
              <w:lang w:val="en-US"/>
            </w:rPr>
          </w:pPr>
          <w:r>
            <w:fldChar w:fldCharType="begin"/>
          </w:r>
          <w:r>
            <w:instrText xml:space="preserve"> HYPERLINK \l "_Toc184401963" </w:instrText>
          </w:r>
          <w:r>
            <w:fldChar w:fldCharType="separate"/>
          </w:r>
          <w:r>
            <w:rPr>
              <w:rStyle w:val="13"/>
              <w:rFonts w:ascii="Times New Roman" w:hAnsi="Times New Roman" w:cs="Times New Roman"/>
              <w:sz w:val="24"/>
              <w:szCs w:val="24"/>
              <w:lang w:val="en-US"/>
            </w:rPr>
            <w:t>4.3</w:t>
          </w:r>
          <w:r>
            <w:rPr>
              <w:rStyle w:val="13"/>
              <w:rFonts w:ascii="Times New Roman" w:hAnsi="Times New Roman" w:cs="Times New Roman"/>
              <w:sz w:val="24"/>
              <w:szCs w:val="24"/>
            </w:rPr>
            <w:t xml:space="preserve"> Strengthening Relationship Management Processes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_Toc184401963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087E489">
          <w:pPr>
            <w:pStyle w:val="6"/>
            <w:tabs>
              <w:tab w:val="right" w:leader="dot" w:pos="9016"/>
            </w:tabs>
            <w:rPr>
              <w:rFonts w:ascii="Times New Roman" w:hAnsi="Times New Roman" w:cs="Times New Roman"/>
              <w:kern w:val="2"/>
              <w:sz w:val="24"/>
              <w:szCs w:val="24"/>
              <w:lang w:val="en-US"/>
            </w:rPr>
          </w:pPr>
          <w:r>
            <w:fldChar w:fldCharType="begin"/>
          </w:r>
          <w:r>
            <w:instrText xml:space="preserve"> HYPERLINK \l "_Toc184401964" </w:instrText>
          </w:r>
          <w:r>
            <w:fldChar w:fldCharType="separate"/>
          </w:r>
          <w:r>
            <w:rPr>
              <w:rStyle w:val="13"/>
              <w:rFonts w:ascii="Times New Roman" w:hAnsi="Times New Roman" w:cs="Times New Roman"/>
              <w:b/>
              <w:bCs/>
              <w:sz w:val="24"/>
              <w:szCs w:val="24"/>
            </w:rPr>
            <w:t>References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_Toc184401964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10D51D5">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dtContent>
    </w:sdt>
    <w:p w14:paraId="73719753">
      <w:pPr>
        <w:spacing w:line="360" w:lineRule="auto"/>
        <w:jc w:val="both"/>
        <w:rPr>
          <w:rFonts w:ascii="Times New Roman" w:hAnsi="Times New Roman" w:cs="Times New Roman"/>
          <w:sz w:val="24"/>
          <w:szCs w:val="24"/>
        </w:rPr>
      </w:pPr>
    </w:p>
    <w:p w14:paraId="4D07C6F4">
      <w:pPr>
        <w:spacing w:line="360" w:lineRule="auto"/>
        <w:jc w:val="both"/>
        <w:rPr>
          <w:rFonts w:ascii="Times New Roman" w:hAnsi="Times New Roman" w:cs="Times New Roman"/>
          <w:sz w:val="24"/>
          <w:szCs w:val="24"/>
        </w:rPr>
      </w:pPr>
    </w:p>
    <w:p w14:paraId="582AA54F">
      <w:pPr>
        <w:spacing w:line="360" w:lineRule="auto"/>
        <w:jc w:val="both"/>
        <w:rPr>
          <w:rFonts w:ascii="Times New Roman" w:hAnsi="Times New Roman" w:cs="Times New Roman"/>
          <w:sz w:val="24"/>
          <w:szCs w:val="24"/>
        </w:rPr>
      </w:pPr>
    </w:p>
    <w:p w14:paraId="2FAB0FC0">
      <w:pPr>
        <w:spacing w:line="360" w:lineRule="auto"/>
        <w:jc w:val="both"/>
        <w:rPr>
          <w:rFonts w:ascii="Times New Roman" w:hAnsi="Times New Roman" w:cs="Times New Roman"/>
          <w:sz w:val="24"/>
          <w:szCs w:val="24"/>
        </w:rPr>
      </w:pPr>
    </w:p>
    <w:p w14:paraId="65037524">
      <w:pPr>
        <w:spacing w:line="360" w:lineRule="auto"/>
        <w:jc w:val="both"/>
        <w:rPr>
          <w:rFonts w:ascii="Times New Roman" w:hAnsi="Times New Roman" w:cs="Times New Roman"/>
          <w:sz w:val="24"/>
          <w:szCs w:val="24"/>
        </w:rPr>
      </w:pPr>
    </w:p>
    <w:p w14:paraId="509DB943">
      <w:pPr>
        <w:spacing w:line="360" w:lineRule="auto"/>
        <w:jc w:val="both"/>
        <w:rPr>
          <w:rFonts w:ascii="Times New Roman" w:hAnsi="Times New Roman" w:cs="Times New Roman"/>
          <w:sz w:val="24"/>
          <w:szCs w:val="24"/>
        </w:rPr>
      </w:pPr>
    </w:p>
    <w:p w14:paraId="7564EE0D">
      <w:pPr>
        <w:pBdr>
          <w:bottom w:val="single" w:color="auto" w:sz="4" w:space="1"/>
        </w:pBdr>
        <w:spacing w:line="360" w:lineRule="auto"/>
        <w:jc w:val="both"/>
        <w:outlineLvl w:val="0"/>
        <w:rPr>
          <w:rFonts w:ascii="Times New Roman" w:hAnsi="Times New Roman" w:cs="Times New Roman"/>
          <w:b/>
          <w:bCs/>
          <w:sz w:val="24"/>
          <w:szCs w:val="24"/>
        </w:rPr>
      </w:pPr>
      <w:bookmarkStart w:id="0" w:name="_Toc184401945"/>
      <w:r>
        <w:rPr>
          <w:rFonts w:ascii="Times New Roman" w:hAnsi="Times New Roman" w:cs="Times New Roman"/>
          <w:b/>
          <w:bCs/>
          <w:sz w:val="24"/>
          <w:szCs w:val="24"/>
        </w:rPr>
        <w:t>1. Introduction</w:t>
      </w:r>
      <w:bookmarkEnd w:id="0"/>
    </w:p>
    <w:p w14:paraId="35CE5B74">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aims to critically assess and discuss the importance of cross-cultural communication (CCC) in a large apparel retail group’s expansion into the Asian market. It will explore key skills and competencies in international business communication (IBC), particularly in the context of establishing global partnerships. By analyzing the challenges of cross-cultural communication and the potential consequences of failure, the report offers strategies and recommendations to improve and strengthen cross-cultural communication, helping the group successfully build long-term business relationships in the Asian market.</w:t>
      </w:r>
    </w:p>
    <w:p w14:paraId="098B8E3F">
      <w:pPr>
        <w:spacing w:line="360" w:lineRule="auto"/>
        <w:jc w:val="both"/>
        <w:rPr>
          <w:rFonts w:ascii="Times New Roman" w:hAnsi="Times New Roman" w:cs="Times New Roman"/>
          <w:sz w:val="24"/>
          <w:szCs w:val="24"/>
        </w:rPr>
      </w:pPr>
    </w:p>
    <w:p w14:paraId="6F0921CC">
      <w:pPr>
        <w:spacing w:line="360" w:lineRule="auto"/>
        <w:jc w:val="both"/>
        <w:rPr>
          <w:rFonts w:ascii="Times New Roman" w:hAnsi="Times New Roman" w:cs="Times New Roman"/>
          <w:sz w:val="24"/>
          <w:szCs w:val="24"/>
        </w:rPr>
      </w:pPr>
      <w:r>
        <w:rPr>
          <w:rFonts w:ascii="Times New Roman" w:hAnsi="Times New Roman" w:cs="Times New Roman"/>
          <w:sz w:val="24"/>
          <w:szCs w:val="24"/>
        </w:rPr>
        <w:t>The apparel retail group is a global leader in retail, specializing in providing high-quality, fashionable clothing products. As the global market continues to evolve, the group plans to expand its international operations, with a particular focus on entering the fast-growing and highly potential Asian market. Asia, as one of the largest and most diverse markets in the world, with a massive consumer base and rapidly growing middle class, has become a key target for many international brands.</w:t>
      </w:r>
    </w:p>
    <w:p w14:paraId="25A078A4">
      <w:pPr>
        <w:spacing w:line="360" w:lineRule="auto"/>
        <w:jc w:val="both"/>
        <w:rPr>
          <w:rFonts w:ascii="Times New Roman" w:hAnsi="Times New Roman" w:cs="Times New Roman"/>
          <w:sz w:val="24"/>
          <w:szCs w:val="24"/>
        </w:rPr>
      </w:pPr>
    </w:p>
    <w:p w14:paraId="08BA1644">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focus on the key challenges faced by the apparel retail group in expanding into the Asian market and how to overcome these challenges through cross-cultural communication. By using relevant theoretical frameworks and real-world case studies, the report will explore the communication skills and competencies required to establish successful international partnerships, analyze potential failure factors, and propose improvement strategies. These recommendations aim to help the group effectively establish and maintain long-term relationships with partners in the Asian market.</w:t>
      </w:r>
    </w:p>
    <w:p w14:paraId="4C1CBCBF">
      <w:pPr>
        <w:spacing w:line="360" w:lineRule="auto"/>
        <w:jc w:val="both"/>
        <w:rPr>
          <w:rFonts w:ascii="Times New Roman" w:hAnsi="Times New Roman" w:cs="Times New Roman"/>
          <w:sz w:val="24"/>
          <w:szCs w:val="24"/>
        </w:rPr>
      </w:pPr>
    </w:p>
    <w:p w14:paraId="6753BE12">
      <w:pPr>
        <w:spacing w:line="360" w:lineRule="auto"/>
        <w:jc w:val="both"/>
        <w:rPr>
          <w:rFonts w:ascii="Times New Roman" w:hAnsi="Times New Roman" w:cs="Times New Roman"/>
          <w:sz w:val="24"/>
          <w:szCs w:val="24"/>
        </w:rPr>
      </w:pPr>
    </w:p>
    <w:p w14:paraId="2C4CDC8E">
      <w:pPr>
        <w:spacing w:line="360" w:lineRule="auto"/>
        <w:jc w:val="both"/>
        <w:rPr>
          <w:rFonts w:ascii="Times New Roman" w:hAnsi="Times New Roman" w:cs="Times New Roman"/>
          <w:sz w:val="24"/>
          <w:szCs w:val="24"/>
        </w:rPr>
      </w:pPr>
    </w:p>
    <w:p w14:paraId="7B66725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6C52F9A7">
      <w:pPr>
        <w:pBdr>
          <w:bottom w:val="single" w:color="auto" w:sz="4" w:space="1"/>
        </w:pBdr>
        <w:spacing w:line="360" w:lineRule="auto"/>
        <w:jc w:val="both"/>
        <w:outlineLvl w:val="0"/>
        <w:rPr>
          <w:rFonts w:ascii="Times New Roman" w:hAnsi="Times New Roman" w:cs="Times New Roman"/>
          <w:b/>
          <w:bCs/>
          <w:sz w:val="24"/>
          <w:szCs w:val="24"/>
        </w:rPr>
      </w:pPr>
      <w:bookmarkStart w:id="1" w:name="_Toc184401946"/>
      <w:r>
        <w:rPr>
          <w:rFonts w:ascii="Times New Roman" w:hAnsi="Times New Roman" w:cs="Times New Roman"/>
          <w:b/>
          <w:bCs/>
          <w:sz w:val="24"/>
          <w:szCs w:val="24"/>
        </w:rPr>
        <w:t>2. Main Findings</w:t>
      </w:r>
      <w:bookmarkEnd w:id="1"/>
    </w:p>
    <w:p w14:paraId="7E330482">
      <w:pPr>
        <w:spacing w:line="360" w:lineRule="auto"/>
        <w:jc w:val="both"/>
        <w:rPr>
          <w:rFonts w:ascii="Times New Roman" w:hAnsi="Times New Roman" w:cs="Times New Roman"/>
          <w:sz w:val="24"/>
          <w:szCs w:val="24"/>
        </w:rPr>
      </w:pPr>
      <w:r>
        <w:rPr>
          <w:rFonts w:ascii="Times New Roman" w:hAnsi="Times New Roman" w:cs="Times New Roman"/>
          <w:sz w:val="24"/>
          <w:szCs w:val="24"/>
        </w:rPr>
        <w:t>This section will delve into the key elements that need to be considered in international business communication, including the basic concepts of international business communication, the skills required, and the different communication methods in cross-cultural communication. By analyzing these elements, the aim is to help businesses understand how to effectively connect with global partners and achieve successful business expansion.</w:t>
      </w:r>
    </w:p>
    <w:p w14:paraId="78FDFC03">
      <w:pPr>
        <w:spacing w:line="360" w:lineRule="auto"/>
        <w:jc w:val="both"/>
        <w:rPr>
          <w:rFonts w:ascii="Times New Roman" w:hAnsi="Times New Roman" w:cs="Times New Roman"/>
          <w:sz w:val="24"/>
          <w:szCs w:val="24"/>
        </w:rPr>
      </w:pPr>
    </w:p>
    <w:p w14:paraId="0BD4EADD">
      <w:pPr>
        <w:spacing w:line="360" w:lineRule="auto"/>
        <w:jc w:val="both"/>
        <w:outlineLvl w:val="1"/>
        <w:rPr>
          <w:rFonts w:ascii="Times New Roman" w:hAnsi="Times New Roman" w:cs="Times New Roman"/>
          <w:sz w:val="24"/>
          <w:szCs w:val="24"/>
        </w:rPr>
      </w:pPr>
      <w:bookmarkStart w:id="2" w:name="_Toc184401947"/>
      <w:r>
        <w:rPr>
          <w:rFonts w:ascii="Times New Roman" w:hAnsi="Times New Roman" w:cs="Times New Roman"/>
          <w:sz w:val="24"/>
          <w:szCs w:val="24"/>
        </w:rPr>
        <w:t>2.1 International Business Communication</w:t>
      </w:r>
      <w:bookmarkEnd w:id="2"/>
    </w:p>
    <w:p w14:paraId="01F75FAD">
      <w:pPr>
        <w:spacing w:line="360" w:lineRule="auto"/>
        <w:jc w:val="both"/>
        <w:outlineLvl w:val="1"/>
        <w:rPr>
          <w:rFonts w:ascii="Times New Roman" w:hAnsi="Times New Roman" w:cs="Times New Roman"/>
          <w:sz w:val="24"/>
          <w:szCs w:val="24"/>
        </w:rPr>
      </w:pPr>
    </w:p>
    <w:p w14:paraId="054DFDC6">
      <w:pPr>
        <w:spacing w:line="360" w:lineRule="auto"/>
        <w:jc w:val="both"/>
        <w:rPr>
          <w:rFonts w:ascii="Times New Roman" w:hAnsi="Times New Roman" w:cs="Times New Roman"/>
          <w:sz w:val="24"/>
          <w:szCs w:val="24"/>
        </w:rPr>
      </w:pPr>
      <w:r>
        <w:rPr>
          <w:rFonts w:ascii="Times New Roman" w:hAnsi="Times New Roman" w:cs="Times New Roman"/>
          <w:sz w:val="24"/>
          <w:szCs w:val="24"/>
        </w:rPr>
        <w:t>International Business Communication (IBC) is crucial for successful global expansion, especially when a company, like the retail group, enters new markets such as Asia. IBC involves the exchange of information between individuals from different cultural backgrounds, and it plays a vital role in building partnerships and understanding diverse business environments. Wang (2020) emphasized that effective IBC strategies facilitate a deeper understanding of intercultural differences, thus enhancing the collaboration between businesses in global markets. Effective IBC enables companies to navigate cross-cultural differences, resolve misunderstandings, and align business goals. Jing (2022) pointed out that the ability to effectively communicate across cultures can significantly predict the success of international business ventures, making IBC competence essential in global expansion. The successful management of IBC can enhance trust and cooperation, which is essential when establishing long-term relationships in foreign markets. Kevin (2020) argued that leadership communication plays a pivotal role in shaping an organization's success in international markets by fostering clear, culturally aware messaging that resonates with diverse stakeholders. A comprehensive understanding of IBC's role helps businesses adjust to local norms, customer preferences, and business practices, ultimately leading to sustained success in international markets.</w:t>
      </w:r>
    </w:p>
    <w:p w14:paraId="7584311B">
      <w:pPr>
        <w:spacing w:line="360" w:lineRule="auto"/>
        <w:jc w:val="both"/>
        <w:rPr>
          <w:rFonts w:ascii="Times New Roman" w:hAnsi="Times New Roman" w:cs="Times New Roman"/>
          <w:sz w:val="24"/>
          <w:szCs w:val="24"/>
        </w:rPr>
      </w:pPr>
    </w:p>
    <w:p w14:paraId="6ABBDAFA">
      <w:pPr>
        <w:spacing w:line="360" w:lineRule="auto"/>
        <w:jc w:val="both"/>
        <w:outlineLvl w:val="1"/>
        <w:rPr>
          <w:rFonts w:ascii="Times New Roman" w:hAnsi="Times New Roman" w:cs="Times New Roman"/>
          <w:sz w:val="24"/>
          <w:szCs w:val="24"/>
        </w:rPr>
      </w:pPr>
      <w:bookmarkStart w:id="3" w:name="_Toc184401948"/>
      <w:r>
        <w:rPr>
          <w:rFonts w:ascii="Times New Roman" w:hAnsi="Times New Roman" w:cs="Times New Roman"/>
          <w:sz w:val="24"/>
          <w:szCs w:val="24"/>
        </w:rPr>
        <w:t>2.2 Skill Requirements</w:t>
      </w:r>
      <w:bookmarkEnd w:id="3"/>
      <w:r>
        <w:rPr>
          <w:rFonts w:ascii="Times New Roman" w:hAnsi="Times New Roman" w:cs="Times New Roman"/>
          <w:sz w:val="24"/>
          <w:szCs w:val="24"/>
        </w:rPr>
        <w:t xml:space="preserve">  </w:t>
      </w:r>
    </w:p>
    <w:p w14:paraId="6A2F468A">
      <w:pPr>
        <w:spacing w:line="360" w:lineRule="auto"/>
        <w:jc w:val="both"/>
        <w:outlineLvl w:val="1"/>
        <w:rPr>
          <w:rFonts w:ascii="Times New Roman" w:hAnsi="Times New Roman" w:cs="Times New Roman"/>
          <w:sz w:val="24"/>
          <w:szCs w:val="24"/>
        </w:rPr>
      </w:pPr>
    </w:p>
    <w:p w14:paraId="4A283900">
      <w:pPr>
        <w:spacing w:line="360" w:lineRule="auto"/>
        <w:jc w:val="both"/>
        <w:rPr>
          <w:rFonts w:ascii="Times New Roman" w:hAnsi="Times New Roman" w:cs="Times New Roman"/>
          <w:sz w:val="24"/>
          <w:szCs w:val="24"/>
        </w:rPr>
      </w:pPr>
      <w:r>
        <w:rPr>
          <w:rFonts w:ascii="Times New Roman" w:hAnsi="Times New Roman" w:cs="Times New Roman"/>
          <w:sz w:val="24"/>
          <w:szCs w:val="24"/>
        </w:rPr>
        <w:t>To facilitate successful IBC, specific skills are essential. These include cultural awareness, adaptability, active listening, and empathy. Cultural awareness allows managers to understand and respect the values, behaviors, and expectations of their international counterparts, which is crucial in a global business environment. Adaptability enables leaders to adjust strategies based on cultural differences, ensuring smoother interactions. Active listening and empathy foster trust and help in resolving misunderstandings, making communication more effective. Additionally, conflict resolution skills are necessary to address any disagreements arising from cultural misinterpretations. By developing these competencies, businesses can establish stronger relationships with international partners and foster a positive environment for collaboration, ultimately contributing to the overall success of global ventures.Adanlawo，Reddy</w:t>
      </w:r>
      <w:r>
        <w:rPr>
          <w:rFonts w:ascii="Times New Roman" w:hAnsi="Times New Roman" w:cs="Times New Roman"/>
          <w:sz w:val="24"/>
          <w:szCs w:val="24"/>
          <w:lang w:val="en-US"/>
        </w:rPr>
        <w:t xml:space="preserve"> and Rugbeer</w:t>
      </w:r>
      <w:r>
        <w:rPr>
          <w:rFonts w:ascii="Times New Roman" w:hAnsi="Times New Roman" w:cs="Times New Roman"/>
          <w:sz w:val="24"/>
          <w:szCs w:val="24"/>
        </w:rPr>
        <w:t xml:space="preserve"> (2021) emphasized that the importance of cultural awareness and effective communication in overcoming language barriers, which are often a major challenge in international business. Understanding cultural nuances is vital for successful interactions in a global business environment. Abrantes et al. (2024) pointed out that adaptability and the leveraging of collaborative networks' capabilities are crucial for international business growth. Adjusting strategies to different cultural contexts ensures more effective collaboration. Jiao, Xu and Zhao (2020) highlighted that developing intercultural communication competence is critical for managing cultural differences, as it helps foster empathy and resolve misunderstandings, leading to more productive international relationships.</w:t>
      </w:r>
    </w:p>
    <w:p w14:paraId="47501F92">
      <w:pPr>
        <w:spacing w:line="360" w:lineRule="auto"/>
        <w:jc w:val="both"/>
        <w:rPr>
          <w:rFonts w:ascii="Times New Roman" w:hAnsi="Times New Roman" w:cs="Times New Roman"/>
          <w:sz w:val="24"/>
          <w:szCs w:val="24"/>
        </w:rPr>
      </w:pPr>
    </w:p>
    <w:p w14:paraId="56D28B6B">
      <w:pPr>
        <w:spacing w:line="360" w:lineRule="auto"/>
        <w:jc w:val="both"/>
        <w:outlineLvl w:val="1"/>
        <w:rPr>
          <w:rFonts w:ascii="Times New Roman" w:hAnsi="Times New Roman" w:cs="Times New Roman"/>
          <w:sz w:val="24"/>
          <w:szCs w:val="24"/>
        </w:rPr>
      </w:pPr>
      <w:bookmarkStart w:id="4" w:name="_Toc184401949"/>
      <w:r>
        <w:rPr>
          <w:rFonts w:ascii="Times New Roman" w:hAnsi="Times New Roman" w:cs="Times New Roman"/>
          <w:sz w:val="24"/>
          <w:szCs w:val="24"/>
        </w:rPr>
        <w:t>2.3 Methods of Communication</w:t>
      </w:r>
      <w:bookmarkEnd w:id="4"/>
    </w:p>
    <w:p w14:paraId="792C06C6">
      <w:pPr>
        <w:spacing w:line="360" w:lineRule="auto"/>
        <w:jc w:val="both"/>
        <w:outlineLvl w:val="1"/>
        <w:rPr>
          <w:rFonts w:ascii="Times New Roman" w:hAnsi="Times New Roman" w:cs="Times New Roman"/>
          <w:sz w:val="24"/>
          <w:szCs w:val="24"/>
        </w:rPr>
      </w:pPr>
    </w:p>
    <w:p w14:paraId="35711AB2">
      <w:pPr>
        <w:spacing w:line="360" w:lineRule="auto"/>
        <w:jc w:val="both"/>
        <w:outlineLvl w:val="2"/>
        <w:rPr>
          <w:rFonts w:ascii="Times New Roman" w:hAnsi="Times New Roman" w:cs="Times New Roman"/>
          <w:sz w:val="24"/>
          <w:szCs w:val="24"/>
        </w:rPr>
      </w:pPr>
      <w:bookmarkStart w:id="5" w:name="_Toc184401950"/>
      <w:r>
        <w:rPr>
          <w:rFonts w:ascii="Times New Roman" w:hAnsi="Times New Roman" w:cs="Times New Roman"/>
          <w:sz w:val="24"/>
          <w:szCs w:val="24"/>
        </w:rPr>
        <w:t>2.3.1 Halls High Low Context</w:t>
      </w:r>
      <w:bookmarkEnd w:id="5"/>
    </w:p>
    <w:p w14:paraId="1CD04194">
      <w:pPr>
        <w:spacing w:line="360" w:lineRule="auto"/>
        <w:jc w:val="both"/>
        <w:outlineLvl w:val="2"/>
        <w:rPr>
          <w:rFonts w:ascii="Times New Roman" w:hAnsi="Times New Roman" w:cs="Times New Roman"/>
          <w:sz w:val="24"/>
          <w:szCs w:val="24"/>
        </w:rPr>
      </w:pPr>
    </w:p>
    <w:p w14:paraId="41A8DFCA">
      <w:pPr>
        <w:spacing w:line="360" w:lineRule="auto"/>
        <w:jc w:val="both"/>
        <w:rPr>
          <w:rFonts w:ascii="Times New Roman" w:hAnsi="Times New Roman" w:cs="Times New Roman"/>
          <w:sz w:val="24"/>
          <w:szCs w:val="24"/>
        </w:rPr>
      </w:pPr>
      <w:r>
        <w:rPr>
          <w:rFonts w:ascii="Times New Roman" w:hAnsi="Times New Roman" w:cs="Times New Roman"/>
          <w:sz w:val="24"/>
          <w:szCs w:val="24"/>
        </w:rPr>
        <w:t>In high-context cultures, such as those in many parts of Asia, communication relies heavily on context, non-verbal cues, and shared knowledge. In these cultures, less direct verbal communication is expected, and meaning is often inferred rather than explicitly stated. Chen (2023) highlighted that in high-context cultures, such as China, much of the communication is implicit, relying on shared cultural understanding and non-verbal signals. On the other hand, low-context cultures, often found in Western countries, prioritize direct, explicit communication where words are used more precisely to convey meaning. Vila-Lopez, Boluda and Marin-Aguilar (2022) pointed out that in low-context cultures, such as those in the West, communication is more direct and clear, with little reliance on environmental cues. For businesses, understanding these differences is critical to avoid misinterpretations and ensure messages are appropriately delivered. Sobirin and Abd Rahman (2022) emphasized that businesses must be aware of cultural barriers, especially in translating messages across different cultural contexts, to avoid misunderstandings and enhance cross-cultural communication. In high-context settings, it is important to pay attention to the subtleties of language, body language, and environmental factors, while in low-context settings, clarity and directness are key.</w:t>
      </w:r>
    </w:p>
    <w:p w14:paraId="12865FB2">
      <w:pPr>
        <w:spacing w:line="360" w:lineRule="auto"/>
        <w:jc w:val="both"/>
        <w:rPr>
          <w:rFonts w:ascii="Times New Roman" w:hAnsi="Times New Roman" w:cs="Times New Roman"/>
          <w:sz w:val="24"/>
          <w:szCs w:val="24"/>
        </w:rPr>
      </w:pPr>
    </w:p>
    <w:p w14:paraId="42F530E3">
      <w:pPr>
        <w:spacing w:line="360" w:lineRule="auto"/>
        <w:jc w:val="both"/>
        <w:outlineLvl w:val="2"/>
        <w:rPr>
          <w:rFonts w:ascii="Times New Roman" w:hAnsi="Times New Roman" w:cs="Times New Roman"/>
          <w:sz w:val="24"/>
          <w:szCs w:val="24"/>
        </w:rPr>
      </w:pPr>
      <w:bookmarkStart w:id="6" w:name="_Toc184401951"/>
      <w:r>
        <w:rPr>
          <w:rFonts w:ascii="Times New Roman" w:hAnsi="Times New Roman" w:cs="Times New Roman"/>
          <w:sz w:val="24"/>
          <w:szCs w:val="24"/>
        </w:rPr>
        <w:t>2.3.2 Verbal and Non-Verbal Communication</w:t>
      </w:r>
      <w:bookmarkEnd w:id="6"/>
    </w:p>
    <w:p w14:paraId="009DB288">
      <w:pPr>
        <w:spacing w:line="360" w:lineRule="auto"/>
        <w:jc w:val="both"/>
        <w:outlineLvl w:val="2"/>
        <w:rPr>
          <w:rFonts w:ascii="Times New Roman" w:hAnsi="Times New Roman" w:cs="Times New Roman"/>
          <w:sz w:val="24"/>
          <w:szCs w:val="24"/>
        </w:rPr>
      </w:pPr>
    </w:p>
    <w:p w14:paraId="7CFDDA78">
      <w:pPr>
        <w:spacing w:line="360" w:lineRule="auto"/>
        <w:jc w:val="both"/>
        <w:rPr>
          <w:rFonts w:ascii="Times New Roman" w:hAnsi="Times New Roman" w:cs="Times New Roman"/>
          <w:sz w:val="24"/>
          <w:szCs w:val="24"/>
        </w:rPr>
      </w:pPr>
      <w:r>
        <w:rPr>
          <w:rFonts w:ascii="Times New Roman" w:hAnsi="Times New Roman" w:cs="Times New Roman"/>
          <w:sz w:val="24"/>
          <w:szCs w:val="24"/>
        </w:rPr>
        <w:t>Language and non-verbal communication play essential roles in international business communication (IBC). Language barriers, such as differences in vocabulary, idiomatic expressions, and tone, can lead to misunderstandings and misinterpretations. To mitigate this, businesses must focus on simplifying language, using clear and concise terms, and possibly employing translators or interpreters when necessary. Febriantini, Fitriati and Oktaviani (2021) pointed out that communication difficulties can arise due to language differences, particularly in the context of children with autism, where verbal and non-verbal cues play crucial roles in effective understanding. Rustamovich (2022) emphasized that both verbal and non-verbal communication are pivotal in foreign language learning, with misunderstandings often stemming from a lack of clarity or misinterpretation of expressions. Voetmann, Hvidt and Viftrup (2022) highlighted that the importance of clear verbal and non-verbal communication in sensitive environments, such as palliative care, where miscommunication can hinder effective support.</w:t>
      </w:r>
    </w:p>
    <w:p w14:paraId="67006FAF">
      <w:pPr>
        <w:spacing w:line="360" w:lineRule="auto"/>
        <w:jc w:val="both"/>
        <w:rPr>
          <w:rFonts w:ascii="Times New Roman" w:hAnsi="Times New Roman" w:eastAsia="宋体" w:cs="Times New Roman"/>
          <w:color w:val="222222"/>
          <w:sz w:val="24"/>
          <w:szCs w:val="24"/>
          <w:shd w:val="clear" w:color="auto" w:fill="FFFFFF"/>
        </w:rPr>
      </w:pPr>
    </w:p>
    <w:p w14:paraId="123125F6">
      <w:pPr>
        <w:spacing w:line="360" w:lineRule="auto"/>
        <w:jc w:val="both"/>
        <w:outlineLvl w:val="1"/>
        <w:rPr>
          <w:rFonts w:ascii="Times New Roman" w:hAnsi="Times New Roman" w:cs="Times New Roman"/>
          <w:sz w:val="24"/>
          <w:szCs w:val="24"/>
        </w:rPr>
      </w:pPr>
      <w:bookmarkStart w:id="7" w:name="_Toc184401952"/>
      <w:r>
        <w:rPr>
          <w:rFonts w:ascii="Times New Roman" w:hAnsi="Times New Roman" w:cs="Times New Roman"/>
          <w:sz w:val="24"/>
          <w:szCs w:val="24"/>
        </w:rPr>
        <w:t>2.4 Effective Communication</w:t>
      </w:r>
      <w:bookmarkEnd w:id="7"/>
    </w:p>
    <w:p w14:paraId="1C7C563B">
      <w:pPr>
        <w:spacing w:line="360" w:lineRule="auto"/>
        <w:jc w:val="both"/>
        <w:outlineLvl w:val="1"/>
        <w:rPr>
          <w:rFonts w:ascii="Times New Roman" w:hAnsi="Times New Roman" w:cs="Times New Roman"/>
          <w:sz w:val="24"/>
          <w:szCs w:val="24"/>
        </w:rPr>
      </w:pPr>
    </w:p>
    <w:p w14:paraId="744EBC3E">
      <w:pPr>
        <w:spacing w:line="360" w:lineRule="auto"/>
        <w:jc w:val="both"/>
        <w:rPr>
          <w:rFonts w:ascii="Times New Roman" w:hAnsi="Times New Roman" w:cs="Times New Roman"/>
          <w:sz w:val="24"/>
          <w:szCs w:val="24"/>
        </w:rPr>
      </w:pPr>
      <w:r>
        <w:rPr>
          <w:rFonts w:ascii="Times New Roman" w:hAnsi="Times New Roman" w:cs="Times New Roman"/>
          <w:sz w:val="24"/>
          <w:szCs w:val="24"/>
        </w:rPr>
        <w:t>Effective communication is a cornerstone of successful international business, especially when expanding into new markets like Asia. It is crucial for fostering mutual understanding, trust, and cooperation among diverse stakeholders. In an international context, effective communication involves not only the clear exchange of information but also the ability to navigate cultural differences. This includes being aware of communication styles, language barriers, and non-verbal cues, all of which can vary significantly across cultures. Jeon (2021) emphasized that in a metaverse-based educational setting, effective communication is essential for overcoming barriers and ensuring clear exchange of ideas, especially in convergence subjects where diverse participants are involved. Putra, Narti and Risdivanto (2022) pointed out that in rural bureaucratic settings, effective communication is critical for ensuring that information is conveyed properly and that cooperation is achieved among local government stakeholders. Aririguzoh (2022) highlighted that communication competencies, when aligned with cultural awareness, play a vital role in achieving the Sustainable Development Goals (SDGs) by facilitating effective cross-cultural communication in global contexts.</w:t>
      </w:r>
    </w:p>
    <w:p w14:paraId="74174134">
      <w:pPr>
        <w:spacing w:line="360" w:lineRule="auto"/>
        <w:jc w:val="both"/>
        <w:rPr>
          <w:rFonts w:ascii="Times New Roman" w:hAnsi="Times New Roman" w:cs="Times New Roman"/>
          <w:sz w:val="24"/>
          <w:szCs w:val="24"/>
        </w:rPr>
      </w:pPr>
    </w:p>
    <w:p w14:paraId="4E5BECB3">
      <w:pPr>
        <w:spacing w:line="360" w:lineRule="auto"/>
        <w:jc w:val="both"/>
        <w:outlineLvl w:val="1"/>
        <w:rPr>
          <w:rFonts w:ascii="Times New Roman" w:hAnsi="Times New Roman" w:cs="Times New Roman"/>
          <w:sz w:val="24"/>
          <w:szCs w:val="24"/>
        </w:rPr>
      </w:pPr>
      <w:bookmarkStart w:id="8" w:name="_Toc184401953"/>
      <w:r>
        <w:rPr>
          <w:rFonts w:ascii="Times New Roman" w:hAnsi="Times New Roman" w:cs="Times New Roman"/>
          <w:sz w:val="24"/>
          <w:szCs w:val="24"/>
        </w:rPr>
        <w:t>2.5 International Culture</w:t>
      </w:r>
      <w:bookmarkEnd w:id="8"/>
    </w:p>
    <w:p w14:paraId="2FB907F0">
      <w:pPr>
        <w:spacing w:line="360" w:lineRule="auto"/>
        <w:jc w:val="both"/>
        <w:outlineLvl w:val="1"/>
        <w:rPr>
          <w:rFonts w:ascii="Times New Roman" w:hAnsi="Times New Roman" w:cs="Times New Roman"/>
          <w:sz w:val="24"/>
          <w:szCs w:val="24"/>
        </w:rPr>
      </w:pPr>
    </w:p>
    <w:p w14:paraId="5158A260">
      <w:pPr>
        <w:spacing w:line="360" w:lineRule="auto"/>
        <w:jc w:val="both"/>
        <w:outlineLvl w:val="2"/>
        <w:rPr>
          <w:rFonts w:ascii="Times New Roman" w:hAnsi="Times New Roman" w:cs="Times New Roman"/>
          <w:sz w:val="24"/>
          <w:szCs w:val="24"/>
        </w:rPr>
      </w:pPr>
      <w:bookmarkStart w:id="9" w:name="_Toc184401954"/>
      <w:r>
        <w:rPr>
          <w:rFonts w:ascii="Times New Roman" w:hAnsi="Times New Roman" w:cs="Times New Roman"/>
          <w:sz w:val="24"/>
          <w:szCs w:val="24"/>
        </w:rPr>
        <w:t>2.5.1 Trompenaars’ 7 Dimensions of Culture</w:t>
      </w:r>
      <w:bookmarkEnd w:id="9"/>
    </w:p>
    <w:p w14:paraId="3D72EAE9">
      <w:pPr>
        <w:spacing w:line="360" w:lineRule="auto"/>
        <w:jc w:val="both"/>
        <w:outlineLvl w:val="2"/>
        <w:rPr>
          <w:rFonts w:ascii="Times New Roman" w:hAnsi="Times New Roman" w:cs="Times New Roman"/>
          <w:sz w:val="24"/>
          <w:szCs w:val="24"/>
        </w:rPr>
      </w:pPr>
    </w:p>
    <w:p w14:paraId="6FBDEE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TTrompenaars' 7 Dimensions of Culture offer a valuable framework for understanding the impact of cultural values on business behavior across countries. These dimensions include Universalism vs. Particularism, Individualism vs. Communitarianism, Neutral vs. Affective, Specific vs. Diffuse, Achievement vs. Ascription, Time Orientation, and Environment Control. For example, in the Universalism vs. Particularism dimension, Western cultures tend to follow rules and standards uniformly, whereas particularistic cultures, such as those in many Asian countries, often prioritize relationships in determining how rules are applied. This cultural variation is essential for businesses to consider when expanding globally. </w:t>
      </w:r>
      <w:r>
        <w:rPr>
          <w:rFonts w:ascii="Times New Roman" w:hAnsi="Times New Roman" w:eastAsia="宋体" w:cs="Times New Roman"/>
          <w:color w:val="0000FF"/>
          <w:sz w:val="24"/>
          <w:szCs w:val="24"/>
          <w:shd w:val="clear" w:color="auto" w:fill="FFFFFF"/>
        </w:rPr>
        <w:t>Pîrlog</w:t>
      </w:r>
      <w:r>
        <w:rPr>
          <w:rFonts w:ascii="Times New Roman" w:hAnsi="Times New Roman" w:cs="Times New Roman"/>
          <w:sz w:val="24"/>
          <w:szCs w:val="24"/>
        </w:rPr>
        <w:t xml:space="preserve"> (2021) pointed out that in the context of the Trompenaars' framework, the application of universalistic principles in Western businesses contrasts with the particularistic approach commonly found in Moldova and other regions, emphasizing relationship dynamics in business decisions.  Shkurko (2023) noted that Trompenaars’ dimensions, particularly in relation to Individualism vs. Communitarianism, highlight how cultural differences influence managerial decision-making and leadership styles, with Western cultures emphasizing individual autonomy and Eastern cultures favoring group harmony.</w:t>
      </w:r>
    </w:p>
    <w:p w14:paraId="5AC7C53B">
      <w:pPr>
        <w:spacing w:line="360" w:lineRule="auto"/>
        <w:jc w:val="both"/>
        <w:rPr>
          <w:rFonts w:ascii="Times New Roman" w:hAnsi="Times New Roman" w:eastAsia="宋体" w:cs="Times New Roman"/>
          <w:color w:val="222222"/>
          <w:sz w:val="24"/>
          <w:szCs w:val="24"/>
          <w:shd w:val="clear" w:color="auto" w:fill="FFFFFF"/>
        </w:rPr>
      </w:pPr>
    </w:p>
    <w:p w14:paraId="6D5019B2">
      <w:pPr>
        <w:spacing w:line="360" w:lineRule="auto"/>
        <w:jc w:val="both"/>
        <w:outlineLvl w:val="2"/>
        <w:rPr>
          <w:rFonts w:ascii="Times New Roman" w:hAnsi="Times New Roman" w:cs="Times New Roman"/>
          <w:sz w:val="24"/>
          <w:szCs w:val="24"/>
        </w:rPr>
      </w:pPr>
      <w:bookmarkStart w:id="10" w:name="_Toc184401955"/>
      <w:r>
        <w:rPr>
          <w:rFonts w:ascii="Times New Roman" w:hAnsi="Times New Roman" w:cs="Times New Roman"/>
          <w:sz w:val="24"/>
          <w:szCs w:val="24"/>
        </w:rPr>
        <w:t>2.5.2 Challenges in Cross-Cultural Leadership</w:t>
      </w:r>
      <w:bookmarkEnd w:id="10"/>
    </w:p>
    <w:p w14:paraId="4D228071">
      <w:pPr>
        <w:spacing w:line="360" w:lineRule="auto"/>
        <w:jc w:val="both"/>
        <w:outlineLvl w:val="2"/>
        <w:rPr>
          <w:rFonts w:ascii="Times New Roman" w:hAnsi="Times New Roman" w:cs="Times New Roman"/>
          <w:sz w:val="24"/>
          <w:szCs w:val="24"/>
        </w:rPr>
      </w:pPr>
    </w:p>
    <w:p w14:paraId="086195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Cross-cultural leadership presents unique challenges due to the diverse expectations and behaviors of employees across different cultural contexts. Leaders must navigate these differences while managing teams, making decisions, and building trust in foreign markets. One of the main challenges is adjusting leadership styles to suit local cultural norms. In Asia, for example, hierarchical structures often require leaders to take a more authoritative approach, while Western leaders may prefer a more participatory style. Additionally, cross-cultural leaders must be equipped to handle communication breakdowns, manage conflicts arising from cultural misunderstandings, and ensure that team dynamics are aligned with organizational goals. Rogito and Nyamota (2022) emphasized that leadership in agricultural projects in Africa requires adapting to local cultural expectations and adopting different strategies for effective management. Wright (2024) pointed out that in the context of cross-cultural leadership, adjusting one’s leadership style is crucial when addressing the distinct expectations in regions like Athens, where the need for authority differs from Western participatory approaches. </w:t>
      </w:r>
      <w:r>
        <w:rPr>
          <w:rFonts w:ascii="Times New Roman" w:hAnsi="Times New Roman" w:eastAsia="宋体" w:cs="Times New Roman"/>
          <w:color w:val="000000" w:themeColor="text1"/>
          <w:sz w:val="24"/>
          <w:szCs w:val="24"/>
          <w:shd w:val="clear" w:color="auto" w:fill="FFFFFF"/>
          <w14:textFill>
            <w14:solidFill>
              <w14:schemeClr w14:val="tx1"/>
            </w14:solidFill>
          </w14:textFill>
        </w:rPr>
        <w:t>Karakitapoğlu-Aygün</w:t>
      </w:r>
      <w:r>
        <w:rPr>
          <w:rFonts w:ascii="Times New Roman" w:hAnsi="Times New Roman" w:cs="Times New Roman"/>
          <w:color w:val="000000" w:themeColor="text1"/>
          <w:sz w:val="24"/>
          <w:szCs w:val="24"/>
          <w14:textFill>
            <w14:solidFill>
              <w14:schemeClr w14:val="tx1"/>
            </w14:solidFill>
          </w14:textFill>
        </w:rPr>
        <w:t xml:space="preserve"> et al. (2021) di</w:t>
      </w:r>
      <w:r>
        <w:rPr>
          <w:rFonts w:ascii="Times New Roman" w:hAnsi="Times New Roman" w:cs="Times New Roman"/>
          <w:sz w:val="24"/>
          <w:szCs w:val="24"/>
        </w:rPr>
        <w:t>scussed that the challenges leaders face when managing authoritarian leadership perceptions in cross-cultural contexts, particularly the need for agreement between leaders and followers to ensure effective teamwork.</w:t>
      </w:r>
    </w:p>
    <w:p w14:paraId="55892FB7">
      <w:pPr>
        <w:spacing w:line="360" w:lineRule="auto"/>
        <w:jc w:val="both"/>
        <w:rPr>
          <w:rFonts w:ascii="Times New Roman" w:hAnsi="Times New Roman" w:cs="Times New Roman"/>
          <w:sz w:val="24"/>
          <w:szCs w:val="24"/>
          <w:lang w:val="en-US"/>
        </w:rPr>
      </w:pPr>
    </w:p>
    <w:p w14:paraId="22C789E8">
      <w:pPr>
        <w:spacing w:line="360" w:lineRule="auto"/>
        <w:jc w:val="both"/>
        <w:outlineLvl w:val="1"/>
        <w:rPr>
          <w:rFonts w:ascii="Times New Roman" w:hAnsi="Times New Roman" w:cs="Times New Roman"/>
          <w:sz w:val="24"/>
          <w:szCs w:val="24"/>
        </w:rPr>
      </w:pPr>
      <w:bookmarkStart w:id="11" w:name="_Toc184401956"/>
      <w:r>
        <w:rPr>
          <w:rFonts w:ascii="Times New Roman" w:hAnsi="Times New Roman" w:cs="Times New Roman"/>
          <w:sz w:val="24"/>
          <w:szCs w:val="24"/>
        </w:rPr>
        <w:t>2.6 Importance of Building Relationships</w:t>
      </w:r>
      <w:bookmarkEnd w:id="11"/>
    </w:p>
    <w:p w14:paraId="708D174C">
      <w:pPr>
        <w:spacing w:line="360" w:lineRule="auto"/>
        <w:jc w:val="both"/>
        <w:outlineLvl w:val="1"/>
        <w:rPr>
          <w:rFonts w:ascii="Times New Roman" w:hAnsi="Times New Roman" w:cs="Times New Roman"/>
          <w:sz w:val="24"/>
          <w:szCs w:val="24"/>
        </w:rPr>
      </w:pPr>
    </w:p>
    <w:p w14:paraId="4D36BD95">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context of international business, particularly when expanding into new markets such as Asia, building strong relationships is essential for long-term success. In cross-cultural settings, trust and mutual understanding serve as the foundation for collaborative efforts. When companies enter foreign markets, establishing relationships with local partners, suppliers, and stakeholders helps facilitate smoother business operations, effective communication, and sustainable growth. A strong relationship network enhances a company’s reputation, fostering loyalty among customers and stakeholders. Additionally, it offers critical insights into local market trends, consumer preferences, and cultural norms. For the retail group aiming to expand into Asia, nurturing relationships is crucial to understanding the intricacies of diverse markets, enabling them to adapt their strategies and align with regional values. Failing to invest in relationship-building may lead to misunderstandings, missed opportunities, and ultimately hinder growth. Yuan and Lou (2020) highlighted that the importance of credibility and fairness in fostering strong quasi-social relationships, noting that these factors help influencers build trust and interaction with followers, applies equally to business Settings to form reliable relationships partnerships. Reinikainen et al. (2020) emphasized that the role of audience interactions, suggesting that audience comments can significantly enhance the credibility of influencers, which in turn reinforces their relationships with followers. This insight can be useful for understanding how business relationships can be strengthened through transparent and engaging communication.</w:t>
      </w:r>
    </w:p>
    <w:p w14:paraId="5A1045BA">
      <w:pPr>
        <w:spacing w:line="360" w:lineRule="auto"/>
        <w:jc w:val="both"/>
        <w:rPr>
          <w:rFonts w:ascii="Times New Roman" w:hAnsi="Times New Roman" w:cs="Times New Roman"/>
          <w:sz w:val="24"/>
          <w:szCs w:val="24"/>
        </w:rPr>
      </w:pPr>
    </w:p>
    <w:p w14:paraId="480AAAB8">
      <w:pPr>
        <w:spacing w:line="360" w:lineRule="auto"/>
        <w:jc w:val="both"/>
        <w:outlineLvl w:val="1"/>
        <w:rPr>
          <w:rFonts w:ascii="Times New Roman" w:hAnsi="Times New Roman" w:cs="Times New Roman"/>
          <w:sz w:val="24"/>
          <w:szCs w:val="24"/>
        </w:rPr>
      </w:pPr>
      <w:bookmarkStart w:id="12" w:name="_Toc184401957"/>
      <w:r>
        <w:rPr>
          <w:rFonts w:ascii="Times New Roman" w:hAnsi="Times New Roman" w:cs="Times New Roman"/>
          <w:sz w:val="24"/>
          <w:szCs w:val="24"/>
        </w:rPr>
        <w:t>2.7 How to Build Trust</w:t>
      </w:r>
      <w:bookmarkEnd w:id="12"/>
    </w:p>
    <w:p w14:paraId="0DCDA9FE">
      <w:pPr>
        <w:spacing w:line="360" w:lineRule="auto"/>
        <w:jc w:val="both"/>
        <w:outlineLvl w:val="1"/>
        <w:rPr>
          <w:rFonts w:ascii="Times New Roman" w:hAnsi="Times New Roman" w:cs="Times New Roman"/>
          <w:sz w:val="24"/>
          <w:szCs w:val="24"/>
        </w:rPr>
      </w:pPr>
    </w:p>
    <w:p w14:paraId="72DD15C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build trust in international business, especially across cultures, it is essential to recognize that this is a delicate process that requires time, consistency, and mutual respect. Trust is the cornerstone of successful partnerships and must be cultivated through transparent communication, reliability, and demonstrating a commitment to long-term collaboration. To build trust with potential Asian partners, the retail group should start by understanding and respecting cultural norms and business practices, as these vary widely across countries. </w:t>
      </w:r>
      <w:r>
        <w:rPr>
          <w:rFonts w:ascii="Times New Roman" w:hAnsi="Times New Roman" w:eastAsia="宋体" w:cs="Times New Roman"/>
          <w:color w:val="000000" w:themeColor="text1"/>
          <w:sz w:val="24"/>
          <w:szCs w:val="24"/>
          <w:shd w:val="clear" w:color="auto" w:fill="FFFFFF"/>
          <w14:textFill>
            <w14:solidFill>
              <w14:schemeClr w14:val="tx1"/>
            </w14:solidFill>
          </w14:textFill>
        </w:rPr>
        <w:t>Engebø A</w:t>
      </w:r>
      <w:r>
        <w:rPr>
          <w:rFonts w:ascii="Times New Roman" w:hAnsi="Times New Roman" w:cs="Times New Roman"/>
          <w:color w:val="000000" w:themeColor="text1"/>
          <w:sz w:val="24"/>
          <w:szCs w:val="24"/>
          <w14:textFill>
            <w14:solidFill>
              <w14:schemeClr w14:val="tx1"/>
            </w14:solidFill>
          </w14:textFill>
        </w:rPr>
        <w:t xml:space="preserve"> et al</w:t>
      </w:r>
      <w:r>
        <w:rPr>
          <w:rFonts w:ascii="Times New Roman" w:hAnsi="Times New Roman" w:cs="Times New Roman"/>
          <w:sz w:val="24"/>
          <w:szCs w:val="24"/>
        </w:rPr>
        <w:t>. (2022) highlighted that building trust within teams, particularly in complex projects, relies heavily on clear communication and consistent behaviors to foster long-term collaboration. Gardezi et al. (2024) emphasized that trust in emerging technologies like artificial intelligence in farming is built when stakeholders show commitment through transparent actions and reliable information sharing. Hamid et al. (2024) suggested that in entrepreneurial settings, the role of social media in building trust is crucial, as it allows for authentic interactions that foster a sense of creativity and satisfaction, which can be crucial in international partnerships.</w:t>
      </w:r>
    </w:p>
    <w:p w14:paraId="70A92316">
      <w:pPr>
        <w:spacing w:line="360" w:lineRule="auto"/>
        <w:jc w:val="both"/>
        <w:rPr>
          <w:rFonts w:ascii="Times New Roman" w:hAnsi="Times New Roman" w:cs="Times New Roman"/>
          <w:sz w:val="24"/>
          <w:szCs w:val="24"/>
        </w:rPr>
      </w:pPr>
    </w:p>
    <w:p w14:paraId="402422C4">
      <w:pPr>
        <w:spacing w:line="360" w:lineRule="auto"/>
        <w:jc w:val="both"/>
        <w:outlineLvl w:val="1"/>
        <w:rPr>
          <w:rFonts w:ascii="Times New Roman" w:hAnsi="Times New Roman" w:cs="Times New Roman"/>
          <w:sz w:val="24"/>
          <w:szCs w:val="24"/>
        </w:rPr>
      </w:pPr>
      <w:bookmarkStart w:id="13" w:name="_Toc184401958"/>
      <w:r>
        <w:rPr>
          <w:rFonts w:ascii="Times New Roman" w:hAnsi="Times New Roman" w:cs="Times New Roman"/>
          <w:sz w:val="24"/>
          <w:szCs w:val="24"/>
        </w:rPr>
        <w:t>2.8 Failed Relationships</w:t>
      </w:r>
      <w:bookmarkEnd w:id="13"/>
    </w:p>
    <w:p w14:paraId="6F24E44C">
      <w:pPr>
        <w:spacing w:line="360" w:lineRule="auto"/>
        <w:jc w:val="both"/>
        <w:outlineLvl w:val="1"/>
        <w:rPr>
          <w:rFonts w:ascii="Times New Roman" w:hAnsi="Times New Roman" w:cs="Times New Roman"/>
          <w:sz w:val="24"/>
          <w:szCs w:val="24"/>
        </w:rPr>
      </w:pPr>
    </w:p>
    <w:p w14:paraId="4882B2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Failed relationships in international business can be costly, resulting in damaged reputations, lost business opportunities, and strained partnerships. Several factors can lead to the failure of relationship-building efforts, with cultural misunderstandings being among the most common. In a diverse market like Asia, failure to understand and respect local customs, communication styles, and decision-making processes can lead to conflict and mistrust. For instance, in some Asian cultures, indirect communication is preferred, and being overly direct or aggressive can be perceived as disrespectful . Another factor that contributes to failed relationships is a lack of commitment to long-term partnerships. Some businesses enter foreign markets with a transactional mindset, focusing on short-term profits rather than building sustainable relationships. This approach can undermine trust and hinder future cooperation. Additionally, inconsistency in business practices, such as not fulfilling promises or not adapting to local needs, can cause partners to lose faith in the relationship. </w:t>
      </w:r>
      <w:r>
        <w:rPr>
          <w:rFonts w:ascii="Times New Roman" w:hAnsi="Times New Roman" w:cs="Times New Roman"/>
          <w:b/>
          <w:bCs/>
          <w:sz w:val="24"/>
          <w:szCs w:val="24"/>
        </w:rPr>
        <w:br w:type="page"/>
      </w:r>
    </w:p>
    <w:p w14:paraId="4DEF4A04">
      <w:pPr>
        <w:pBdr>
          <w:bottom w:val="single" w:color="auto" w:sz="4" w:space="1"/>
        </w:pBdr>
        <w:spacing w:line="360" w:lineRule="auto"/>
        <w:jc w:val="both"/>
        <w:outlineLvl w:val="0"/>
        <w:rPr>
          <w:rFonts w:ascii="Times New Roman" w:hAnsi="Times New Roman" w:cs="Times New Roman"/>
          <w:b/>
          <w:bCs/>
          <w:sz w:val="24"/>
          <w:szCs w:val="24"/>
        </w:rPr>
      </w:pPr>
      <w:bookmarkStart w:id="14" w:name="_Toc184401959"/>
      <w:r>
        <w:rPr>
          <w:rFonts w:ascii="Times New Roman" w:hAnsi="Times New Roman" w:cs="Times New Roman"/>
          <w:b/>
          <w:bCs/>
          <w:sz w:val="24"/>
          <w:szCs w:val="24"/>
        </w:rPr>
        <w:t>3.  Conclusions</w:t>
      </w:r>
      <w:bookmarkEnd w:id="14"/>
    </w:p>
    <w:p w14:paraId="1D098818">
      <w:pPr>
        <w:spacing w:line="360" w:lineRule="auto"/>
        <w:jc w:val="both"/>
        <w:rPr>
          <w:rFonts w:ascii="Times New Roman" w:hAnsi="Times New Roman" w:cs="Times New Roman"/>
          <w:sz w:val="24"/>
          <w:szCs w:val="24"/>
        </w:rPr>
      </w:pPr>
      <w:r>
        <w:rPr>
          <w:rFonts w:ascii="Times New Roman" w:hAnsi="Times New Roman" w:cs="Times New Roman"/>
          <w:sz w:val="24"/>
          <w:szCs w:val="24"/>
        </w:rPr>
        <w:t>To successfully transition the large clothing retail group into the Asian market, our critical evaluation of cross-cultural communication (CCC) and relationship-building challenges has revealed several key findings. The integration of local cultural norms, language proficiency, and understanding of business etiquette are crucial to establishing trust and effective communication with Asian partners. These competencies enable the retail group to navigate the complexities of cross-cultural dynamics and avoid misunderstandings that can impede business collaboration. Additionally, potential failure in IBC can arise from cultural misinterpretations, differing negotiation styles, and communication barriers, leading to missed opportunities and strained relationships. To mitigate these risks, it is essential for the organization to invest in training programs that develop intercultural communication skills and cultivate an organizational culture that values and respects cultural diversity. By leveraging appropriate theoretical frameworks, such as Hofstede's cultural dimensions and Hall's context theory, the group can better understand and adapt to the cultural nuances of their Asian partners, thereby fostering successful international business communication and achieving sustainable growth in this vital market.</w:t>
      </w:r>
      <w:r>
        <w:rPr>
          <w:rFonts w:ascii="Times New Roman" w:hAnsi="Times New Roman" w:cs="Times New Roman"/>
          <w:b/>
          <w:bCs/>
          <w:sz w:val="24"/>
          <w:szCs w:val="24"/>
        </w:rPr>
        <w:br w:type="page"/>
      </w:r>
    </w:p>
    <w:p w14:paraId="69C99665">
      <w:pPr>
        <w:pBdr>
          <w:bottom w:val="single" w:color="auto" w:sz="4" w:space="1"/>
        </w:pBdr>
        <w:spacing w:line="360" w:lineRule="auto"/>
        <w:jc w:val="both"/>
        <w:outlineLvl w:val="0"/>
        <w:rPr>
          <w:rFonts w:ascii="Times New Roman" w:hAnsi="Times New Roman" w:cs="Times New Roman"/>
          <w:b/>
          <w:bCs/>
          <w:sz w:val="24"/>
          <w:szCs w:val="24"/>
        </w:rPr>
      </w:pPr>
      <w:bookmarkStart w:id="15" w:name="_Toc184401960"/>
      <w:r>
        <w:rPr>
          <w:rFonts w:ascii="Times New Roman" w:hAnsi="Times New Roman" w:cs="Times New Roman"/>
          <w:b/>
          <w:bCs/>
          <w:sz w:val="24"/>
          <w:szCs w:val="24"/>
        </w:rPr>
        <w:t>4. Recommendations</w:t>
      </w:r>
      <w:bookmarkEnd w:id="15"/>
    </w:p>
    <w:p w14:paraId="1A538D2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navigate the complexities of cross-cultural communication successfully, employees and managers need to develop a range of competencies and skills. These include:  </w:t>
      </w:r>
    </w:p>
    <w:p w14:paraId="50DC46C1">
      <w:pPr>
        <w:spacing w:line="360" w:lineRule="auto"/>
        <w:jc w:val="both"/>
        <w:outlineLvl w:val="1"/>
        <w:rPr>
          <w:rFonts w:ascii="Times New Roman" w:hAnsi="Times New Roman" w:cs="Times New Roman"/>
          <w:sz w:val="24"/>
          <w:szCs w:val="24"/>
          <w:lang w:val="en-US"/>
        </w:rPr>
      </w:pPr>
    </w:p>
    <w:p w14:paraId="41E72D24">
      <w:pPr>
        <w:spacing w:line="360" w:lineRule="auto"/>
        <w:jc w:val="both"/>
        <w:outlineLvl w:val="1"/>
        <w:rPr>
          <w:rFonts w:ascii="Times New Roman" w:hAnsi="Times New Roman" w:cs="Times New Roman"/>
          <w:sz w:val="24"/>
          <w:szCs w:val="24"/>
        </w:rPr>
      </w:pPr>
      <w:bookmarkStart w:id="16" w:name="_Toc184401961"/>
      <w:r>
        <w:rPr>
          <w:rFonts w:ascii="Times New Roman" w:hAnsi="Times New Roman" w:cs="Times New Roman"/>
          <w:sz w:val="24"/>
          <w:szCs w:val="24"/>
          <w:lang w:val="en-US"/>
        </w:rPr>
        <w:t>4.1</w:t>
      </w:r>
      <w:r>
        <w:rPr>
          <w:rFonts w:ascii="Times New Roman" w:hAnsi="Times New Roman" w:cs="Times New Roman"/>
          <w:sz w:val="24"/>
          <w:szCs w:val="24"/>
        </w:rPr>
        <w:t xml:space="preserve"> Rebuilding Trust and Reputation</w:t>
      </w:r>
      <w:bookmarkEnd w:id="16"/>
      <w:r>
        <w:rPr>
          <w:rFonts w:ascii="Times New Roman" w:hAnsi="Times New Roman" w:cs="Times New Roman"/>
          <w:sz w:val="24"/>
          <w:szCs w:val="24"/>
        </w:rPr>
        <w:t xml:space="preserve">  </w:t>
      </w:r>
    </w:p>
    <w:p w14:paraId="25F2A011">
      <w:pPr>
        <w:spacing w:line="360" w:lineRule="auto"/>
        <w:jc w:val="both"/>
        <w:outlineLvl w:val="1"/>
        <w:rPr>
          <w:rFonts w:ascii="Times New Roman" w:hAnsi="Times New Roman" w:cs="Times New Roman"/>
          <w:sz w:val="24"/>
          <w:szCs w:val="24"/>
        </w:rPr>
      </w:pPr>
    </w:p>
    <w:p w14:paraId="059326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primary outcomes of a failure in international business communication would be the loss of trust between the retail group and its Asian partners. Trust is fundamental in any business relationship, and its absence can severely damage the partnership's integrity. To address this, the organization must first acknowledge the issues that led to the failure and openly communicate the steps taken to rectify them. Transparency and sincerity in addressing concerns can help rebuild trust. Moreover, the company must prioritize the development of stronger, more culturally aware communication strategies moving forward. Engaging in face-to-face meetings, showing a genuine interest in understanding the cultural nuances of the partner countries, and using local representatives who understand the cultural context can help rebuild the company’s credibility. </w:t>
      </w:r>
    </w:p>
    <w:p w14:paraId="27910F5F">
      <w:pPr>
        <w:spacing w:line="360" w:lineRule="auto"/>
        <w:jc w:val="both"/>
        <w:rPr>
          <w:rFonts w:ascii="Times New Roman" w:hAnsi="Times New Roman" w:cs="Times New Roman"/>
          <w:sz w:val="24"/>
          <w:szCs w:val="24"/>
        </w:rPr>
      </w:pPr>
    </w:p>
    <w:p w14:paraId="38C6E2A3">
      <w:pPr>
        <w:spacing w:line="360" w:lineRule="auto"/>
        <w:jc w:val="both"/>
        <w:outlineLvl w:val="1"/>
        <w:rPr>
          <w:rFonts w:ascii="Times New Roman" w:hAnsi="Times New Roman" w:cs="Times New Roman"/>
          <w:sz w:val="24"/>
          <w:szCs w:val="24"/>
        </w:rPr>
      </w:pPr>
      <w:bookmarkStart w:id="17" w:name="_Toc184401962"/>
      <w:r>
        <w:rPr>
          <w:rFonts w:ascii="Times New Roman" w:hAnsi="Times New Roman" w:cs="Times New Roman"/>
          <w:sz w:val="24"/>
          <w:szCs w:val="24"/>
          <w:lang w:val="en-US"/>
        </w:rPr>
        <w:t>4.2</w:t>
      </w:r>
      <w:r>
        <w:rPr>
          <w:rFonts w:ascii="Times New Roman" w:hAnsi="Times New Roman" w:cs="Times New Roman"/>
          <w:sz w:val="24"/>
          <w:szCs w:val="24"/>
        </w:rPr>
        <w:t xml:space="preserve"> Adaptation of Communication Strategies and Cultural Sensitivity</w:t>
      </w:r>
      <w:bookmarkEnd w:id="17"/>
      <w:r>
        <w:rPr>
          <w:rFonts w:ascii="Times New Roman" w:hAnsi="Times New Roman" w:cs="Times New Roman"/>
          <w:sz w:val="24"/>
          <w:szCs w:val="24"/>
        </w:rPr>
        <w:t xml:space="preserve">  </w:t>
      </w:r>
    </w:p>
    <w:p w14:paraId="0481A9C4">
      <w:pPr>
        <w:spacing w:line="360" w:lineRule="auto"/>
        <w:jc w:val="both"/>
        <w:outlineLvl w:val="1"/>
        <w:rPr>
          <w:rFonts w:ascii="Times New Roman" w:hAnsi="Times New Roman" w:cs="Times New Roman"/>
          <w:sz w:val="24"/>
          <w:szCs w:val="24"/>
        </w:rPr>
      </w:pPr>
    </w:p>
    <w:p w14:paraId="15D93AD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significant consequence of failure in international business communication would be a lack of cultural sensitivity, leading to misunderstandings and ineffective collaboration. To recover from this, the organization would need to adapt its communication strategies by employing intercultural training programs for key employees. These programs should focus on understanding cultural differences, such as language, negotiation styles, and decision-making processes. For instance, in many Asian cultures, indirect communication and respect for hierarchy are highly valued. A failure to recognize these cultural aspects can create a breakdown in negotiations and collaborations. By tailoring communication strategies to respect cultural norms and using local expertise to bridge cultural gaps, the organization can prevent future misunderstandings. </w:t>
      </w:r>
    </w:p>
    <w:p w14:paraId="21974B90">
      <w:pPr>
        <w:spacing w:line="360" w:lineRule="auto"/>
        <w:jc w:val="both"/>
        <w:rPr>
          <w:rFonts w:ascii="Times New Roman" w:hAnsi="Times New Roman" w:cs="Times New Roman"/>
          <w:sz w:val="24"/>
          <w:szCs w:val="24"/>
        </w:rPr>
      </w:pPr>
    </w:p>
    <w:p w14:paraId="4AAE5654">
      <w:pPr>
        <w:spacing w:line="360" w:lineRule="auto"/>
        <w:jc w:val="both"/>
        <w:outlineLvl w:val="1"/>
        <w:rPr>
          <w:rFonts w:ascii="Times New Roman" w:hAnsi="Times New Roman" w:cs="Times New Roman"/>
          <w:sz w:val="24"/>
          <w:szCs w:val="24"/>
        </w:rPr>
      </w:pPr>
      <w:bookmarkStart w:id="18" w:name="_Toc184401963"/>
      <w:r>
        <w:rPr>
          <w:rFonts w:ascii="Times New Roman" w:hAnsi="Times New Roman" w:cs="Times New Roman"/>
          <w:sz w:val="24"/>
          <w:szCs w:val="24"/>
          <w:lang w:val="en-US"/>
        </w:rPr>
        <w:t>4.3</w:t>
      </w:r>
      <w:r>
        <w:rPr>
          <w:rFonts w:ascii="Times New Roman" w:hAnsi="Times New Roman" w:cs="Times New Roman"/>
          <w:sz w:val="24"/>
          <w:szCs w:val="24"/>
        </w:rPr>
        <w:t xml:space="preserve"> Strengthening Relationship Management Processes</w:t>
      </w:r>
      <w:bookmarkEnd w:id="18"/>
      <w:r>
        <w:rPr>
          <w:rFonts w:ascii="Times New Roman" w:hAnsi="Times New Roman" w:cs="Times New Roman"/>
          <w:sz w:val="24"/>
          <w:szCs w:val="24"/>
        </w:rPr>
        <w:t xml:space="preserve">  </w:t>
      </w:r>
    </w:p>
    <w:p w14:paraId="155563C4">
      <w:pPr>
        <w:spacing w:line="360" w:lineRule="auto"/>
        <w:jc w:val="both"/>
        <w:outlineLvl w:val="1"/>
        <w:rPr>
          <w:rFonts w:ascii="Times New Roman" w:hAnsi="Times New Roman" w:cs="Times New Roman"/>
          <w:sz w:val="24"/>
          <w:szCs w:val="24"/>
        </w:rPr>
      </w:pPr>
    </w:p>
    <w:p w14:paraId="48BABA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cases where relationship building fails, a comprehensive evaluation of the company's relationship management processes is necessary. The failure could highlight weaknesses in the way the retail group manages its international relationships, including a lack of consistent follow-up or inadequate understanding of the local market. To rectify this, the organization must strengthen its relationship management framework by introducing robust systems for monitoring and maintaining partnerships. This includes appointing dedicated relationship managers with deep knowledge of local markets and ensuring that regular communication channels are established to maintain partner engagement. Moreover, using technology to facilitate communication and project management across different time zones can improve efficiency and transparency. </w:t>
      </w:r>
    </w:p>
    <w:p w14:paraId="4141517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7F45CA94">
      <w:pPr>
        <w:spacing w:beforeAutospacing="1" w:after="0" w:afterAutospacing="1" w:line="360" w:lineRule="auto"/>
        <w:ind w:left="1080"/>
        <w:jc w:val="both"/>
        <w:rPr>
          <w:rFonts w:ascii="Times New Roman" w:hAnsi="Times New Roman" w:cs="Times New Roman"/>
          <w:sz w:val="24"/>
          <w:szCs w:val="24"/>
        </w:rPr>
      </w:pPr>
      <w:bookmarkStart w:id="19" w:name="_GoBack"/>
      <w:bookmarkEnd w:id="19"/>
    </w:p>
    <w:p w14:paraId="1A221963">
      <w:pPr>
        <w:pStyle w:val="8"/>
        <w:spacing w:line="360" w:lineRule="auto"/>
        <w:ind w:left="720"/>
        <w:jc w:val="both"/>
        <w:rPr>
          <w:rFonts w:ascii="Times New Roman" w:hAnsi="Times New Roman"/>
          <w:szCs w:val="24"/>
        </w:rPr>
      </w:pPr>
    </w:p>
    <w:p w14:paraId="4F0BECB4">
      <w:pPr>
        <w:spacing w:beforeAutospacing="1" w:after="0" w:afterAutospacing="1" w:line="360" w:lineRule="auto"/>
        <w:ind w:left="1080"/>
        <w:jc w:val="both"/>
        <w:rPr>
          <w:rFonts w:ascii="Times New Roman" w:hAnsi="Times New Roman" w:cs="Times New Roman"/>
          <w:sz w:val="24"/>
          <w:szCs w:val="24"/>
        </w:rPr>
      </w:pPr>
    </w:p>
    <w:p w14:paraId="212D7F00">
      <w:pPr>
        <w:spacing w:line="360" w:lineRule="auto"/>
        <w:jc w:val="both"/>
        <w:rPr>
          <w:rFonts w:ascii="Times New Roman" w:hAnsi="Times New Roman" w:eastAsia="宋体" w:cs="Times New Roman"/>
          <w:color w:val="222222"/>
          <w:sz w:val="24"/>
          <w:szCs w:val="24"/>
          <w:shd w:val="clear" w:color="auto" w:fill="FFFFFF"/>
        </w:rPr>
      </w:pPr>
    </w:p>
    <w:sectPr>
      <w:footerReference r:id="rId6" w:type="first"/>
      <w:footerReference r:id="rId5" w:type="default"/>
      <w:pgSz w:w="11906" w:h="16838"/>
      <w:pgMar w:top="1440" w:right="1440" w:bottom="1440" w:left="1440" w:header="708" w:footer="708" w:gutter="0"/>
      <w:pgNumType w:start="1"/>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6B6B784">
    <w:pPr>
      <w:pStyle w:val="4"/>
    </w:pPr>
    <w:r>
      <w:rPr>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5427E1C">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zXDnwqAgAAV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CLNmWdjqneUROirm&#10;7eoYIGCnaxSlV2LQCtPWdWZ4GXGc/9x3UY9/g+Vv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AAAAAGRycy9QSwECFAAUAAAACACHTuJAs0lY&#10;7tAAAAAFAQAADwAAAAAAAAABACAAAAAiAAAAZHJzL2Rvd25yZXYueG1sUEsBAhQAFAAAAAgAh07i&#10;QIzXDnwqAgAAVQQAAA4AAAAAAAAAAQAgAAAAHwEAAGRycy9lMm9Eb2MueG1sUEsFBgAAAAAGAAYA&#10;WQEAALsFAAAAAA==&#10;">
              <v:fill on="f" focussize="0,0"/>
              <v:stroke on="f" weight="0.5pt"/>
              <v:imagedata o:title=""/>
              <o:lock v:ext="edit" aspectratio="f"/>
              <v:textbox inset="0mm,0mm,0mm,0mm" style="mso-fit-shape-to-text:t;">
                <w:txbxContent>
                  <w:p w14:paraId="55427E1C">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2DEF639">
    <w:pPr>
      <w:pStyle w:val="4"/>
    </w:pPr>
    <w:r>
      <w:rPr>
        <w:lang w:val="en-US"/>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E105D50">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AAAAABkcnMvUEsBAhQAFAAAAAgAh07iQLNJ&#10;WO7QAAAABQEAAA8AAAAAAAAAAQAgAAAAIgAAAGRycy9kb3ducmV2LnhtbFBLAQIUABQAAAAIAIdO&#10;4kAFYYw/KwIAAFUEAAAOAAAAAAAAAAEAIAAAAB8BAABkcnMvZTJvRG9jLnhtbFBLBQYAAAAABgAG&#10;AFkBAAC8BQAAAAA=&#10;">
              <v:fill on="f" focussize="0,0"/>
              <v:stroke on="f" weight="0.5pt"/>
              <v:imagedata o:title=""/>
              <o:lock v:ext="edit" aspectratio="f"/>
              <v:textbox inset="0mm,0mm,0mm,0mm" style="mso-fit-shape-to-text:t;">
                <w:txbxContent>
                  <w:p w14:paraId="2E105D50">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noPunctuationKerning w:val="1"/>
  <w:characterSpacingControl w:val="doNotCompress"/>
  <w:footnotePr>
    <w:footnote w:id="0"/>
    <w:footnote w:id="1"/>
  </w:footnotePr>
  <w:endnotePr>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zMyMDMwZGJjNmNiOTI2ZDk3N2VmN2E4MGZkZTVhYWUifQ=="/>
  </w:docVars>
  <w:rsids>
    <w:rsidRoot w:val="00571F12"/>
    <w:rsid w:val="00102068"/>
    <w:rsid w:val="001652C1"/>
    <w:rsid w:val="00182763"/>
    <w:rsid w:val="001A5320"/>
    <w:rsid w:val="00245AF8"/>
    <w:rsid w:val="00390E8A"/>
    <w:rsid w:val="003A111C"/>
    <w:rsid w:val="004E097A"/>
    <w:rsid w:val="00571F12"/>
    <w:rsid w:val="006E527C"/>
    <w:rsid w:val="00720EBB"/>
    <w:rsid w:val="007C4355"/>
    <w:rsid w:val="00877616"/>
    <w:rsid w:val="008A629B"/>
    <w:rsid w:val="008A68DD"/>
    <w:rsid w:val="00905F82"/>
    <w:rsid w:val="00A85BB5"/>
    <w:rsid w:val="00CC241F"/>
    <w:rsid w:val="00D86589"/>
    <w:rsid w:val="00D865CF"/>
    <w:rsid w:val="00E122DD"/>
    <w:rsid w:val="00F81595"/>
    <w:rsid w:val="270D5CD1"/>
    <w:rsid w:val="3D9D281C"/>
    <w:rsid w:val="59572A1F"/>
    <w:rsid w:val="618526DA"/>
    <w:rsid w:val="67A170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17"/>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11">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3">
    <w:name w:val="toc 3"/>
    <w:basedOn w:val="1"/>
    <w:next w:val="1"/>
    <w:unhideWhenUsed/>
    <w:qFormat/>
    <w:uiPriority w:val="39"/>
    <w:pPr>
      <w:ind w:left="840" w:leftChars="400"/>
    </w:pPr>
  </w:style>
  <w:style w:type="paragraph" w:styleId="4">
    <w:name w:val="footer"/>
    <w:basedOn w:val="1"/>
    <w:unhideWhenUsed/>
    <w:qFormat/>
    <w:uiPriority w:val="99"/>
    <w:pPr>
      <w:tabs>
        <w:tab w:val="center" w:pos="4153"/>
        <w:tab w:val="right" w:pos="8306"/>
      </w:tabs>
      <w:snapToGrid w:val="0"/>
    </w:pPr>
    <w:rPr>
      <w:sz w:val="18"/>
    </w:rPr>
  </w:style>
  <w:style w:type="paragraph" w:styleId="5">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6">
    <w:name w:val="toc 1"/>
    <w:basedOn w:val="1"/>
    <w:next w:val="1"/>
    <w:unhideWhenUsed/>
    <w:qFormat/>
    <w:uiPriority w:val="39"/>
  </w:style>
  <w:style w:type="paragraph" w:styleId="7">
    <w:name w:val="toc 2"/>
    <w:basedOn w:val="1"/>
    <w:next w:val="1"/>
    <w:unhideWhenUsed/>
    <w:qFormat/>
    <w:uiPriority w:val="39"/>
    <w:pPr>
      <w:ind w:left="420" w:leftChars="200"/>
    </w:pPr>
  </w:style>
  <w:style w:type="paragraph" w:styleId="8">
    <w:name w:val="Normal (Web)"/>
    <w:basedOn w:val="1"/>
    <w:unhideWhenUsed/>
    <w:uiPriority w:val="99"/>
    <w:pPr>
      <w:spacing w:beforeAutospacing="1" w:after="0" w:afterAutospacing="1"/>
    </w:pPr>
    <w:rPr>
      <w:rFonts w:cs="Times New Roman"/>
      <w:sz w:val="24"/>
      <w:lang w:val="en-US"/>
    </w:rPr>
  </w:style>
  <w:style w:type="paragraph" w:styleId="9">
    <w:name w:val="Title"/>
    <w:basedOn w:val="1"/>
    <w:next w:val="1"/>
    <w:link w:val="19"/>
    <w:qFormat/>
    <w:uiPriority w:val="10"/>
    <w:pPr>
      <w:pBdr>
        <w:bottom w:val="single" w:color="4472C4"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lang w:val="en-US"/>
    </w:rPr>
  </w:style>
  <w:style w:type="character" w:styleId="12">
    <w:name w:val="Emphasis"/>
    <w:basedOn w:val="11"/>
    <w:qFormat/>
    <w:uiPriority w:val="20"/>
    <w:rPr>
      <w:i/>
    </w:rPr>
  </w:style>
  <w:style w:type="character" w:styleId="13">
    <w:name w:val="Hyperlink"/>
    <w:basedOn w:val="11"/>
    <w:unhideWhenUsed/>
    <w:uiPriority w:val="99"/>
    <w:rPr>
      <w:color w:val="0563C1" w:themeColor="hyperlink"/>
      <w:u w:val="single"/>
      <w14:textFill>
        <w14:solidFill>
          <w14:schemeClr w14:val="hlink"/>
        </w14:solidFill>
      </w14:textFill>
    </w:rPr>
  </w:style>
  <w:style w:type="paragraph" w:styleId="14">
    <w:name w:val="No Spacing"/>
    <w:link w:val="15"/>
    <w:qFormat/>
    <w:uiPriority w:val="1"/>
    <w:rPr>
      <w:rFonts w:asciiTheme="minorHAnsi" w:hAnsiTheme="minorHAnsi" w:eastAsiaTheme="minorEastAsia" w:cstheme="minorBidi"/>
      <w:sz w:val="22"/>
      <w:szCs w:val="22"/>
      <w:lang w:val="en-US" w:eastAsia="en-US" w:bidi="ar-SA"/>
    </w:rPr>
  </w:style>
  <w:style w:type="character" w:customStyle="1" w:styleId="15">
    <w:name w:val="无间隔 字符"/>
    <w:basedOn w:val="11"/>
    <w:link w:val="14"/>
    <w:qFormat/>
    <w:uiPriority w:val="1"/>
    <w:rPr>
      <w:lang w:val="en-US" w:eastAsia="en-US"/>
    </w:rPr>
  </w:style>
  <w:style w:type="paragraph" w:styleId="16">
    <w:name w:val="List Paragraph"/>
    <w:basedOn w:val="1"/>
    <w:qFormat/>
    <w:uiPriority w:val="34"/>
    <w:pPr>
      <w:ind w:left="720"/>
      <w:contextualSpacing/>
    </w:pPr>
  </w:style>
  <w:style w:type="character" w:customStyle="1" w:styleId="17">
    <w:name w:val="标题 1 字符"/>
    <w:basedOn w:val="11"/>
    <w:link w:val="2"/>
    <w:qFormat/>
    <w:uiPriority w:val="9"/>
    <w:rPr>
      <w:rFonts w:asciiTheme="majorHAnsi" w:hAnsiTheme="majorHAnsi" w:eastAsiaTheme="majorEastAsia" w:cstheme="majorBidi"/>
      <w:color w:val="2F5597" w:themeColor="accent1" w:themeShade="BF"/>
      <w:sz w:val="32"/>
      <w:szCs w:val="32"/>
    </w:rPr>
  </w:style>
  <w:style w:type="paragraph" w:customStyle="1" w:styleId="18">
    <w:name w:val="TOC 标题1"/>
    <w:basedOn w:val="2"/>
    <w:next w:val="1"/>
    <w:unhideWhenUsed/>
    <w:qFormat/>
    <w:uiPriority w:val="39"/>
    <w:pPr>
      <w:outlineLvl w:val="9"/>
    </w:pPr>
    <w:rPr>
      <w:lang w:val="en-US" w:eastAsia="en-US"/>
    </w:rPr>
  </w:style>
  <w:style w:type="character" w:customStyle="1" w:styleId="19">
    <w:name w:val="标题 字符"/>
    <w:basedOn w:val="11"/>
    <w:link w:val="9"/>
    <w:qFormat/>
    <w:uiPriority w:val="10"/>
    <w:rPr>
      <w:rFonts w:asciiTheme="majorHAnsi" w:hAnsiTheme="majorHAnsi" w:eastAsiaTheme="majorEastAsia" w:cstheme="majorBidi"/>
      <w:color w:val="333F50" w:themeColor="text2" w:themeShade="BF"/>
      <w:spacing w:val="5"/>
      <w:sz w:val="52"/>
      <w:szCs w:val="5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FDDA42-EB83-4884-A78B-8088F71EE673}">
  <ds:schemaRefs/>
</ds:datastoreItem>
</file>

<file path=docProps/app.xml><?xml version="1.0" encoding="utf-8"?>
<Properties xmlns="http://schemas.openxmlformats.org/officeDocument/2006/extended-properties" xmlns:vt="http://schemas.openxmlformats.org/officeDocument/2006/docPropsVTypes">
  <Template>Normal</Template>
  <Company>Win10_64</Company>
  <Pages>15</Pages>
  <Words>3717</Words>
  <Characters>24409</Characters>
  <Lines>209</Lines>
  <Paragraphs>58</Paragraphs>
  <TotalTime>215</TotalTime>
  <ScaleCrop>false</ScaleCrop>
  <LinksUpToDate>false</LinksUpToDate>
  <CharactersWithSpaces>28150</CharactersWithSpaces>
  <Application>WPS Office_12.1.0.19302_F1E327BC-269C-435d-A152-05C5408002CA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 Global partnerships, apparel retail, international market expansion</cp:category>
  <dcterms:created xsi:type="dcterms:W3CDTF">2023-10-23T22:25:00Z</dcterms:created>
  <dc:creator>Gwyneth Jones</dc:creator>
  <cp:lastModifiedBy>　　南方酒馆</cp:lastModifiedBy>
  <dcterms:modified xsi:type="dcterms:W3CDTF">2024-12-06T19:16:05Z</dcterms:modified>
  <dc:subject>Building Global Partnerships in the Retail Sector</dc:subject>
  <dc:title>Global Business Expansion Strategies</dc:title>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2052-12.1.0.19302</vt:lpwstr>
  </property>
  <property fmtid="{D5CDD505-2E9C-101B-9397-08002B2CF9AE}" pid="3" name="ICV">
    <vt:lpwstr>A7DE9BF5FF714CF4B48BD82BDBD3361C_13</vt:lpwstr>
  </property>
</Properties>
</file>