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E9BDA02">
      <w:pPr>
        <w:pStyle w:val="7"/>
        <w:spacing w:before="100" w:beforeAutospacing="1" w:after="100" w:afterAutospacing="1" w:line="480" w:lineRule="auto"/>
        <w:jc w:val="center"/>
        <w:rPr>
          <w:rFonts w:hint="default" w:ascii="Arial" w:hAnsi="Arial" w:cs="Arial"/>
          <w:color w:val="auto"/>
          <w:sz w:val="24"/>
          <w:szCs w:val="24"/>
        </w:rPr>
      </w:pPr>
      <w:r>
        <w:rPr>
          <w:rFonts w:hint="default" w:ascii="Arial" w:hAnsi="Arial" w:cs="Arial"/>
          <w:color w:val="auto"/>
          <w:sz w:val="24"/>
          <w:szCs w:val="24"/>
        </w:rPr>
        <w:t>Unit name: Global Ethics</w:t>
      </w:r>
    </w:p>
    <w:p w14:paraId="3C077407">
      <w:pPr>
        <w:pStyle w:val="7"/>
        <w:spacing w:before="100" w:beforeAutospacing="1" w:after="100" w:afterAutospacing="1" w:line="480" w:lineRule="auto"/>
        <w:jc w:val="center"/>
        <w:rPr>
          <w:rFonts w:hint="default" w:ascii="Arial" w:hAnsi="Arial" w:cs="Arial" w:eastAsiaTheme="majorEastAsia"/>
          <w:color w:val="auto"/>
          <w:sz w:val="24"/>
          <w:szCs w:val="24"/>
          <w:lang w:val="en-US" w:eastAsia="zh-CN"/>
        </w:rPr>
      </w:pPr>
      <w:r>
        <w:rPr>
          <w:rFonts w:hint="default" w:ascii="Arial" w:hAnsi="Arial" w:cs="Arial"/>
          <w:color w:val="auto"/>
          <w:sz w:val="24"/>
          <w:szCs w:val="24"/>
        </w:rPr>
        <w:t xml:space="preserve">Module code: </w:t>
      </w:r>
      <w:r>
        <w:rPr>
          <w:rFonts w:hint="default" w:ascii="Arial" w:hAnsi="Arial" w:cs="Arial"/>
          <w:color w:val="auto"/>
          <w:sz w:val="24"/>
          <w:szCs w:val="24"/>
          <w:lang w:val="en-US" w:eastAsia="zh-CN"/>
        </w:rPr>
        <w:t>BMBM6008</w:t>
      </w:r>
    </w:p>
    <w:p w14:paraId="58938BA4">
      <w:pPr>
        <w:spacing w:before="100" w:beforeAutospacing="1" w:after="100" w:afterAutospacing="1" w:line="480" w:lineRule="auto"/>
        <w:jc w:val="center"/>
        <w:rPr>
          <w:rFonts w:hint="default" w:ascii="Arial" w:hAnsi="Arial" w:cs="Arial"/>
          <w:color w:val="auto"/>
          <w:sz w:val="24"/>
          <w:szCs w:val="24"/>
        </w:rPr>
      </w:pPr>
    </w:p>
    <w:p w14:paraId="77982C88">
      <w:pPr>
        <w:spacing w:before="100" w:beforeAutospacing="1" w:after="100" w:afterAutospacing="1" w:line="480" w:lineRule="auto"/>
        <w:jc w:val="center"/>
        <w:rPr>
          <w:rFonts w:hint="default" w:ascii="Arial" w:hAnsi="Arial" w:cs="Arial"/>
          <w:color w:val="auto"/>
          <w:sz w:val="24"/>
          <w:szCs w:val="24"/>
        </w:rPr>
      </w:pPr>
      <w:r>
        <w:rPr>
          <w:rFonts w:hint="default" w:ascii="Arial" w:hAnsi="Arial" w:cs="Arial"/>
          <w:color w:val="auto"/>
          <w:sz w:val="24"/>
          <w:szCs w:val="24"/>
          <w:lang w:val="en-US" w:eastAsia="zh-CN"/>
        </w:rPr>
        <w:t>Ethical Issues in the BMW Company</w:t>
      </w:r>
    </w:p>
    <w:p w14:paraId="3A0EE273">
      <w:pPr>
        <w:spacing w:before="100" w:beforeAutospacing="1" w:after="100" w:afterAutospacing="1" w:line="480" w:lineRule="auto"/>
        <w:jc w:val="center"/>
        <w:rPr>
          <w:rFonts w:hint="default" w:ascii="Arial" w:hAnsi="Arial" w:cs="Arial"/>
          <w:color w:val="auto"/>
          <w:sz w:val="24"/>
          <w:szCs w:val="24"/>
        </w:rPr>
      </w:pPr>
    </w:p>
    <w:p w14:paraId="3AEA45B1">
      <w:pPr>
        <w:spacing w:before="100" w:beforeAutospacing="1" w:after="100" w:afterAutospacing="1" w:line="480" w:lineRule="auto"/>
        <w:jc w:val="center"/>
        <w:rPr>
          <w:rFonts w:hint="default" w:ascii="Arial" w:hAnsi="Arial" w:cs="Arial" w:eastAsiaTheme="minorEastAsia"/>
          <w:color w:val="auto"/>
          <w:sz w:val="24"/>
          <w:szCs w:val="24"/>
          <w:lang w:val="en-US" w:eastAsia="zh-CN"/>
        </w:rPr>
      </w:pPr>
      <w:r>
        <w:rPr>
          <w:rFonts w:hint="default" w:ascii="Arial" w:hAnsi="Arial" w:cs="Arial"/>
          <w:color w:val="auto"/>
          <w:sz w:val="24"/>
          <w:szCs w:val="24"/>
        </w:rPr>
        <w:t xml:space="preserve">Written by: </w:t>
      </w:r>
      <w:r>
        <w:rPr>
          <w:rFonts w:hint="default" w:ascii="Arial" w:hAnsi="Arial" w:cs="Arial"/>
          <w:color w:val="auto"/>
          <w:sz w:val="24"/>
          <w:szCs w:val="24"/>
          <w:lang w:val="en-US" w:eastAsia="zh-CN"/>
        </w:rPr>
        <w:t>Yuyang Chen</w:t>
      </w:r>
    </w:p>
    <w:p w14:paraId="488070EA">
      <w:pPr>
        <w:spacing w:before="100" w:beforeAutospacing="1" w:after="100" w:afterAutospacing="1" w:line="480" w:lineRule="auto"/>
        <w:jc w:val="center"/>
        <w:rPr>
          <w:rFonts w:hint="default" w:ascii="Arial" w:hAnsi="Arial" w:cs="Arial" w:eastAsiaTheme="minorEastAsia"/>
          <w:color w:val="auto"/>
          <w:sz w:val="24"/>
          <w:szCs w:val="24"/>
          <w:lang w:val="en-US" w:eastAsia="zh-CN"/>
        </w:rPr>
      </w:pPr>
      <w:r>
        <w:rPr>
          <w:rFonts w:hint="default" w:ascii="Arial" w:hAnsi="Arial" w:cs="Arial"/>
          <w:color w:val="auto"/>
          <w:sz w:val="24"/>
          <w:szCs w:val="24"/>
        </w:rPr>
        <w:t xml:space="preserve">Student ID: </w:t>
      </w:r>
      <w:r>
        <w:rPr>
          <w:rFonts w:hint="default" w:ascii="Arial" w:hAnsi="Arial" w:cs="Arial"/>
          <w:color w:val="auto"/>
          <w:sz w:val="24"/>
          <w:szCs w:val="24"/>
          <w:lang w:val="en-US" w:eastAsia="zh-CN"/>
        </w:rPr>
        <w:t>2400262</w:t>
      </w:r>
    </w:p>
    <w:p w14:paraId="0278A424">
      <w:pPr>
        <w:spacing w:before="100" w:beforeAutospacing="1" w:after="100" w:afterAutospacing="1" w:line="480" w:lineRule="auto"/>
        <w:jc w:val="center"/>
        <w:rPr>
          <w:rFonts w:hint="default" w:ascii="Arial" w:hAnsi="Arial" w:cs="Arial" w:eastAsiaTheme="minorEastAsia"/>
          <w:color w:val="auto"/>
          <w:sz w:val="24"/>
          <w:szCs w:val="24"/>
          <w:lang w:val="en-US" w:eastAsia="zh-CN"/>
        </w:rPr>
      </w:pPr>
      <w:r>
        <w:rPr>
          <w:rFonts w:hint="default" w:ascii="Arial" w:hAnsi="Arial" w:cs="Arial"/>
          <w:color w:val="auto"/>
          <w:sz w:val="24"/>
          <w:szCs w:val="24"/>
        </w:rPr>
        <w:t xml:space="preserve">Date submitted: </w:t>
      </w:r>
      <w:r>
        <w:rPr>
          <w:rFonts w:hint="default" w:ascii="Arial" w:hAnsi="Arial" w:cs="Arial"/>
          <w:color w:val="auto"/>
          <w:sz w:val="24"/>
          <w:szCs w:val="24"/>
          <w:lang w:val="en-US" w:eastAsia="zh-CN"/>
        </w:rPr>
        <w:t>10/12/2024</w:t>
      </w:r>
    </w:p>
    <w:p w14:paraId="5A6EF81E">
      <w:pPr>
        <w:spacing w:line="480" w:lineRule="auto"/>
        <w:jc w:val="center"/>
        <w:rPr>
          <w:rFonts w:hint="default" w:ascii="Arial" w:hAnsi="Arial" w:eastAsia="宋体" w:cs="Arial"/>
          <w:bCs/>
          <w:sz w:val="24"/>
          <w:szCs w:val="24"/>
          <w:lang w:val="en-US" w:eastAsia="zh-CN"/>
        </w:rPr>
      </w:pPr>
      <w:r>
        <w:rPr>
          <w:rFonts w:hint="default" w:ascii="Arial" w:hAnsi="Arial" w:eastAsia="宋体" w:cs="Arial"/>
          <w:bCs/>
          <w:sz w:val="24"/>
          <w:szCs w:val="24"/>
        </w:rPr>
        <w:t>Word</w:t>
      </w:r>
      <w:r>
        <w:rPr>
          <w:rFonts w:hint="default" w:ascii="Arial" w:hAnsi="Arial" w:eastAsia="宋体" w:cs="Arial"/>
          <w:bCs/>
          <w:sz w:val="24"/>
          <w:szCs w:val="24"/>
          <w:lang w:val="en-US" w:eastAsia="zh-CN"/>
        </w:rPr>
        <w:t>s</w:t>
      </w:r>
      <w:r>
        <w:rPr>
          <w:rFonts w:hint="default" w:ascii="Arial" w:hAnsi="Arial" w:eastAsia="宋体" w:cs="Arial"/>
          <w:bCs/>
          <w:sz w:val="24"/>
          <w:szCs w:val="24"/>
        </w:rPr>
        <w:t xml:space="preserve"> count</w:t>
      </w:r>
      <w:r>
        <w:rPr>
          <w:rFonts w:hint="default" w:ascii="Arial" w:hAnsi="Arial" w:eastAsia="宋体" w:cs="Arial"/>
          <w:bCs/>
          <w:sz w:val="24"/>
          <w:szCs w:val="24"/>
          <w:lang w:eastAsia="zh-CN"/>
        </w:rPr>
        <w:t>；</w:t>
      </w:r>
      <w:r>
        <w:rPr>
          <w:rFonts w:hint="default" w:ascii="Arial" w:hAnsi="Arial" w:eastAsia="宋体" w:cs="Arial"/>
          <w:bCs/>
          <w:sz w:val="24"/>
          <w:szCs w:val="24"/>
          <w:lang w:val="en-US" w:eastAsia="zh-CN"/>
        </w:rPr>
        <w:t>2746</w:t>
      </w:r>
    </w:p>
    <w:p w14:paraId="7262D1A5">
      <w:pPr>
        <w:spacing w:line="480" w:lineRule="auto"/>
        <w:jc w:val="both"/>
        <w:rPr>
          <w:rFonts w:hint="default" w:ascii="Arial" w:hAnsi="Arial" w:cs="Arial"/>
          <w:sz w:val="24"/>
          <w:szCs w:val="24"/>
          <w:lang w:val="en-US" w:eastAsia="zh-CN"/>
        </w:rPr>
      </w:pPr>
    </w:p>
    <w:p w14:paraId="71DB6513">
      <w:pPr>
        <w:spacing w:line="480" w:lineRule="auto"/>
        <w:rPr>
          <w:rFonts w:hint="default" w:ascii="Arial" w:hAnsi="Arial" w:cs="Arial"/>
          <w:sz w:val="24"/>
          <w:szCs w:val="24"/>
          <w:lang w:val="en-US" w:eastAsia="zh-CN"/>
        </w:rPr>
      </w:pPr>
    </w:p>
    <w:p w14:paraId="6F94070F">
      <w:pPr>
        <w:spacing w:line="480" w:lineRule="auto"/>
        <w:rPr>
          <w:rFonts w:hint="default" w:ascii="Arial" w:hAnsi="Arial" w:cs="Arial"/>
          <w:sz w:val="24"/>
          <w:szCs w:val="24"/>
          <w:lang w:val="en-US" w:eastAsia="zh-CN"/>
        </w:rPr>
      </w:pPr>
    </w:p>
    <w:p w14:paraId="508F1D9B">
      <w:pPr>
        <w:spacing w:line="480" w:lineRule="auto"/>
        <w:rPr>
          <w:rFonts w:hint="default" w:ascii="Arial" w:hAnsi="Arial" w:cs="Arial"/>
          <w:sz w:val="24"/>
          <w:szCs w:val="24"/>
          <w:lang w:val="en-US" w:eastAsia="zh-CN"/>
        </w:rPr>
      </w:pPr>
    </w:p>
    <w:p w14:paraId="246F4939">
      <w:pPr>
        <w:spacing w:line="480" w:lineRule="auto"/>
        <w:rPr>
          <w:rFonts w:hint="default" w:ascii="Arial" w:hAnsi="Arial" w:cs="Arial"/>
          <w:sz w:val="24"/>
          <w:szCs w:val="24"/>
          <w:lang w:val="en-US" w:eastAsia="zh-CN"/>
        </w:rPr>
      </w:pPr>
    </w:p>
    <w:p w14:paraId="2AA5E974">
      <w:pPr>
        <w:spacing w:line="480" w:lineRule="auto"/>
        <w:rPr>
          <w:rFonts w:hint="default" w:ascii="Arial" w:hAnsi="Arial" w:cs="Arial"/>
          <w:sz w:val="24"/>
          <w:szCs w:val="24"/>
          <w:lang w:val="en-US" w:eastAsia="zh-CN"/>
        </w:rPr>
      </w:pPr>
    </w:p>
    <w:p w14:paraId="61F48CFC">
      <w:pPr>
        <w:spacing w:line="480" w:lineRule="auto"/>
        <w:rPr>
          <w:rFonts w:hint="default" w:ascii="Arial" w:hAnsi="Arial" w:cs="Arial"/>
          <w:sz w:val="24"/>
          <w:szCs w:val="24"/>
          <w:lang w:val="en-US" w:eastAsia="zh-CN"/>
        </w:rPr>
      </w:pPr>
    </w:p>
    <w:p w14:paraId="5E7F3B5D">
      <w:pPr>
        <w:spacing w:line="480" w:lineRule="auto"/>
        <w:rPr>
          <w:rFonts w:hint="default" w:ascii="Arial" w:hAnsi="Arial" w:cs="Arial"/>
          <w:sz w:val="24"/>
          <w:szCs w:val="24"/>
          <w:lang w:val="en-US" w:eastAsia="zh-CN"/>
        </w:rPr>
      </w:pPr>
    </w:p>
    <w:p w14:paraId="6AC664A2">
      <w:pPr>
        <w:spacing w:line="480" w:lineRule="auto"/>
        <w:rPr>
          <w:rFonts w:hint="default" w:ascii="Arial" w:hAnsi="Arial" w:cs="Arial"/>
          <w:sz w:val="24"/>
          <w:szCs w:val="24"/>
          <w:lang w:val="en-US" w:eastAsia="zh-CN"/>
        </w:rPr>
      </w:pPr>
    </w:p>
    <w:p w14:paraId="0719E38F">
      <w:pPr>
        <w:spacing w:line="480" w:lineRule="auto"/>
        <w:rPr>
          <w:rFonts w:hint="default" w:ascii="Arial" w:hAnsi="Arial" w:cs="Arial"/>
          <w:sz w:val="24"/>
          <w:szCs w:val="24"/>
          <w:lang w:val="en-US" w:eastAsia="zh-CN"/>
        </w:rPr>
      </w:pPr>
    </w:p>
    <w:p w14:paraId="0409C89F">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Summary</w:t>
      </w:r>
    </w:p>
    <w:p w14:paraId="2065EC40">
      <w:pPr>
        <w:spacing w:line="480" w:lineRule="auto"/>
        <w:rPr>
          <w:rFonts w:hint="default" w:ascii="Arial" w:hAnsi="Arial" w:eastAsia="Segoe UI" w:cs="Arial"/>
          <w:i w:val="0"/>
          <w:iCs w:val="0"/>
          <w:caps w:val="0"/>
          <w:spacing w:val="0"/>
          <w:sz w:val="24"/>
          <w:szCs w:val="24"/>
          <w:shd w:val="clear" w:fill="FFFFFF"/>
        </w:rPr>
      </w:pPr>
      <w:r>
        <w:rPr>
          <w:rFonts w:hint="default" w:ascii="Arial" w:hAnsi="Arial" w:eastAsia="Segoe UI" w:cs="Arial"/>
          <w:i w:val="0"/>
          <w:iCs w:val="0"/>
          <w:caps w:val="0"/>
          <w:spacing w:val="0"/>
          <w:sz w:val="24"/>
          <w:szCs w:val="24"/>
          <w:shd w:val="clear" w:fill="FFFFFF"/>
        </w:rPr>
        <w:t xml:space="preserve">This </w:t>
      </w:r>
      <w:r>
        <w:rPr>
          <w:rFonts w:hint="default" w:ascii="Arial" w:hAnsi="Arial" w:eastAsia="宋体" w:cs="Arial"/>
          <w:i w:val="0"/>
          <w:iCs w:val="0"/>
          <w:caps w:val="0"/>
          <w:spacing w:val="0"/>
          <w:sz w:val="24"/>
          <w:szCs w:val="24"/>
          <w:shd w:val="clear" w:fill="FFFFFF"/>
          <w:lang w:val="en-US" w:eastAsia="zh-CN"/>
        </w:rPr>
        <w:t>essay</w:t>
      </w:r>
      <w:r>
        <w:rPr>
          <w:rFonts w:hint="default" w:ascii="Arial" w:hAnsi="Arial" w:eastAsia="Segoe UI" w:cs="Arial"/>
          <w:i w:val="0"/>
          <w:iCs w:val="0"/>
          <w:caps w:val="0"/>
          <w:spacing w:val="0"/>
          <w:sz w:val="24"/>
          <w:szCs w:val="24"/>
          <w:shd w:val="clear" w:fill="FFFFFF"/>
        </w:rPr>
        <w:t xml:space="preserve"> discusses the core theories of business ethics and analyses them using BMW as a case study. The core theories of business ethics include deontology, teleology, Friedman's shareholder theory, and Freeman's stakeholder theory. Whether BMW violated the basic rules of business ethics is analyzed. Teleology is profit-orientated and determines the direction of profitability of the BMW Group. Friedman's stakeholder theory suggests that the only social responsibility of business is to increase profits and BMW takes socio-economic and environmental needs into account when pursuing the maximization of shareholders' interests within this framework. Friedman's stakeholder theory divides stakeholders into two categories, and BMW values the rights and interests of all relevant groups, gradually shifting from a shareholder-centered management model to a stakeholder-centered management model. Carroll's CSR pyramid covers economic, legal, ethical, and philanthropic responsibilities. Therefore, we will analyze the above elements of BMW Group in depth.</w:t>
      </w:r>
    </w:p>
    <w:p w14:paraId="32FB377E">
      <w:pPr>
        <w:spacing w:line="480" w:lineRule="auto"/>
        <w:rPr>
          <w:rFonts w:hint="default" w:ascii="Arial" w:hAnsi="Arial" w:cs="Arial"/>
          <w:sz w:val="24"/>
          <w:szCs w:val="24"/>
          <w:lang w:val="en-US" w:eastAsia="zh-CN"/>
        </w:rPr>
      </w:pPr>
    </w:p>
    <w:p w14:paraId="486DB2DE">
      <w:pPr>
        <w:spacing w:line="480" w:lineRule="auto"/>
        <w:rPr>
          <w:rFonts w:hint="default" w:ascii="Arial" w:hAnsi="Arial" w:cs="Arial"/>
          <w:sz w:val="24"/>
          <w:szCs w:val="24"/>
          <w:lang w:val="en-US" w:eastAsia="zh-CN"/>
        </w:rPr>
      </w:pPr>
    </w:p>
    <w:p w14:paraId="7FEE0DE2">
      <w:pPr>
        <w:spacing w:line="480" w:lineRule="auto"/>
        <w:rPr>
          <w:rFonts w:hint="default" w:ascii="Arial" w:hAnsi="Arial" w:cs="Arial"/>
          <w:sz w:val="24"/>
          <w:szCs w:val="24"/>
          <w:lang w:val="en-US" w:eastAsia="zh-CN"/>
        </w:rPr>
      </w:pPr>
    </w:p>
    <w:p w14:paraId="0E09EEC1">
      <w:pPr>
        <w:spacing w:line="480" w:lineRule="auto"/>
        <w:rPr>
          <w:rFonts w:hint="default" w:ascii="Arial" w:hAnsi="Arial" w:cs="Arial"/>
          <w:sz w:val="24"/>
          <w:szCs w:val="24"/>
          <w:lang w:val="en-US" w:eastAsia="zh-CN"/>
        </w:rPr>
      </w:pPr>
    </w:p>
    <w:p w14:paraId="4B999F54">
      <w:pPr>
        <w:spacing w:line="480" w:lineRule="auto"/>
        <w:rPr>
          <w:rFonts w:hint="default" w:ascii="Arial" w:hAnsi="Arial" w:cs="Arial"/>
          <w:sz w:val="24"/>
          <w:szCs w:val="24"/>
          <w:lang w:val="en-US" w:eastAsia="zh-CN"/>
        </w:rPr>
      </w:pPr>
    </w:p>
    <w:p w14:paraId="22441FB6">
      <w:pPr>
        <w:spacing w:line="480" w:lineRule="auto"/>
        <w:rPr>
          <w:rFonts w:hint="default" w:ascii="Arial" w:hAnsi="Arial" w:cs="Arial"/>
          <w:sz w:val="24"/>
          <w:szCs w:val="24"/>
          <w:lang w:val="en-US" w:eastAsia="zh-CN"/>
        </w:rPr>
      </w:pPr>
    </w:p>
    <w:sdt>
      <w:sdtPr>
        <w:rPr>
          <w:rFonts w:hint="default" w:ascii="Arial" w:hAnsi="Arial" w:eastAsia="宋体" w:cs="Arial"/>
          <w:kern w:val="2"/>
          <w:sz w:val="24"/>
          <w:szCs w:val="24"/>
          <w:lang w:val="en-US" w:eastAsia="zh-CN" w:bidi="ar-SA"/>
        </w:rPr>
        <w:id w:val="147479220"/>
        <w15:color w:val="DBDBDB"/>
        <w:docPartObj>
          <w:docPartGallery w:val="Table of Contents"/>
          <w:docPartUnique/>
        </w:docPartObj>
      </w:sdtPr>
      <w:sdtEndPr>
        <w:rPr>
          <w:rFonts w:hint="default" w:ascii="Arial" w:hAnsi="Arial" w:eastAsia="宋体" w:cs="Arial"/>
          <w:kern w:val="2"/>
          <w:sz w:val="24"/>
          <w:szCs w:val="24"/>
          <w:lang w:val="en-US" w:eastAsia="zh-CN" w:bidi="ar-SA"/>
        </w:rPr>
      </w:sdtEndPr>
      <w:sdtContent>
        <w:p w14:paraId="71DCF1DA">
          <w:pPr>
            <w:spacing w:before="0" w:beforeLines="0" w:after="0" w:afterLines="0" w:line="480" w:lineRule="auto"/>
            <w:ind w:left="0" w:leftChars="0" w:right="0" w:rightChars="0" w:firstLine="0" w:firstLineChars="0"/>
            <w:jc w:val="center"/>
            <w:rPr>
              <w:rFonts w:hint="default" w:ascii="Arial" w:hAnsi="Arial" w:cs="Arial"/>
              <w:sz w:val="24"/>
              <w:szCs w:val="24"/>
              <w:lang w:val="en-US"/>
            </w:rPr>
          </w:pPr>
          <w:r>
            <w:rPr>
              <w:rFonts w:hint="default" w:ascii="Arial" w:hAnsi="Arial" w:eastAsia="宋体" w:cs="Arial"/>
              <w:kern w:val="2"/>
              <w:sz w:val="24"/>
              <w:szCs w:val="24"/>
              <w:lang w:val="en-US" w:eastAsia="zh-CN" w:bidi="ar-SA"/>
            </w:rPr>
            <w:t xml:space="preserve">Content </w:t>
          </w:r>
        </w:p>
        <w:p w14:paraId="6A7DB094">
          <w:pPr>
            <w:pStyle w:val="4"/>
            <w:tabs>
              <w:tab w:val="right" w:leader="dot" w:pos="8306"/>
            </w:tabs>
            <w:spacing w:line="48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TOC \o "1-3" \h \u </w:instrText>
          </w:r>
          <w:r>
            <w:rPr>
              <w:rFonts w:hint="default" w:ascii="Arial" w:hAnsi="Arial" w:cs="Arial"/>
              <w:sz w:val="24"/>
              <w:szCs w:val="24"/>
            </w:rPr>
            <w:fldChar w:fldCharType="separate"/>
          </w:r>
          <w:r>
            <w:rPr>
              <w:rFonts w:hint="default" w:ascii="Arial" w:hAnsi="Arial" w:cs="Arial"/>
              <w:sz w:val="24"/>
              <w:szCs w:val="24"/>
            </w:rPr>
            <w:fldChar w:fldCharType="begin"/>
          </w:r>
          <w:r>
            <w:rPr>
              <w:rFonts w:hint="default" w:ascii="Arial" w:hAnsi="Arial" w:cs="Arial"/>
              <w:sz w:val="24"/>
              <w:szCs w:val="24"/>
            </w:rPr>
            <w:instrText xml:space="preserve"> HYPERLINK \l _Toc29689 </w:instrText>
          </w:r>
          <w:r>
            <w:rPr>
              <w:rFonts w:hint="default" w:ascii="Arial" w:hAnsi="Arial" w:cs="Arial"/>
              <w:sz w:val="24"/>
              <w:szCs w:val="24"/>
            </w:rPr>
            <w:fldChar w:fldCharType="separate"/>
          </w:r>
          <w:r>
            <w:rPr>
              <w:rFonts w:hint="default" w:ascii="Arial" w:hAnsi="Arial" w:cs="Arial"/>
              <w:sz w:val="24"/>
              <w:szCs w:val="24"/>
              <w:lang w:val="en-US" w:eastAsia="zh-CN"/>
            </w:rPr>
            <w:t>1.0 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_Toc29689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rPr>
            <w:fldChar w:fldCharType="end"/>
          </w:r>
        </w:p>
        <w:p w14:paraId="32806683">
          <w:pPr>
            <w:pStyle w:val="4"/>
            <w:tabs>
              <w:tab w:val="right" w:leader="dot" w:pos="8306"/>
            </w:tabs>
            <w:spacing w:line="48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_Toc26228 </w:instrText>
          </w:r>
          <w:r>
            <w:rPr>
              <w:rFonts w:hint="default" w:ascii="Arial" w:hAnsi="Arial" w:cs="Arial"/>
              <w:sz w:val="24"/>
              <w:szCs w:val="24"/>
            </w:rPr>
            <w:fldChar w:fldCharType="separate"/>
          </w:r>
          <w:r>
            <w:rPr>
              <w:rFonts w:hint="default" w:ascii="Arial" w:hAnsi="Arial" w:cs="Arial"/>
              <w:bCs/>
              <w:sz w:val="24"/>
              <w:szCs w:val="24"/>
              <w:lang w:val="en-US" w:eastAsia="zh-CN"/>
            </w:rPr>
            <w:t>2.0 Core Theories of Business Ethics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_Toc26228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rPr>
            <w:fldChar w:fldCharType="end"/>
          </w:r>
        </w:p>
        <w:p w14:paraId="534F6BCE">
          <w:pPr>
            <w:pStyle w:val="5"/>
            <w:tabs>
              <w:tab w:val="right" w:leader="dot" w:pos="8306"/>
            </w:tabs>
            <w:spacing w:line="48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_Toc31324 </w:instrText>
          </w:r>
          <w:r>
            <w:rPr>
              <w:rFonts w:hint="default" w:ascii="Arial" w:hAnsi="Arial" w:cs="Arial"/>
              <w:sz w:val="24"/>
              <w:szCs w:val="24"/>
            </w:rPr>
            <w:fldChar w:fldCharType="separate"/>
          </w:r>
          <w:r>
            <w:rPr>
              <w:rFonts w:hint="default" w:ascii="Arial" w:hAnsi="Arial" w:cs="Arial"/>
              <w:sz w:val="24"/>
              <w:szCs w:val="24"/>
              <w:lang w:val="en-US" w:eastAsia="zh-CN"/>
            </w:rPr>
            <w:t>2.1 Teleology vs. Deontology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_Toc31324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rPr>
            <w:fldChar w:fldCharType="end"/>
          </w:r>
        </w:p>
        <w:p w14:paraId="5A2B102C">
          <w:pPr>
            <w:pStyle w:val="5"/>
            <w:tabs>
              <w:tab w:val="right" w:leader="dot" w:pos="8306"/>
            </w:tabs>
            <w:spacing w:line="48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_Toc20364 </w:instrText>
          </w:r>
          <w:r>
            <w:rPr>
              <w:rFonts w:hint="default" w:ascii="Arial" w:hAnsi="Arial" w:cs="Arial"/>
              <w:sz w:val="24"/>
              <w:szCs w:val="24"/>
            </w:rPr>
            <w:fldChar w:fldCharType="separate"/>
          </w:r>
          <w:r>
            <w:rPr>
              <w:rFonts w:hint="default" w:ascii="Arial" w:hAnsi="Arial" w:cs="Arial"/>
              <w:sz w:val="24"/>
              <w:szCs w:val="24"/>
              <w:lang w:val="en-US" w:eastAsia="zh-CN"/>
            </w:rPr>
            <w:t>2.2 Friedman's shareholder theory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_Toc20364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sz w:val="24"/>
              <w:szCs w:val="24"/>
            </w:rPr>
            <w:fldChar w:fldCharType="end"/>
          </w:r>
        </w:p>
        <w:p w14:paraId="32B28639">
          <w:pPr>
            <w:pStyle w:val="5"/>
            <w:tabs>
              <w:tab w:val="right" w:leader="dot" w:pos="8306"/>
            </w:tabs>
            <w:spacing w:line="48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_Toc25717 </w:instrText>
          </w:r>
          <w:r>
            <w:rPr>
              <w:rFonts w:hint="default" w:ascii="Arial" w:hAnsi="Arial" w:cs="Arial"/>
              <w:sz w:val="24"/>
              <w:szCs w:val="24"/>
            </w:rPr>
            <w:fldChar w:fldCharType="separate"/>
          </w:r>
          <w:r>
            <w:rPr>
              <w:rFonts w:hint="default" w:ascii="Arial" w:hAnsi="Arial" w:cs="Arial"/>
              <w:sz w:val="24"/>
              <w:szCs w:val="24"/>
              <w:lang w:val="en-US" w:eastAsia="zh-CN"/>
            </w:rPr>
            <w:t>2.3 Freeman's stakeholder theory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_Toc25717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rPr>
            <w:fldChar w:fldCharType="end"/>
          </w:r>
        </w:p>
        <w:p w14:paraId="52FF45F4">
          <w:pPr>
            <w:pStyle w:val="4"/>
            <w:tabs>
              <w:tab w:val="right" w:leader="dot" w:pos="8306"/>
            </w:tabs>
            <w:spacing w:line="48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_Toc21186 </w:instrText>
          </w:r>
          <w:r>
            <w:rPr>
              <w:rFonts w:hint="default" w:ascii="Arial" w:hAnsi="Arial" w:cs="Arial"/>
              <w:sz w:val="24"/>
              <w:szCs w:val="24"/>
            </w:rPr>
            <w:fldChar w:fldCharType="separate"/>
          </w:r>
          <w:r>
            <w:rPr>
              <w:rFonts w:hint="default" w:ascii="Arial" w:hAnsi="Arial" w:cs="Arial"/>
              <w:sz w:val="24"/>
              <w:szCs w:val="24"/>
              <w:lang w:val="en-US" w:eastAsia="zh-CN"/>
            </w:rPr>
            <w:t>3.0 Corporate Social Responsibility (CSR) Carroll CSR Pyramid</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_Toc21186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sz w:val="24"/>
              <w:szCs w:val="24"/>
            </w:rPr>
            <w:fldChar w:fldCharType="end"/>
          </w:r>
        </w:p>
        <w:p w14:paraId="6106377C">
          <w:pPr>
            <w:pStyle w:val="4"/>
            <w:tabs>
              <w:tab w:val="right" w:leader="dot" w:pos="8306"/>
            </w:tabs>
            <w:spacing w:line="48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_Toc368 </w:instrText>
          </w:r>
          <w:r>
            <w:rPr>
              <w:rFonts w:hint="default" w:ascii="Arial" w:hAnsi="Arial" w:cs="Arial"/>
              <w:sz w:val="24"/>
              <w:szCs w:val="24"/>
            </w:rPr>
            <w:fldChar w:fldCharType="separate"/>
          </w:r>
          <w:r>
            <w:rPr>
              <w:rFonts w:hint="default" w:ascii="Arial" w:hAnsi="Arial" w:cs="Arial"/>
              <w:bCs/>
              <w:sz w:val="24"/>
              <w:szCs w:val="24"/>
              <w:lang w:val="en-US" w:eastAsia="zh-CN"/>
            </w:rPr>
            <w:t>4.0 The Good and Bad of Greed</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_Toc368 \h </w:instrText>
          </w:r>
          <w:r>
            <w:rPr>
              <w:rFonts w:hint="default" w:ascii="Arial" w:hAnsi="Arial" w:cs="Arial"/>
              <w:sz w:val="24"/>
              <w:szCs w:val="24"/>
            </w:rPr>
            <w:fldChar w:fldCharType="separate"/>
          </w:r>
          <w:r>
            <w:rPr>
              <w:rFonts w:hint="default" w:ascii="Arial" w:hAnsi="Arial" w:cs="Arial"/>
              <w:sz w:val="24"/>
              <w:szCs w:val="24"/>
            </w:rPr>
            <w:t>16</w:t>
          </w:r>
          <w:r>
            <w:rPr>
              <w:rFonts w:hint="default" w:ascii="Arial" w:hAnsi="Arial" w:cs="Arial"/>
              <w:sz w:val="24"/>
              <w:szCs w:val="24"/>
            </w:rPr>
            <w:fldChar w:fldCharType="end"/>
          </w:r>
          <w:r>
            <w:rPr>
              <w:rFonts w:hint="default" w:ascii="Arial" w:hAnsi="Arial" w:cs="Arial"/>
              <w:sz w:val="24"/>
              <w:szCs w:val="24"/>
            </w:rPr>
            <w:fldChar w:fldCharType="end"/>
          </w:r>
        </w:p>
        <w:p w14:paraId="0FBCA993">
          <w:pPr>
            <w:pStyle w:val="4"/>
            <w:tabs>
              <w:tab w:val="right" w:leader="dot" w:pos="8306"/>
            </w:tabs>
            <w:spacing w:line="48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_Toc18066 </w:instrText>
          </w:r>
          <w:r>
            <w:rPr>
              <w:rFonts w:hint="default" w:ascii="Arial" w:hAnsi="Arial" w:cs="Arial"/>
              <w:sz w:val="24"/>
              <w:szCs w:val="24"/>
            </w:rPr>
            <w:fldChar w:fldCharType="separate"/>
          </w:r>
          <w:r>
            <w:rPr>
              <w:rFonts w:hint="default" w:ascii="Arial" w:hAnsi="Arial" w:cs="Arial"/>
              <w:bCs/>
              <w:sz w:val="24"/>
              <w:szCs w:val="24"/>
              <w:lang w:val="en-US" w:eastAsia="zh-CN"/>
            </w:rPr>
            <w:t>5.0 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_Toc18066 \h </w:instrText>
          </w:r>
          <w:r>
            <w:rPr>
              <w:rFonts w:hint="default" w:ascii="Arial" w:hAnsi="Arial" w:cs="Arial"/>
              <w:sz w:val="24"/>
              <w:szCs w:val="24"/>
            </w:rPr>
            <w:fldChar w:fldCharType="separate"/>
          </w:r>
          <w:r>
            <w:rPr>
              <w:rFonts w:hint="default" w:ascii="Arial" w:hAnsi="Arial" w:cs="Arial"/>
              <w:sz w:val="24"/>
              <w:szCs w:val="24"/>
            </w:rPr>
            <w:t>17</w:t>
          </w:r>
          <w:r>
            <w:rPr>
              <w:rFonts w:hint="default" w:ascii="Arial" w:hAnsi="Arial" w:cs="Arial"/>
              <w:sz w:val="24"/>
              <w:szCs w:val="24"/>
            </w:rPr>
            <w:fldChar w:fldCharType="end"/>
          </w:r>
          <w:r>
            <w:rPr>
              <w:rFonts w:hint="default" w:ascii="Arial" w:hAnsi="Arial" w:cs="Arial"/>
              <w:sz w:val="24"/>
              <w:szCs w:val="24"/>
            </w:rPr>
            <w:fldChar w:fldCharType="end"/>
          </w:r>
        </w:p>
        <w:p w14:paraId="1D1C7327">
          <w:pPr>
            <w:pStyle w:val="4"/>
            <w:tabs>
              <w:tab w:val="right" w:leader="dot" w:pos="8306"/>
            </w:tabs>
            <w:spacing w:line="48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_Toc2520 </w:instrText>
          </w:r>
          <w:r>
            <w:rPr>
              <w:rFonts w:hint="default" w:ascii="Arial" w:hAnsi="Arial" w:cs="Arial"/>
              <w:sz w:val="24"/>
              <w:szCs w:val="24"/>
            </w:rPr>
            <w:fldChar w:fldCharType="separate"/>
          </w:r>
          <w:r>
            <w:rPr>
              <w:rFonts w:hint="default" w:ascii="Arial" w:hAnsi="Arial" w:cs="Arial"/>
              <w:sz w:val="24"/>
              <w:szCs w:val="24"/>
              <w:lang w:val="en-US" w:eastAsia="zh-CN"/>
            </w:rPr>
            <w:t>Reference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_Toc2520 \h </w:instrText>
          </w:r>
          <w:r>
            <w:rPr>
              <w:rFonts w:hint="default" w:ascii="Arial" w:hAnsi="Arial" w:cs="Arial"/>
              <w:sz w:val="24"/>
              <w:szCs w:val="24"/>
            </w:rPr>
            <w:fldChar w:fldCharType="separate"/>
          </w:r>
          <w:r>
            <w:rPr>
              <w:rFonts w:hint="default" w:ascii="Arial" w:hAnsi="Arial" w:cs="Arial"/>
              <w:sz w:val="24"/>
              <w:szCs w:val="24"/>
            </w:rPr>
            <w:t>18</w:t>
          </w:r>
          <w:r>
            <w:rPr>
              <w:rFonts w:hint="default" w:ascii="Arial" w:hAnsi="Arial" w:cs="Arial"/>
              <w:sz w:val="24"/>
              <w:szCs w:val="24"/>
            </w:rPr>
            <w:fldChar w:fldCharType="end"/>
          </w:r>
          <w:r>
            <w:rPr>
              <w:rFonts w:hint="default" w:ascii="Arial" w:hAnsi="Arial" w:cs="Arial"/>
              <w:sz w:val="24"/>
              <w:szCs w:val="24"/>
            </w:rPr>
            <w:fldChar w:fldCharType="end"/>
          </w:r>
        </w:p>
        <w:p w14:paraId="4FD98286">
          <w:pPr>
            <w:spacing w:line="480" w:lineRule="auto"/>
            <w:rPr>
              <w:rFonts w:hint="default" w:ascii="Arial" w:hAnsi="Arial" w:eastAsia="宋体" w:cs="Arial"/>
              <w:kern w:val="2"/>
              <w:sz w:val="24"/>
              <w:szCs w:val="24"/>
              <w:lang w:val="en-US" w:eastAsia="zh-CN" w:bidi="ar-SA"/>
            </w:rPr>
          </w:pPr>
          <w:r>
            <w:rPr>
              <w:rFonts w:hint="default" w:ascii="Arial" w:hAnsi="Arial" w:cs="Arial"/>
              <w:sz w:val="24"/>
              <w:szCs w:val="24"/>
            </w:rPr>
            <w:fldChar w:fldCharType="end"/>
          </w:r>
        </w:p>
      </w:sdtContent>
    </w:sdt>
    <w:p w14:paraId="06D06856">
      <w:pPr>
        <w:bidi w:val="0"/>
        <w:spacing w:line="480" w:lineRule="auto"/>
        <w:rPr>
          <w:rFonts w:hint="default" w:ascii="Arial" w:hAnsi="Arial" w:cs="Arial" w:eastAsiaTheme="minorEastAsia"/>
          <w:kern w:val="2"/>
          <w:sz w:val="24"/>
          <w:szCs w:val="24"/>
          <w:lang w:val="en-US" w:eastAsia="zh-CN" w:bidi="ar-SA"/>
        </w:rPr>
      </w:pPr>
    </w:p>
    <w:p w14:paraId="61997D5C">
      <w:pPr>
        <w:bidi w:val="0"/>
        <w:spacing w:line="480" w:lineRule="auto"/>
        <w:rPr>
          <w:rFonts w:hint="default" w:ascii="Arial" w:hAnsi="Arial" w:cs="Arial"/>
          <w:sz w:val="24"/>
          <w:szCs w:val="24"/>
          <w:lang w:val="en-US" w:eastAsia="zh-CN"/>
        </w:rPr>
      </w:pPr>
    </w:p>
    <w:p w14:paraId="621A5BC9">
      <w:pPr>
        <w:bidi w:val="0"/>
        <w:spacing w:line="480" w:lineRule="auto"/>
        <w:rPr>
          <w:rFonts w:hint="default" w:ascii="Arial" w:hAnsi="Arial" w:cs="Arial"/>
          <w:sz w:val="24"/>
          <w:szCs w:val="24"/>
          <w:lang w:val="en-US" w:eastAsia="zh-CN"/>
        </w:rPr>
      </w:pPr>
    </w:p>
    <w:p w14:paraId="65512EB3">
      <w:pPr>
        <w:bidi w:val="0"/>
        <w:spacing w:line="480" w:lineRule="auto"/>
        <w:rPr>
          <w:rFonts w:hint="default" w:ascii="Arial" w:hAnsi="Arial" w:cs="Arial"/>
          <w:sz w:val="24"/>
          <w:szCs w:val="24"/>
          <w:lang w:val="en-US" w:eastAsia="zh-CN"/>
        </w:rPr>
      </w:pPr>
    </w:p>
    <w:p w14:paraId="16102A0D">
      <w:pPr>
        <w:bidi w:val="0"/>
        <w:spacing w:line="480" w:lineRule="auto"/>
        <w:rPr>
          <w:rFonts w:hint="default" w:ascii="Arial" w:hAnsi="Arial" w:cs="Arial"/>
          <w:sz w:val="24"/>
          <w:szCs w:val="24"/>
          <w:lang w:val="en-US" w:eastAsia="zh-CN"/>
        </w:rPr>
      </w:pPr>
    </w:p>
    <w:p w14:paraId="51077992">
      <w:pPr>
        <w:bidi w:val="0"/>
        <w:spacing w:line="480" w:lineRule="auto"/>
        <w:rPr>
          <w:rFonts w:hint="default" w:ascii="Arial" w:hAnsi="Arial" w:cs="Arial"/>
          <w:sz w:val="24"/>
          <w:szCs w:val="24"/>
          <w:lang w:val="en-US" w:eastAsia="zh-CN"/>
        </w:rPr>
      </w:pPr>
    </w:p>
    <w:p w14:paraId="105E4B65">
      <w:pPr>
        <w:bidi w:val="0"/>
        <w:spacing w:line="480" w:lineRule="auto"/>
        <w:rPr>
          <w:rFonts w:hint="default" w:ascii="Arial" w:hAnsi="Arial" w:cs="Arial"/>
          <w:sz w:val="24"/>
          <w:szCs w:val="24"/>
          <w:lang w:val="en-US" w:eastAsia="zh-CN"/>
        </w:rPr>
      </w:pPr>
    </w:p>
    <w:p w14:paraId="7FFEB0D1">
      <w:pPr>
        <w:bidi w:val="0"/>
        <w:spacing w:line="480" w:lineRule="auto"/>
        <w:rPr>
          <w:rFonts w:hint="default" w:ascii="Arial" w:hAnsi="Arial" w:cs="Arial"/>
          <w:sz w:val="24"/>
          <w:szCs w:val="24"/>
          <w:lang w:val="en-US" w:eastAsia="zh-CN"/>
        </w:rPr>
      </w:pPr>
    </w:p>
    <w:p w14:paraId="7296EB14">
      <w:pPr>
        <w:bidi w:val="0"/>
        <w:spacing w:line="480" w:lineRule="auto"/>
        <w:rPr>
          <w:rFonts w:hint="default" w:ascii="Arial" w:hAnsi="Arial" w:cs="Arial"/>
          <w:sz w:val="24"/>
          <w:szCs w:val="24"/>
          <w:lang w:val="en-US" w:eastAsia="zh-CN"/>
        </w:rPr>
      </w:pPr>
    </w:p>
    <w:p w14:paraId="3F362F18">
      <w:pPr>
        <w:tabs>
          <w:tab w:val="left" w:pos="3150"/>
        </w:tabs>
        <w:bidi w:val="0"/>
        <w:spacing w:line="480" w:lineRule="auto"/>
        <w:jc w:val="left"/>
        <w:rPr>
          <w:rFonts w:hint="default" w:ascii="Arial" w:hAnsi="Arial" w:cs="Arial"/>
          <w:sz w:val="24"/>
          <w:szCs w:val="24"/>
          <w:lang w:val="en-US" w:eastAsia="zh-CN"/>
        </w:rPr>
        <w:sectPr>
          <w:pgSz w:w="11906" w:h="16838"/>
          <w:pgMar w:top="1440" w:right="1800" w:bottom="1440" w:left="1800" w:header="851" w:footer="992" w:gutter="0"/>
          <w:cols w:space="425" w:num="1"/>
          <w:docGrid w:type="lines" w:linePitch="312" w:charSpace="0"/>
        </w:sectPr>
      </w:pPr>
      <w:r>
        <w:rPr>
          <w:rFonts w:hint="default" w:ascii="Arial" w:hAnsi="Arial" w:cs="Arial"/>
          <w:sz w:val="24"/>
          <w:szCs w:val="24"/>
          <w:lang w:val="en-US" w:eastAsia="zh-CN"/>
        </w:rPr>
        <w:tab/>
      </w:r>
    </w:p>
    <w:p w14:paraId="05D5A0DD">
      <w:pPr>
        <w:pStyle w:val="2"/>
        <w:bidi w:val="0"/>
        <w:spacing w:line="480" w:lineRule="auto"/>
        <w:rPr>
          <w:rFonts w:hint="default" w:ascii="Arial" w:hAnsi="Arial" w:cs="Arial"/>
          <w:sz w:val="24"/>
          <w:szCs w:val="24"/>
          <w:lang w:val="en-US" w:eastAsia="zh-CN"/>
        </w:rPr>
      </w:pPr>
      <w:bookmarkStart w:id="0" w:name="_Toc29689"/>
      <w:r>
        <w:rPr>
          <w:rFonts w:hint="default" w:ascii="Arial" w:hAnsi="Arial" w:cs="Arial"/>
          <w:sz w:val="24"/>
          <w:szCs w:val="24"/>
          <w:lang w:val="en-US" w:eastAsia="zh-CN"/>
        </w:rPr>
        <w:t>1.0 Introduction</w:t>
      </w:r>
      <w:bookmarkEnd w:id="0"/>
    </w:p>
    <w:p w14:paraId="3B504D89">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With the development of the economy, there has been a gradual change in the modern business environment about the ability of enterprises to generate profits. To date, businesses have been judged more in terms of their ethical behavior and responsibilities towards society, the environment, and stakeholders. This paper will look at the core theories of business ethics including Purpose and Duty, Friedman's Shareholder Theory, and *Friedman's Stakeholder-Related Theory, as well as Corporate Social Responsibility (CSR) Carroll's Pyramid of Corporate Social Responsibility. BMW is chosen as the research subject of this thesis. The BMW Group is the world's leading manufacturer of luxury automobiles，and it provides me with an ideal case study.</w:t>
      </w:r>
    </w:p>
    <w:p w14:paraId="722E267F">
      <w:pPr>
        <w:spacing w:line="480" w:lineRule="auto"/>
        <w:rPr>
          <w:rFonts w:hint="default" w:ascii="Arial" w:hAnsi="Arial" w:cs="Arial"/>
          <w:sz w:val="24"/>
          <w:szCs w:val="24"/>
          <w:lang w:val="en-US" w:eastAsia="zh-CN"/>
        </w:rPr>
      </w:pPr>
    </w:p>
    <w:p w14:paraId="2D332246">
      <w:pPr>
        <w:pStyle w:val="2"/>
        <w:bidi w:val="0"/>
        <w:spacing w:line="480" w:lineRule="auto"/>
        <w:rPr>
          <w:rFonts w:hint="default" w:ascii="Arial" w:hAnsi="Arial" w:cs="Arial"/>
          <w:sz w:val="24"/>
          <w:szCs w:val="24"/>
          <w:lang w:val="en-US" w:eastAsia="zh-CN"/>
        </w:rPr>
      </w:pPr>
    </w:p>
    <w:p w14:paraId="53C78BF2">
      <w:pPr>
        <w:pStyle w:val="2"/>
        <w:bidi w:val="0"/>
        <w:spacing w:line="480" w:lineRule="auto"/>
        <w:rPr>
          <w:rFonts w:hint="default" w:ascii="Arial" w:hAnsi="Arial" w:cs="Arial"/>
          <w:sz w:val="24"/>
          <w:szCs w:val="24"/>
          <w:lang w:val="en-US" w:eastAsia="zh-CN"/>
        </w:rPr>
      </w:pPr>
    </w:p>
    <w:p w14:paraId="439DE20A">
      <w:pPr>
        <w:bidi w:val="0"/>
        <w:spacing w:line="480" w:lineRule="auto"/>
        <w:rPr>
          <w:rFonts w:hint="default" w:ascii="Arial" w:hAnsi="Arial" w:cs="Arial"/>
          <w:sz w:val="24"/>
          <w:szCs w:val="24"/>
          <w:lang w:val="en-US" w:eastAsia="zh-CN"/>
        </w:rPr>
      </w:pPr>
    </w:p>
    <w:p w14:paraId="2478ADAF">
      <w:pPr>
        <w:bidi w:val="0"/>
        <w:spacing w:line="480" w:lineRule="auto"/>
        <w:rPr>
          <w:rFonts w:hint="default" w:ascii="Arial" w:hAnsi="Arial" w:cs="Arial"/>
          <w:sz w:val="24"/>
          <w:szCs w:val="24"/>
          <w:lang w:val="en-US" w:eastAsia="zh-CN"/>
        </w:rPr>
      </w:pPr>
    </w:p>
    <w:p w14:paraId="11E4C076">
      <w:pPr>
        <w:bidi w:val="0"/>
        <w:spacing w:line="480" w:lineRule="auto"/>
        <w:rPr>
          <w:rFonts w:hint="default" w:ascii="Arial" w:hAnsi="Arial" w:cs="Arial"/>
          <w:sz w:val="24"/>
          <w:szCs w:val="24"/>
          <w:lang w:val="en-US" w:eastAsia="zh-CN"/>
        </w:rPr>
      </w:pPr>
    </w:p>
    <w:p w14:paraId="4A280056">
      <w:pPr>
        <w:bidi w:val="0"/>
        <w:spacing w:line="480" w:lineRule="auto"/>
        <w:rPr>
          <w:rFonts w:hint="default" w:ascii="Arial" w:hAnsi="Arial" w:cs="Arial"/>
          <w:sz w:val="24"/>
          <w:szCs w:val="24"/>
          <w:lang w:val="en-US" w:eastAsia="zh-CN"/>
        </w:rPr>
      </w:pPr>
    </w:p>
    <w:p w14:paraId="47542C06">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cs="Arial"/>
          <w:b/>
          <w:bCs/>
          <w:sz w:val="24"/>
          <w:szCs w:val="24"/>
          <w:lang w:val="en-US" w:eastAsia="zh-CN"/>
        </w:rPr>
      </w:pPr>
      <w:bookmarkStart w:id="1" w:name="_Toc26228"/>
      <w:r>
        <w:rPr>
          <w:rFonts w:hint="default" w:ascii="Arial" w:hAnsi="Arial" w:cs="Arial"/>
          <w:b/>
          <w:bCs/>
          <w:sz w:val="24"/>
          <w:szCs w:val="24"/>
          <w:lang w:val="en-US" w:eastAsia="zh-CN"/>
        </w:rPr>
        <w:t>2.0 Core Theories of Business Ethics</w:t>
      </w:r>
      <w:bookmarkEnd w:id="1"/>
    </w:p>
    <w:p w14:paraId="0AAE314F">
      <w:pPr>
        <w:pStyle w:val="3"/>
        <w:keepNext/>
        <w:keepLines/>
        <w:pageBreakBefore w:val="0"/>
        <w:widowControl w:val="0"/>
        <w:kinsoku/>
        <w:wordWrap/>
        <w:overflowPunct/>
        <w:topLinePunct w:val="0"/>
        <w:autoSpaceDE/>
        <w:autoSpaceDN/>
        <w:bidi w:val="0"/>
        <w:adjustRightInd/>
        <w:snapToGrid/>
        <w:spacing w:line="480" w:lineRule="auto"/>
        <w:textAlignment w:val="auto"/>
        <w:outlineLvl w:val="1"/>
        <w:rPr>
          <w:rFonts w:hint="default" w:ascii="Arial" w:hAnsi="Arial" w:cs="Arial"/>
          <w:sz w:val="24"/>
          <w:szCs w:val="24"/>
          <w:lang w:val="en-US" w:eastAsia="zh-CN"/>
        </w:rPr>
      </w:pPr>
      <w:bookmarkStart w:id="2" w:name="_Toc31324"/>
      <w:r>
        <w:rPr>
          <w:rFonts w:hint="default" w:ascii="Arial" w:hAnsi="Arial" w:cs="Arial"/>
          <w:sz w:val="24"/>
          <w:szCs w:val="24"/>
          <w:lang w:val="en-US" w:eastAsia="zh-CN"/>
        </w:rPr>
        <w:t>2.1 Teleology vs. Deontology</w:t>
      </w:r>
      <w:bookmarkEnd w:id="2"/>
    </w:p>
    <w:p w14:paraId="1C6A5AAA">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Various studies have shown that purposive and deontology are indeed difficult to define with great precision and clarity.</w:t>
      </w:r>
    </w:p>
    <w:p w14:paraId="2B874AB4">
      <w:pPr>
        <w:spacing w:line="480" w:lineRule="auto"/>
        <w:rPr>
          <w:rFonts w:hint="default" w:ascii="Arial" w:hAnsi="Arial" w:cs="Arial"/>
          <w:sz w:val="24"/>
          <w:szCs w:val="24"/>
          <w:lang w:val="en-US" w:eastAsia="zh-CN"/>
        </w:rPr>
      </w:pPr>
    </w:p>
    <w:p w14:paraId="367A59E9">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In terms of deontology, as mentioned by some scholars, morality is extremely complex and does not have a clear and unambiguous premise as it stems from many different dimensions and domains (Abderrahmane, 2018). According to the author, the core principle of deontology lies in examining whether the behavior itself is consistent with moral obligations and related principles. As one scholar points out, if people fail to recognize the moral duties and obligations of living together and neglect moral behavior in the public interest, it is difficult to create a healthy, peaceful, and harmonious atmosphere in society and a good social order cannot be achieved (JIN, 2012). Due to the profound influence of the social environment, deontology exists in a wide range of societies. For example, citizens living in cities have the duty and responsibility to take care of their social environment and surroundings. The same is true for businesses. It is argued that CSR is a process that covers elements of corporate cognition, corporate interpretation, and corporate behavior. When corporations practice socially responsible behaviors that are synergistic with the local economy and society, they are more likely to obtain resources through legitimate means (Ma 2024).</w:t>
      </w:r>
    </w:p>
    <w:p w14:paraId="0B6D4C62">
      <w:pPr>
        <w:spacing w:line="480" w:lineRule="auto"/>
        <w:rPr>
          <w:rFonts w:hint="default" w:ascii="Arial" w:hAnsi="Arial" w:cs="Arial"/>
          <w:sz w:val="24"/>
          <w:szCs w:val="24"/>
          <w:lang w:val="en-US" w:eastAsia="zh-CN"/>
        </w:rPr>
      </w:pPr>
    </w:p>
    <w:p w14:paraId="2A67FD38">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Examining BMW from a deontological perspective, it has shown behaviors such as price increases and refusal to deliver that violate the basic norms of business ethics. However, it has also actively participated in the research and development of new energy vehicles and engaged in a series of public welfare activities, making many efforts to promote environmental protection and putting into practice the concept of low-carbon and environmental protection. Germany has emphasized that companies such as BMW actively carry out the recycling of batteries and also cooperate with power companies to conduct research in the field of energy storage. (Zhao 2018) Analyzed from a teleological perspective, any car model launched by BMW undoubtedly has profitability as its fundamental purpose. In the relentless pursuit of high-quality, high-performance automotive products, it cleverly uses public welfare activities and brand effects to create a good reputation, attract more consumer support and favor, as an effective strategy for expanding market share, to seek a more favorable position in the arena of commercial competition and to achieve its profitability goals.Thus, teleology and deontology provide different perspectives for analysing enterprise behaviour.</w:t>
      </w:r>
    </w:p>
    <w:p w14:paraId="6DE98570">
      <w:pPr>
        <w:spacing w:line="480" w:lineRule="auto"/>
        <w:rPr>
          <w:rFonts w:hint="default" w:ascii="Arial" w:hAnsi="Arial" w:cs="Arial"/>
          <w:sz w:val="24"/>
          <w:szCs w:val="24"/>
          <w:lang w:val="en-US" w:eastAsia="zh-CN"/>
        </w:rPr>
      </w:pPr>
    </w:p>
    <w:p w14:paraId="0A65F341">
      <w:pPr>
        <w:pStyle w:val="3"/>
        <w:bidi w:val="0"/>
        <w:spacing w:line="480" w:lineRule="auto"/>
        <w:rPr>
          <w:rFonts w:hint="default" w:ascii="Arial" w:hAnsi="Arial" w:cs="Arial"/>
          <w:sz w:val="24"/>
          <w:szCs w:val="24"/>
          <w:lang w:val="en-US" w:eastAsia="zh-CN"/>
        </w:rPr>
      </w:pPr>
      <w:bookmarkStart w:id="3" w:name="_Toc20364"/>
      <w:r>
        <w:rPr>
          <w:rFonts w:hint="default" w:ascii="Arial" w:hAnsi="Arial" w:cs="Arial"/>
          <w:sz w:val="24"/>
          <w:szCs w:val="24"/>
          <w:lang w:val="en-US" w:eastAsia="zh-CN"/>
        </w:rPr>
        <w:t>2.2 Friedman's shareholder theory</w:t>
      </w:r>
      <w:bookmarkEnd w:id="3"/>
    </w:p>
    <w:p w14:paraId="03A397F6">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 xml:space="preserve">Milton Friedman was adamant that the only social responsibility of business to society was to increase profits (Ferrero, 2014). It has been argued that Friedman made the specific assumption that senior managers in business should then focus solely on profit maximization rather than social service. However, this theory is gradually being replaced by other theories (Guerra 2024). In Friedman's view, investing corporate resources in the social sphere is a misappropriation of shareholders' funds without their authorization. </w:t>
      </w:r>
    </w:p>
    <w:p w14:paraId="5E263787">
      <w:pPr>
        <w:spacing w:line="480" w:lineRule="auto"/>
        <w:rPr>
          <w:rFonts w:hint="default" w:ascii="Arial" w:hAnsi="Arial" w:cs="Arial"/>
          <w:sz w:val="24"/>
          <w:szCs w:val="24"/>
          <w:lang w:val="en-US" w:eastAsia="zh-CN"/>
        </w:rPr>
      </w:pPr>
    </w:p>
    <w:p w14:paraId="610B1B13">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In Freeman's theoretical framework, the group's purpose is to maximize shareholder value and group profit. As stated by one of the scholars, there is a growing desire for companies to redefine stakeholder responsibilities and consider socio-economic and environmental issues. (Hart O. 2024) It is also said that companies aiming to maximize profits will neglect product development, production safety, and social responsibility by omission. (Du, 2004) However, the BMW Group is oriented to maximize shareholders' interests by investing in the development of new products and controlling costs. At the same time, it strives to maximize the group's profit by sponsoring global sports events for promotion, expanding brand effect, and increasing market share. Some scholars have pointed out that when enterprises have profit maximization as their sole purpose, they would consider it as destroying peace, as the reckless exploitation of resources and pollution of the environment would be the culprits that keep destroying the environment. (Pu 2022) However, BMW also attaches importance to sustainable development and environmental protection and actively participates in public welfare, such as researching I-series electric vehicles. It has established a perfect used car recycling system to dismantle used cars and recycle resources.</w:t>
      </w:r>
    </w:p>
    <w:p w14:paraId="5997B462">
      <w:pPr>
        <w:pStyle w:val="3"/>
        <w:bidi w:val="0"/>
        <w:spacing w:line="480" w:lineRule="auto"/>
        <w:rPr>
          <w:rFonts w:hint="default" w:ascii="Arial" w:hAnsi="Arial" w:cs="Arial"/>
          <w:sz w:val="24"/>
          <w:szCs w:val="24"/>
          <w:lang w:val="en-US" w:eastAsia="zh-CN"/>
        </w:rPr>
      </w:pPr>
      <w:bookmarkStart w:id="4" w:name="_Toc25717"/>
      <w:r>
        <w:rPr>
          <w:rFonts w:hint="default" w:ascii="Arial" w:hAnsi="Arial" w:cs="Arial"/>
          <w:sz w:val="24"/>
          <w:szCs w:val="24"/>
          <w:lang w:val="en-US" w:eastAsia="zh-CN"/>
        </w:rPr>
        <w:t>2.3 Freeman's stakeholder theory</w:t>
      </w:r>
      <w:bookmarkEnd w:id="4"/>
    </w:p>
    <w:p w14:paraId="1AC455FD">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Some scholars classify the stakeholders into two categories. The first category is directly related to the interests of the company, such as the company's customers, shareholders, employees, and suppliers. The second category is influenced by the company's interest groups. (R.E 2024)</w:t>
      </w:r>
    </w:p>
    <w:p w14:paraId="5D4B3838">
      <w:pPr>
        <w:spacing w:line="480" w:lineRule="auto"/>
        <w:rPr>
          <w:rFonts w:hint="default" w:ascii="Arial" w:hAnsi="Arial" w:cs="Arial"/>
          <w:sz w:val="24"/>
          <w:szCs w:val="24"/>
          <w:lang w:val="en-US" w:eastAsia="zh-CN"/>
        </w:rPr>
      </w:pPr>
    </w:p>
    <w:p w14:paraId="511E1C41">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 xml:space="preserve">In the automotive industry, BMW is one of the most iconic brands and is positioned at the premium end of the market. It is also developing electric cars as well as autonomous driving technology. (Nicholas 2024) So the use of the company BMW here is authoritative. The first group is the group that has a direct interest in the company. For example、the shareholders of BMW. The shareholders have invested their money in the company and have been richly rewarded through the market. For example, the continuous development of the 3-series, 5-series, X-series, and the I-series. The launch of these models has been very well received by consumers. BMW's employees are also direct stakeholders, and the company is renowned for its high quality and performance. As stated by the head of BMW, the high quality of the BMW Group is one of its core competencies because of the world's most advanced concepts, production systems, and manufacturing processes. (BMW Group 2024) This is the result of the dedication of the employees behind the scenes, from the involvement of top automotive engineers and designers to R&amp;D. </w:t>
      </w:r>
    </w:p>
    <w:p w14:paraId="652BCA4E">
      <w:pPr>
        <w:spacing w:line="480" w:lineRule="auto"/>
        <w:rPr>
          <w:rFonts w:hint="default" w:ascii="Arial" w:hAnsi="Arial" w:cs="Arial"/>
          <w:sz w:val="24"/>
          <w:szCs w:val="24"/>
          <w:lang w:val="en-US" w:eastAsia="zh-CN"/>
        </w:rPr>
      </w:pPr>
    </w:p>
    <w:p w14:paraId="2F4229F9">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The second group is those who are affected by the company's interests. BMW has set up many production bases around the world, and the communities where these production bases are located belong to one of the groups affected by its interests. The establishment of production bases has brought many jobs to the local area and contains several levels. It solves the local employment problem and raises the income level of the residents. Because of the increase in the number of people in the production base, it also brings more revenue to the surrounding catering, transport, and other aspects. At the same time, as the world attaches greater importance to environmental protection, BMW has responded positively by vigorously investing in the research development and production of new energy vehicles, continuously launching new energy models such as the BMW i-Series and other new energy models, and committing itself to lower automobile exhaust emissions and reducing the negative impact on the environment. A clean environment is a direct benefit to every human being. As mentioned by one of the scholars, BMW's use of new fuel engine technology has reduced carbon emissions, the number of home recharges, and renewable energy consumption, in addition to reducing water consumption by 70%. (Malak 2024)</w:t>
      </w:r>
    </w:p>
    <w:p w14:paraId="4EFEA4BB">
      <w:pPr>
        <w:spacing w:line="480" w:lineRule="auto"/>
        <w:rPr>
          <w:rFonts w:hint="default" w:ascii="Arial" w:hAnsi="Arial" w:cs="Arial"/>
          <w:sz w:val="24"/>
          <w:szCs w:val="24"/>
          <w:lang w:val="en-US" w:eastAsia="zh-CN"/>
        </w:rPr>
      </w:pPr>
    </w:p>
    <w:p w14:paraId="296EE630">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 xml:space="preserve">Some scholars have also emphasized the need to shift from a shareholder-centered management model to a stakeholder-centered management model (Peng 2024), and it is Freeman's concept of stakeholders that is an important reason for this shift. The traditional shareholder-centered management model often enshrines the maximization of shareholders‘profits and, as one academic put it, the relationship between the company and its stakeholders is very important because when a company is facing a crisis, it can only get through it with the support and trust of its shareholders’ stakeholders. (Carolin 2024) However, the rights and demands of other stakeholders are ignored. However, for a large company such as BMW, its development is like a huge and complex systematic project, which requires the concerted efforts of all stakeholder groups. </w:t>
      </w:r>
    </w:p>
    <w:p w14:paraId="21148589">
      <w:pPr>
        <w:pStyle w:val="2"/>
        <w:bidi w:val="0"/>
        <w:spacing w:line="480" w:lineRule="auto"/>
        <w:rPr>
          <w:rFonts w:hint="default" w:ascii="Arial" w:hAnsi="Arial" w:cs="Arial"/>
          <w:sz w:val="24"/>
          <w:szCs w:val="24"/>
          <w:lang w:val="en-US" w:eastAsia="zh-CN"/>
        </w:rPr>
      </w:pPr>
      <w:bookmarkStart w:id="5" w:name="_Toc21186"/>
      <w:r>
        <w:rPr>
          <w:rFonts w:hint="default" w:ascii="Arial" w:hAnsi="Arial" w:cs="Arial"/>
          <w:sz w:val="24"/>
          <w:szCs w:val="24"/>
          <w:lang w:val="en-US" w:eastAsia="zh-CN"/>
        </w:rPr>
        <w:t>3.0 Corporate Social Responsibility (CSR) Carroll CSR Pyramid</w:t>
      </w:r>
      <w:bookmarkEnd w:id="5"/>
    </w:p>
    <w:p w14:paraId="24DFADC2">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Some scholars classify the stakeholders into two categories. The first category is directly related to the interests of the company, such as the company's customers, shareholders, employees, and suppliers. The second category is influenced by the company's interest groups. (R.E 2024)</w:t>
      </w:r>
    </w:p>
    <w:p w14:paraId="0E197513">
      <w:pPr>
        <w:spacing w:line="480" w:lineRule="auto"/>
        <w:rPr>
          <w:rFonts w:hint="default" w:ascii="Arial" w:hAnsi="Arial" w:cs="Arial"/>
          <w:sz w:val="24"/>
          <w:szCs w:val="24"/>
          <w:lang w:val="en-US" w:eastAsia="zh-CN"/>
        </w:rPr>
      </w:pPr>
    </w:p>
    <w:p w14:paraId="67541225">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 xml:space="preserve">BMW is one of the most iconic brands in the automotive industry, positioning itself at the premium end of the market. It is also developing electric vehicles and autonomous driving technology. (Nicholas 2024) Therefore, the use of BMW here is authoritative. The first group is the group that has a direct interest in the company. For example, the shareholders of BMW. The shareholders have invested their money in the company and have been rewarded handsomely through the market. Examples include the ongoing development of the 3-series, 5-series, X-series, and I-series. These models have been well received by consumers. Employees of BMW are also direct stakeholders in the company, which is known for its high quality and performance. As the head of BMW states, the high quality of the BMW Group is one of its core competencies, thanks to the world's most advanced concepts, production systems, and manufacturing processes. (BMW Group 2024) This is the result of the quiet dedication of employees behind the scenes. </w:t>
      </w:r>
    </w:p>
    <w:p w14:paraId="4DB6F276">
      <w:pPr>
        <w:spacing w:line="480" w:lineRule="auto"/>
        <w:rPr>
          <w:rFonts w:hint="default" w:ascii="Arial" w:hAnsi="Arial" w:cs="Arial"/>
          <w:sz w:val="24"/>
          <w:szCs w:val="24"/>
          <w:lang w:val="en-US" w:eastAsia="zh-CN"/>
        </w:rPr>
      </w:pPr>
    </w:p>
    <w:p w14:paraId="6890338F">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The second category consists of those who are affected by the interests of the company. Although their connection with the company is not as direct as that of the first group, the company's business decisions and development trends will have a significant impact on them. BMW has established many production bases around the world. The establishment of production sites brings a lot of local employment opportunities, which encompasses several dimensions. It solves the local employment problem and increases the income level of the residents. At the same time, with the global emphasis on environmental protection, BMW has also responded positively by vigorously investing in the research and development and production of new energy vehicles, continuously launching new energy models such as the BMW i Series, and committing itself to lowering vehicle emissions and reducing the negative impact on the environment. A clean environment directly benefits everyone. As one academic mentioned, BMW's use of new fuel engine technology has reduced carbon emissions, the number of home recharges and renewable energy consumption, in addition to reducing water consumption by 70 per cent. (Malak 2024)</w:t>
      </w:r>
    </w:p>
    <w:p w14:paraId="63FD6638">
      <w:pPr>
        <w:spacing w:line="480" w:lineRule="auto"/>
        <w:rPr>
          <w:rFonts w:hint="default" w:ascii="Arial" w:hAnsi="Arial" w:cs="Arial"/>
          <w:sz w:val="24"/>
          <w:szCs w:val="24"/>
          <w:lang w:val="en-US" w:eastAsia="zh-CN"/>
        </w:rPr>
      </w:pPr>
    </w:p>
    <w:p w14:paraId="68C73BBE">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Some scholars have also emphasized the need to shift from a shareholder-centered to a stakeholder-centered management model (Ying Peng, 2024), and Freeman's concept of stakeholders is a key contributor to this shift. The traditional shareholder-centered management model tends to enshrine the maximization of shareholders' interests and, as one academic puts it, the relationship between the company and its stakeholders is very important because when a company is facing a crisis, it is only with the support and trust of its shareholder stakeholders that the company will be able to get through it. (Carolin 2024) However, the rights and demands of other stakeholders are ignored. For a large company like BMW, its development is like a large and complex systematic project that requires the joint efforts of all stakeholder groups. By adopting a stakeholder-centered management model, BMW can consider the interests of shareholders, employees, suppliers, customers, and even the community and society more comprehensively and gradually cover every stakeholder group by coordinating and balancing the interests of all parties.</w:t>
      </w:r>
    </w:p>
    <w:p w14:paraId="1610E1AF">
      <w:pPr>
        <w:spacing w:line="480" w:lineRule="auto"/>
        <w:rPr>
          <w:rFonts w:hint="default" w:ascii="Arial" w:hAnsi="Arial" w:cs="Arial"/>
          <w:sz w:val="24"/>
          <w:szCs w:val="24"/>
          <w:lang w:val="en-US" w:eastAsia="zh-CN"/>
        </w:rPr>
      </w:pPr>
    </w:p>
    <w:p w14:paraId="2D109267">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According to Carroll's pyramid model, the motives of corporate responsibility can be classified into four types, which are financial responsibility, legal responsibility, ethical responsibility, and philanthropic responsibility(Jia 2024). It has also been mentioned that corporate social responsibility presupposes that the synergy between corporate profitability and social interest is not zero and that socially responsible companies also require certain returns (Shen 2024)</w:t>
      </w:r>
    </w:p>
    <w:p w14:paraId="1C91EE11">
      <w:pPr>
        <w:spacing w:line="480" w:lineRule="auto"/>
        <w:rPr>
          <w:rFonts w:hint="default" w:ascii="Arial" w:hAnsi="Arial" w:cs="Arial"/>
          <w:sz w:val="24"/>
          <w:szCs w:val="24"/>
          <w:lang w:val="en-US" w:eastAsia="zh-CN"/>
        </w:rPr>
      </w:pPr>
    </w:p>
    <w:p w14:paraId="43F82C78">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(1) Economic responsibility is the foundation of the CSR pyramid. Some scholars have suggested that the most basic responsibility of enterprises is economic responsibility. (zhang 2014) has suggested that the core content of the economic responsibility of enterprises is to obtain legitimate profits and maximize shareholder value. Therefore, it is necessary to rationally allocate resources, control costs and improve efficiency. For example, BMW reduces production costs, improves product quality and performance, and occupies a significant share of the global luxury car market, resulting in a steady increase in sales revenue and profits.</w:t>
      </w:r>
    </w:p>
    <w:p w14:paraId="5AE5B96B">
      <w:pPr>
        <w:spacing w:line="480" w:lineRule="auto"/>
        <w:rPr>
          <w:rFonts w:hint="default" w:ascii="Arial" w:hAnsi="Arial" w:cs="Arial"/>
          <w:sz w:val="24"/>
          <w:szCs w:val="24"/>
          <w:lang w:val="en-US" w:eastAsia="zh-CN"/>
        </w:rPr>
      </w:pPr>
    </w:p>
    <w:p w14:paraId="7DA34936">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(2) Legal liability refers to the need for enterprises to operate legally within the legal framework. Some scholars mention that legal liability has an important impact on corporate structure and plays the role of insurance, protection, and supervision in corporate governance. (Chen 2011) Follow various regulations. For example, labor laws protect employees' rights and interests; pay taxes by the law; and control pollutant emissions. BMW strictly abides by the labor laws and regulations of each country, and in terms of environmental protection, BMW actively responds to global environmental regulations. Some scholars mentioned that the BMW Group communicated with a Chinese technology company to establish a cooperation model for the recycling of retired power battery materials. (Zhang 2024) At the same time, it vigorously researches and develops new energy vehicle technologies, reduces tailpipe emissions from traditional fuel vehicles, is committed to promoting the green transformation of the automobile industry, and carries out global business operations by the law, for example, establishing a green and low-carbon practice base in Shenyang, China (2024 BMW).</w:t>
      </w:r>
    </w:p>
    <w:p w14:paraId="362159A9">
      <w:pPr>
        <w:spacing w:line="480" w:lineRule="auto"/>
        <w:rPr>
          <w:rFonts w:hint="default" w:ascii="Arial" w:hAnsi="Arial" w:cs="Arial"/>
          <w:sz w:val="24"/>
          <w:szCs w:val="24"/>
          <w:lang w:val="en-US" w:eastAsia="zh-CN"/>
        </w:rPr>
      </w:pPr>
    </w:p>
    <w:p w14:paraId="2248F845">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 xml:space="preserve">(3) Moral responsibility reflects the moral commitment of enterprises. Some scholars say that economic responsibility and moral responsibility are unified in essence, although there are different levels such as primary secondary, and sequential. (Wang 2022) The principles of justice, fairness, and honesty should be adhered to in business decision-making and operation. In marketing, products should be truthfully advertised without falsification, concealment, or misleading consumers. BMW has established a transparent and fair employee career development system internally, and some scholars have mentioned that the irrationality of the employee promotion system within the enterprise will lead to employee defection, job-hopping, and other behaviors against the enterprise. (Hu.2021) Therefore, an open and transparent system is necessary. As one scholar said, the direction of employee development is a powerful tool for the career development of employees, which can attract more excellent employees and also improve the quality of employees. (Li. 2012) </w:t>
      </w:r>
    </w:p>
    <w:p w14:paraId="7560B3E1">
      <w:pPr>
        <w:spacing w:line="480" w:lineRule="auto"/>
        <w:rPr>
          <w:rFonts w:hint="default" w:ascii="Arial" w:hAnsi="Arial" w:cs="Arial"/>
          <w:sz w:val="24"/>
          <w:szCs w:val="24"/>
          <w:lang w:val="en-US" w:eastAsia="zh-CN"/>
        </w:rPr>
      </w:pPr>
    </w:p>
    <w:p w14:paraId="1CECD08D">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 xml:space="preserve">(4) Charitable responsibility is at the top of the pyramid. However, there is no such thing as 100 percent charity. As a scholar suggests charitable responsibility is also divided into two kinds. The first one is being kidnapped by morality and so forced to be charitable, and the other one is to cover up the means of illegal business operations through charitable means. (Wang 2011) many businesses act voluntarily. Enterprises can devote themselves to the public welfare by donating funds, materials, technology, or manpower, such as funding education in impoverished areas, helping medical aid, organizing employees to participate in community services, etc. </w:t>
      </w:r>
    </w:p>
    <w:p w14:paraId="189D676D">
      <w:pPr>
        <w:spacing w:line="480" w:lineRule="auto"/>
        <w:rPr>
          <w:rFonts w:hint="default" w:ascii="Arial" w:hAnsi="Arial" w:cs="Arial"/>
          <w:sz w:val="24"/>
          <w:szCs w:val="24"/>
          <w:lang w:val="en-US" w:eastAsia="zh-CN"/>
        </w:rPr>
      </w:pPr>
    </w:p>
    <w:p w14:paraId="1D01F2B2">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cs="Arial"/>
          <w:b/>
          <w:bCs/>
          <w:sz w:val="24"/>
          <w:szCs w:val="24"/>
          <w:lang w:val="en-US" w:eastAsia="zh-CN"/>
        </w:rPr>
      </w:pPr>
      <w:bookmarkStart w:id="6" w:name="_Toc368"/>
      <w:r>
        <w:rPr>
          <w:rFonts w:hint="default" w:ascii="Arial" w:hAnsi="Arial" w:cs="Arial"/>
          <w:b/>
          <w:bCs/>
          <w:sz w:val="24"/>
          <w:szCs w:val="24"/>
          <w:lang w:val="en-US" w:eastAsia="zh-CN"/>
        </w:rPr>
        <w:t>4.0 The Good and Bad of Greed</w:t>
      </w:r>
      <w:bookmarkEnd w:id="6"/>
    </w:p>
    <w:p w14:paraId="44E7840A">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Arial" w:hAnsi="Arial" w:cs="Arial"/>
          <w:sz w:val="24"/>
          <w:szCs w:val="24"/>
          <w:lang w:val="en-US" w:eastAsia="zh-CN"/>
        </w:rPr>
      </w:pPr>
      <w:r>
        <w:rPr>
          <w:rFonts w:hint="default" w:ascii="Arial" w:hAnsi="Arial" w:cs="Arial"/>
          <w:b w:val="0"/>
          <w:bCs/>
          <w:sz w:val="24"/>
          <w:szCs w:val="24"/>
          <w:lang w:val="en-US" w:eastAsia="zh-CN"/>
        </w:rPr>
        <w:t>I believe the business ethics perspective, greed has two sides to the BMW Group. Greedy pursuit of market share, for example, can push it to actively research and develop innovative products, improve quality and competitiveness, and help the company grow and expand. However, excessive greed is a bad thing, such as unreasonable price increases, refusal of delivery, and other business ethics violations, resulting in sacrificing the quality of products and services, affecting the brand and profitability, and even triggering legal risks and damaging the image of society.</w:t>
      </w:r>
    </w:p>
    <w:p w14:paraId="11BE66CB">
      <w:pPr>
        <w:pStyle w:val="2"/>
        <w:bidi w:val="0"/>
        <w:spacing w:line="480" w:lineRule="auto"/>
        <w:rPr>
          <w:rFonts w:hint="default" w:ascii="Arial" w:hAnsi="Arial" w:cs="Arial"/>
          <w:sz w:val="24"/>
          <w:szCs w:val="24"/>
          <w:lang w:val="en-US" w:eastAsia="zh-CN"/>
        </w:rPr>
      </w:pPr>
    </w:p>
    <w:p w14:paraId="02DBA4B8">
      <w:pPr>
        <w:pStyle w:val="2"/>
        <w:bidi w:val="0"/>
        <w:spacing w:line="480" w:lineRule="auto"/>
        <w:rPr>
          <w:rFonts w:hint="default" w:ascii="Arial" w:hAnsi="Arial" w:cs="Arial"/>
          <w:sz w:val="24"/>
          <w:szCs w:val="24"/>
          <w:lang w:val="en-US" w:eastAsia="zh-CN"/>
        </w:rPr>
      </w:pPr>
    </w:p>
    <w:p w14:paraId="7BB48404">
      <w:pPr>
        <w:pStyle w:val="2"/>
        <w:bidi w:val="0"/>
        <w:spacing w:line="480" w:lineRule="auto"/>
        <w:rPr>
          <w:rFonts w:hint="default" w:ascii="Arial" w:hAnsi="Arial" w:cs="Arial"/>
          <w:sz w:val="24"/>
          <w:szCs w:val="24"/>
          <w:lang w:val="en-US" w:eastAsia="zh-CN"/>
        </w:rPr>
      </w:pPr>
    </w:p>
    <w:p w14:paraId="72476048">
      <w:pPr>
        <w:pStyle w:val="2"/>
        <w:bidi w:val="0"/>
        <w:spacing w:line="480" w:lineRule="auto"/>
        <w:rPr>
          <w:rFonts w:hint="default" w:ascii="Arial" w:hAnsi="Arial" w:cs="Arial"/>
          <w:sz w:val="24"/>
          <w:szCs w:val="24"/>
          <w:lang w:val="en-US" w:eastAsia="zh-CN"/>
        </w:rPr>
      </w:pPr>
    </w:p>
    <w:p w14:paraId="087147FD">
      <w:pPr>
        <w:pStyle w:val="2"/>
        <w:bidi w:val="0"/>
        <w:spacing w:line="480" w:lineRule="auto"/>
        <w:rPr>
          <w:rFonts w:hint="default" w:ascii="Arial" w:hAnsi="Arial" w:cs="Arial"/>
          <w:sz w:val="24"/>
          <w:szCs w:val="24"/>
          <w:lang w:val="en-US" w:eastAsia="zh-CN"/>
        </w:rPr>
      </w:pPr>
    </w:p>
    <w:p w14:paraId="49BA9087">
      <w:pPr>
        <w:pStyle w:val="2"/>
        <w:bidi w:val="0"/>
        <w:spacing w:line="480" w:lineRule="auto"/>
        <w:rPr>
          <w:rFonts w:hint="default" w:ascii="Arial" w:hAnsi="Arial" w:cs="Arial"/>
          <w:sz w:val="24"/>
          <w:szCs w:val="24"/>
          <w:lang w:val="en-US" w:eastAsia="zh-CN"/>
        </w:rPr>
      </w:pPr>
    </w:p>
    <w:p w14:paraId="3AC0F8B9">
      <w:pPr>
        <w:pStyle w:val="2"/>
        <w:bidi w:val="0"/>
        <w:spacing w:line="480" w:lineRule="auto"/>
        <w:rPr>
          <w:rFonts w:hint="default" w:ascii="Arial" w:hAnsi="Arial" w:cs="Arial"/>
          <w:sz w:val="24"/>
          <w:szCs w:val="24"/>
          <w:lang w:val="en-US" w:eastAsia="zh-CN"/>
        </w:rPr>
      </w:pPr>
    </w:p>
    <w:p w14:paraId="3A5112EC">
      <w:pPr>
        <w:bidi w:val="0"/>
        <w:spacing w:line="480" w:lineRule="auto"/>
        <w:rPr>
          <w:rFonts w:hint="default" w:ascii="Arial" w:hAnsi="Arial" w:cs="Arial"/>
          <w:sz w:val="24"/>
          <w:szCs w:val="24"/>
          <w:lang w:val="en-US" w:eastAsia="zh-CN"/>
        </w:rPr>
      </w:pPr>
    </w:p>
    <w:p w14:paraId="42DD66C8">
      <w:pPr>
        <w:bidi w:val="0"/>
        <w:spacing w:line="480" w:lineRule="auto"/>
        <w:rPr>
          <w:rFonts w:hint="default" w:ascii="Arial" w:hAnsi="Arial" w:cs="Arial"/>
          <w:sz w:val="24"/>
          <w:szCs w:val="24"/>
          <w:lang w:val="en-US" w:eastAsia="zh-CN"/>
        </w:rPr>
      </w:pPr>
    </w:p>
    <w:p w14:paraId="4F660F8C">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cs="Arial"/>
          <w:b/>
          <w:bCs/>
          <w:sz w:val="24"/>
          <w:szCs w:val="24"/>
          <w:lang w:val="en-US" w:eastAsia="zh-CN"/>
        </w:rPr>
      </w:pPr>
      <w:bookmarkStart w:id="7" w:name="_Toc18066"/>
      <w:r>
        <w:rPr>
          <w:rFonts w:hint="default" w:ascii="Arial" w:hAnsi="Arial" w:cs="Arial"/>
          <w:b/>
          <w:bCs/>
          <w:sz w:val="24"/>
          <w:szCs w:val="24"/>
          <w:lang w:val="en-US" w:eastAsia="zh-CN"/>
        </w:rPr>
        <w:t>5.0 Conclusion</w:t>
      </w:r>
      <w:bookmarkEnd w:id="7"/>
    </w:p>
    <w:p w14:paraId="2094726B">
      <w:pPr>
        <w:spacing w:line="480" w:lineRule="auto"/>
        <w:rPr>
          <w:rFonts w:hint="default" w:ascii="Arial" w:hAnsi="Arial" w:cs="Arial"/>
          <w:sz w:val="24"/>
          <w:szCs w:val="24"/>
          <w:lang w:val="en-US" w:eastAsia="zh-CN"/>
        </w:rPr>
      </w:pPr>
    </w:p>
    <w:p w14:paraId="03C3DC87">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This paper discusses the core theories of business ethics and CSR and analyses them with BMW as an example. Firstly, it elaborates on the core theories of business ethics, such as deontological theory which focuses on whether behaviors are in line with ethical obligations and related principles, and BMW acts by ethical norms and practices environmental protection and public welfare positively; a purposive theory which focuses on profitability, and BMW uses it to achieve profitability; Friedman's shareholder theory which limits CSR to increasing profits. BMW takes into account multiple aspects of development while maximizing the interests of shareholders, Friedman's stakeholder theory distinguishes between different stakeholders and BMW is moving towards a management model that puts them at the center. Subsequently, Carroll's pyramid of CSR is proposed, which contains economic, legal, ethical, and charitable responsibilities, and BMW fulfills these four responsibilities by making profits, operating by the law, being fair and honest, and participating in the public welfare.</w:t>
      </w:r>
    </w:p>
    <w:p w14:paraId="7D0028DD">
      <w:pPr>
        <w:spacing w:line="480" w:lineRule="auto"/>
        <w:rPr>
          <w:rFonts w:hint="default" w:ascii="Arial" w:hAnsi="Arial" w:cs="Arial"/>
          <w:sz w:val="24"/>
          <w:szCs w:val="24"/>
          <w:lang w:val="en-US" w:eastAsia="zh-CN"/>
        </w:rPr>
      </w:pPr>
    </w:p>
    <w:p w14:paraId="576EB794">
      <w:pPr>
        <w:spacing w:line="480" w:lineRule="auto"/>
        <w:rPr>
          <w:rFonts w:hint="default" w:ascii="Arial" w:hAnsi="Arial" w:cs="Arial"/>
          <w:sz w:val="24"/>
          <w:szCs w:val="24"/>
          <w:lang w:val="en-US" w:eastAsia="zh-CN"/>
        </w:rPr>
      </w:pPr>
    </w:p>
    <w:p w14:paraId="51A7D2F9">
      <w:pPr>
        <w:spacing w:line="480" w:lineRule="auto"/>
        <w:rPr>
          <w:rFonts w:hint="default" w:ascii="Arial" w:hAnsi="Arial" w:eastAsia="宋体" w:cs="Arial"/>
          <w:bCs/>
          <w:sz w:val="24"/>
          <w:szCs w:val="24"/>
          <w:lang w:val="en-US" w:eastAsia="zh-CN"/>
        </w:rPr>
      </w:pPr>
    </w:p>
    <w:p w14:paraId="4F4ADBDB">
      <w:pPr>
        <w:spacing w:line="480" w:lineRule="auto"/>
        <w:rPr>
          <w:rFonts w:hint="default" w:ascii="Arial" w:hAnsi="Arial" w:eastAsia="宋体" w:cs="Arial"/>
          <w:bCs/>
          <w:sz w:val="24"/>
          <w:szCs w:val="24"/>
          <w:lang w:val="en-US" w:eastAsia="zh-CN"/>
        </w:rPr>
      </w:pPr>
    </w:p>
    <w:p w14:paraId="1B25F2B1">
      <w:pPr>
        <w:spacing w:line="480" w:lineRule="auto"/>
        <w:rPr>
          <w:rFonts w:hint="default" w:ascii="Arial" w:hAnsi="Arial" w:eastAsia="宋体" w:cs="Arial"/>
          <w:bCs/>
          <w:sz w:val="24"/>
          <w:szCs w:val="24"/>
          <w:lang w:val="en-US" w:eastAsia="zh-CN"/>
        </w:rPr>
      </w:pPr>
    </w:p>
    <w:p w14:paraId="6E88F4B0">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480" w:lineRule="auto"/>
        <w:textAlignment w:val="auto"/>
        <w:outlineLvl w:val="0"/>
        <w:rPr>
          <w:rFonts w:hint="default" w:ascii="Arial" w:hAnsi="Arial" w:eastAsia="宋体" w:cs="Arial"/>
          <w:i w:val="0"/>
          <w:iCs w:val="0"/>
          <w:caps w:val="0"/>
          <w:color w:val="222222"/>
          <w:spacing w:val="0"/>
          <w:sz w:val="24"/>
          <w:szCs w:val="24"/>
          <w:shd w:val="clear" w:fill="FFFFFF"/>
        </w:rPr>
      </w:pPr>
      <w:bookmarkStart w:id="8" w:name="_Toc2520"/>
      <w:r>
        <w:rPr>
          <w:rFonts w:hint="default" w:ascii="Arial" w:hAnsi="Arial" w:cs="Arial"/>
          <w:sz w:val="24"/>
          <w:szCs w:val="24"/>
          <w:lang w:val="en-US" w:eastAsia="zh-CN"/>
        </w:rPr>
        <w:t>Reference</w:t>
      </w:r>
      <w:bookmarkEnd w:id="8"/>
    </w:p>
    <w:p w14:paraId="6C4595A9">
      <w:pPr>
        <w:pStyle w:val="6"/>
        <w:keepNext w:val="0"/>
        <w:keepLines w:val="0"/>
        <w:widowControl/>
        <w:suppressLineNumbers w:val="0"/>
        <w:spacing w:before="0" w:beforeAutospacing="0" w:after="210" w:afterAutospacing="0" w:line="480" w:lineRule="auto"/>
        <w:rPr>
          <w:rFonts w:hint="default" w:ascii="Arial" w:hAnsi="Arial" w:cs="Arial"/>
          <w:sz w:val="24"/>
          <w:szCs w:val="24"/>
        </w:rPr>
      </w:pPr>
      <w:r>
        <w:rPr>
          <w:rFonts w:hint="default" w:ascii="Arial" w:hAnsi="Arial" w:cs="Arial"/>
          <w:sz w:val="24"/>
          <w:szCs w:val="24"/>
        </w:rPr>
        <w:t xml:space="preserve">Abderrahmane, B. (2018). A Narrative Review of Ethics Theories: Teleological &amp;Deontological Ethics. </w:t>
      </w:r>
      <w:r>
        <w:rPr>
          <w:rFonts w:hint="default" w:ascii="Arial" w:hAnsi="Arial" w:cs="Arial"/>
          <w:i/>
          <w:iCs/>
          <w:sz w:val="24"/>
          <w:szCs w:val="24"/>
        </w:rPr>
        <w:t>Journal of Humanities and Social Science</w:t>
      </w:r>
      <w:r>
        <w:rPr>
          <w:rFonts w:hint="default" w:ascii="Arial" w:hAnsi="Arial" w:cs="Arial"/>
          <w:sz w:val="24"/>
          <w:szCs w:val="24"/>
        </w:rPr>
        <w:t>, 23(7), pp.31–38.</w:t>
      </w:r>
    </w:p>
    <w:p w14:paraId="278C37C3">
      <w:pPr>
        <w:pStyle w:val="6"/>
        <w:keepNext w:val="0"/>
        <w:keepLines w:val="0"/>
        <w:widowControl/>
        <w:suppressLineNumbers w:val="0"/>
        <w:spacing w:before="0" w:beforeAutospacing="0" w:after="210" w:afterAutospacing="0" w:line="480" w:lineRule="auto"/>
        <w:rPr>
          <w:rFonts w:hint="default" w:ascii="Arial" w:hAnsi="Arial" w:cs="Arial"/>
          <w:sz w:val="24"/>
          <w:szCs w:val="24"/>
        </w:rPr>
      </w:pPr>
      <w:r>
        <w:rPr>
          <w:rFonts w:hint="default" w:ascii="Arial" w:hAnsi="Arial" w:cs="Arial"/>
          <w:sz w:val="24"/>
          <w:szCs w:val="24"/>
        </w:rPr>
        <w:t xml:space="preserve">Carolin, I. (2024). </w:t>
      </w:r>
      <w:r>
        <w:rPr>
          <w:rFonts w:hint="default" w:ascii="Arial" w:hAnsi="Arial" w:cs="Arial"/>
          <w:i/>
          <w:iCs/>
          <w:sz w:val="24"/>
          <w:szCs w:val="24"/>
        </w:rPr>
        <w:t>Stakeholder management during a corporate crisis. VW Dieselgate case study</w:t>
      </w:r>
      <w:r>
        <w:rPr>
          <w:rFonts w:hint="default" w:ascii="Arial" w:hAnsi="Arial" w:cs="Arial"/>
          <w:sz w:val="24"/>
          <w:szCs w:val="24"/>
        </w:rPr>
        <w:t>. Degree in Business Administration and Management with a Specialization in International Business.</w:t>
      </w:r>
    </w:p>
    <w:p w14:paraId="71925299">
      <w:pPr>
        <w:pStyle w:val="6"/>
        <w:keepNext w:val="0"/>
        <w:keepLines w:val="0"/>
        <w:widowControl/>
        <w:suppressLineNumbers w:val="0"/>
        <w:spacing w:before="0" w:beforeAutospacing="0" w:after="210" w:afterAutospacing="0" w:line="480" w:lineRule="auto"/>
        <w:rPr>
          <w:rFonts w:hint="default" w:ascii="Arial" w:hAnsi="Arial" w:cs="Arial"/>
          <w:sz w:val="24"/>
          <w:szCs w:val="24"/>
        </w:rPr>
      </w:pPr>
      <w:r>
        <w:rPr>
          <w:rFonts w:hint="default" w:ascii="Arial" w:hAnsi="Arial" w:cs="Arial"/>
          <w:sz w:val="24"/>
          <w:szCs w:val="24"/>
        </w:rPr>
        <w:t xml:space="preserve">Chen, Cai-chi, and Chang, R.Y. (2011).Corporate Governance: Directors' Liability and Board Structure.Management Review, 30(3), pp.1-23. </w:t>
      </w:r>
    </w:p>
    <w:p w14:paraId="009CA599">
      <w:pPr>
        <w:pStyle w:val="6"/>
        <w:keepNext w:val="0"/>
        <w:keepLines w:val="0"/>
        <w:widowControl/>
        <w:suppressLineNumbers w:val="0"/>
        <w:spacing w:before="0" w:beforeAutospacing="0" w:after="210" w:afterAutospacing="0" w:line="480" w:lineRule="auto"/>
        <w:rPr>
          <w:rFonts w:hint="default" w:ascii="Arial" w:hAnsi="Arial" w:cs="Arial"/>
          <w:sz w:val="24"/>
          <w:szCs w:val="24"/>
        </w:rPr>
      </w:pPr>
      <w:r>
        <w:rPr>
          <w:rFonts w:hint="default" w:ascii="Arial" w:hAnsi="Arial" w:cs="Arial"/>
          <w:sz w:val="24"/>
          <w:szCs w:val="24"/>
        </w:rPr>
        <w:t xml:space="preserve">Du, J. (2004). The Objective of Financial Management and the Optimization of Enterprise Capital Structure. </w:t>
      </w:r>
      <w:r>
        <w:rPr>
          <w:rFonts w:hint="default" w:ascii="Arial" w:hAnsi="Arial" w:cs="Arial"/>
          <w:i/>
          <w:iCs/>
          <w:sz w:val="24"/>
          <w:szCs w:val="24"/>
        </w:rPr>
        <w:t>JOURNAL OF BEIJING INSTITUTE OF TECHNOLOGY (SOCIAL SCIENCES EDITION)</w:t>
      </w:r>
      <w:r>
        <w:rPr>
          <w:rFonts w:hint="default" w:ascii="Arial" w:hAnsi="Arial" w:cs="Arial"/>
          <w:sz w:val="24"/>
          <w:szCs w:val="24"/>
        </w:rPr>
        <w:t>, 6(5), pp.95–96.</w:t>
      </w:r>
    </w:p>
    <w:p w14:paraId="07C3FA81">
      <w:pPr>
        <w:pStyle w:val="6"/>
        <w:keepNext w:val="0"/>
        <w:keepLines w:val="0"/>
        <w:widowControl/>
        <w:suppressLineNumbers w:val="0"/>
        <w:spacing w:before="0" w:beforeAutospacing="0" w:after="210" w:afterAutospacing="0" w:line="480" w:lineRule="auto"/>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 xml:space="preserve">Freeman, R.E. and Menghwar, P.S., </w:t>
      </w:r>
      <w:r>
        <w:rPr>
          <w:rFonts w:hint="default" w:ascii="Arial" w:hAnsi="Arial" w:eastAsia="宋体" w:cs="Arial"/>
          <w:i w:val="0"/>
          <w:iCs w:val="0"/>
          <w:caps w:val="0"/>
          <w:color w:val="222222"/>
          <w:spacing w:val="0"/>
          <w:sz w:val="24"/>
          <w:szCs w:val="24"/>
          <w:shd w:val="clear" w:fill="FFFFFF"/>
          <w:lang w:eastAsia="zh-CN"/>
        </w:rPr>
        <w:t>（</w:t>
      </w:r>
      <w:r>
        <w:rPr>
          <w:rFonts w:hint="default" w:ascii="Arial" w:hAnsi="Arial" w:eastAsia="宋体" w:cs="Arial"/>
          <w:i w:val="0"/>
          <w:iCs w:val="0"/>
          <w:caps w:val="0"/>
          <w:color w:val="222222"/>
          <w:spacing w:val="0"/>
          <w:sz w:val="24"/>
          <w:szCs w:val="24"/>
          <w:shd w:val="clear" w:fill="FFFFFF"/>
        </w:rPr>
        <w:t>2024</w:t>
      </w:r>
      <w:r>
        <w:rPr>
          <w:rFonts w:hint="default" w:ascii="Arial" w:hAnsi="Arial" w:eastAsia="宋体" w:cs="Arial"/>
          <w:i w:val="0"/>
          <w:iCs w:val="0"/>
          <w:caps w:val="0"/>
          <w:color w:val="222222"/>
          <w:spacing w:val="0"/>
          <w:sz w:val="24"/>
          <w:szCs w:val="24"/>
          <w:shd w:val="clear" w:fill="FFFFFF"/>
          <w:lang w:eastAsia="zh-CN"/>
        </w:rPr>
        <w:t>）</w:t>
      </w:r>
      <w:r>
        <w:rPr>
          <w:rFonts w:hint="default" w:ascii="Arial" w:hAnsi="Arial" w:eastAsia="宋体" w:cs="Arial"/>
          <w:i w:val="0"/>
          <w:iCs w:val="0"/>
          <w:caps w:val="0"/>
          <w:color w:val="222222"/>
          <w:spacing w:val="0"/>
          <w:sz w:val="24"/>
          <w:szCs w:val="24"/>
          <w:shd w:val="clear" w:fill="FFFFFF"/>
        </w:rPr>
        <w:t>. Stakeholder theory and communities: Navigating processes of meaningful engagement with marginalized communities. In </w:t>
      </w:r>
      <w:r>
        <w:rPr>
          <w:rFonts w:hint="default" w:ascii="Arial" w:hAnsi="Arial" w:eastAsia="宋体" w:cs="Arial"/>
          <w:i/>
          <w:iCs/>
          <w:caps w:val="0"/>
          <w:color w:val="222222"/>
          <w:spacing w:val="0"/>
          <w:sz w:val="24"/>
          <w:szCs w:val="24"/>
          <w:shd w:val="clear" w:fill="FFFFFF"/>
        </w:rPr>
        <w:t>The Routledge Handbook on Meaningful Stakeholder Engagement</w:t>
      </w:r>
      <w:r>
        <w:rPr>
          <w:rFonts w:hint="default" w:ascii="Arial" w:hAnsi="Arial" w:eastAsia="宋体" w:cs="Arial"/>
          <w:i w:val="0"/>
          <w:iCs w:val="0"/>
          <w:caps w:val="0"/>
          <w:color w:val="222222"/>
          <w:spacing w:val="0"/>
          <w:sz w:val="24"/>
          <w:szCs w:val="24"/>
          <w:shd w:val="clear" w:fill="FFFFFF"/>
        </w:rPr>
        <w:t> (pp. 43-55). Routledge.</w:t>
      </w:r>
    </w:p>
    <w:p w14:paraId="59385BB7">
      <w:pPr>
        <w:pStyle w:val="6"/>
        <w:keepNext w:val="0"/>
        <w:keepLines w:val="0"/>
        <w:widowControl/>
        <w:suppressLineNumbers w:val="0"/>
        <w:spacing w:before="0" w:beforeAutospacing="0" w:after="210" w:afterAutospacing="0" w:line="480" w:lineRule="auto"/>
        <w:rPr>
          <w:rFonts w:hint="default" w:ascii="Arial" w:hAnsi="Arial" w:cs="Arial"/>
          <w:sz w:val="24"/>
          <w:szCs w:val="24"/>
        </w:rPr>
      </w:pPr>
      <w:r>
        <w:rPr>
          <w:rFonts w:hint="default" w:ascii="Arial" w:hAnsi="Arial" w:cs="Arial"/>
          <w:sz w:val="24"/>
          <w:szCs w:val="24"/>
        </w:rPr>
        <w:t xml:space="preserve">Gao, T. and BMW Group (2024). </w:t>
      </w:r>
      <w:r>
        <w:rPr>
          <w:rFonts w:hint="default" w:ascii="Arial" w:hAnsi="Arial" w:cs="Arial"/>
          <w:i/>
          <w:iCs/>
          <w:sz w:val="24"/>
          <w:szCs w:val="24"/>
        </w:rPr>
        <w:t>AI technology helps millions of smart manufacturing. BMW Brilliance’s 6 millionth vehicle - the innovative all-electric BMW i5 rolls off the assembly line</w:t>
      </w:r>
      <w:r>
        <w:rPr>
          <w:rFonts w:hint="default" w:ascii="Arial" w:hAnsi="Arial" w:cs="Arial"/>
          <w:sz w:val="24"/>
          <w:szCs w:val="24"/>
        </w:rPr>
        <w:t>. [online] BMW group news. Available at: https://www.press.bmwgroup.com/china/article/detail/T0442326ZH_CN.</w:t>
      </w:r>
    </w:p>
    <w:p w14:paraId="79E421EB">
      <w:pPr>
        <w:pStyle w:val="6"/>
        <w:keepNext w:val="0"/>
        <w:keepLines w:val="0"/>
        <w:widowControl/>
        <w:suppressLineNumbers w:val="0"/>
        <w:spacing w:before="0" w:beforeAutospacing="0" w:after="210" w:afterAutospacing="0" w:line="480" w:lineRule="auto"/>
        <w:rPr>
          <w:rFonts w:hint="default" w:ascii="Arial" w:hAnsi="Arial" w:cs="Arial"/>
          <w:sz w:val="24"/>
          <w:szCs w:val="24"/>
        </w:rPr>
      </w:pPr>
      <w:r>
        <w:rPr>
          <w:rFonts w:hint="default" w:ascii="Arial" w:hAnsi="Arial" w:cs="Arial"/>
          <w:sz w:val="24"/>
          <w:szCs w:val="24"/>
        </w:rPr>
        <w:t xml:space="preserve">Gao, T. and BMW Group (2024). </w:t>
      </w:r>
      <w:r>
        <w:rPr>
          <w:rFonts w:hint="default" w:ascii="Arial" w:hAnsi="Arial" w:cs="Arial"/>
          <w:i/>
          <w:iCs/>
          <w:sz w:val="24"/>
          <w:szCs w:val="24"/>
        </w:rPr>
        <w:t xml:space="preserve">BMW’s Shenyang production base was </w:t>
      </w:r>
      <w:bookmarkStart w:id="9" w:name="_GoBack"/>
      <w:r>
        <w:rPr>
          <w:rFonts w:hint="default" w:ascii="Arial" w:hAnsi="Arial" w:cs="Arial"/>
          <w:i/>
          <w:iCs/>
          <w:sz w:val="24"/>
          <w:szCs w:val="24"/>
        </w:rPr>
        <w:t>selected as the ‘Green and Low-Carbon Public Participation Practice Base of the Year’</w:t>
      </w:r>
      <w:r>
        <w:rPr>
          <w:rFonts w:hint="default" w:ascii="Arial" w:hAnsi="Arial" w:cs="Arial"/>
          <w:sz w:val="24"/>
          <w:szCs w:val="24"/>
        </w:rPr>
        <w:t>. [online] BMW GROUP</w:t>
      </w:r>
      <w:r>
        <w:rPr>
          <w:rFonts w:hint="default" w:ascii="Arial" w:hAnsi="Arial" w:cs="Arial"/>
          <w:sz w:val="24"/>
          <w:szCs w:val="24"/>
          <w:lang w:val="en-US" w:eastAsia="zh-CN"/>
        </w:rPr>
        <w:t xml:space="preserve"> </w:t>
      </w:r>
      <w:r>
        <w:rPr>
          <w:rFonts w:hint="default" w:ascii="Arial" w:hAnsi="Arial" w:cs="Arial"/>
          <w:sz w:val="24"/>
          <w:szCs w:val="24"/>
        </w:rPr>
        <w:t>news. Available at: https://www.press.bmwgroup.com/china/article/detail/T0442329ZH_CN.</w:t>
      </w:r>
    </w:p>
    <w:p w14:paraId="5986C195">
      <w:pPr>
        <w:pStyle w:val="6"/>
        <w:keepNext w:val="0"/>
        <w:keepLines w:val="0"/>
        <w:widowControl/>
        <w:suppressLineNumbers w:val="0"/>
        <w:spacing w:before="0" w:beforeAutospacing="0" w:after="210" w:afterAutospacing="0" w:line="480" w:lineRule="auto"/>
        <w:rPr>
          <w:rFonts w:hint="default" w:ascii="Arial" w:hAnsi="Arial" w:cs="Arial"/>
          <w:sz w:val="24"/>
          <w:szCs w:val="24"/>
        </w:rPr>
      </w:pPr>
      <w:r>
        <w:rPr>
          <w:rFonts w:hint="default" w:ascii="Arial" w:hAnsi="Arial" w:cs="Arial"/>
          <w:sz w:val="24"/>
          <w:szCs w:val="24"/>
        </w:rPr>
        <w:t xml:space="preserve">Guerra, P. (2024) ‘THE FRIEDMAN DOCTRINE REVISITED: a MODERN-DAY DEFENSE OF ADAM SMITH OR a DANGEROUS </w:t>
      </w:r>
      <w:bookmarkEnd w:id="9"/>
      <w:r>
        <w:rPr>
          <w:rFonts w:hint="default" w:ascii="Arial" w:hAnsi="Arial" w:cs="Arial"/>
          <w:sz w:val="24"/>
          <w:szCs w:val="24"/>
        </w:rPr>
        <w:t xml:space="preserve">BETRAYAL?’, in </w:t>
      </w:r>
      <w:r>
        <w:rPr>
          <w:rFonts w:hint="default" w:ascii="Arial" w:hAnsi="Arial" w:cs="Arial"/>
          <w:i/>
          <w:iCs/>
          <w:sz w:val="24"/>
          <w:szCs w:val="24"/>
        </w:rPr>
        <w:t>The Friedman Doctrine Revisited</w:t>
      </w:r>
      <w:r>
        <w:rPr>
          <w:rFonts w:hint="default" w:ascii="Arial" w:hAnsi="Arial" w:cs="Arial"/>
          <w:sz w:val="24"/>
          <w:szCs w:val="24"/>
        </w:rPr>
        <w:t xml:space="preserve">. Puerto Rico: Pontifical Catholic University of Puerto Rico; University of Central Florida, pp. 1–13. </w:t>
      </w:r>
    </w:p>
    <w:p w14:paraId="56C2E012">
      <w:pPr>
        <w:pStyle w:val="6"/>
        <w:keepNext w:val="0"/>
        <w:keepLines w:val="0"/>
        <w:widowControl/>
        <w:suppressLineNumbers w:val="0"/>
        <w:spacing w:before="0" w:beforeAutospacing="0" w:after="210" w:afterAutospacing="0" w:line="480" w:lineRule="auto"/>
        <w:rPr>
          <w:rFonts w:hint="default" w:ascii="Arial" w:hAnsi="Arial" w:cs="Arial"/>
          <w:sz w:val="24"/>
          <w:szCs w:val="24"/>
        </w:rPr>
      </w:pPr>
      <w:r>
        <w:rPr>
          <w:rFonts w:hint="default" w:ascii="Arial" w:hAnsi="Arial" w:cs="Arial"/>
          <w:sz w:val="24"/>
          <w:szCs w:val="24"/>
        </w:rPr>
        <w:t xml:space="preserve">Hart O., A., Willie, E. and Enyinda , O. (2024) ‘Stakeholders, Stakeholder Theory and Corporate Social Responsibility (CSR)’, </w:t>
      </w:r>
      <w:r>
        <w:rPr>
          <w:rFonts w:hint="default" w:ascii="Arial" w:hAnsi="Arial" w:cs="Arial"/>
          <w:i/>
          <w:iCs/>
          <w:sz w:val="24"/>
          <w:szCs w:val="24"/>
        </w:rPr>
        <w:t>International Journal of Corporate Social Responsibility</w:t>
      </w:r>
      <w:r>
        <w:rPr>
          <w:rFonts w:hint="default" w:ascii="Arial" w:hAnsi="Arial" w:cs="Arial"/>
          <w:sz w:val="24"/>
          <w:szCs w:val="24"/>
        </w:rPr>
        <w:t>, 9(11), pp. 1–14.</w:t>
      </w:r>
    </w:p>
    <w:p w14:paraId="5528E99A">
      <w:pPr>
        <w:pStyle w:val="6"/>
        <w:keepNext w:val="0"/>
        <w:keepLines w:val="0"/>
        <w:widowControl/>
        <w:numPr>
          <w:ilvl w:val="0"/>
          <w:numId w:val="0"/>
        </w:numPr>
        <w:suppressLineNumbers w:val="0"/>
        <w:spacing w:before="0" w:beforeAutospacing="0" w:after="210" w:afterAutospacing="0" w:line="480" w:lineRule="auto"/>
        <w:ind w:right="0" w:rightChars="0"/>
        <w:rPr>
          <w:rFonts w:hint="default" w:ascii="Arial" w:hAnsi="Arial" w:cs="Arial"/>
          <w:sz w:val="24"/>
          <w:szCs w:val="24"/>
        </w:rPr>
      </w:pPr>
      <w:r>
        <w:rPr>
          <w:rFonts w:hint="default" w:ascii="Arial" w:hAnsi="Arial" w:cs="Arial"/>
          <w:sz w:val="24"/>
          <w:szCs w:val="24"/>
        </w:rPr>
        <w:t xml:space="preserve">Hu, Z. (2021). Thoughts on Human Resource Management of Private Enterprises in China. </w:t>
      </w:r>
      <w:r>
        <w:rPr>
          <w:rFonts w:hint="default" w:ascii="Arial" w:hAnsi="Arial" w:cs="Arial"/>
          <w:i/>
          <w:iCs/>
          <w:sz w:val="24"/>
          <w:szCs w:val="24"/>
        </w:rPr>
        <w:t>Thoughts on Human Resource Management of Private Enterprises in China</w:t>
      </w:r>
      <w:r>
        <w:rPr>
          <w:rFonts w:hint="default" w:ascii="Arial" w:hAnsi="Arial" w:cs="Arial"/>
          <w:sz w:val="24"/>
          <w:szCs w:val="24"/>
        </w:rPr>
        <w:t>, 166, 22 Mar., pp.596–599.</w:t>
      </w:r>
    </w:p>
    <w:p w14:paraId="4373C7A1">
      <w:pPr>
        <w:pStyle w:val="6"/>
        <w:keepNext w:val="0"/>
        <w:keepLines w:val="0"/>
        <w:widowControl/>
        <w:suppressLineNumbers w:val="0"/>
        <w:spacing w:before="0" w:beforeAutospacing="0" w:after="210" w:afterAutospacing="0" w:line="480" w:lineRule="auto"/>
        <w:rPr>
          <w:rFonts w:hint="default" w:ascii="Arial" w:hAnsi="Arial" w:cs="Arial"/>
          <w:sz w:val="24"/>
          <w:szCs w:val="24"/>
        </w:rPr>
      </w:pPr>
      <w:r>
        <w:rPr>
          <w:rFonts w:hint="default" w:ascii="Arial" w:hAnsi="Arial" w:cs="Arial"/>
          <w:sz w:val="24"/>
          <w:szCs w:val="24"/>
        </w:rPr>
        <w:t xml:space="preserve">Ignacio , F., Robert, M. and Michael , H. (2014) ‘Must Milton Friedman Embrace Stakeholder Theory?’, </w:t>
      </w:r>
      <w:r>
        <w:rPr>
          <w:rFonts w:hint="default" w:ascii="Arial" w:hAnsi="Arial" w:cs="Arial"/>
          <w:i/>
          <w:iCs/>
          <w:sz w:val="24"/>
          <w:szCs w:val="24"/>
        </w:rPr>
        <w:t>Business and Society Review</w:t>
      </w:r>
      <w:r>
        <w:rPr>
          <w:rFonts w:hint="default" w:ascii="Arial" w:hAnsi="Arial" w:cs="Arial"/>
          <w:sz w:val="24"/>
          <w:szCs w:val="24"/>
        </w:rPr>
        <w:t>, 119(1), pp. 37–59.</w:t>
      </w:r>
    </w:p>
    <w:p w14:paraId="60C268C6">
      <w:pPr>
        <w:pStyle w:val="6"/>
        <w:keepNext w:val="0"/>
        <w:keepLines w:val="0"/>
        <w:widowControl/>
        <w:suppressLineNumbers w:val="0"/>
        <w:spacing w:before="0" w:beforeAutospacing="0" w:after="210" w:afterAutospacing="0" w:line="480" w:lineRule="auto"/>
        <w:rPr>
          <w:rFonts w:hint="default" w:ascii="Arial" w:hAnsi="Arial" w:cs="Arial"/>
          <w:sz w:val="24"/>
          <w:szCs w:val="24"/>
        </w:rPr>
      </w:pPr>
      <w:r>
        <w:rPr>
          <w:rFonts w:hint="default" w:ascii="Arial" w:hAnsi="Arial" w:cs="Arial"/>
          <w:sz w:val="24"/>
          <w:szCs w:val="24"/>
        </w:rPr>
        <w:t xml:space="preserve">Jia, M., Fang, T. and Zhang, Z. (2024). The Role of Corporate Socail Responsibility in the Age of Common Prosperity. </w:t>
      </w:r>
      <w:r>
        <w:rPr>
          <w:rFonts w:hint="default" w:ascii="Arial" w:hAnsi="Arial" w:cs="Arial"/>
          <w:i/>
          <w:iCs/>
          <w:sz w:val="24"/>
          <w:szCs w:val="24"/>
        </w:rPr>
        <w:t>Chinese Journal of Management</w:t>
      </w:r>
      <w:r>
        <w:rPr>
          <w:rFonts w:hint="default" w:ascii="Arial" w:hAnsi="Arial" w:cs="Arial"/>
          <w:sz w:val="24"/>
          <w:szCs w:val="24"/>
        </w:rPr>
        <w:t>, 21(2), pp.181–187.</w:t>
      </w:r>
    </w:p>
    <w:p w14:paraId="586AA8D9">
      <w:pPr>
        <w:pStyle w:val="6"/>
        <w:keepNext w:val="0"/>
        <w:keepLines w:val="0"/>
        <w:widowControl/>
        <w:suppressLineNumbers w:val="0"/>
        <w:spacing w:before="0" w:beforeAutospacing="0" w:after="210" w:afterAutospacing="0" w:line="480" w:lineRule="auto"/>
        <w:rPr>
          <w:rFonts w:hint="default" w:ascii="Arial" w:hAnsi="Arial" w:cs="Arial"/>
          <w:sz w:val="24"/>
          <w:szCs w:val="24"/>
        </w:rPr>
      </w:pPr>
      <w:r>
        <w:rPr>
          <w:rFonts w:hint="default" w:ascii="Arial" w:hAnsi="Arial" w:cs="Arial"/>
          <w:sz w:val="24"/>
          <w:szCs w:val="24"/>
        </w:rPr>
        <w:t xml:space="preserve">Jin, S. (2012). The Identification and Education of Civic Morality. </w:t>
      </w:r>
      <w:r>
        <w:rPr>
          <w:rFonts w:hint="default" w:ascii="Arial" w:hAnsi="Arial" w:cs="Arial"/>
          <w:i/>
          <w:iCs/>
          <w:sz w:val="24"/>
          <w:szCs w:val="24"/>
        </w:rPr>
        <w:t>Journal of East China Normal University（Educational Sciences）</w:t>
      </w:r>
      <w:r>
        <w:rPr>
          <w:rFonts w:hint="default" w:ascii="Arial" w:hAnsi="Arial" w:cs="Arial"/>
          <w:sz w:val="24"/>
          <w:szCs w:val="24"/>
        </w:rPr>
        <w:t>, 30(3), p.1.</w:t>
      </w:r>
    </w:p>
    <w:p w14:paraId="686F03B7">
      <w:pPr>
        <w:pStyle w:val="6"/>
        <w:keepNext w:val="0"/>
        <w:keepLines w:val="0"/>
        <w:widowControl/>
        <w:suppressLineNumbers w:val="0"/>
        <w:spacing w:before="0" w:beforeAutospacing="0" w:after="210" w:afterAutospacing="0" w:line="480" w:lineRule="auto"/>
        <w:rPr>
          <w:rFonts w:hint="default" w:ascii="Arial" w:hAnsi="Arial" w:cs="Arial"/>
          <w:sz w:val="24"/>
          <w:szCs w:val="24"/>
        </w:rPr>
      </w:pPr>
      <w:r>
        <w:rPr>
          <w:rFonts w:hint="default" w:ascii="Arial" w:hAnsi="Arial" w:cs="Arial"/>
          <w:sz w:val="24"/>
          <w:szCs w:val="24"/>
        </w:rPr>
        <w:t xml:space="preserve">LI, J. (2012). Research on the Diversity Career Development Path for Human Resource Managers in State-Owned Enterprises Junkai LI. </w:t>
      </w:r>
      <w:r>
        <w:rPr>
          <w:rFonts w:hint="default" w:ascii="Arial" w:hAnsi="Arial" w:cs="Arial"/>
          <w:i/>
          <w:iCs/>
          <w:sz w:val="24"/>
          <w:szCs w:val="24"/>
        </w:rPr>
        <w:t xml:space="preserve">International Conference on Engineering and Business Management </w:t>
      </w:r>
      <w:r>
        <w:rPr>
          <w:rFonts w:hint="default" w:ascii="Arial" w:hAnsi="Arial" w:cs="Arial"/>
          <w:sz w:val="24"/>
          <w:szCs w:val="24"/>
        </w:rPr>
        <w:t>, pp.605–608.</w:t>
      </w:r>
    </w:p>
    <w:p w14:paraId="2D69B97A">
      <w:pPr>
        <w:pStyle w:val="6"/>
        <w:keepNext w:val="0"/>
        <w:keepLines w:val="0"/>
        <w:widowControl/>
        <w:suppressLineNumbers w:val="0"/>
        <w:spacing w:before="0" w:beforeAutospacing="0" w:after="210" w:afterAutospacing="0" w:line="480" w:lineRule="auto"/>
        <w:rPr>
          <w:rFonts w:hint="default" w:ascii="Arial" w:hAnsi="Arial" w:cs="Arial"/>
          <w:sz w:val="24"/>
          <w:szCs w:val="24"/>
        </w:rPr>
      </w:pPr>
      <w:r>
        <w:rPr>
          <w:rFonts w:hint="default" w:ascii="Arial" w:hAnsi="Arial" w:cs="Arial"/>
          <w:sz w:val="24"/>
          <w:szCs w:val="24"/>
        </w:rPr>
        <w:t xml:space="preserve">Ma, W. and Su, X. (2024). How to Define the Corporate ‘Responsibility’ from a Social Perspective?. </w:t>
      </w:r>
      <w:r>
        <w:rPr>
          <w:rFonts w:hint="default" w:ascii="Arial" w:hAnsi="Arial" w:cs="Arial"/>
          <w:i/>
          <w:iCs/>
          <w:sz w:val="24"/>
          <w:szCs w:val="24"/>
        </w:rPr>
        <w:t>Journal of Guangxi Normal Universoty（Philosphy and Social Science Edition）</w:t>
      </w:r>
      <w:r>
        <w:rPr>
          <w:rFonts w:hint="default" w:ascii="Arial" w:hAnsi="Arial" w:cs="Arial"/>
          <w:sz w:val="24"/>
          <w:szCs w:val="24"/>
        </w:rPr>
        <w:t>, 60(1), pp.104–113.</w:t>
      </w:r>
    </w:p>
    <w:p w14:paraId="025AD036">
      <w:pPr>
        <w:pStyle w:val="6"/>
        <w:keepNext w:val="0"/>
        <w:keepLines w:val="0"/>
        <w:widowControl/>
        <w:numPr>
          <w:ilvl w:val="0"/>
          <w:numId w:val="0"/>
        </w:numPr>
        <w:suppressLineNumbers w:val="0"/>
        <w:spacing w:before="0" w:beforeAutospacing="0" w:after="210" w:afterAutospacing="0" w:line="480" w:lineRule="auto"/>
        <w:ind w:right="0" w:rightChars="0"/>
        <w:rPr>
          <w:rFonts w:hint="default" w:ascii="Arial" w:hAnsi="Arial" w:cs="Arial"/>
          <w:sz w:val="24"/>
          <w:szCs w:val="24"/>
        </w:rPr>
      </w:pPr>
      <w:r>
        <w:rPr>
          <w:rFonts w:hint="default" w:ascii="Arial" w:hAnsi="Arial" w:cs="Arial"/>
          <w:sz w:val="24"/>
          <w:szCs w:val="24"/>
        </w:rPr>
        <w:t xml:space="preserve">Malak, Q., Aliar, H. and Nasrin, S. (2024). Analysing the impact of sustainability initiatives and practices in the British Automobile Industry – A Comparison between BMW Group and Tesla . </w:t>
      </w:r>
      <w:r>
        <w:rPr>
          <w:rFonts w:hint="default" w:ascii="Arial" w:hAnsi="Arial" w:cs="Arial"/>
          <w:i/>
          <w:iCs/>
          <w:sz w:val="24"/>
          <w:szCs w:val="24"/>
        </w:rPr>
        <w:t>The Business and Management Review</w:t>
      </w:r>
      <w:r>
        <w:rPr>
          <w:rFonts w:hint="default" w:ascii="Arial" w:hAnsi="Arial" w:cs="Arial"/>
          <w:sz w:val="24"/>
          <w:szCs w:val="24"/>
        </w:rPr>
        <w:t>, 15(2), pp.150–154.</w:t>
      </w:r>
    </w:p>
    <w:p w14:paraId="048AEF83">
      <w:pPr>
        <w:pStyle w:val="6"/>
        <w:keepNext w:val="0"/>
        <w:keepLines w:val="0"/>
        <w:widowControl/>
        <w:suppressLineNumbers w:val="0"/>
        <w:spacing w:before="0" w:beforeAutospacing="0" w:after="210" w:afterAutospacing="0" w:line="480" w:lineRule="auto"/>
        <w:rPr>
          <w:rFonts w:hint="default" w:ascii="Arial" w:hAnsi="Arial" w:cs="Arial"/>
          <w:sz w:val="24"/>
          <w:szCs w:val="24"/>
        </w:rPr>
      </w:pPr>
      <w:r>
        <w:rPr>
          <w:rFonts w:hint="default" w:ascii="Arial" w:hAnsi="Arial" w:cs="Arial"/>
          <w:sz w:val="24"/>
          <w:szCs w:val="24"/>
        </w:rPr>
        <w:t xml:space="preserve">Nicholas, T.M. (2024). </w:t>
      </w:r>
      <w:r>
        <w:rPr>
          <w:rFonts w:hint="default" w:ascii="Arial" w:hAnsi="Arial" w:cs="Arial"/>
          <w:i/>
          <w:iCs/>
          <w:sz w:val="24"/>
          <w:szCs w:val="24"/>
        </w:rPr>
        <w:t>Facultad De Ciencias Económicas Y Empresariales ICADE</w:t>
      </w:r>
      <w:r>
        <w:rPr>
          <w:rFonts w:hint="default" w:ascii="Arial" w:hAnsi="Arial" w:cs="Arial"/>
          <w:sz w:val="24"/>
          <w:szCs w:val="24"/>
        </w:rPr>
        <w:t xml:space="preserve">. </w:t>
      </w:r>
      <w:r>
        <w:rPr>
          <w:rFonts w:hint="default" w:ascii="Arial" w:hAnsi="Arial" w:cs="Arial"/>
          <w:i/>
          <w:iCs/>
          <w:sz w:val="24"/>
          <w:szCs w:val="24"/>
        </w:rPr>
        <w:t>Valuation Case BMW</w:t>
      </w:r>
      <w:r>
        <w:rPr>
          <w:rFonts w:hint="default" w:ascii="Arial" w:hAnsi="Arial" w:cs="Arial"/>
          <w:sz w:val="24"/>
          <w:szCs w:val="24"/>
        </w:rPr>
        <w:t>, pp.1–6.</w:t>
      </w:r>
    </w:p>
    <w:p w14:paraId="150FD8AE">
      <w:pPr>
        <w:pStyle w:val="6"/>
        <w:keepNext w:val="0"/>
        <w:keepLines w:val="0"/>
        <w:widowControl/>
        <w:suppressLineNumbers w:val="0"/>
        <w:spacing w:before="0" w:beforeAutospacing="0" w:after="210" w:afterAutospacing="0" w:line="480" w:lineRule="auto"/>
        <w:rPr>
          <w:rFonts w:hint="default" w:ascii="Arial" w:hAnsi="Arial" w:cs="Arial"/>
          <w:sz w:val="24"/>
          <w:szCs w:val="24"/>
        </w:rPr>
      </w:pPr>
      <w:r>
        <w:rPr>
          <w:rFonts w:hint="default" w:ascii="Arial" w:hAnsi="Arial" w:cs="Arial"/>
          <w:sz w:val="24"/>
          <w:szCs w:val="24"/>
        </w:rPr>
        <w:t xml:space="preserve">Peng, Y., Bity, S.A. and Azlin, N.M. (2024) ‘Stakeholder Theory Application in Education: a Content-Analysis Based Literature Review’, </w:t>
      </w:r>
      <w:r>
        <w:rPr>
          <w:rFonts w:hint="default" w:ascii="Arial" w:hAnsi="Arial" w:cs="Arial"/>
          <w:i/>
          <w:iCs/>
          <w:sz w:val="24"/>
          <w:szCs w:val="24"/>
        </w:rPr>
        <w:t>Educational Administration: Theory and Practice</w:t>
      </w:r>
      <w:r>
        <w:rPr>
          <w:rFonts w:hint="default" w:ascii="Arial" w:hAnsi="Arial" w:cs="Arial"/>
          <w:sz w:val="24"/>
          <w:szCs w:val="24"/>
        </w:rPr>
        <w:t>, 30(4), pp. 10056–10058.</w:t>
      </w:r>
    </w:p>
    <w:p w14:paraId="3FC694FC">
      <w:pPr>
        <w:pStyle w:val="6"/>
        <w:keepNext w:val="0"/>
        <w:keepLines w:val="0"/>
        <w:widowControl/>
        <w:suppressLineNumbers w:val="0"/>
        <w:spacing w:before="0" w:beforeAutospacing="0" w:after="210" w:afterAutospacing="0" w:line="480" w:lineRule="auto"/>
        <w:rPr>
          <w:rFonts w:hint="default" w:ascii="Arial" w:hAnsi="Arial" w:cs="Arial"/>
          <w:sz w:val="24"/>
          <w:szCs w:val="24"/>
        </w:rPr>
      </w:pPr>
      <w:r>
        <w:rPr>
          <w:rFonts w:hint="default" w:ascii="Arial" w:hAnsi="Arial" w:cs="Arial"/>
          <w:sz w:val="24"/>
          <w:szCs w:val="24"/>
        </w:rPr>
        <w:t xml:space="preserve">Pu, Y. (2023). Business for Peace Program of Business Education and its Spiritual Premise. </w:t>
      </w:r>
      <w:r>
        <w:rPr>
          <w:rFonts w:hint="default" w:ascii="Arial" w:hAnsi="Arial" w:cs="Arial"/>
          <w:i/>
          <w:iCs/>
          <w:sz w:val="24"/>
          <w:szCs w:val="24"/>
        </w:rPr>
        <w:t>Program in Business education and Its Spiritual Presuppositions</w:t>
      </w:r>
      <w:r>
        <w:rPr>
          <w:rFonts w:hint="default" w:ascii="Arial" w:hAnsi="Arial" w:cs="Arial"/>
          <w:sz w:val="24"/>
          <w:szCs w:val="24"/>
        </w:rPr>
        <w:t>, 9, pp.1–7.</w:t>
      </w:r>
    </w:p>
    <w:p w14:paraId="737437DF">
      <w:pPr>
        <w:pStyle w:val="6"/>
        <w:keepNext w:val="0"/>
        <w:keepLines w:val="0"/>
        <w:widowControl/>
        <w:suppressLineNumbers w:val="0"/>
        <w:spacing w:before="0" w:beforeAutospacing="0" w:after="210" w:afterAutospacing="0" w:line="480" w:lineRule="auto"/>
        <w:rPr>
          <w:rFonts w:hint="default" w:ascii="Arial" w:hAnsi="Arial" w:cs="Arial"/>
          <w:sz w:val="24"/>
          <w:szCs w:val="24"/>
        </w:rPr>
      </w:pPr>
      <w:r>
        <w:rPr>
          <w:rFonts w:hint="default" w:ascii="Arial" w:hAnsi="Arial" w:cs="Arial"/>
          <w:sz w:val="24"/>
          <w:szCs w:val="24"/>
        </w:rPr>
        <w:t xml:space="preserve">Shen, P., Peng, D. and Liu, M. (2024). Collaborative Governance of AI Social Responsibility in Consumer Markets: Driving Models, Mechanisms and Strategies. </w:t>
      </w:r>
      <w:r>
        <w:rPr>
          <w:rFonts w:hint="default" w:ascii="Arial" w:hAnsi="Arial" w:cs="Arial"/>
          <w:i/>
          <w:iCs/>
          <w:sz w:val="24"/>
          <w:szCs w:val="24"/>
        </w:rPr>
        <w:t>Guizhou University of Finance and Economics</w:t>
      </w:r>
      <w:r>
        <w:rPr>
          <w:rFonts w:hint="default" w:ascii="Arial" w:hAnsi="Arial" w:cs="Arial"/>
          <w:sz w:val="24"/>
          <w:szCs w:val="24"/>
        </w:rPr>
        <w:t>, 6(233), pp.89–99.</w:t>
      </w:r>
    </w:p>
    <w:p w14:paraId="533223C9">
      <w:pPr>
        <w:pStyle w:val="6"/>
        <w:keepNext w:val="0"/>
        <w:keepLines w:val="0"/>
        <w:widowControl/>
        <w:suppressLineNumbers w:val="0"/>
        <w:spacing w:before="0" w:beforeAutospacing="0" w:after="210" w:afterAutospacing="0" w:line="480" w:lineRule="auto"/>
        <w:rPr>
          <w:rFonts w:hint="default" w:ascii="Arial" w:hAnsi="Arial" w:cs="Arial"/>
          <w:sz w:val="24"/>
          <w:szCs w:val="24"/>
        </w:rPr>
      </w:pPr>
      <w:r>
        <w:rPr>
          <w:rFonts w:hint="default" w:ascii="Arial" w:hAnsi="Arial" w:cs="Arial"/>
          <w:sz w:val="24"/>
          <w:szCs w:val="24"/>
        </w:rPr>
        <w:t xml:space="preserve">Wang, L. (2011). Corporate Social Responsibility in the Perspective of Economic Ethics and Its Responsibility and Rating Order. </w:t>
      </w:r>
      <w:r>
        <w:rPr>
          <w:rFonts w:hint="default" w:ascii="Arial" w:hAnsi="Arial" w:cs="Arial"/>
          <w:i/>
          <w:iCs/>
          <w:sz w:val="24"/>
          <w:szCs w:val="24"/>
        </w:rPr>
        <w:t>Studies in Ethics</w:t>
      </w:r>
      <w:r>
        <w:rPr>
          <w:rFonts w:hint="default" w:ascii="Arial" w:hAnsi="Arial" w:cs="Arial"/>
          <w:sz w:val="24"/>
          <w:szCs w:val="24"/>
        </w:rPr>
        <w:t>, 3(53), pp.91–94.</w:t>
      </w:r>
    </w:p>
    <w:p w14:paraId="72015F43">
      <w:pPr>
        <w:pStyle w:val="6"/>
        <w:keepNext w:val="0"/>
        <w:keepLines w:val="0"/>
        <w:widowControl/>
        <w:suppressLineNumbers w:val="0"/>
        <w:spacing w:before="0" w:beforeAutospacing="0" w:after="210" w:afterAutospacing="0" w:line="480" w:lineRule="auto"/>
        <w:rPr>
          <w:rFonts w:hint="default" w:ascii="Arial" w:hAnsi="Arial" w:cs="Arial"/>
          <w:sz w:val="24"/>
          <w:szCs w:val="24"/>
        </w:rPr>
      </w:pPr>
      <w:r>
        <w:rPr>
          <w:rFonts w:hint="default" w:ascii="Arial" w:hAnsi="Arial" w:cs="Arial"/>
          <w:sz w:val="24"/>
          <w:szCs w:val="24"/>
        </w:rPr>
        <w:t xml:space="preserve">Wang, L. (2022). The Undertaking and Evaluation Order of CSR from the View of Economic Ethics. </w:t>
      </w:r>
      <w:r>
        <w:rPr>
          <w:rFonts w:hint="default" w:ascii="Arial" w:hAnsi="Arial" w:cs="Arial"/>
          <w:i/>
          <w:iCs/>
          <w:sz w:val="24"/>
          <w:szCs w:val="24"/>
        </w:rPr>
        <w:t>Studies in Ethics</w:t>
      </w:r>
      <w:r>
        <w:rPr>
          <w:rFonts w:hint="default" w:ascii="Arial" w:hAnsi="Arial" w:cs="Arial"/>
          <w:sz w:val="24"/>
          <w:szCs w:val="24"/>
        </w:rPr>
        <w:t>, 53(3), pp.91–94.</w:t>
      </w:r>
    </w:p>
    <w:p w14:paraId="03C2FBFD">
      <w:pPr>
        <w:pStyle w:val="6"/>
        <w:keepNext w:val="0"/>
        <w:keepLines w:val="0"/>
        <w:widowControl/>
        <w:suppressLineNumbers w:val="0"/>
        <w:spacing w:before="0" w:beforeAutospacing="0" w:after="210" w:afterAutospacing="0" w:line="480" w:lineRule="auto"/>
        <w:rPr>
          <w:rFonts w:hint="default" w:ascii="Arial" w:hAnsi="Arial" w:cs="Arial"/>
          <w:sz w:val="24"/>
          <w:szCs w:val="24"/>
        </w:rPr>
      </w:pPr>
      <w:r>
        <w:rPr>
          <w:rFonts w:hint="default" w:ascii="Arial" w:hAnsi="Arial" w:cs="Arial"/>
          <w:sz w:val="24"/>
          <w:szCs w:val="24"/>
        </w:rPr>
        <w:t xml:space="preserve">Zhang, C. (2014). Legacy liability: concepts, characteristics and research topics. </w:t>
      </w:r>
      <w:r>
        <w:rPr>
          <w:rFonts w:hint="default" w:ascii="Arial" w:hAnsi="Arial" w:cs="Arial"/>
          <w:i/>
          <w:iCs/>
          <w:sz w:val="24"/>
          <w:szCs w:val="24"/>
        </w:rPr>
        <w:t>Journal of Travel and Tourism</w:t>
      </w:r>
      <w:r>
        <w:rPr>
          <w:rFonts w:hint="default" w:ascii="Arial" w:hAnsi="Arial" w:cs="Arial"/>
          <w:sz w:val="24"/>
          <w:szCs w:val="24"/>
        </w:rPr>
        <w:t>, 29(11), pp.45–51.</w:t>
      </w:r>
    </w:p>
    <w:p w14:paraId="4CC1213A">
      <w:pPr>
        <w:pStyle w:val="6"/>
        <w:keepNext w:val="0"/>
        <w:keepLines w:val="0"/>
        <w:widowControl/>
        <w:suppressLineNumbers w:val="0"/>
        <w:spacing w:before="0" w:beforeAutospacing="0" w:after="210" w:afterAutospacing="0" w:line="480" w:lineRule="auto"/>
        <w:rPr>
          <w:rFonts w:hint="default" w:ascii="Arial" w:hAnsi="Arial" w:cs="Arial"/>
          <w:sz w:val="24"/>
          <w:szCs w:val="24"/>
        </w:rPr>
      </w:pPr>
      <w:r>
        <w:rPr>
          <w:rFonts w:hint="default" w:ascii="Arial" w:hAnsi="Arial" w:cs="Arial"/>
          <w:sz w:val="24"/>
          <w:szCs w:val="24"/>
        </w:rPr>
        <w:t xml:space="preserve">Zhang, T., Zhou, X., Liu, Z., Xu, J., Ren, M. and Hao, J. (2024). Development of Solid Waste Recycling Industry of China in the Context of Carbon Neutrality. </w:t>
      </w:r>
      <w:r>
        <w:rPr>
          <w:rFonts w:hint="default" w:ascii="Arial" w:hAnsi="Arial" w:cs="Arial"/>
          <w:i/>
          <w:iCs/>
          <w:sz w:val="24"/>
          <w:szCs w:val="24"/>
        </w:rPr>
        <w:t>Strategic Study of CAE</w:t>
      </w:r>
      <w:r>
        <w:rPr>
          <w:rFonts w:hint="default" w:ascii="Arial" w:hAnsi="Arial" w:cs="Arial"/>
          <w:sz w:val="24"/>
          <w:szCs w:val="24"/>
        </w:rPr>
        <w:t>, 26(1), p.80.</w:t>
      </w:r>
    </w:p>
    <w:p w14:paraId="509FBF6E">
      <w:pPr>
        <w:pStyle w:val="6"/>
        <w:keepNext w:val="0"/>
        <w:keepLines w:val="0"/>
        <w:widowControl/>
        <w:suppressLineNumbers w:val="0"/>
        <w:spacing w:before="0" w:beforeAutospacing="0" w:after="210" w:afterAutospacing="0" w:line="480" w:lineRule="auto"/>
        <w:rPr>
          <w:rFonts w:hint="default" w:ascii="Arial" w:hAnsi="Arial" w:cs="Arial"/>
          <w:sz w:val="24"/>
          <w:szCs w:val="24"/>
        </w:rPr>
      </w:pPr>
      <w:r>
        <w:rPr>
          <w:rFonts w:hint="default" w:ascii="Arial" w:hAnsi="Arial" w:cs="Arial"/>
          <w:sz w:val="24"/>
          <w:szCs w:val="24"/>
        </w:rPr>
        <w:t xml:space="preserve">Zhao, S., Xu, N., Qiao, Y. and Yang, B. (2018). Suggestions on Speeding up Recycling of Power Battery for New Energy Vehicles in China. </w:t>
      </w:r>
      <w:r>
        <w:rPr>
          <w:rFonts w:hint="default" w:ascii="Arial" w:hAnsi="Arial" w:cs="Arial"/>
          <w:i/>
          <w:iCs/>
          <w:sz w:val="24"/>
          <w:szCs w:val="24"/>
        </w:rPr>
        <w:t>Chinese Journal of Engineering Science</w:t>
      </w:r>
      <w:r>
        <w:rPr>
          <w:rFonts w:hint="default" w:ascii="Arial" w:hAnsi="Arial" w:cs="Arial"/>
          <w:sz w:val="24"/>
          <w:szCs w:val="24"/>
        </w:rPr>
        <w:t>, 20(1), p.144.</w:t>
      </w:r>
    </w:p>
    <w:p w14:paraId="54BCD1F1">
      <w:pPr>
        <w:spacing w:line="480" w:lineRule="auto"/>
        <w:rPr>
          <w:rFonts w:hint="default" w:ascii="Arial" w:hAnsi="Arial" w:eastAsia="宋体" w:cs="Arial"/>
          <w:bCs/>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auto"/>
    <w:pitch w:val="default"/>
    <w:sig w:usb0="E4002EFF" w:usb1="C200247B" w:usb2="00000009" w:usb3="00000000" w:csb0="200001FF" w:csb1="00000000"/>
  </w:font>
  <w:font w:name="Segoe UI">
    <w:panose1 w:val="020B0502040204020203"/>
    <w:charset w:val="00"/>
    <w:family w:val="auto"/>
    <w:pitch w:val="default"/>
    <w:sig w:usb0="E4002EFF" w:usb1="C000E47F"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51061AB"/>
    <w:rsid w:val="073065CD"/>
    <w:rsid w:val="09A45050"/>
    <w:rsid w:val="0C8B066A"/>
    <w:rsid w:val="14CB202B"/>
    <w:rsid w:val="1C2207D3"/>
    <w:rsid w:val="1D8611E5"/>
    <w:rsid w:val="200C50E2"/>
    <w:rsid w:val="25236563"/>
    <w:rsid w:val="260B45F5"/>
    <w:rsid w:val="2885452C"/>
    <w:rsid w:val="28FF4894"/>
    <w:rsid w:val="2B8C632B"/>
    <w:rsid w:val="3EF1463F"/>
    <w:rsid w:val="40453D92"/>
    <w:rsid w:val="510F05CE"/>
    <w:rsid w:val="54B06D11"/>
    <w:rsid w:val="666618D5"/>
    <w:rsid w:val="7C04252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1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9">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4">
    <w:name w:val="toc 1"/>
    <w:basedOn w:val="1"/>
    <w:next w:val="1"/>
    <w:qFormat/>
    <w:uiPriority w:val="0"/>
  </w:style>
  <w:style w:type="paragraph" w:styleId="5">
    <w:name w:val="toc 2"/>
    <w:basedOn w:val="1"/>
    <w:next w:val="1"/>
    <w:qFormat/>
    <w:uiPriority w:val="0"/>
    <w:pPr>
      <w:ind w:left="420" w:leftChars="200"/>
    </w:pPr>
  </w:style>
  <w:style w:type="paragraph" w:styleId="6">
    <w:name w:val="Normal (Web)"/>
    <w:basedOn w:val="1"/>
    <w:qFormat/>
    <w:uiPriority w:val="0"/>
    <w:pPr>
      <w:spacing w:before="0" w:beforeAutospacing="1" w:after="0" w:afterAutospacing="1"/>
      <w:ind w:left="0" w:right="0"/>
      <w:jc w:val="left"/>
    </w:pPr>
    <w:rPr>
      <w:kern w:val="0"/>
      <w:sz w:val="24"/>
      <w:lang w:val="en-US" w:eastAsia="zh-CN" w:bidi="ar"/>
    </w:rPr>
  </w:style>
  <w:style w:type="paragraph" w:styleId="7">
    <w:name w:val="Title"/>
    <w:basedOn w:val="1"/>
    <w:next w:val="1"/>
    <w:qFormat/>
    <w:uiPriority w:val="10"/>
    <w:pPr>
      <w:pBdr>
        <w:bottom w:val="single" w:color="4874CB" w:themeColor="accent1" w:sz="8" w:space="4"/>
      </w:pBdr>
      <w:spacing w:after="300" w:line="240" w:lineRule="auto"/>
      <w:contextualSpacing/>
    </w:pPr>
    <w:rPr>
      <w:rFonts w:asciiTheme="majorHAnsi" w:hAnsiTheme="majorHAnsi" w:eastAsiaTheme="majorEastAsia" w:cstheme="majorBidi"/>
      <w:color w:val="333F50" w:themeColor="text2" w:themeShade="BF"/>
      <w:spacing w:val="5"/>
      <w:sz w:val="52"/>
      <w:szCs w:val="52"/>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21</Pages>
  <Words>3631</Words>
  <Characters>21024</Characters>
  <Lines>0</Lines>
  <Paragraphs>0</Paragraphs>
  <TotalTime>1</TotalTime>
  <ScaleCrop>false</ScaleCrop>
  <LinksUpToDate>false</LinksUpToDate>
  <CharactersWithSpaces>24592</CharactersWithSpaces>
  <Application>WPS Office_12.1.0.19302_F1E327BC-269C-435d-A152-05C5408002CA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2024-12-04T19:54:00Z</dcterms:created>
  <dc:creator>17158</dc:creator>
  <cp:lastModifiedBy>WPS_1479666331</cp:lastModifiedBy>
  <dcterms:modified xsi:type="dcterms:W3CDTF">2024-12-10T16:15:51Z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2052-12.1.0.19302</vt:lpwstr>
  </property>
  <property fmtid="{D5CDD505-2E9C-101B-9397-08002B2CF9AE}" pid="3" name="ICV">
    <vt:lpwstr>411B53CB78C14D559FEC3BFA0F93DBCB_12</vt:lpwstr>
  </property>
</Properties>
</file>