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7F09C7" w14:textId="77777777" w:rsidR="00617484" w:rsidRDefault="00617484" w:rsidP="00617484">
      <w:pPr>
        <w:ind w:firstLine="0"/>
        <w:jc w:val="center"/>
        <w:rPr>
          <w:rFonts w:cs="Times New Roman"/>
          <w:szCs w:val="24"/>
        </w:rPr>
      </w:pPr>
    </w:p>
    <w:p w14:paraId="40331168" w14:textId="2EDE4089" w:rsidR="00617484" w:rsidRDefault="00D01615" w:rsidP="00D01615">
      <w:pPr>
        <w:ind w:firstLine="0"/>
        <w:rPr>
          <w:rFonts w:cs="Times New Roman"/>
          <w:szCs w:val="24"/>
        </w:rPr>
      </w:pPr>
      <w:r>
        <w:rPr>
          <w:rFonts w:cs="Times New Roman"/>
          <w:noProof/>
          <w:szCs w:val="24"/>
        </w:rPr>
        <w:drawing>
          <wp:inline distT="0" distB="0" distL="0" distR="0" wp14:anchorId="1F5E818B" wp14:editId="61462CDC">
            <wp:extent cx="4514850" cy="18002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4514850" cy="1800225"/>
                    </a:xfrm>
                    <a:prstGeom prst="rect">
                      <a:avLst/>
                    </a:prstGeom>
                  </pic:spPr>
                </pic:pic>
              </a:graphicData>
            </a:graphic>
          </wp:inline>
        </w:drawing>
      </w:r>
    </w:p>
    <w:p w14:paraId="770E57A3" w14:textId="77777777" w:rsidR="00617484" w:rsidRDefault="00617484" w:rsidP="00617484">
      <w:pPr>
        <w:ind w:firstLine="0"/>
        <w:jc w:val="center"/>
        <w:rPr>
          <w:rFonts w:cs="Times New Roman"/>
          <w:szCs w:val="24"/>
        </w:rPr>
      </w:pPr>
    </w:p>
    <w:p w14:paraId="6D4F983C" w14:textId="745E3C84" w:rsidR="00D01615" w:rsidRDefault="00D01615" w:rsidP="00D01615">
      <w:pPr>
        <w:pStyle w:val="NoSpacing"/>
        <w:rPr>
          <w:rFonts w:ascii="Arial" w:eastAsiaTheme="majorEastAsia" w:hAnsi="Arial" w:cs="Arial"/>
          <w:b/>
          <w:sz w:val="40"/>
          <w:szCs w:val="40"/>
        </w:rPr>
      </w:pPr>
      <w:r>
        <w:rPr>
          <w:rFonts w:ascii="Arial" w:eastAsiaTheme="majorEastAsia" w:hAnsi="Arial" w:cs="Arial"/>
          <w:b/>
          <w:sz w:val="40"/>
          <w:szCs w:val="40"/>
        </w:rPr>
        <w:t xml:space="preserve">Module: </w:t>
      </w:r>
      <w:r>
        <w:rPr>
          <w:rFonts w:ascii="Arial" w:eastAsiaTheme="majorEastAsia" w:hAnsi="Arial" w:cs="Arial"/>
          <w:b/>
          <w:sz w:val="40"/>
          <w:szCs w:val="40"/>
        </w:rPr>
        <w:t>Accounting Fundamentals</w:t>
      </w:r>
    </w:p>
    <w:p w14:paraId="21902524" w14:textId="08DA89F0" w:rsidR="00D01615" w:rsidRDefault="00D01615" w:rsidP="00D01615">
      <w:pPr>
        <w:pStyle w:val="NoSpacing"/>
        <w:rPr>
          <w:rFonts w:ascii="Arial" w:hAnsi="Arial" w:cs="Arial"/>
          <w:sz w:val="36"/>
          <w:szCs w:val="36"/>
        </w:rPr>
      </w:pPr>
      <w:r>
        <w:rPr>
          <w:rFonts w:ascii="Arial" w:hAnsi="Arial" w:cs="Arial"/>
          <w:sz w:val="36"/>
          <w:szCs w:val="36"/>
        </w:rPr>
        <w:t>Code: LCBB400</w:t>
      </w:r>
      <w:r>
        <w:rPr>
          <w:rFonts w:ascii="Arial" w:hAnsi="Arial" w:cs="Arial"/>
          <w:sz w:val="36"/>
          <w:szCs w:val="36"/>
        </w:rPr>
        <w:t>1</w:t>
      </w:r>
    </w:p>
    <w:p w14:paraId="31EDACEC" w14:textId="2335DBCB" w:rsidR="00D01615" w:rsidRDefault="00D01615" w:rsidP="00D01615">
      <w:pPr>
        <w:pStyle w:val="NoSpacing"/>
        <w:rPr>
          <w:rFonts w:ascii="Arial" w:hAnsi="Arial" w:cs="Arial"/>
          <w:sz w:val="36"/>
          <w:szCs w:val="36"/>
        </w:rPr>
      </w:pPr>
      <w:r>
        <w:rPr>
          <w:rFonts w:ascii="Arial" w:hAnsi="Arial" w:cs="Arial"/>
          <w:sz w:val="36"/>
          <w:szCs w:val="36"/>
        </w:rPr>
        <w:t xml:space="preserve">Lecturer: </w:t>
      </w:r>
      <w:r>
        <w:rPr>
          <w:rFonts w:ascii="Arial" w:hAnsi="Arial" w:cs="Arial"/>
          <w:sz w:val="36"/>
          <w:szCs w:val="36"/>
        </w:rPr>
        <w:t>Thomas Adeyemi</w:t>
      </w:r>
    </w:p>
    <w:p w14:paraId="060FA138" w14:textId="77777777" w:rsidR="00D01615" w:rsidRDefault="00D01615" w:rsidP="00D01615">
      <w:pPr>
        <w:pStyle w:val="NoSpacing"/>
        <w:rPr>
          <w:rFonts w:ascii="Arial" w:hAnsi="Arial" w:cs="Arial"/>
          <w:sz w:val="36"/>
          <w:szCs w:val="36"/>
        </w:rPr>
      </w:pPr>
      <w:r>
        <w:rPr>
          <w:rFonts w:ascii="Arial" w:hAnsi="Arial" w:cs="Arial"/>
          <w:sz w:val="36"/>
          <w:szCs w:val="36"/>
        </w:rPr>
        <w:t>Submitted by: Nikol Stoyanova</w:t>
      </w:r>
    </w:p>
    <w:p w14:paraId="20A89FC3" w14:textId="77777777" w:rsidR="00D01615" w:rsidRDefault="00D01615" w:rsidP="00D01615">
      <w:pPr>
        <w:pStyle w:val="NoSpacing"/>
        <w:rPr>
          <w:rFonts w:ascii="Arial" w:hAnsi="Arial" w:cs="Arial"/>
          <w:sz w:val="36"/>
          <w:szCs w:val="36"/>
        </w:rPr>
      </w:pPr>
      <w:r>
        <w:rPr>
          <w:rFonts w:ascii="Arial" w:hAnsi="Arial" w:cs="Arial"/>
          <w:sz w:val="36"/>
          <w:szCs w:val="36"/>
        </w:rPr>
        <w:t>Student ID: 2130583</w:t>
      </w:r>
    </w:p>
    <w:p w14:paraId="00358FFB" w14:textId="77777777" w:rsidR="00617484" w:rsidRDefault="00617484" w:rsidP="00D01615">
      <w:pPr>
        <w:ind w:firstLine="0"/>
        <w:rPr>
          <w:rFonts w:cs="Times New Roman"/>
          <w:szCs w:val="24"/>
        </w:rPr>
      </w:pPr>
    </w:p>
    <w:p w14:paraId="441B98D0" w14:textId="6B68F6DA" w:rsidR="002139DB" w:rsidRDefault="002139DB" w:rsidP="002139DB">
      <w:pPr>
        <w:ind w:firstLine="0"/>
        <w:rPr>
          <w:rFonts w:cstheme="minorHAnsi"/>
          <w:szCs w:val="24"/>
        </w:rPr>
      </w:pPr>
      <w:r>
        <w:rPr>
          <w:rFonts w:cstheme="minorHAnsi"/>
          <w:b/>
          <w:bCs/>
          <w:szCs w:val="24"/>
        </w:rPr>
        <w:t xml:space="preserve">Submitted on </w:t>
      </w:r>
      <w:r>
        <w:rPr>
          <w:rFonts w:cstheme="minorHAnsi"/>
          <w:b/>
          <w:bCs/>
          <w:szCs w:val="24"/>
        </w:rPr>
        <w:t>07/05/2023.</w:t>
      </w:r>
    </w:p>
    <w:p w14:paraId="2BC88F4E" w14:textId="77777777" w:rsidR="002139DB" w:rsidRDefault="002139DB" w:rsidP="00D01615">
      <w:pPr>
        <w:ind w:firstLine="0"/>
        <w:rPr>
          <w:rFonts w:cs="Times New Roman"/>
          <w:szCs w:val="24"/>
        </w:rPr>
      </w:pPr>
    </w:p>
    <w:p w14:paraId="58CE0900" w14:textId="77777777" w:rsidR="00617484" w:rsidRDefault="00617484" w:rsidP="00617484">
      <w:pPr>
        <w:ind w:firstLine="0"/>
        <w:jc w:val="center"/>
        <w:rPr>
          <w:rFonts w:cs="Times New Roman"/>
          <w:szCs w:val="24"/>
        </w:rPr>
      </w:pPr>
    </w:p>
    <w:p w14:paraId="651328CB" w14:textId="77777777" w:rsidR="00617484" w:rsidRDefault="00617484" w:rsidP="00617484">
      <w:pPr>
        <w:ind w:firstLine="0"/>
        <w:jc w:val="center"/>
        <w:rPr>
          <w:rFonts w:cs="Times New Roman"/>
          <w:szCs w:val="24"/>
        </w:rPr>
      </w:pPr>
    </w:p>
    <w:p w14:paraId="3FBFB8C0" w14:textId="77777777" w:rsidR="00617484" w:rsidRDefault="00617484">
      <w:pPr>
        <w:spacing w:line="259" w:lineRule="auto"/>
        <w:ind w:firstLine="0"/>
        <w:rPr>
          <w:rFonts w:cs="Times New Roman"/>
          <w:szCs w:val="24"/>
        </w:rPr>
      </w:pPr>
      <w:r>
        <w:rPr>
          <w:rFonts w:cs="Times New Roman"/>
          <w:szCs w:val="24"/>
        </w:rPr>
        <w:br w:type="page"/>
      </w:r>
    </w:p>
    <w:p w14:paraId="2E264EDA" w14:textId="2B10D4C8" w:rsidR="00D40E7A" w:rsidRPr="003762A8" w:rsidRDefault="00426E12" w:rsidP="00617484">
      <w:pPr>
        <w:pStyle w:val="Heading1"/>
      </w:pPr>
      <w:r w:rsidRPr="003762A8">
        <w:lastRenderedPageBreak/>
        <w:t xml:space="preserve">QUESTION 1 </w:t>
      </w:r>
    </w:p>
    <w:p w14:paraId="3B831047" w14:textId="6B485A44" w:rsidR="00426E12" w:rsidRPr="003762A8" w:rsidRDefault="001977B8" w:rsidP="00617484">
      <w:pPr>
        <w:pStyle w:val="Heading2"/>
        <w:numPr>
          <w:ilvl w:val="0"/>
          <w:numId w:val="4"/>
        </w:numPr>
      </w:pPr>
      <w:r w:rsidRPr="003762A8">
        <w:t xml:space="preserve">Income Statement and Statement of Financial Position </w:t>
      </w:r>
    </w:p>
    <w:p w14:paraId="04AE2ACE" w14:textId="6349E90D" w:rsidR="001977B8" w:rsidRPr="003762A8" w:rsidRDefault="001977B8" w:rsidP="00617484">
      <w:pPr>
        <w:pStyle w:val="Heading3"/>
        <w:numPr>
          <w:ilvl w:val="0"/>
          <w:numId w:val="5"/>
        </w:numPr>
      </w:pPr>
      <w:r w:rsidRPr="003762A8">
        <w:t xml:space="preserve">Income Statement </w:t>
      </w:r>
    </w:p>
    <w:tbl>
      <w:tblPr>
        <w:tblW w:w="93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79"/>
        <w:gridCol w:w="1887"/>
        <w:gridCol w:w="1895"/>
      </w:tblGrid>
      <w:tr w:rsidR="001977B8" w:rsidRPr="001977B8" w14:paraId="6CB378A4" w14:textId="77777777" w:rsidTr="001977B8">
        <w:trPr>
          <w:trHeight w:val="322"/>
        </w:trPr>
        <w:tc>
          <w:tcPr>
            <w:tcW w:w="9361" w:type="dxa"/>
            <w:gridSpan w:val="3"/>
            <w:shd w:val="clear" w:color="auto" w:fill="auto"/>
            <w:noWrap/>
            <w:vAlign w:val="bottom"/>
            <w:hideMark/>
          </w:tcPr>
          <w:p w14:paraId="2BC62CDA" w14:textId="77777777" w:rsidR="001977B8" w:rsidRPr="001977B8" w:rsidRDefault="001977B8" w:rsidP="003762A8">
            <w:pPr>
              <w:spacing w:after="0"/>
              <w:ind w:firstLine="0"/>
              <w:jc w:val="center"/>
              <w:rPr>
                <w:rFonts w:eastAsia="Times New Roman" w:cs="Times New Roman"/>
                <w:b/>
                <w:bCs/>
                <w:color w:val="000000"/>
                <w:szCs w:val="24"/>
                <w:lang w:eastAsia="en-GB"/>
              </w:rPr>
            </w:pPr>
            <w:r w:rsidRPr="001977B8">
              <w:rPr>
                <w:rFonts w:eastAsia="Times New Roman" w:cs="Times New Roman"/>
                <w:b/>
                <w:bCs/>
                <w:color w:val="000000"/>
                <w:szCs w:val="24"/>
                <w:lang w:eastAsia="en-GB"/>
              </w:rPr>
              <w:t>Wales Plc.</w:t>
            </w:r>
          </w:p>
        </w:tc>
      </w:tr>
      <w:tr w:rsidR="001977B8" w:rsidRPr="001977B8" w14:paraId="6C63A68E" w14:textId="77777777" w:rsidTr="001977B8">
        <w:trPr>
          <w:trHeight w:val="322"/>
        </w:trPr>
        <w:tc>
          <w:tcPr>
            <w:tcW w:w="9361" w:type="dxa"/>
            <w:gridSpan w:val="3"/>
            <w:shd w:val="clear" w:color="auto" w:fill="auto"/>
            <w:noWrap/>
            <w:vAlign w:val="bottom"/>
            <w:hideMark/>
          </w:tcPr>
          <w:p w14:paraId="3C282D6E" w14:textId="77777777" w:rsidR="001977B8" w:rsidRPr="001977B8" w:rsidRDefault="001977B8" w:rsidP="003762A8">
            <w:pPr>
              <w:spacing w:after="0"/>
              <w:ind w:firstLine="0"/>
              <w:jc w:val="center"/>
              <w:rPr>
                <w:rFonts w:eastAsia="Times New Roman" w:cs="Times New Roman"/>
                <w:b/>
                <w:bCs/>
                <w:color w:val="000000"/>
                <w:szCs w:val="24"/>
                <w:lang w:eastAsia="en-GB"/>
              </w:rPr>
            </w:pPr>
            <w:r w:rsidRPr="001977B8">
              <w:rPr>
                <w:rFonts w:eastAsia="Times New Roman" w:cs="Times New Roman"/>
                <w:b/>
                <w:bCs/>
                <w:color w:val="000000"/>
                <w:szCs w:val="24"/>
                <w:lang w:eastAsia="en-GB"/>
              </w:rPr>
              <w:t>Income Statement for the year Ended 31st December 2022</w:t>
            </w:r>
          </w:p>
        </w:tc>
      </w:tr>
      <w:tr w:rsidR="001977B8" w:rsidRPr="001977B8" w14:paraId="580DF478" w14:textId="77777777" w:rsidTr="001977B8">
        <w:trPr>
          <w:trHeight w:val="322"/>
        </w:trPr>
        <w:tc>
          <w:tcPr>
            <w:tcW w:w="5579" w:type="dxa"/>
            <w:shd w:val="clear" w:color="auto" w:fill="auto"/>
            <w:noWrap/>
            <w:vAlign w:val="bottom"/>
            <w:hideMark/>
          </w:tcPr>
          <w:p w14:paraId="45F98E5F" w14:textId="77777777" w:rsidR="001977B8" w:rsidRPr="001977B8" w:rsidRDefault="001977B8" w:rsidP="003762A8">
            <w:pPr>
              <w:spacing w:after="0"/>
              <w:ind w:firstLine="0"/>
              <w:rPr>
                <w:rFonts w:eastAsia="Times New Roman" w:cs="Times New Roman"/>
                <w:b/>
                <w:bCs/>
                <w:color w:val="000000"/>
                <w:szCs w:val="24"/>
                <w:lang w:eastAsia="en-GB"/>
              </w:rPr>
            </w:pPr>
            <w:r w:rsidRPr="001977B8">
              <w:rPr>
                <w:rFonts w:eastAsia="Times New Roman" w:cs="Times New Roman"/>
                <w:b/>
                <w:bCs/>
                <w:color w:val="000000"/>
                <w:szCs w:val="24"/>
                <w:lang w:eastAsia="en-GB"/>
              </w:rPr>
              <w:t>Item</w:t>
            </w:r>
          </w:p>
        </w:tc>
        <w:tc>
          <w:tcPr>
            <w:tcW w:w="1887" w:type="dxa"/>
            <w:shd w:val="clear" w:color="auto" w:fill="auto"/>
            <w:noWrap/>
            <w:vAlign w:val="bottom"/>
            <w:hideMark/>
          </w:tcPr>
          <w:p w14:paraId="11D7A4DC" w14:textId="77777777" w:rsidR="001977B8" w:rsidRPr="001977B8" w:rsidRDefault="001977B8" w:rsidP="003762A8">
            <w:pPr>
              <w:spacing w:after="0"/>
              <w:ind w:firstLine="0"/>
              <w:rPr>
                <w:rFonts w:eastAsia="Times New Roman" w:cs="Times New Roman"/>
                <w:b/>
                <w:bCs/>
                <w:color w:val="000000"/>
                <w:szCs w:val="24"/>
                <w:lang w:eastAsia="en-GB"/>
              </w:rPr>
            </w:pPr>
            <w:r w:rsidRPr="001977B8">
              <w:rPr>
                <w:rFonts w:eastAsia="Times New Roman" w:cs="Times New Roman"/>
                <w:b/>
                <w:bCs/>
                <w:color w:val="000000"/>
                <w:szCs w:val="24"/>
                <w:lang w:eastAsia="en-GB"/>
              </w:rPr>
              <w:t>£</w:t>
            </w:r>
          </w:p>
        </w:tc>
        <w:tc>
          <w:tcPr>
            <w:tcW w:w="1894" w:type="dxa"/>
            <w:shd w:val="clear" w:color="auto" w:fill="auto"/>
            <w:noWrap/>
            <w:vAlign w:val="bottom"/>
            <w:hideMark/>
          </w:tcPr>
          <w:p w14:paraId="18DC574D" w14:textId="77777777" w:rsidR="001977B8" w:rsidRPr="001977B8" w:rsidRDefault="001977B8" w:rsidP="003762A8">
            <w:pPr>
              <w:spacing w:after="0"/>
              <w:ind w:firstLine="0"/>
              <w:rPr>
                <w:rFonts w:eastAsia="Times New Roman" w:cs="Times New Roman"/>
                <w:b/>
                <w:bCs/>
                <w:color w:val="000000"/>
                <w:szCs w:val="24"/>
                <w:lang w:eastAsia="en-GB"/>
              </w:rPr>
            </w:pPr>
            <w:r w:rsidRPr="001977B8">
              <w:rPr>
                <w:rFonts w:eastAsia="Times New Roman" w:cs="Times New Roman"/>
                <w:b/>
                <w:bCs/>
                <w:color w:val="000000"/>
                <w:szCs w:val="24"/>
                <w:lang w:eastAsia="en-GB"/>
              </w:rPr>
              <w:t>£</w:t>
            </w:r>
          </w:p>
        </w:tc>
      </w:tr>
      <w:tr w:rsidR="001977B8" w:rsidRPr="001977B8" w14:paraId="5492ED97" w14:textId="77777777" w:rsidTr="001977B8">
        <w:trPr>
          <w:trHeight w:val="322"/>
        </w:trPr>
        <w:tc>
          <w:tcPr>
            <w:tcW w:w="5579" w:type="dxa"/>
            <w:shd w:val="clear" w:color="auto" w:fill="auto"/>
            <w:noWrap/>
            <w:vAlign w:val="bottom"/>
            <w:hideMark/>
          </w:tcPr>
          <w:p w14:paraId="2A689515" w14:textId="77777777" w:rsidR="001977B8" w:rsidRPr="001977B8" w:rsidRDefault="001977B8" w:rsidP="003762A8">
            <w:pPr>
              <w:spacing w:after="0"/>
              <w:ind w:firstLine="0"/>
              <w:rPr>
                <w:rFonts w:eastAsia="Times New Roman" w:cs="Times New Roman"/>
                <w:color w:val="000000"/>
                <w:szCs w:val="24"/>
                <w:lang w:eastAsia="en-GB"/>
              </w:rPr>
            </w:pPr>
            <w:r w:rsidRPr="001977B8">
              <w:rPr>
                <w:rFonts w:eastAsia="Times New Roman" w:cs="Times New Roman"/>
                <w:color w:val="000000"/>
                <w:szCs w:val="24"/>
                <w:lang w:eastAsia="en-GB"/>
              </w:rPr>
              <w:t>Sales</w:t>
            </w:r>
          </w:p>
        </w:tc>
        <w:tc>
          <w:tcPr>
            <w:tcW w:w="1887" w:type="dxa"/>
            <w:shd w:val="clear" w:color="auto" w:fill="auto"/>
            <w:noWrap/>
            <w:vAlign w:val="bottom"/>
            <w:hideMark/>
          </w:tcPr>
          <w:p w14:paraId="092C1947" w14:textId="77777777" w:rsidR="001977B8" w:rsidRPr="001977B8" w:rsidRDefault="001977B8" w:rsidP="003762A8">
            <w:pPr>
              <w:spacing w:after="0"/>
              <w:ind w:firstLine="0"/>
              <w:rPr>
                <w:rFonts w:eastAsia="Times New Roman" w:cs="Times New Roman"/>
                <w:color w:val="000000"/>
                <w:szCs w:val="24"/>
                <w:lang w:eastAsia="en-GB"/>
              </w:rPr>
            </w:pPr>
          </w:p>
        </w:tc>
        <w:tc>
          <w:tcPr>
            <w:tcW w:w="1894" w:type="dxa"/>
            <w:shd w:val="clear" w:color="auto" w:fill="auto"/>
            <w:noWrap/>
            <w:vAlign w:val="bottom"/>
            <w:hideMark/>
          </w:tcPr>
          <w:p w14:paraId="7BD279AD" w14:textId="77777777" w:rsidR="001977B8" w:rsidRPr="001977B8" w:rsidRDefault="001977B8" w:rsidP="003762A8">
            <w:pPr>
              <w:spacing w:after="0"/>
              <w:ind w:firstLine="0"/>
              <w:jc w:val="right"/>
              <w:rPr>
                <w:rFonts w:eastAsia="Times New Roman" w:cs="Times New Roman"/>
                <w:color w:val="000000"/>
                <w:szCs w:val="24"/>
                <w:lang w:eastAsia="en-GB"/>
              </w:rPr>
            </w:pPr>
            <w:r w:rsidRPr="001977B8">
              <w:rPr>
                <w:rFonts w:eastAsia="Times New Roman" w:cs="Times New Roman"/>
                <w:color w:val="000000"/>
                <w:szCs w:val="24"/>
                <w:lang w:eastAsia="en-GB"/>
              </w:rPr>
              <w:t>800,000</w:t>
            </w:r>
          </w:p>
        </w:tc>
      </w:tr>
      <w:tr w:rsidR="001977B8" w:rsidRPr="001977B8" w14:paraId="455FF56A" w14:textId="77777777" w:rsidTr="001977B8">
        <w:trPr>
          <w:trHeight w:val="322"/>
        </w:trPr>
        <w:tc>
          <w:tcPr>
            <w:tcW w:w="5579" w:type="dxa"/>
            <w:shd w:val="clear" w:color="auto" w:fill="auto"/>
            <w:noWrap/>
            <w:vAlign w:val="bottom"/>
            <w:hideMark/>
          </w:tcPr>
          <w:p w14:paraId="23B18A8E" w14:textId="77777777" w:rsidR="001977B8" w:rsidRPr="001977B8" w:rsidRDefault="001977B8" w:rsidP="003762A8">
            <w:pPr>
              <w:spacing w:after="0"/>
              <w:ind w:firstLine="0"/>
              <w:rPr>
                <w:rFonts w:eastAsia="Times New Roman" w:cs="Times New Roman"/>
                <w:color w:val="000000"/>
                <w:szCs w:val="24"/>
                <w:lang w:eastAsia="en-GB"/>
              </w:rPr>
            </w:pPr>
            <w:r w:rsidRPr="001977B8">
              <w:rPr>
                <w:rFonts w:eastAsia="Times New Roman" w:cs="Times New Roman"/>
                <w:color w:val="000000"/>
                <w:szCs w:val="24"/>
                <w:lang w:eastAsia="en-GB"/>
              </w:rPr>
              <w:t xml:space="preserve">Cost of Sales </w:t>
            </w:r>
          </w:p>
        </w:tc>
        <w:tc>
          <w:tcPr>
            <w:tcW w:w="1887" w:type="dxa"/>
            <w:shd w:val="clear" w:color="auto" w:fill="auto"/>
            <w:noWrap/>
            <w:vAlign w:val="bottom"/>
            <w:hideMark/>
          </w:tcPr>
          <w:p w14:paraId="6D1D351C" w14:textId="77777777" w:rsidR="001977B8" w:rsidRPr="001977B8" w:rsidRDefault="001977B8" w:rsidP="003762A8">
            <w:pPr>
              <w:spacing w:after="0"/>
              <w:ind w:firstLine="0"/>
              <w:jc w:val="right"/>
              <w:rPr>
                <w:rFonts w:eastAsia="Times New Roman" w:cs="Times New Roman"/>
                <w:color w:val="000000"/>
                <w:szCs w:val="24"/>
                <w:lang w:eastAsia="en-GB"/>
              </w:rPr>
            </w:pPr>
            <w:r w:rsidRPr="001977B8">
              <w:rPr>
                <w:rFonts w:eastAsia="Times New Roman" w:cs="Times New Roman"/>
                <w:color w:val="000000"/>
                <w:szCs w:val="24"/>
                <w:lang w:eastAsia="en-GB"/>
              </w:rPr>
              <w:t>578,650</w:t>
            </w:r>
          </w:p>
        </w:tc>
        <w:tc>
          <w:tcPr>
            <w:tcW w:w="1894" w:type="dxa"/>
            <w:shd w:val="clear" w:color="auto" w:fill="auto"/>
            <w:noWrap/>
            <w:vAlign w:val="bottom"/>
            <w:hideMark/>
          </w:tcPr>
          <w:p w14:paraId="148B76F9" w14:textId="77777777" w:rsidR="001977B8" w:rsidRPr="001977B8" w:rsidRDefault="001977B8" w:rsidP="003762A8">
            <w:pPr>
              <w:spacing w:after="0"/>
              <w:ind w:firstLine="0"/>
              <w:jc w:val="right"/>
              <w:rPr>
                <w:rFonts w:eastAsia="Times New Roman" w:cs="Times New Roman"/>
                <w:color w:val="000000"/>
                <w:szCs w:val="24"/>
                <w:lang w:eastAsia="en-GB"/>
              </w:rPr>
            </w:pPr>
          </w:p>
        </w:tc>
      </w:tr>
      <w:tr w:rsidR="001977B8" w:rsidRPr="001977B8" w14:paraId="303DA7C2" w14:textId="77777777" w:rsidTr="001977B8">
        <w:trPr>
          <w:trHeight w:val="322"/>
        </w:trPr>
        <w:tc>
          <w:tcPr>
            <w:tcW w:w="5579" w:type="dxa"/>
            <w:shd w:val="clear" w:color="auto" w:fill="auto"/>
            <w:noWrap/>
            <w:vAlign w:val="bottom"/>
            <w:hideMark/>
          </w:tcPr>
          <w:p w14:paraId="0D56BDE0" w14:textId="77777777" w:rsidR="001977B8" w:rsidRPr="001977B8" w:rsidRDefault="001977B8" w:rsidP="003762A8">
            <w:pPr>
              <w:spacing w:after="0"/>
              <w:ind w:firstLine="0"/>
              <w:rPr>
                <w:rFonts w:eastAsia="Times New Roman" w:cs="Times New Roman"/>
                <w:b/>
                <w:bCs/>
                <w:color w:val="000000"/>
                <w:szCs w:val="24"/>
                <w:lang w:eastAsia="en-GB"/>
              </w:rPr>
            </w:pPr>
            <w:r w:rsidRPr="001977B8">
              <w:rPr>
                <w:rFonts w:eastAsia="Times New Roman" w:cs="Times New Roman"/>
                <w:b/>
                <w:bCs/>
                <w:color w:val="000000"/>
                <w:szCs w:val="24"/>
                <w:lang w:eastAsia="en-GB"/>
              </w:rPr>
              <w:t xml:space="preserve">Gross Profit </w:t>
            </w:r>
          </w:p>
        </w:tc>
        <w:tc>
          <w:tcPr>
            <w:tcW w:w="1887" w:type="dxa"/>
            <w:shd w:val="clear" w:color="auto" w:fill="auto"/>
            <w:noWrap/>
            <w:vAlign w:val="bottom"/>
            <w:hideMark/>
          </w:tcPr>
          <w:p w14:paraId="53BEF019" w14:textId="77777777" w:rsidR="001977B8" w:rsidRPr="001977B8" w:rsidRDefault="001977B8" w:rsidP="003762A8">
            <w:pPr>
              <w:spacing w:after="0"/>
              <w:ind w:firstLine="0"/>
              <w:rPr>
                <w:rFonts w:eastAsia="Times New Roman" w:cs="Times New Roman"/>
                <w:b/>
                <w:bCs/>
                <w:color w:val="000000"/>
                <w:szCs w:val="24"/>
                <w:lang w:eastAsia="en-GB"/>
              </w:rPr>
            </w:pPr>
          </w:p>
        </w:tc>
        <w:tc>
          <w:tcPr>
            <w:tcW w:w="1894" w:type="dxa"/>
            <w:shd w:val="clear" w:color="auto" w:fill="auto"/>
            <w:noWrap/>
            <w:vAlign w:val="bottom"/>
            <w:hideMark/>
          </w:tcPr>
          <w:p w14:paraId="5F0DD1FC" w14:textId="77777777" w:rsidR="001977B8" w:rsidRPr="001977B8" w:rsidRDefault="001977B8" w:rsidP="003762A8">
            <w:pPr>
              <w:spacing w:after="0"/>
              <w:ind w:firstLine="0"/>
              <w:jc w:val="right"/>
              <w:rPr>
                <w:rFonts w:eastAsia="Times New Roman" w:cs="Times New Roman"/>
                <w:b/>
                <w:bCs/>
                <w:color w:val="000000"/>
                <w:szCs w:val="24"/>
                <w:lang w:eastAsia="en-GB"/>
              </w:rPr>
            </w:pPr>
            <w:r w:rsidRPr="001977B8">
              <w:rPr>
                <w:rFonts w:eastAsia="Times New Roman" w:cs="Times New Roman"/>
                <w:b/>
                <w:bCs/>
                <w:color w:val="000000"/>
                <w:szCs w:val="24"/>
                <w:lang w:eastAsia="en-GB"/>
              </w:rPr>
              <w:t>221,350</w:t>
            </w:r>
          </w:p>
        </w:tc>
      </w:tr>
      <w:tr w:rsidR="001977B8" w:rsidRPr="001977B8" w14:paraId="3169E72B" w14:textId="77777777" w:rsidTr="001977B8">
        <w:trPr>
          <w:trHeight w:val="322"/>
        </w:trPr>
        <w:tc>
          <w:tcPr>
            <w:tcW w:w="5579" w:type="dxa"/>
            <w:shd w:val="clear" w:color="auto" w:fill="auto"/>
            <w:noWrap/>
            <w:vAlign w:val="bottom"/>
            <w:hideMark/>
          </w:tcPr>
          <w:p w14:paraId="485996F1" w14:textId="77777777" w:rsidR="001977B8" w:rsidRPr="001977B8" w:rsidRDefault="001977B8" w:rsidP="003762A8">
            <w:pPr>
              <w:spacing w:after="0"/>
              <w:ind w:firstLine="0"/>
              <w:rPr>
                <w:rFonts w:eastAsia="Times New Roman" w:cs="Times New Roman"/>
                <w:b/>
                <w:bCs/>
                <w:color w:val="000000"/>
                <w:szCs w:val="24"/>
                <w:lang w:eastAsia="en-GB"/>
              </w:rPr>
            </w:pPr>
            <w:r w:rsidRPr="001977B8">
              <w:rPr>
                <w:rFonts w:eastAsia="Times New Roman" w:cs="Times New Roman"/>
                <w:b/>
                <w:bCs/>
                <w:color w:val="000000"/>
                <w:szCs w:val="24"/>
                <w:lang w:eastAsia="en-GB"/>
              </w:rPr>
              <w:t>Operating Expenses</w:t>
            </w:r>
          </w:p>
        </w:tc>
        <w:tc>
          <w:tcPr>
            <w:tcW w:w="1887" w:type="dxa"/>
            <w:shd w:val="clear" w:color="auto" w:fill="auto"/>
            <w:noWrap/>
            <w:vAlign w:val="bottom"/>
            <w:hideMark/>
          </w:tcPr>
          <w:p w14:paraId="300070BF" w14:textId="77777777" w:rsidR="001977B8" w:rsidRPr="001977B8" w:rsidRDefault="001977B8" w:rsidP="003762A8">
            <w:pPr>
              <w:spacing w:after="0"/>
              <w:ind w:firstLine="0"/>
              <w:rPr>
                <w:rFonts w:eastAsia="Times New Roman" w:cs="Times New Roman"/>
                <w:b/>
                <w:bCs/>
                <w:color w:val="000000"/>
                <w:szCs w:val="24"/>
                <w:lang w:eastAsia="en-GB"/>
              </w:rPr>
            </w:pPr>
          </w:p>
        </w:tc>
        <w:tc>
          <w:tcPr>
            <w:tcW w:w="1894" w:type="dxa"/>
            <w:shd w:val="clear" w:color="auto" w:fill="auto"/>
            <w:noWrap/>
            <w:vAlign w:val="bottom"/>
            <w:hideMark/>
          </w:tcPr>
          <w:p w14:paraId="1BF21705" w14:textId="77777777" w:rsidR="001977B8" w:rsidRPr="001977B8" w:rsidRDefault="001977B8" w:rsidP="003762A8">
            <w:pPr>
              <w:spacing w:after="0"/>
              <w:ind w:firstLine="0"/>
              <w:rPr>
                <w:rFonts w:eastAsia="Times New Roman" w:cs="Times New Roman"/>
                <w:szCs w:val="24"/>
                <w:lang w:eastAsia="en-GB"/>
              </w:rPr>
            </w:pPr>
          </w:p>
        </w:tc>
      </w:tr>
      <w:tr w:rsidR="001977B8" w:rsidRPr="001977B8" w14:paraId="192D3570" w14:textId="77777777" w:rsidTr="001977B8">
        <w:trPr>
          <w:trHeight w:val="322"/>
        </w:trPr>
        <w:tc>
          <w:tcPr>
            <w:tcW w:w="5579" w:type="dxa"/>
            <w:shd w:val="clear" w:color="auto" w:fill="auto"/>
            <w:noWrap/>
            <w:vAlign w:val="bottom"/>
            <w:hideMark/>
          </w:tcPr>
          <w:p w14:paraId="46D639FB" w14:textId="77777777" w:rsidR="001977B8" w:rsidRPr="001977B8" w:rsidRDefault="001977B8" w:rsidP="003762A8">
            <w:pPr>
              <w:spacing w:after="0"/>
              <w:ind w:firstLine="0"/>
              <w:rPr>
                <w:rFonts w:eastAsia="Times New Roman" w:cs="Times New Roman"/>
                <w:color w:val="000000"/>
                <w:szCs w:val="24"/>
                <w:lang w:eastAsia="en-GB"/>
              </w:rPr>
            </w:pPr>
            <w:r w:rsidRPr="001977B8">
              <w:rPr>
                <w:rFonts w:eastAsia="Times New Roman" w:cs="Times New Roman"/>
                <w:color w:val="000000"/>
                <w:szCs w:val="24"/>
                <w:lang w:eastAsia="en-GB"/>
              </w:rPr>
              <w:t>Administrative Expenses</w:t>
            </w:r>
          </w:p>
        </w:tc>
        <w:tc>
          <w:tcPr>
            <w:tcW w:w="1887" w:type="dxa"/>
            <w:shd w:val="clear" w:color="auto" w:fill="auto"/>
            <w:noWrap/>
            <w:vAlign w:val="bottom"/>
            <w:hideMark/>
          </w:tcPr>
          <w:p w14:paraId="237B3876" w14:textId="77777777" w:rsidR="001977B8" w:rsidRPr="001977B8" w:rsidRDefault="001977B8" w:rsidP="003762A8">
            <w:pPr>
              <w:spacing w:after="0"/>
              <w:ind w:firstLine="0"/>
              <w:jc w:val="right"/>
              <w:rPr>
                <w:rFonts w:eastAsia="Times New Roman" w:cs="Times New Roman"/>
                <w:color w:val="000000"/>
                <w:szCs w:val="24"/>
                <w:lang w:eastAsia="en-GB"/>
              </w:rPr>
            </w:pPr>
            <w:r w:rsidRPr="001977B8">
              <w:rPr>
                <w:rFonts w:eastAsia="Times New Roman" w:cs="Times New Roman"/>
                <w:color w:val="000000"/>
                <w:szCs w:val="24"/>
                <w:lang w:eastAsia="en-GB"/>
              </w:rPr>
              <w:t>30,000</w:t>
            </w:r>
          </w:p>
        </w:tc>
        <w:tc>
          <w:tcPr>
            <w:tcW w:w="1894" w:type="dxa"/>
            <w:shd w:val="clear" w:color="auto" w:fill="auto"/>
            <w:noWrap/>
            <w:vAlign w:val="bottom"/>
            <w:hideMark/>
          </w:tcPr>
          <w:p w14:paraId="4931DE62" w14:textId="77777777" w:rsidR="001977B8" w:rsidRPr="001977B8" w:rsidRDefault="001977B8" w:rsidP="003762A8">
            <w:pPr>
              <w:spacing w:after="0"/>
              <w:ind w:firstLine="0"/>
              <w:jc w:val="right"/>
              <w:rPr>
                <w:rFonts w:eastAsia="Times New Roman" w:cs="Times New Roman"/>
                <w:color w:val="000000"/>
                <w:szCs w:val="24"/>
                <w:lang w:eastAsia="en-GB"/>
              </w:rPr>
            </w:pPr>
          </w:p>
        </w:tc>
      </w:tr>
      <w:tr w:rsidR="001977B8" w:rsidRPr="001977B8" w14:paraId="2D34AE58" w14:textId="77777777" w:rsidTr="001977B8">
        <w:trPr>
          <w:trHeight w:val="322"/>
        </w:trPr>
        <w:tc>
          <w:tcPr>
            <w:tcW w:w="5579" w:type="dxa"/>
            <w:shd w:val="clear" w:color="auto" w:fill="auto"/>
            <w:noWrap/>
            <w:vAlign w:val="bottom"/>
            <w:hideMark/>
          </w:tcPr>
          <w:p w14:paraId="7667C960" w14:textId="77777777" w:rsidR="001977B8" w:rsidRPr="001977B8" w:rsidRDefault="001977B8" w:rsidP="003762A8">
            <w:pPr>
              <w:spacing w:after="0"/>
              <w:ind w:firstLine="0"/>
              <w:rPr>
                <w:rFonts w:eastAsia="Times New Roman" w:cs="Times New Roman"/>
                <w:color w:val="000000"/>
                <w:szCs w:val="24"/>
                <w:lang w:eastAsia="en-GB"/>
              </w:rPr>
            </w:pPr>
            <w:r w:rsidRPr="001977B8">
              <w:rPr>
                <w:rFonts w:eastAsia="Times New Roman" w:cs="Times New Roman"/>
                <w:color w:val="000000"/>
                <w:szCs w:val="24"/>
                <w:lang w:eastAsia="en-GB"/>
              </w:rPr>
              <w:t xml:space="preserve">Distribution Costs </w:t>
            </w:r>
          </w:p>
        </w:tc>
        <w:tc>
          <w:tcPr>
            <w:tcW w:w="1887" w:type="dxa"/>
            <w:shd w:val="clear" w:color="auto" w:fill="auto"/>
            <w:noWrap/>
            <w:vAlign w:val="bottom"/>
            <w:hideMark/>
          </w:tcPr>
          <w:p w14:paraId="06A550DA" w14:textId="77777777" w:rsidR="001977B8" w:rsidRPr="001977B8" w:rsidRDefault="001977B8" w:rsidP="003762A8">
            <w:pPr>
              <w:spacing w:after="0"/>
              <w:ind w:firstLine="0"/>
              <w:jc w:val="right"/>
              <w:rPr>
                <w:rFonts w:eastAsia="Times New Roman" w:cs="Times New Roman"/>
                <w:color w:val="000000"/>
                <w:szCs w:val="24"/>
                <w:lang w:eastAsia="en-GB"/>
              </w:rPr>
            </w:pPr>
            <w:r w:rsidRPr="001977B8">
              <w:rPr>
                <w:rFonts w:eastAsia="Times New Roman" w:cs="Times New Roman"/>
                <w:color w:val="000000"/>
                <w:szCs w:val="24"/>
                <w:lang w:eastAsia="en-GB"/>
              </w:rPr>
              <w:t>28,000</w:t>
            </w:r>
          </w:p>
        </w:tc>
        <w:tc>
          <w:tcPr>
            <w:tcW w:w="1894" w:type="dxa"/>
            <w:shd w:val="clear" w:color="auto" w:fill="auto"/>
            <w:noWrap/>
            <w:vAlign w:val="bottom"/>
            <w:hideMark/>
          </w:tcPr>
          <w:p w14:paraId="0F1B811B" w14:textId="77777777" w:rsidR="001977B8" w:rsidRPr="001977B8" w:rsidRDefault="001977B8" w:rsidP="003762A8">
            <w:pPr>
              <w:spacing w:after="0"/>
              <w:ind w:firstLine="0"/>
              <w:jc w:val="right"/>
              <w:rPr>
                <w:rFonts w:eastAsia="Times New Roman" w:cs="Times New Roman"/>
                <w:color w:val="000000"/>
                <w:szCs w:val="24"/>
                <w:lang w:eastAsia="en-GB"/>
              </w:rPr>
            </w:pPr>
          </w:p>
        </w:tc>
      </w:tr>
      <w:tr w:rsidR="001977B8" w:rsidRPr="001977B8" w14:paraId="76340539" w14:textId="77777777" w:rsidTr="001977B8">
        <w:trPr>
          <w:trHeight w:val="322"/>
        </w:trPr>
        <w:tc>
          <w:tcPr>
            <w:tcW w:w="5579" w:type="dxa"/>
            <w:shd w:val="clear" w:color="auto" w:fill="auto"/>
            <w:noWrap/>
            <w:vAlign w:val="bottom"/>
            <w:hideMark/>
          </w:tcPr>
          <w:p w14:paraId="59112F06" w14:textId="77777777" w:rsidR="001977B8" w:rsidRPr="001977B8" w:rsidRDefault="001977B8" w:rsidP="003762A8">
            <w:pPr>
              <w:spacing w:after="0"/>
              <w:ind w:firstLine="0"/>
              <w:rPr>
                <w:rFonts w:eastAsia="Times New Roman" w:cs="Times New Roman"/>
                <w:color w:val="000000"/>
                <w:szCs w:val="24"/>
                <w:lang w:eastAsia="en-GB"/>
              </w:rPr>
            </w:pPr>
            <w:r w:rsidRPr="001977B8">
              <w:rPr>
                <w:rFonts w:eastAsia="Times New Roman" w:cs="Times New Roman"/>
                <w:color w:val="000000"/>
                <w:szCs w:val="24"/>
                <w:lang w:eastAsia="en-GB"/>
              </w:rPr>
              <w:t xml:space="preserve">Directors' Remuneration </w:t>
            </w:r>
          </w:p>
        </w:tc>
        <w:tc>
          <w:tcPr>
            <w:tcW w:w="1887" w:type="dxa"/>
            <w:shd w:val="clear" w:color="auto" w:fill="auto"/>
            <w:noWrap/>
            <w:vAlign w:val="bottom"/>
            <w:hideMark/>
          </w:tcPr>
          <w:p w14:paraId="0345D6D8" w14:textId="77777777" w:rsidR="001977B8" w:rsidRPr="001977B8" w:rsidRDefault="001977B8" w:rsidP="003762A8">
            <w:pPr>
              <w:spacing w:after="0"/>
              <w:ind w:firstLine="0"/>
              <w:jc w:val="right"/>
              <w:rPr>
                <w:rFonts w:eastAsia="Times New Roman" w:cs="Times New Roman"/>
                <w:color w:val="000000"/>
                <w:szCs w:val="24"/>
                <w:lang w:eastAsia="en-GB"/>
              </w:rPr>
            </w:pPr>
            <w:r w:rsidRPr="001977B8">
              <w:rPr>
                <w:rFonts w:eastAsia="Times New Roman" w:cs="Times New Roman"/>
                <w:color w:val="000000"/>
                <w:szCs w:val="24"/>
                <w:lang w:eastAsia="en-GB"/>
              </w:rPr>
              <w:t>5,000</w:t>
            </w:r>
          </w:p>
        </w:tc>
        <w:tc>
          <w:tcPr>
            <w:tcW w:w="1894" w:type="dxa"/>
            <w:shd w:val="clear" w:color="auto" w:fill="auto"/>
            <w:noWrap/>
            <w:vAlign w:val="bottom"/>
            <w:hideMark/>
          </w:tcPr>
          <w:p w14:paraId="294FD1E5" w14:textId="77777777" w:rsidR="001977B8" w:rsidRPr="001977B8" w:rsidRDefault="001977B8" w:rsidP="003762A8">
            <w:pPr>
              <w:spacing w:after="0"/>
              <w:ind w:firstLine="0"/>
              <w:jc w:val="right"/>
              <w:rPr>
                <w:rFonts w:eastAsia="Times New Roman" w:cs="Times New Roman"/>
                <w:color w:val="000000"/>
                <w:szCs w:val="24"/>
                <w:lang w:eastAsia="en-GB"/>
              </w:rPr>
            </w:pPr>
          </w:p>
        </w:tc>
      </w:tr>
      <w:tr w:rsidR="001977B8" w:rsidRPr="001977B8" w14:paraId="2CE4FDA5" w14:textId="77777777" w:rsidTr="001977B8">
        <w:trPr>
          <w:trHeight w:val="322"/>
        </w:trPr>
        <w:tc>
          <w:tcPr>
            <w:tcW w:w="5579" w:type="dxa"/>
            <w:shd w:val="clear" w:color="auto" w:fill="auto"/>
            <w:noWrap/>
            <w:vAlign w:val="bottom"/>
            <w:hideMark/>
          </w:tcPr>
          <w:p w14:paraId="44B9540B" w14:textId="77777777" w:rsidR="001977B8" w:rsidRPr="001977B8" w:rsidRDefault="001977B8" w:rsidP="003762A8">
            <w:pPr>
              <w:spacing w:after="0"/>
              <w:ind w:firstLine="0"/>
              <w:rPr>
                <w:rFonts w:eastAsia="Times New Roman" w:cs="Times New Roman"/>
                <w:b/>
                <w:bCs/>
                <w:color w:val="000000"/>
                <w:szCs w:val="24"/>
                <w:lang w:eastAsia="en-GB"/>
              </w:rPr>
            </w:pPr>
            <w:r w:rsidRPr="001977B8">
              <w:rPr>
                <w:rFonts w:eastAsia="Times New Roman" w:cs="Times New Roman"/>
                <w:b/>
                <w:bCs/>
                <w:color w:val="000000"/>
                <w:szCs w:val="24"/>
                <w:lang w:eastAsia="en-GB"/>
              </w:rPr>
              <w:t>Operating Profit</w:t>
            </w:r>
          </w:p>
        </w:tc>
        <w:tc>
          <w:tcPr>
            <w:tcW w:w="1887" w:type="dxa"/>
            <w:shd w:val="clear" w:color="auto" w:fill="auto"/>
            <w:noWrap/>
            <w:vAlign w:val="bottom"/>
            <w:hideMark/>
          </w:tcPr>
          <w:p w14:paraId="14D9F90C" w14:textId="77777777" w:rsidR="001977B8" w:rsidRPr="001977B8" w:rsidRDefault="001977B8" w:rsidP="003762A8">
            <w:pPr>
              <w:spacing w:after="0"/>
              <w:ind w:firstLine="0"/>
              <w:rPr>
                <w:rFonts w:eastAsia="Times New Roman" w:cs="Times New Roman"/>
                <w:b/>
                <w:bCs/>
                <w:color w:val="000000"/>
                <w:szCs w:val="24"/>
                <w:lang w:eastAsia="en-GB"/>
              </w:rPr>
            </w:pPr>
          </w:p>
        </w:tc>
        <w:tc>
          <w:tcPr>
            <w:tcW w:w="1894" w:type="dxa"/>
            <w:shd w:val="clear" w:color="auto" w:fill="auto"/>
            <w:noWrap/>
            <w:vAlign w:val="bottom"/>
            <w:hideMark/>
          </w:tcPr>
          <w:p w14:paraId="09340D0A" w14:textId="77777777" w:rsidR="001977B8" w:rsidRPr="001977B8" w:rsidRDefault="001977B8" w:rsidP="003762A8">
            <w:pPr>
              <w:spacing w:after="0"/>
              <w:ind w:firstLine="0"/>
              <w:jc w:val="right"/>
              <w:rPr>
                <w:rFonts w:eastAsia="Times New Roman" w:cs="Times New Roman"/>
                <w:b/>
                <w:bCs/>
                <w:color w:val="000000"/>
                <w:szCs w:val="24"/>
                <w:lang w:eastAsia="en-GB"/>
              </w:rPr>
            </w:pPr>
            <w:r w:rsidRPr="001977B8">
              <w:rPr>
                <w:rFonts w:eastAsia="Times New Roman" w:cs="Times New Roman"/>
                <w:b/>
                <w:bCs/>
                <w:color w:val="000000"/>
                <w:szCs w:val="24"/>
                <w:lang w:eastAsia="en-GB"/>
              </w:rPr>
              <w:t>158,350</w:t>
            </w:r>
          </w:p>
        </w:tc>
      </w:tr>
      <w:tr w:rsidR="001977B8" w:rsidRPr="001977B8" w14:paraId="22BD31E8" w14:textId="77777777" w:rsidTr="001977B8">
        <w:trPr>
          <w:trHeight w:val="322"/>
        </w:trPr>
        <w:tc>
          <w:tcPr>
            <w:tcW w:w="5579" w:type="dxa"/>
            <w:shd w:val="clear" w:color="auto" w:fill="auto"/>
            <w:noWrap/>
            <w:vAlign w:val="bottom"/>
            <w:hideMark/>
          </w:tcPr>
          <w:p w14:paraId="67E36194" w14:textId="77777777" w:rsidR="001977B8" w:rsidRPr="001977B8" w:rsidRDefault="001977B8" w:rsidP="003762A8">
            <w:pPr>
              <w:spacing w:after="0"/>
              <w:ind w:firstLine="0"/>
              <w:rPr>
                <w:rFonts w:eastAsia="Times New Roman" w:cs="Times New Roman"/>
                <w:color w:val="000000"/>
                <w:szCs w:val="24"/>
                <w:lang w:eastAsia="en-GB"/>
              </w:rPr>
            </w:pPr>
            <w:r w:rsidRPr="001977B8">
              <w:rPr>
                <w:rFonts w:eastAsia="Times New Roman" w:cs="Times New Roman"/>
                <w:color w:val="000000"/>
                <w:szCs w:val="24"/>
                <w:lang w:eastAsia="en-GB"/>
              </w:rPr>
              <w:t xml:space="preserve">Interest Paid </w:t>
            </w:r>
          </w:p>
        </w:tc>
        <w:tc>
          <w:tcPr>
            <w:tcW w:w="1887" w:type="dxa"/>
            <w:shd w:val="clear" w:color="auto" w:fill="auto"/>
            <w:noWrap/>
            <w:vAlign w:val="bottom"/>
            <w:hideMark/>
          </w:tcPr>
          <w:p w14:paraId="19236547" w14:textId="77777777" w:rsidR="001977B8" w:rsidRPr="001977B8" w:rsidRDefault="001977B8" w:rsidP="003762A8">
            <w:pPr>
              <w:spacing w:after="0"/>
              <w:ind w:firstLine="0"/>
              <w:jc w:val="right"/>
              <w:rPr>
                <w:rFonts w:eastAsia="Times New Roman" w:cs="Times New Roman"/>
                <w:color w:val="000000"/>
                <w:szCs w:val="24"/>
                <w:lang w:eastAsia="en-GB"/>
              </w:rPr>
            </w:pPr>
            <w:r w:rsidRPr="001977B8">
              <w:rPr>
                <w:rFonts w:eastAsia="Times New Roman" w:cs="Times New Roman"/>
                <w:color w:val="000000"/>
                <w:szCs w:val="24"/>
                <w:lang w:eastAsia="en-GB"/>
              </w:rPr>
              <w:t>2,000</w:t>
            </w:r>
          </w:p>
        </w:tc>
        <w:tc>
          <w:tcPr>
            <w:tcW w:w="1894" w:type="dxa"/>
            <w:shd w:val="clear" w:color="auto" w:fill="auto"/>
            <w:noWrap/>
            <w:vAlign w:val="bottom"/>
            <w:hideMark/>
          </w:tcPr>
          <w:p w14:paraId="7DF10797" w14:textId="77777777" w:rsidR="001977B8" w:rsidRPr="001977B8" w:rsidRDefault="001977B8" w:rsidP="003762A8">
            <w:pPr>
              <w:spacing w:after="0"/>
              <w:ind w:firstLine="0"/>
              <w:jc w:val="right"/>
              <w:rPr>
                <w:rFonts w:eastAsia="Times New Roman" w:cs="Times New Roman"/>
                <w:color w:val="000000"/>
                <w:szCs w:val="24"/>
                <w:lang w:eastAsia="en-GB"/>
              </w:rPr>
            </w:pPr>
          </w:p>
        </w:tc>
      </w:tr>
      <w:tr w:rsidR="001977B8" w:rsidRPr="001977B8" w14:paraId="132D3EEE" w14:textId="77777777" w:rsidTr="001977B8">
        <w:trPr>
          <w:trHeight w:val="322"/>
        </w:trPr>
        <w:tc>
          <w:tcPr>
            <w:tcW w:w="5579" w:type="dxa"/>
            <w:shd w:val="clear" w:color="auto" w:fill="auto"/>
            <w:noWrap/>
            <w:vAlign w:val="bottom"/>
            <w:hideMark/>
          </w:tcPr>
          <w:p w14:paraId="4F30431C" w14:textId="54F8D36E" w:rsidR="001977B8" w:rsidRPr="001977B8" w:rsidRDefault="004A4697" w:rsidP="003762A8">
            <w:pPr>
              <w:spacing w:after="0"/>
              <w:ind w:firstLine="0"/>
              <w:rPr>
                <w:rFonts w:eastAsia="Times New Roman" w:cs="Times New Roman"/>
                <w:color w:val="000000"/>
                <w:szCs w:val="24"/>
                <w:lang w:eastAsia="en-GB"/>
              </w:rPr>
            </w:pPr>
            <w:r w:rsidRPr="003762A8">
              <w:rPr>
                <w:rFonts w:eastAsia="Times New Roman" w:cs="Times New Roman"/>
                <w:color w:val="000000"/>
                <w:szCs w:val="24"/>
                <w:lang w:eastAsia="en-GB"/>
              </w:rPr>
              <w:t>Corporation Tax</w:t>
            </w:r>
          </w:p>
        </w:tc>
        <w:tc>
          <w:tcPr>
            <w:tcW w:w="1887" w:type="dxa"/>
            <w:shd w:val="clear" w:color="auto" w:fill="auto"/>
            <w:noWrap/>
            <w:vAlign w:val="bottom"/>
            <w:hideMark/>
          </w:tcPr>
          <w:p w14:paraId="098B5AFF" w14:textId="71E2DACA" w:rsidR="001977B8" w:rsidRPr="001977B8" w:rsidRDefault="004A4697" w:rsidP="003762A8">
            <w:pPr>
              <w:spacing w:after="0"/>
              <w:ind w:firstLine="0"/>
              <w:jc w:val="right"/>
              <w:rPr>
                <w:rFonts w:eastAsia="Times New Roman" w:cs="Times New Roman"/>
                <w:color w:val="000000"/>
                <w:szCs w:val="24"/>
                <w:lang w:eastAsia="en-GB"/>
              </w:rPr>
            </w:pPr>
            <w:r w:rsidRPr="003762A8">
              <w:rPr>
                <w:rFonts w:eastAsia="Times New Roman" w:cs="Times New Roman"/>
                <w:color w:val="000000"/>
                <w:szCs w:val="24"/>
                <w:lang w:eastAsia="en-GB"/>
              </w:rPr>
              <w:t>100,000</w:t>
            </w:r>
          </w:p>
        </w:tc>
        <w:tc>
          <w:tcPr>
            <w:tcW w:w="1894" w:type="dxa"/>
            <w:shd w:val="clear" w:color="auto" w:fill="auto"/>
            <w:noWrap/>
            <w:vAlign w:val="bottom"/>
            <w:hideMark/>
          </w:tcPr>
          <w:p w14:paraId="422EA99A" w14:textId="77777777" w:rsidR="001977B8" w:rsidRPr="001977B8" w:rsidRDefault="001977B8" w:rsidP="003762A8">
            <w:pPr>
              <w:spacing w:after="0"/>
              <w:ind w:firstLine="0"/>
              <w:jc w:val="right"/>
              <w:rPr>
                <w:rFonts w:eastAsia="Times New Roman" w:cs="Times New Roman"/>
                <w:color w:val="000000"/>
                <w:szCs w:val="24"/>
                <w:lang w:eastAsia="en-GB"/>
              </w:rPr>
            </w:pPr>
          </w:p>
        </w:tc>
      </w:tr>
      <w:tr w:rsidR="001977B8" w:rsidRPr="001977B8" w14:paraId="3DC4D303" w14:textId="77777777" w:rsidTr="001977B8">
        <w:trPr>
          <w:trHeight w:val="322"/>
        </w:trPr>
        <w:tc>
          <w:tcPr>
            <w:tcW w:w="5579" w:type="dxa"/>
            <w:shd w:val="clear" w:color="auto" w:fill="auto"/>
            <w:noWrap/>
            <w:vAlign w:val="bottom"/>
            <w:hideMark/>
          </w:tcPr>
          <w:p w14:paraId="49D3FCF6" w14:textId="77777777" w:rsidR="001977B8" w:rsidRPr="001977B8" w:rsidRDefault="001977B8" w:rsidP="003762A8">
            <w:pPr>
              <w:spacing w:after="0"/>
              <w:ind w:firstLine="0"/>
              <w:rPr>
                <w:rFonts w:eastAsia="Times New Roman" w:cs="Times New Roman"/>
                <w:b/>
                <w:bCs/>
                <w:color w:val="000000"/>
                <w:szCs w:val="24"/>
                <w:lang w:eastAsia="en-GB"/>
              </w:rPr>
            </w:pPr>
            <w:r w:rsidRPr="001977B8">
              <w:rPr>
                <w:rFonts w:eastAsia="Times New Roman" w:cs="Times New Roman"/>
                <w:b/>
                <w:bCs/>
                <w:color w:val="000000"/>
                <w:szCs w:val="24"/>
                <w:lang w:eastAsia="en-GB"/>
              </w:rPr>
              <w:t xml:space="preserve">Net Profit </w:t>
            </w:r>
          </w:p>
        </w:tc>
        <w:tc>
          <w:tcPr>
            <w:tcW w:w="1887" w:type="dxa"/>
            <w:shd w:val="clear" w:color="auto" w:fill="auto"/>
            <w:noWrap/>
            <w:vAlign w:val="bottom"/>
            <w:hideMark/>
          </w:tcPr>
          <w:p w14:paraId="649C54AA" w14:textId="77777777" w:rsidR="001977B8" w:rsidRPr="001977B8" w:rsidRDefault="001977B8" w:rsidP="003762A8">
            <w:pPr>
              <w:spacing w:after="0"/>
              <w:ind w:firstLine="0"/>
              <w:rPr>
                <w:rFonts w:eastAsia="Times New Roman" w:cs="Times New Roman"/>
                <w:b/>
                <w:bCs/>
                <w:color w:val="000000"/>
                <w:szCs w:val="24"/>
                <w:lang w:eastAsia="en-GB"/>
              </w:rPr>
            </w:pPr>
          </w:p>
        </w:tc>
        <w:tc>
          <w:tcPr>
            <w:tcW w:w="1894" w:type="dxa"/>
            <w:shd w:val="clear" w:color="auto" w:fill="auto"/>
            <w:noWrap/>
            <w:vAlign w:val="bottom"/>
            <w:hideMark/>
          </w:tcPr>
          <w:p w14:paraId="5C68DBCB" w14:textId="03EDBB39" w:rsidR="001977B8" w:rsidRPr="001977B8" w:rsidRDefault="004A4697" w:rsidP="003762A8">
            <w:pPr>
              <w:spacing w:after="0"/>
              <w:ind w:firstLine="0"/>
              <w:jc w:val="right"/>
              <w:rPr>
                <w:rFonts w:eastAsia="Times New Roman" w:cs="Times New Roman"/>
                <w:b/>
                <w:bCs/>
                <w:color w:val="000000"/>
                <w:szCs w:val="24"/>
                <w:lang w:eastAsia="en-GB"/>
              </w:rPr>
            </w:pPr>
            <w:r w:rsidRPr="003762A8">
              <w:rPr>
                <w:rFonts w:eastAsia="Times New Roman" w:cs="Times New Roman"/>
                <w:b/>
                <w:bCs/>
                <w:color w:val="000000"/>
                <w:szCs w:val="24"/>
                <w:lang w:eastAsia="en-GB"/>
              </w:rPr>
              <w:t>56</w:t>
            </w:r>
            <w:r w:rsidR="001977B8" w:rsidRPr="001977B8">
              <w:rPr>
                <w:rFonts w:eastAsia="Times New Roman" w:cs="Times New Roman"/>
                <w:b/>
                <w:bCs/>
                <w:color w:val="000000"/>
                <w:szCs w:val="24"/>
                <w:lang w:eastAsia="en-GB"/>
              </w:rPr>
              <w:t>,</w:t>
            </w:r>
            <w:r w:rsidRPr="003762A8">
              <w:rPr>
                <w:rFonts w:eastAsia="Times New Roman" w:cs="Times New Roman"/>
                <w:b/>
                <w:bCs/>
                <w:color w:val="000000"/>
                <w:szCs w:val="24"/>
                <w:lang w:eastAsia="en-GB"/>
              </w:rPr>
              <w:t>35</w:t>
            </w:r>
            <w:r w:rsidR="001977B8" w:rsidRPr="001977B8">
              <w:rPr>
                <w:rFonts w:eastAsia="Times New Roman" w:cs="Times New Roman"/>
                <w:b/>
                <w:bCs/>
                <w:color w:val="000000"/>
                <w:szCs w:val="24"/>
                <w:lang w:eastAsia="en-GB"/>
              </w:rPr>
              <w:t>0</w:t>
            </w:r>
          </w:p>
        </w:tc>
      </w:tr>
    </w:tbl>
    <w:p w14:paraId="748F3CAE" w14:textId="6523107D" w:rsidR="001977B8" w:rsidRDefault="001977B8" w:rsidP="001977B8">
      <w:pPr>
        <w:rPr>
          <w:rFonts w:cs="Times New Roman"/>
          <w:szCs w:val="24"/>
        </w:rPr>
      </w:pPr>
    </w:p>
    <w:p w14:paraId="0D3C701E" w14:textId="62A5E72B" w:rsidR="003762A8" w:rsidRDefault="003762A8" w:rsidP="001977B8">
      <w:pPr>
        <w:rPr>
          <w:rFonts w:cs="Times New Roman"/>
          <w:szCs w:val="24"/>
        </w:rPr>
      </w:pPr>
    </w:p>
    <w:p w14:paraId="11A24646" w14:textId="196EA341" w:rsidR="003762A8" w:rsidRDefault="003762A8" w:rsidP="001977B8">
      <w:pPr>
        <w:rPr>
          <w:rFonts w:cs="Times New Roman"/>
          <w:szCs w:val="24"/>
        </w:rPr>
      </w:pPr>
    </w:p>
    <w:p w14:paraId="4479B474" w14:textId="77777777" w:rsidR="003762A8" w:rsidRPr="003762A8" w:rsidRDefault="003762A8" w:rsidP="001977B8">
      <w:pPr>
        <w:rPr>
          <w:rFonts w:cs="Times New Roman"/>
          <w:szCs w:val="24"/>
        </w:rPr>
      </w:pPr>
    </w:p>
    <w:p w14:paraId="4989B993" w14:textId="4496562D" w:rsidR="00855384" w:rsidRPr="003762A8" w:rsidRDefault="00855384" w:rsidP="00617484">
      <w:pPr>
        <w:pStyle w:val="Heading3"/>
        <w:numPr>
          <w:ilvl w:val="0"/>
          <w:numId w:val="5"/>
        </w:numPr>
      </w:pPr>
      <w:r w:rsidRPr="003762A8">
        <w:lastRenderedPageBreak/>
        <w:t xml:space="preserve">Statement of Financial Position </w:t>
      </w:r>
    </w:p>
    <w:tbl>
      <w:tblPr>
        <w:tblW w:w="93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72"/>
        <w:gridCol w:w="1176"/>
        <w:gridCol w:w="1176"/>
        <w:gridCol w:w="3195"/>
        <w:gridCol w:w="996"/>
        <w:gridCol w:w="1176"/>
      </w:tblGrid>
      <w:tr w:rsidR="003762A8" w:rsidRPr="003762A8" w14:paraId="265B36A1" w14:textId="77777777" w:rsidTr="003762A8">
        <w:trPr>
          <w:trHeight w:val="300"/>
        </w:trPr>
        <w:tc>
          <w:tcPr>
            <w:tcW w:w="9380" w:type="dxa"/>
            <w:gridSpan w:val="6"/>
            <w:shd w:val="clear" w:color="auto" w:fill="auto"/>
            <w:noWrap/>
            <w:vAlign w:val="bottom"/>
            <w:hideMark/>
          </w:tcPr>
          <w:p w14:paraId="45B75C42" w14:textId="77777777" w:rsidR="003762A8" w:rsidRPr="003762A8" w:rsidRDefault="003762A8" w:rsidP="003762A8">
            <w:pPr>
              <w:spacing w:after="0" w:line="240" w:lineRule="auto"/>
              <w:ind w:firstLine="0"/>
              <w:jc w:val="center"/>
              <w:rPr>
                <w:rFonts w:eastAsia="Times New Roman" w:cs="Times New Roman"/>
                <w:color w:val="000000"/>
                <w:szCs w:val="24"/>
                <w:lang w:eastAsia="en-GB"/>
              </w:rPr>
            </w:pPr>
            <w:r w:rsidRPr="003762A8">
              <w:rPr>
                <w:rFonts w:eastAsia="Times New Roman" w:cs="Times New Roman"/>
                <w:color w:val="000000"/>
                <w:szCs w:val="24"/>
                <w:lang w:eastAsia="en-GB"/>
              </w:rPr>
              <w:t>Wales Plc</w:t>
            </w:r>
          </w:p>
        </w:tc>
      </w:tr>
      <w:tr w:rsidR="003762A8" w:rsidRPr="003762A8" w14:paraId="323F6A47" w14:textId="77777777" w:rsidTr="003762A8">
        <w:trPr>
          <w:trHeight w:val="300"/>
        </w:trPr>
        <w:tc>
          <w:tcPr>
            <w:tcW w:w="9380" w:type="dxa"/>
            <w:gridSpan w:val="6"/>
            <w:shd w:val="clear" w:color="auto" w:fill="auto"/>
            <w:noWrap/>
            <w:vAlign w:val="bottom"/>
            <w:hideMark/>
          </w:tcPr>
          <w:p w14:paraId="144B927C" w14:textId="77777777" w:rsidR="003762A8" w:rsidRPr="003762A8" w:rsidRDefault="003762A8" w:rsidP="003762A8">
            <w:pPr>
              <w:spacing w:after="0" w:line="240" w:lineRule="auto"/>
              <w:ind w:firstLine="0"/>
              <w:jc w:val="center"/>
              <w:rPr>
                <w:rFonts w:eastAsia="Times New Roman" w:cs="Times New Roman"/>
                <w:color w:val="000000"/>
                <w:szCs w:val="24"/>
                <w:lang w:eastAsia="en-GB"/>
              </w:rPr>
            </w:pPr>
            <w:r w:rsidRPr="003762A8">
              <w:rPr>
                <w:rFonts w:eastAsia="Times New Roman" w:cs="Times New Roman"/>
                <w:color w:val="000000"/>
                <w:szCs w:val="24"/>
                <w:lang w:eastAsia="en-GB"/>
              </w:rPr>
              <w:t>Statement of Financial Position 31st December 2022</w:t>
            </w:r>
          </w:p>
        </w:tc>
      </w:tr>
      <w:tr w:rsidR="003762A8" w:rsidRPr="003762A8" w14:paraId="2BD3D87F" w14:textId="77777777" w:rsidTr="003762A8">
        <w:trPr>
          <w:trHeight w:val="300"/>
        </w:trPr>
        <w:tc>
          <w:tcPr>
            <w:tcW w:w="4274" w:type="dxa"/>
            <w:gridSpan w:val="3"/>
            <w:shd w:val="clear" w:color="auto" w:fill="auto"/>
            <w:noWrap/>
            <w:vAlign w:val="bottom"/>
            <w:hideMark/>
          </w:tcPr>
          <w:p w14:paraId="45DCE75B" w14:textId="77777777" w:rsidR="003762A8" w:rsidRPr="003762A8" w:rsidRDefault="003762A8" w:rsidP="003762A8">
            <w:pPr>
              <w:spacing w:after="0" w:line="240" w:lineRule="auto"/>
              <w:ind w:firstLine="0"/>
              <w:jc w:val="center"/>
              <w:rPr>
                <w:rFonts w:eastAsia="Times New Roman" w:cs="Times New Roman"/>
                <w:b/>
                <w:bCs/>
                <w:color w:val="000000"/>
                <w:szCs w:val="24"/>
                <w:lang w:eastAsia="en-GB"/>
              </w:rPr>
            </w:pPr>
            <w:r w:rsidRPr="003762A8">
              <w:rPr>
                <w:rFonts w:eastAsia="Times New Roman" w:cs="Times New Roman"/>
                <w:b/>
                <w:bCs/>
                <w:color w:val="000000"/>
                <w:szCs w:val="24"/>
                <w:lang w:eastAsia="en-GB"/>
              </w:rPr>
              <w:t>ASSET</w:t>
            </w:r>
          </w:p>
        </w:tc>
        <w:tc>
          <w:tcPr>
            <w:tcW w:w="5106" w:type="dxa"/>
            <w:gridSpan w:val="3"/>
            <w:shd w:val="clear" w:color="auto" w:fill="auto"/>
            <w:noWrap/>
            <w:vAlign w:val="bottom"/>
            <w:hideMark/>
          </w:tcPr>
          <w:p w14:paraId="46A4656D" w14:textId="77777777" w:rsidR="003762A8" w:rsidRPr="003762A8" w:rsidRDefault="003762A8" w:rsidP="003762A8">
            <w:pPr>
              <w:spacing w:after="0" w:line="240" w:lineRule="auto"/>
              <w:ind w:firstLine="0"/>
              <w:jc w:val="center"/>
              <w:rPr>
                <w:rFonts w:eastAsia="Times New Roman" w:cs="Times New Roman"/>
                <w:b/>
                <w:bCs/>
                <w:color w:val="000000"/>
                <w:szCs w:val="24"/>
                <w:lang w:eastAsia="en-GB"/>
              </w:rPr>
            </w:pPr>
            <w:r w:rsidRPr="003762A8">
              <w:rPr>
                <w:rFonts w:eastAsia="Times New Roman" w:cs="Times New Roman"/>
                <w:b/>
                <w:bCs/>
                <w:color w:val="000000"/>
                <w:szCs w:val="24"/>
                <w:lang w:eastAsia="en-GB"/>
              </w:rPr>
              <w:t>LIABILITIES</w:t>
            </w:r>
          </w:p>
        </w:tc>
      </w:tr>
      <w:tr w:rsidR="003762A8" w:rsidRPr="003762A8" w14:paraId="6EB7641C" w14:textId="77777777" w:rsidTr="003762A8">
        <w:trPr>
          <w:trHeight w:val="300"/>
        </w:trPr>
        <w:tc>
          <w:tcPr>
            <w:tcW w:w="2172" w:type="dxa"/>
            <w:shd w:val="clear" w:color="auto" w:fill="auto"/>
            <w:noWrap/>
            <w:vAlign w:val="bottom"/>
            <w:hideMark/>
          </w:tcPr>
          <w:p w14:paraId="79254811" w14:textId="77777777" w:rsidR="003762A8" w:rsidRPr="003762A8" w:rsidRDefault="003762A8" w:rsidP="003762A8">
            <w:pPr>
              <w:spacing w:after="0" w:line="240" w:lineRule="auto"/>
              <w:ind w:firstLine="0"/>
              <w:rPr>
                <w:rFonts w:eastAsia="Times New Roman" w:cs="Times New Roman"/>
                <w:b/>
                <w:bCs/>
                <w:color w:val="000000"/>
                <w:szCs w:val="24"/>
                <w:lang w:eastAsia="en-GB"/>
              </w:rPr>
            </w:pPr>
            <w:r w:rsidRPr="003762A8">
              <w:rPr>
                <w:rFonts w:eastAsia="Times New Roman" w:cs="Times New Roman"/>
                <w:b/>
                <w:bCs/>
                <w:color w:val="000000"/>
                <w:szCs w:val="24"/>
                <w:lang w:eastAsia="en-GB"/>
              </w:rPr>
              <w:t>Current Assets</w:t>
            </w:r>
          </w:p>
        </w:tc>
        <w:tc>
          <w:tcPr>
            <w:tcW w:w="1051" w:type="dxa"/>
            <w:shd w:val="clear" w:color="auto" w:fill="auto"/>
            <w:noWrap/>
            <w:vAlign w:val="bottom"/>
            <w:hideMark/>
          </w:tcPr>
          <w:p w14:paraId="264A9C67" w14:textId="77777777" w:rsidR="003762A8" w:rsidRPr="003762A8" w:rsidRDefault="003762A8" w:rsidP="003762A8">
            <w:pPr>
              <w:spacing w:after="0" w:line="240" w:lineRule="auto"/>
              <w:ind w:firstLine="0"/>
              <w:rPr>
                <w:rFonts w:eastAsia="Times New Roman" w:cs="Times New Roman"/>
                <w:b/>
                <w:bCs/>
                <w:color w:val="000000"/>
                <w:szCs w:val="24"/>
                <w:lang w:eastAsia="en-GB"/>
              </w:rPr>
            </w:pPr>
          </w:p>
        </w:tc>
        <w:tc>
          <w:tcPr>
            <w:tcW w:w="1051" w:type="dxa"/>
            <w:shd w:val="clear" w:color="auto" w:fill="auto"/>
            <w:noWrap/>
            <w:vAlign w:val="bottom"/>
            <w:hideMark/>
          </w:tcPr>
          <w:p w14:paraId="175EE85F" w14:textId="77777777" w:rsidR="003762A8" w:rsidRPr="003762A8" w:rsidRDefault="003762A8" w:rsidP="003762A8">
            <w:pPr>
              <w:spacing w:after="0" w:line="240" w:lineRule="auto"/>
              <w:ind w:firstLine="0"/>
              <w:rPr>
                <w:rFonts w:eastAsia="Times New Roman" w:cs="Times New Roman"/>
                <w:szCs w:val="24"/>
                <w:lang w:eastAsia="en-GB"/>
              </w:rPr>
            </w:pPr>
          </w:p>
        </w:tc>
        <w:tc>
          <w:tcPr>
            <w:tcW w:w="3195" w:type="dxa"/>
            <w:shd w:val="clear" w:color="auto" w:fill="auto"/>
            <w:noWrap/>
            <w:vAlign w:val="bottom"/>
            <w:hideMark/>
          </w:tcPr>
          <w:p w14:paraId="2F054CE5" w14:textId="77777777" w:rsidR="003762A8" w:rsidRPr="003762A8" w:rsidRDefault="003762A8" w:rsidP="003762A8">
            <w:pPr>
              <w:spacing w:after="0" w:line="240" w:lineRule="auto"/>
              <w:ind w:firstLine="0"/>
              <w:rPr>
                <w:rFonts w:eastAsia="Times New Roman" w:cs="Times New Roman"/>
                <w:b/>
                <w:bCs/>
                <w:color w:val="000000"/>
                <w:szCs w:val="24"/>
                <w:lang w:eastAsia="en-GB"/>
              </w:rPr>
            </w:pPr>
            <w:r w:rsidRPr="003762A8">
              <w:rPr>
                <w:rFonts w:eastAsia="Times New Roman" w:cs="Times New Roman"/>
                <w:b/>
                <w:bCs/>
                <w:color w:val="000000"/>
                <w:szCs w:val="24"/>
                <w:lang w:eastAsia="en-GB"/>
              </w:rPr>
              <w:t xml:space="preserve">Current Liabilities </w:t>
            </w:r>
          </w:p>
        </w:tc>
        <w:tc>
          <w:tcPr>
            <w:tcW w:w="860" w:type="dxa"/>
            <w:shd w:val="clear" w:color="auto" w:fill="auto"/>
            <w:noWrap/>
            <w:vAlign w:val="bottom"/>
            <w:hideMark/>
          </w:tcPr>
          <w:p w14:paraId="7963B27F" w14:textId="77777777" w:rsidR="003762A8" w:rsidRPr="003762A8" w:rsidRDefault="003762A8" w:rsidP="003762A8">
            <w:pPr>
              <w:spacing w:after="0" w:line="240" w:lineRule="auto"/>
              <w:ind w:firstLine="0"/>
              <w:rPr>
                <w:rFonts w:eastAsia="Times New Roman" w:cs="Times New Roman"/>
                <w:b/>
                <w:bCs/>
                <w:color w:val="000000"/>
                <w:szCs w:val="24"/>
                <w:lang w:eastAsia="en-GB"/>
              </w:rPr>
            </w:pPr>
          </w:p>
        </w:tc>
        <w:tc>
          <w:tcPr>
            <w:tcW w:w="1051" w:type="dxa"/>
            <w:shd w:val="clear" w:color="auto" w:fill="auto"/>
            <w:noWrap/>
            <w:vAlign w:val="bottom"/>
            <w:hideMark/>
          </w:tcPr>
          <w:p w14:paraId="00C3B304" w14:textId="77777777" w:rsidR="003762A8" w:rsidRPr="003762A8" w:rsidRDefault="003762A8" w:rsidP="003762A8">
            <w:pPr>
              <w:spacing w:after="0" w:line="240" w:lineRule="auto"/>
              <w:ind w:firstLine="0"/>
              <w:rPr>
                <w:rFonts w:eastAsia="Times New Roman" w:cs="Times New Roman"/>
                <w:szCs w:val="24"/>
                <w:lang w:eastAsia="en-GB"/>
              </w:rPr>
            </w:pPr>
          </w:p>
        </w:tc>
      </w:tr>
      <w:tr w:rsidR="003762A8" w:rsidRPr="003762A8" w14:paraId="003D0910" w14:textId="77777777" w:rsidTr="003762A8">
        <w:trPr>
          <w:trHeight w:val="300"/>
        </w:trPr>
        <w:tc>
          <w:tcPr>
            <w:tcW w:w="2172" w:type="dxa"/>
            <w:shd w:val="clear" w:color="auto" w:fill="auto"/>
            <w:noWrap/>
            <w:vAlign w:val="bottom"/>
            <w:hideMark/>
          </w:tcPr>
          <w:p w14:paraId="0C888734" w14:textId="77777777" w:rsidR="003762A8" w:rsidRPr="003762A8" w:rsidRDefault="003762A8" w:rsidP="003762A8">
            <w:pPr>
              <w:spacing w:after="0" w:line="240" w:lineRule="auto"/>
              <w:ind w:firstLine="0"/>
              <w:rPr>
                <w:rFonts w:eastAsia="Times New Roman" w:cs="Times New Roman"/>
                <w:b/>
                <w:bCs/>
                <w:color w:val="000000"/>
                <w:szCs w:val="24"/>
                <w:lang w:eastAsia="en-GB"/>
              </w:rPr>
            </w:pPr>
            <w:r w:rsidRPr="003762A8">
              <w:rPr>
                <w:rFonts w:eastAsia="Times New Roman" w:cs="Times New Roman"/>
                <w:b/>
                <w:bCs/>
                <w:color w:val="000000"/>
                <w:szCs w:val="24"/>
                <w:lang w:eastAsia="en-GB"/>
              </w:rPr>
              <w:t>Item</w:t>
            </w:r>
          </w:p>
        </w:tc>
        <w:tc>
          <w:tcPr>
            <w:tcW w:w="1051" w:type="dxa"/>
            <w:shd w:val="clear" w:color="auto" w:fill="auto"/>
            <w:noWrap/>
            <w:vAlign w:val="bottom"/>
            <w:hideMark/>
          </w:tcPr>
          <w:p w14:paraId="6CB78CA9" w14:textId="77777777" w:rsidR="003762A8" w:rsidRPr="003762A8" w:rsidRDefault="003762A8" w:rsidP="003762A8">
            <w:pPr>
              <w:spacing w:after="0" w:line="240" w:lineRule="auto"/>
              <w:ind w:firstLine="0"/>
              <w:rPr>
                <w:rFonts w:eastAsia="Times New Roman" w:cs="Times New Roman"/>
                <w:b/>
                <w:bCs/>
                <w:color w:val="000000"/>
                <w:szCs w:val="24"/>
                <w:lang w:eastAsia="en-GB"/>
              </w:rPr>
            </w:pPr>
            <w:r w:rsidRPr="003762A8">
              <w:rPr>
                <w:rFonts w:eastAsia="Times New Roman" w:cs="Times New Roman"/>
                <w:b/>
                <w:bCs/>
                <w:color w:val="000000"/>
                <w:szCs w:val="24"/>
                <w:lang w:eastAsia="en-GB"/>
              </w:rPr>
              <w:t>£</w:t>
            </w:r>
          </w:p>
        </w:tc>
        <w:tc>
          <w:tcPr>
            <w:tcW w:w="1051" w:type="dxa"/>
            <w:shd w:val="clear" w:color="auto" w:fill="auto"/>
            <w:noWrap/>
            <w:vAlign w:val="bottom"/>
            <w:hideMark/>
          </w:tcPr>
          <w:p w14:paraId="589C2721" w14:textId="77777777" w:rsidR="003762A8" w:rsidRPr="003762A8" w:rsidRDefault="003762A8" w:rsidP="003762A8">
            <w:pPr>
              <w:spacing w:after="0" w:line="240" w:lineRule="auto"/>
              <w:ind w:firstLine="0"/>
              <w:rPr>
                <w:rFonts w:eastAsia="Times New Roman" w:cs="Times New Roman"/>
                <w:b/>
                <w:bCs/>
                <w:color w:val="000000"/>
                <w:szCs w:val="24"/>
                <w:lang w:eastAsia="en-GB"/>
              </w:rPr>
            </w:pPr>
            <w:r w:rsidRPr="003762A8">
              <w:rPr>
                <w:rFonts w:eastAsia="Times New Roman" w:cs="Times New Roman"/>
                <w:b/>
                <w:bCs/>
                <w:color w:val="000000"/>
                <w:szCs w:val="24"/>
                <w:lang w:eastAsia="en-GB"/>
              </w:rPr>
              <w:t>£</w:t>
            </w:r>
          </w:p>
        </w:tc>
        <w:tc>
          <w:tcPr>
            <w:tcW w:w="3195" w:type="dxa"/>
            <w:shd w:val="clear" w:color="auto" w:fill="auto"/>
            <w:noWrap/>
            <w:vAlign w:val="bottom"/>
            <w:hideMark/>
          </w:tcPr>
          <w:p w14:paraId="79960104" w14:textId="77777777" w:rsidR="003762A8" w:rsidRPr="003762A8" w:rsidRDefault="003762A8" w:rsidP="003762A8">
            <w:pPr>
              <w:spacing w:after="0" w:line="240" w:lineRule="auto"/>
              <w:ind w:firstLine="0"/>
              <w:rPr>
                <w:rFonts w:eastAsia="Times New Roman" w:cs="Times New Roman"/>
                <w:b/>
                <w:bCs/>
                <w:color w:val="000000"/>
                <w:szCs w:val="24"/>
                <w:lang w:eastAsia="en-GB"/>
              </w:rPr>
            </w:pPr>
          </w:p>
        </w:tc>
        <w:tc>
          <w:tcPr>
            <w:tcW w:w="860" w:type="dxa"/>
            <w:shd w:val="clear" w:color="auto" w:fill="auto"/>
            <w:noWrap/>
            <w:vAlign w:val="bottom"/>
            <w:hideMark/>
          </w:tcPr>
          <w:p w14:paraId="0AB1E31A" w14:textId="77777777" w:rsidR="003762A8" w:rsidRPr="003762A8" w:rsidRDefault="003762A8" w:rsidP="003762A8">
            <w:pPr>
              <w:spacing w:after="0" w:line="240" w:lineRule="auto"/>
              <w:ind w:firstLine="0"/>
              <w:rPr>
                <w:rFonts w:eastAsia="Times New Roman" w:cs="Times New Roman"/>
                <w:b/>
                <w:bCs/>
                <w:color w:val="000000"/>
                <w:szCs w:val="24"/>
                <w:lang w:eastAsia="en-GB"/>
              </w:rPr>
            </w:pPr>
            <w:r w:rsidRPr="003762A8">
              <w:rPr>
                <w:rFonts w:eastAsia="Times New Roman" w:cs="Times New Roman"/>
                <w:b/>
                <w:bCs/>
                <w:color w:val="000000"/>
                <w:szCs w:val="24"/>
                <w:lang w:eastAsia="en-GB"/>
              </w:rPr>
              <w:t>£</w:t>
            </w:r>
          </w:p>
        </w:tc>
        <w:tc>
          <w:tcPr>
            <w:tcW w:w="1051" w:type="dxa"/>
            <w:shd w:val="clear" w:color="auto" w:fill="auto"/>
            <w:noWrap/>
            <w:vAlign w:val="bottom"/>
            <w:hideMark/>
          </w:tcPr>
          <w:p w14:paraId="65621E9B" w14:textId="77777777" w:rsidR="003762A8" w:rsidRPr="003762A8" w:rsidRDefault="003762A8" w:rsidP="003762A8">
            <w:pPr>
              <w:spacing w:after="0" w:line="240" w:lineRule="auto"/>
              <w:ind w:firstLine="0"/>
              <w:rPr>
                <w:rFonts w:eastAsia="Times New Roman" w:cs="Times New Roman"/>
                <w:b/>
                <w:bCs/>
                <w:color w:val="000000"/>
                <w:szCs w:val="24"/>
                <w:lang w:eastAsia="en-GB"/>
              </w:rPr>
            </w:pPr>
            <w:r w:rsidRPr="003762A8">
              <w:rPr>
                <w:rFonts w:eastAsia="Times New Roman" w:cs="Times New Roman"/>
                <w:b/>
                <w:bCs/>
                <w:color w:val="000000"/>
                <w:szCs w:val="24"/>
                <w:lang w:eastAsia="en-GB"/>
              </w:rPr>
              <w:t>£</w:t>
            </w:r>
          </w:p>
        </w:tc>
      </w:tr>
      <w:tr w:rsidR="003762A8" w:rsidRPr="003762A8" w14:paraId="2CB0EB06" w14:textId="77777777" w:rsidTr="003762A8">
        <w:trPr>
          <w:trHeight w:val="300"/>
        </w:trPr>
        <w:tc>
          <w:tcPr>
            <w:tcW w:w="2172" w:type="dxa"/>
            <w:shd w:val="clear" w:color="auto" w:fill="auto"/>
            <w:noWrap/>
            <w:vAlign w:val="bottom"/>
            <w:hideMark/>
          </w:tcPr>
          <w:p w14:paraId="40915BBE" w14:textId="77777777" w:rsidR="003762A8" w:rsidRPr="003762A8" w:rsidRDefault="003762A8" w:rsidP="003762A8">
            <w:pPr>
              <w:spacing w:after="0" w:line="240" w:lineRule="auto"/>
              <w:ind w:firstLine="0"/>
              <w:rPr>
                <w:rFonts w:eastAsia="Times New Roman" w:cs="Times New Roman"/>
                <w:color w:val="000000"/>
                <w:szCs w:val="24"/>
                <w:lang w:eastAsia="en-GB"/>
              </w:rPr>
            </w:pPr>
            <w:r w:rsidRPr="003762A8">
              <w:rPr>
                <w:rFonts w:eastAsia="Times New Roman" w:cs="Times New Roman"/>
                <w:color w:val="000000"/>
                <w:szCs w:val="24"/>
                <w:lang w:eastAsia="en-GB"/>
              </w:rPr>
              <w:t>Cash and Bank</w:t>
            </w:r>
          </w:p>
        </w:tc>
        <w:tc>
          <w:tcPr>
            <w:tcW w:w="1051" w:type="dxa"/>
            <w:shd w:val="clear" w:color="auto" w:fill="auto"/>
            <w:noWrap/>
            <w:vAlign w:val="bottom"/>
            <w:hideMark/>
          </w:tcPr>
          <w:p w14:paraId="237952F5"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r w:rsidRPr="003762A8">
              <w:rPr>
                <w:rFonts w:eastAsia="Times New Roman" w:cs="Times New Roman"/>
                <w:color w:val="000000"/>
                <w:szCs w:val="24"/>
                <w:lang w:eastAsia="en-GB"/>
              </w:rPr>
              <w:t>96,000</w:t>
            </w:r>
          </w:p>
        </w:tc>
        <w:tc>
          <w:tcPr>
            <w:tcW w:w="1051" w:type="dxa"/>
            <w:shd w:val="clear" w:color="auto" w:fill="auto"/>
            <w:noWrap/>
            <w:vAlign w:val="bottom"/>
            <w:hideMark/>
          </w:tcPr>
          <w:p w14:paraId="00703515"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p>
        </w:tc>
        <w:tc>
          <w:tcPr>
            <w:tcW w:w="3195" w:type="dxa"/>
            <w:shd w:val="clear" w:color="auto" w:fill="auto"/>
            <w:noWrap/>
            <w:vAlign w:val="bottom"/>
            <w:hideMark/>
          </w:tcPr>
          <w:p w14:paraId="6BB12352" w14:textId="77777777" w:rsidR="003762A8" w:rsidRPr="003762A8" w:rsidRDefault="003762A8" w:rsidP="003762A8">
            <w:pPr>
              <w:spacing w:after="0" w:line="240" w:lineRule="auto"/>
              <w:ind w:firstLine="0"/>
              <w:rPr>
                <w:rFonts w:eastAsia="Times New Roman" w:cs="Times New Roman"/>
                <w:color w:val="000000"/>
                <w:szCs w:val="24"/>
                <w:lang w:eastAsia="en-GB"/>
              </w:rPr>
            </w:pPr>
            <w:r w:rsidRPr="003762A8">
              <w:rPr>
                <w:rFonts w:eastAsia="Times New Roman" w:cs="Times New Roman"/>
                <w:color w:val="000000"/>
                <w:szCs w:val="24"/>
                <w:lang w:eastAsia="en-GB"/>
              </w:rPr>
              <w:t xml:space="preserve">Trade Payable </w:t>
            </w:r>
          </w:p>
        </w:tc>
        <w:tc>
          <w:tcPr>
            <w:tcW w:w="860" w:type="dxa"/>
            <w:shd w:val="clear" w:color="auto" w:fill="auto"/>
            <w:noWrap/>
            <w:vAlign w:val="bottom"/>
            <w:hideMark/>
          </w:tcPr>
          <w:p w14:paraId="05A4DF94"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r w:rsidRPr="003762A8">
              <w:rPr>
                <w:rFonts w:eastAsia="Times New Roman" w:cs="Times New Roman"/>
                <w:color w:val="000000"/>
                <w:szCs w:val="24"/>
                <w:lang w:eastAsia="en-GB"/>
              </w:rPr>
              <w:t>188,625</w:t>
            </w:r>
          </w:p>
        </w:tc>
        <w:tc>
          <w:tcPr>
            <w:tcW w:w="1051" w:type="dxa"/>
            <w:shd w:val="clear" w:color="auto" w:fill="auto"/>
            <w:noWrap/>
            <w:vAlign w:val="bottom"/>
            <w:hideMark/>
          </w:tcPr>
          <w:p w14:paraId="2121E73E"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p>
        </w:tc>
      </w:tr>
      <w:tr w:rsidR="003762A8" w:rsidRPr="003762A8" w14:paraId="6F16D099" w14:textId="77777777" w:rsidTr="003762A8">
        <w:trPr>
          <w:trHeight w:val="300"/>
        </w:trPr>
        <w:tc>
          <w:tcPr>
            <w:tcW w:w="2172" w:type="dxa"/>
            <w:shd w:val="clear" w:color="auto" w:fill="auto"/>
            <w:noWrap/>
            <w:vAlign w:val="bottom"/>
            <w:hideMark/>
          </w:tcPr>
          <w:p w14:paraId="1A35132F" w14:textId="77777777" w:rsidR="003762A8" w:rsidRPr="003762A8" w:rsidRDefault="003762A8" w:rsidP="003762A8">
            <w:pPr>
              <w:spacing w:after="0" w:line="240" w:lineRule="auto"/>
              <w:ind w:firstLine="0"/>
              <w:rPr>
                <w:rFonts w:eastAsia="Times New Roman" w:cs="Times New Roman"/>
                <w:color w:val="000000"/>
                <w:szCs w:val="24"/>
                <w:lang w:eastAsia="en-GB"/>
              </w:rPr>
            </w:pPr>
            <w:r w:rsidRPr="003762A8">
              <w:rPr>
                <w:rFonts w:eastAsia="Times New Roman" w:cs="Times New Roman"/>
                <w:color w:val="000000"/>
                <w:szCs w:val="24"/>
                <w:lang w:eastAsia="en-GB"/>
              </w:rPr>
              <w:t>Inventory</w:t>
            </w:r>
          </w:p>
        </w:tc>
        <w:tc>
          <w:tcPr>
            <w:tcW w:w="1051" w:type="dxa"/>
            <w:shd w:val="clear" w:color="auto" w:fill="auto"/>
            <w:noWrap/>
            <w:vAlign w:val="bottom"/>
            <w:hideMark/>
          </w:tcPr>
          <w:p w14:paraId="012DA8ED"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r w:rsidRPr="003762A8">
              <w:rPr>
                <w:rFonts w:eastAsia="Times New Roman" w:cs="Times New Roman"/>
                <w:color w:val="000000"/>
                <w:szCs w:val="24"/>
                <w:lang w:eastAsia="en-GB"/>
              </w:rPr>
              <w:t>510,850</w:t>
            </w:r>
          </w:p>
        </w:tc>
        <w:tc>
          <w:tcPr>
            <w:tcW w:w="1051" w:type="dxa"/>
            <w:shd w:val="clear" w:color="auto" w:fill="auto"/>
            <w:noWrap/>
            <w:vAlign w:val="bottom"/>
            <w:hideMark/>
          </w:tcPr>
          <w:p w14:paraId="4FB63E13"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p>
        </w:tc>
        <w:tc>
          <w:tcPr>
            <w:tcW w:w="3195" w:type="dxa"/>
            <w:shd w:val="clear" w:color="auto" w:fill="auto"/>
            <w:noWrap/>
            <w:vAlign w:val="bottom"/>
            <w:hideMark/>
          </w:tcPr>
          <w:p w14:paraId="1D783EAA" w14:textId="77777777" w:rsidR="003762A8" w:rsidRPr="003762A8" w:rsidRDefault="003762A8" w:rsidP="003762A8">
            <w:pPr>
              <w:spacing w:after="0" w:line="240" w:lineRule="auto"/>
              <w:ind w:firstLine="0"/>
              <w:rPr>
                <w:rFonts w:eastAsia="Times New Roman" w:cs="Times New Roman"/>
                <w:color w:val="000000"/>
                <w:szCs w:val="24"/>
                <w:lang w:eastAsia="en-GB"/>
              </w:rPr>
            </w:pPr>
            <w:r w:rsidRPr="003762A8">
              <w:rPr>
                <w:rFonts w:eastAsia="Times New Roman" w:cs="Times New Roman"/>
                <w:color w:val="000000"/>
                <w:szCs w:val="24"/>
                <w:lang w:eastAsia="en-GB"/>
              </w:rPr>
              <w:t xml:space="preserve">Credit Sales </w:t>
            </w:r>
          </w:p>
        </w:tc>
        <w:tc>
          <w:tcPr>
            <w:tcW w:w="860" w:type="dxa"/>
            <w:shd w:val="clear" w:color="auto" w:fill="auto"/>
            <w:noWrap/>
            <w:vAlign w:val="bottom"/>
            <w:hideMark/>
          </w:tcPr>
          <w:p w14:paraId="2908C3F2" w14:textId="036C1186" w:rsidR="003762A8" w:rsidRPr="003762A8" w:rsidRDefault="00677F85" w:rsidP="003762A8">
            <w:pPr>
              <w:spacing w:after="0" w:line="240" w:lineRule="auto"/>
              <w:ind w:firstLine="0"/>
              <w:jc w:val="right"/>
              <w:rPr>
                <w:rFonts w:eastAsia="Times New Roman" w:cs="Times New Roman"/>
                <w:color w:val="000000"/>
                <w:szCs w:val="24"/>
                <w:lang w:eastAsia="en-GB"/>
              </w:rPr>
            </w:pPr>
            <w:r>
              <w:rPr>
                <w:rFonts w:eastAsia="Times New Roman" w:cs="Times New Roman"/>
                <w:color w:val="000000"/>
                <w:szCs w:val="24"/>
                <w:lang w:eastAsia="en-GB"/>
              </w:rPr>
              <w:t>55,35</w:t>
            </w:r>
            <w:r w:rsidR="003762A8" w:rsidRPr="003762A8">
              <w:rPr>
                <w:rFonts w:eastAsia="Times New Roman" w:cs="Times New Roman"/>
                <w:color w:val="000000"/>
                <w:szCs w:val="24"/>
                <w:lang w:eastAsia="en-GB"/>
              </w:rPr>
              <w:t>0</w:t>
            </w:r>
          </w:p>
        </w:tc>
        <w:tc>
          <w:tcPr>
            <w:tcW w:w="1051" w:type="dxa"/>
            <w:shd w:val="clear" w:color="auto" w:fill="auto"/>
            <w:noWrap/>
            <w:vAlign w:val="bottom"/>
            <w:hideMark/>
          </w:tcPr>
          <w:p w14:paraId="5051D9A1"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p>
        </w:tc>
      </w:tr>
      <w:tr w:rsidR="003762A8" w:rsidRPr="003762A8" w14:paraId="633AD9E5" w14:textId="77777777" w:rsidTr="003762A8">
        <w:trPr>
          <w:trHeight w:val="300"/>
        </w:trPr>
        <w:tc>
          <w:tcPr>
            <w:tcW w:w="2172" w:type="dxa"/>
            <w:shd w:val="clear" w:color="auto" w:fill="auto"/>
            <w:noWrap/>
            <w:vAlign w:val="bottom"/>
            <w:hideMark/>
          </w:tcPr>
          <w:p w14:paraId="594D78FD" w14:textId="77777777" w:rsidR="003762A8" w:rsidRPr="003762A8" w:rsidRDefault="003762A8" w:rsidP="003762A8">
            <w:pPr>
              <w:spacing w:after="0" w:line="240" w:lineRule="auto"/>
              <w:ind w:firstLine="0"/>
              <w:rPr>
                <w:rFonts w:eastAsia="Times New Roman" w:cs="Times New Roman"/>
                <w:color w:val="000000"/>
                <w:szCs w:val="24"/>
                <w:lang w:eastAsia="en-GB"/>
              </w:rPr>
            </w:pPr>
            <w:r w:rsidRPr="003762A8">
              <w:rPr>
                <w:rFonts w:eastAsia="Times New Roman" w:cs="Times New Roman"/>
                <w:color w:val="000000"/>
                <w:szCs w:val="24"/>
                <w:lang w:eastAsia="en-GB"/>
              </w:rPr>
              <w:t>Interest Paid</w:t>
            </w:r>
          </w:p>
        </w:tc>
        <w:tc>
          <w:tcPr>
            <w:tcW w:w="1051" w:type="dxa"/>
            <w:shd w:val="clear" w:color="auto" w:fill="auto"/>
            <w:noWrap/>
            <w:vAlign w:val="bottom"/>
            <w:hideMark/>
          </w:tcPr>
          <w:p w14:paraId="0C27620C"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r w:rsidRPr="003762A8">
              <w:rPr>
                <w:rFonts w:eastAsia="Times New Roman" w:cs="Times New Roman"/>
                <w:color w:val="000000"/>
                <w:szCs w:val="24"/>
                <w:lang w:eastAsia="en-GB"/>
              </w:rPr>
              <w:t>2,000</w:t>
            </w:r>
          </w:p>
        </w:tc>
        <w:tc>
          <w:tcPr>
            <w:tcW w:w="1051" w:type="dxa"/>
            <w:shd w:val="clear" w:color="auto" w:fill="auto"/>
            <w:noWrap/>
            <w:vAlign w:val="bottom"/>
            <w:hideMark/>
          </w:tcPr>
          <w:p w14:paraId="5DE91B8F"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p>
        </w:tc>
        <w:tc>
          <w:tcPr>
            <w:tcW w:w="3195" w:type="dxa"/>
            <w:shd w:val="clear" w:color="auto" w:fill="auto"/>
            <w:noWrap/>
            <w:vAlign w:val="bottom"/>
            <w:hideMark/>
          </w:tcPr>
          <w:p w14:paraId="52D31570" w14:textId="77777777" w:rsidR="003762A8" w:rsidRPr="003762A8" w:rsidRDefault="003762A8" w:rsidP="003762A8">
            <w:pPr>
              <w:spacing w:after="0" w:line="240" w:lineRule="auto"/>
              <w:ind w:firstLine="0"/>
              <w:rPr>
                <w:rFonts w:eastAsia="Times New Roman" w:cs="Times New Roman"/>
                <w:color w:val="000000"/>
                <w:szCs w:val="24"/>
                <w:lang w:eastAsia="en-GB"/>
              </w:rPr>
            </w:pPr>
            <w:r w:rsidRPr="003762A8">
              <w:rPr>
                <w:rFonts w:eastAsia="Times New Roman" w:cs="Times New Roman"/>
                <w:color w:val="000000"/>
                <w:szCs w:val="24"/>
                <w:lang w:eastAsia="en-GB"/>
              </w:rPr>
              <w:t>Commission Owed</w:t>
            </w:r>
          </w:p>
        </w:tc>
        <w:tc>
          <w:tcPr>
            <w:tcW w:w="860" w:type="dxa"/>
            <w:shd w:val="clear" w:color="auto" w:fill="auto"/>
            <w:noWrap/>
            <w:vAlign w:val="bottom"/>
            <w:hideMark/>
          </w:tcPr>
          <w:p w14:paraId="06EA5763"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r w:rsidRPr="003762A8">
              <w:rPr>
                <w:rFonts w:eastAsia="Times New Roman" w:cs="Times New Roman"/>
                <w:color w:val="000000"/>
                <w:szCs w:val="24"/>
                <w:lang w:eastAsia="en-GB"/>
              </w:rPr>
              <w:t>3,000</w:t>
            </w:r>
          </w:p>
        </w:tc>
        <w:tc>
          <w:tcPr>
            <w:tcW w:w="1051" w:type="dxa"/>
            <w:shd w:val="clear" w:color="auto" w:fill="auto"/>
            <w:noWrap/>
            <w:vAlign w:val="bottom"/>
            <w:hideMark/>
          </w:tcPr>
          <w:p w14:paraId="67272171"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p>
        </w:tc>
      </w:tr>
      <w:tr w:rsidR="003762A8" w:rsidRPr="003762A8" w14:paraId="3CB9F35C" w14:textId="77777777" w:rsidTr="003762A8">
        <w:trPr>
          <w:trHeight w:val="300"/>
        </w:trPr>
        <w:tc>
          <w:tcPr>
            <w:tcW w:w="2172" w:type="dxa"/>
            <w:shd w:val="clear" w:color="auto" w:fill="auto"/>
            <w:noWrap/>
            <w:vAlign w:val="bottom"/>
            <w:hideMark/>
          </w:tcPr>
          <w:p w14:paraId="63C60AF8" w14:textId="77777777" w:rsidR="003762A8" w:rsidRPr="003762A8" w:rsidRDefault="003762A8" w:rsidP="003762A8">
            <w:pPr>
              <w:spacing w:after="0" w:line="240" w:lineRule="auto"/>
              <w:ind w:firstLine="0"/>
              <w:rPr>
                <w:rFonts w:eastAsia="Times New Roman" w:cs="Times New Roman"/>
                <w:color w:val="000000"/>
                <w:szCs w:val="24"/>
                <w:lang w:eastAsia="en-GB"/>
              </w:rPr>
            </w:pPr>
            <w:r w:rsidRPr="003762A8">
              <w:rPr>
                <w:rFonts w:eastAsia="Times New Roman" w:cs="Times New Roman"/>
                <w:color w:val="000000"/>
                <w:szCs w:val="24"/>
                <w:lang w:eastAsia="en-GB"/>
              </w:rPr>
              <w:t>Trade Receivable</w:t>
            </w:r>
          </w:p>
        </w:tc>
        <w:tc>
          <w:tcPr>
            <w:tcW w:w="1051" w:type="dxa"/>
            <w:shd w:val="clear" w:color="auto" w:fill="auto"/>
            <w:noWrap/>
            <w:vAlign w:val="bottom"/>
            <w:hideMark/>
          </w:tcPr>
          <w:p w14:paraId="3F9FB1B2"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r w:rsidRPr="003762A8">
              <w:rPr>
                <w:rFonts w:eastAsia="Times New Roman" w:cs="Times New Roman"/>
                <w:color w:val="000000"/>
                <w:szCs w:val="24"/>
                <w:lang w:eastAsia="en-GB"/>
              </w:rPr>
              <w:t>170,125</w:t>
            </w:r>
          </w:p>
        </w:tc>
        <w:tc>
          <w:tcPr>
            <w:tcW w:w="1051" w:type="dxa"/>
            <w:shd w:val="clear" w:color="auto" w:fill="auto"/>
            <w:noWrap/>
            <w:vAlign w:val="bottom"/>
            <w:hideMark/>
          </w:tcPr>
          <w:p w14:paraId="6C70DF31"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p>
        </w:tc>
        <w:tc>
          <w:tcPr>
            <w:tcW w:w="3195" w:type="dxa"/>
            <w:shd w:val="clear" w:color="auto" w:fill="auto"/>
            <w:noWrap/>
            <w:vAlign w:val="bottom"/>
            <w:hideMark/>
          </w:tcPr>
          <w:p w14:paraId="412F395C" w14:textId="77777777" w:rsidR="003762A8" w:rsidRPr="003762A8" w:rsidRDefault="003762A8" w:rsidP="003762A8">
            <w:pPr>
              <w:spacing w:after="0" w:line="240" w:lineRule="auto"/>
              <w:ind w:firstLine="0"/>
              <w:rPr>
                <w:rFonts w:eastAsia="Times New Roman" w:cs="Times New Roman"/>
                <w:b/>
                <w:bCs/>
                <w:color w:val="000000"/>
                <w:szCs w:val="24"/>
                <w:lang w:eastAsia="en-GB"/>
              </w:rPr>
            </w:pPr>
            <w:r w:rsidRPr="003762A8">
              <w:rPr>
                <w:rFonts w:eastAsia="Times New Roman" w:cs="Times New Roman"/>
                <w:b/>
                <w:bCs/>
                <w:color w:val="000000"/>
                <w:szCs w:val="24"/>
                <w:lang w:eastAsia="en-GB"/>
              </w:rPr>
              <w:t xml:space="preserve">Total Current Liabilities </w:t>
            </w:r>
          </w:p>
        </w:tc>
        <w:tc>
          <w:tcPr>
            <w:tcW w:w="860" w:type="dxa"/>
            <w:shd w:val="clear" w:color="auto" w:fill="auto"/>
            <w:noWrap/>
            <w:vAlign w:val="bottom"/>
            <w:hideMark/>
          </w:tcPr>
          <w:p w14:paraId="4BB86140" w14:textId="77777777" w:rsidR="003762A8" w:rsidRPr="003762A8" w:rsidRDefault="003762A8" w:rsidP="003762A8">
            <w:pPr>
              <w:spacing w:after="0" w:line="240" w:lineRule="auto"/>
              <w:ind w:firstLine="0"/>
              <w:rPr>
                <w:rFonts w:eastAsia="Times New Roman" w:cs="Times New Roman"/>
                <w:b/>
                <w:bCs/>
                <w:color w:val="000000"/>
                <w:szCs w:val="24"/>
                <w:lang w:eastAsia="en-GB"/>
              </w:rPr>
            </w:pPr>
          </w:p>
        </w:tc>
        <w:tc>
          <w:tcPr>
            <w:tcW w:w="1051" w:type="dxa"/>
            <w:shd w:val="clear" w:color="auto" w:fill="auto"/>
            <w:noWrap/>
            <w:vAlign w:val="bottom"/>
            <w:hideMark/>
          </w:tcPr>
          <w:p w14:paraId="7B77C47D" w14:textId="77777777" w:rsidR="003762A8" w:rsidRPr="003762A8" w:rsidRDefault="003762A8" w:rsidP="003762A8">
            <w:pPr>
              <w:spacing w:after="0" w:line="240" w:lineRule="auto"/>
              <w:ind w:firstLine="0"/>
              <w:jc w:val="right"/>
              <w:rPr>
                <w:rFonts w:eastAsia="Times New Roman" w:cs="Times New Roman"/>
                <w:b/>
                <w:bCs/>
                <w:color w:val="000000"/>
                <w:szCs w:val="24"/>
                <w:lang w:eastAsia="en-GB"/>
              </w:rPr>
            </w:pPr>
            <w:r w:rsidRPr="003762A8">
              <w:rPr>
                <w:rFonts w:eastAsia="Times New Roman" w:cs="Times New Roman"/>
                <w:b/>
                <w:bCs/>
                <w:color w:val="000000"/>
                <w:szCs w:val="24"/>
                <w:lang w:eastAsia="en-GB"/>
              </w:rPr>
              <w:t>192,605</w:t>
            </w:r>
          </w:p>
        </w:tc>
      </w:tr>
      <w:tr w:rsidR="003762A8" w:rsidRPr="003762A8" w14:paraId="4DC6CE98" w14:textId="77777777" w:rsidTr="003762A8">
        <w:trPr>
          <w:trHeight w:val="300"/>
        </w:trPr>
        <w:tc>
          <w:tcPr>
            <w:tcW w:w="2172" w:type="dxa"/>
            <w:shd w:val="clear" w:color="auto" w:fill="auto"/>
            <w:noWrap/>
            <w:vAlign w:val="bottom"/>
            <w:hideMark/>
          </w:tcPr>
          <w:p w14:paraId="44B9E551"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p>
        </w:tc>
        <w:tc>
          <w:tcPr>
            <w:tcW w:w="1051" w:type="dxa"/>
            <w:shd w:val="clear" w:color="auto" w:fill="auto"/>
            <w:noWrap/>
            <w:vAlign w:val="bottom"/>
            <w:hideMark/>
          </w:tcPr>
          <w:p w14:paraId="2A9F268C" w14:textId="77777777" w:rsidR="003762A8" w:rsidRPr="003762A8" w:rsidRDefault="003762A8" w:rsidP="003762A8">
            <w:pPr>
              <w:spacing w:after="0" w:line="240" w:lineRule="auto"/>
              <w:ind w:firstLine="0"/>
              <w:rPr>
                <w:rFonts w:eastAsia="Times New Roman" w:cs="Times New Roman"/>
                <w:szCs w:val="24"/>
                <w:lang w:eastAsia="en-GB"/>
              </w:rPr>
            </w:pPr>
          </w:p>
        </w:tc>
        <w:tc>
          <w:tcPr>
            <w:tcW w:w="1051" w:type="dxa"/>
            <w:shd w:val="clear" w:color="auto" w:fill="auto"/>
            <w:noWrap/>
            <w:vAlign w:val="bottom"/>
            <w:hideMark/>
          </w:tcPr>
          <w:p w14:paraId="3696A5B2" w14:textId="77777777" w:rsidR="003762A8" w:rsidRPr="003762A8" w:rsidRDefault="003762A8" w:rsidP="003762A8">
            <w:pPr>
              <w:spacing w:after="0" w:line="240" w:lineRule="auto"/>
              <w:ind w:firstLine="0"/>
              <w:rPr>
                <w:rFonts w:eastAsia="Times New Roman" w:cs="Times New Roman"/>
                <w:szCs w:val="24"/>
                <w:lang w:eastAsia="en-GB"/>
              </w:rPr>
            </w:pPr>
          </w:p>
        </w:tc>
        <w:tc>
          <w:tcPr>
            <w:tcW w:w="3195" w:type="dxa"/>
            <w:shd w:val="clear" w:color="auto" w:fill="auto"/>
            <w:noWrap/>
            <w:vAlign w:val="bottom"/>
            <w:hideMark/>
          </w:tcPr>
          <w:p w14:paraId="4C5F7987" w14:textId="77777777" w:rsidR="003762A8" w:rsidRPr="003762A8" w:rsidRDefault="003762A8" w:rsidP="003762A8">
            <w:pPr>
              <w:spacing w:after="0" w:line="240" w:lineRule="auto"/>
              <w:ind w:firstLine="0"/>
              <w:rPr>
                <w:rFonts w:eastAsia="Times New Roman" w:cs="Times New Roman"/>
                <w:color w:val="000000"/>
                <w:szCs w:val="24"/>
                <w:lang w:eastAsia="en-GB"/>
              </w:rPr>
            </w:pPr>
            <w:r w:rsidRPr="003762A8">
              <w:rPr>
                <w:rFonts w:eastAsia="Times New Roman" w:cs="Times New Roman"/>
                <w:color w:val="000000"/>
                <w:szCs w:val="24"/>
                <w:lang w:eastAsia="en-GB"/>
              </w:rPr>
              <w:t xml:space="preserve">Long-term Liabilities </w:t>
            </w:r>
          </w:p>
        </w:tc>
        <w:tc>
          <w:tcPr>
            <w:tcW w:w="860" w:type="dxa"/>
            <w:shd w:val="clear" w:color="auto" w:fill="auto"/>
            <w:noWrap/>
            <w:vAlign w:val="bottom"/>
            <w:hideMark/>
          </w:tcPr>
          <w:p w14:paraId="05C5FE0C" w14:textId="77777777" w:rsidR="003762A8" w:rsidRPr="003762A8" w:rsidRDefault="003762A8" w:rsidP="003762A8">
            <w:pPr>
              <w:spacing w:after="0" w:line="240" w:lineRule="auto"/>
              <w:ind w:firstLine="0"/>
              <w:rPr>
                <w:rFonts w:eastAsia="Times New Roman" w:cs="Times New Roman"/>
                <w:color w:val="000000"/>
                <w:szCs w:val="24"/>
                <w:lang w:eastAsia="en-GB"/>
              </w:rPr>
            </w:pPr>
          </w:p>
        </w:tc>
        <w:tc>
          <w:tcPr>
            <w:tcW w:w="1051" w:type="dxa"/>
            <w:shd w:val="clear" w:color="auto" w:fill="auto"/>
            <w:noWrap/>
            <w:vAlign w:val="bottom"/>
            <w:hideMark/>
          </w:tcPr>
          <w:p w14:paraId="17AFC936" w14:textId="77777777" w:rsidR="003762A8" w:rsidRPr="003762A8" w:rsidRDefault="003762A8" w:rsidP="003762A8">
            <w:pPr>
              <w:spacing w:after="0" w:line="240" w:lineRule="auto"/>
              <w:ind w:firstLine="0"/>
              <w:rPr>
                <w:rFonts w:eastAsia="Times New Roman" w:cs="Times New Roman"/>
                <w:szCs w:val="24"/>
                <w:lang w:eastAsia="en-GB"/>
              </w:rPr>
            </w:pPr>
          </w:p>
        </w:tc>
      </w:tr>
      <w:tr w:rsidR="003762A8" w:rsidRPr="003762A8" w14:paraId="1C3D24EA" w14:textId="77777777" w:rsidTr="003762A8">
        <w:trPr>
          <w:trHeight w:val="300"/>
        </w:trPr>
        <w:tc>
          <w:tcPr>
            <w:tcW w:w="2172" w:type="dxa"/>
            <w:shd w:val="clear" w:color="auto" w:fill="auto"/>
            <w:noWrap/>
            <w:vAlign w:val="bottom"/>
            <w:hideMark/>
          </w:tcPr>
          <w:p w14:paraId="5EF07CFA" w14:textId="77777777" w:rsidR="003762A8" w:rsidRPr="003762A8" w:rsidRDefault="003762A8" w:rsidP="003762A8">
            <w:pPr>
              <w:spacing w:after="0" w:line="240" w:lineRule="auto"/>
              <w:ind w:firstLine="0"/>
              <w:rPr>
                <w:rFonts w:eastAsia="Times New Roman" w:cs="Times New Roman"/>
                <w:szCs w:val="24"/>
                <w:lang w:eastAsia="en-GB"/>
              </w:rPr>
            </w:pPr>
          </w:p>
        </w:tc>
        <w:tc>
          <w:tcPr>
            <w:tcW w:w="1051" w:type="dxa"/>
            <w:shd w:val="clear" w:color="auto" w:fill="auto"/>
            <w:noWrap/>
            <w:vAlign w:val="bottom"/>
            <w:hideMark/>
          </w:tcPr>
          <w:p w14:paraId="4AF761E7" w14:textId="77777777" w:rsidR="003762A8" w:rsidRPr="003762A8" w:rsidRDefault="003762A8" w:rsidP="003762A8">
            <w:pPr>
              <w:spacing w:after="0" w:line="240" w:lineRule="auto"/>
              <w:ind w:firstLine="0"/>
              <w:rPr>
                <w:rFonts w:eastAsia="Times New Roman" w:cs="Times New Roman"/>
                <w:szCs w:val="24"/>
                <w:lang w:eastAsia="en-GB"/>
              </w:rPr>
            </w:pPr>
          </w:p>
        </w:tc>
        <w:tc>
          <w:tcPr>
            <w:tcW w:w="1051" w:type="dxa"/>
            <w:shd w:val="clear" w:color="auto" w:fill="auto"/>
            <w:noWrap/>
            <w:vAlign w:val="bottom"/>
            <w:hideMark/>
          </w:tcPr>
          <w:p w14:paraId="0F73C804" w14:textId="77777777" w:rsidR="003762A8" w:rsidRPr="003762A8" w:rsidRDefault="003762A8" w:rsidP="003762A8">
            <w:pPr>
              <w:spacing w:after="0" w:line="240" w:lineRule="auto"/>
              <w:ind w:firstLine="0"/>
              <w:rPr>
                <w:rFonts w:eastAsia="Times New Roman" w:cs="Times New Roman"/>
                <w:szCs w:val="24"/>
                <w:lang w:eastAsia="en-GB"/>
              </w:rPr>
            </w:pPr>
          </w:p>
        </w:tc>
        <w:tc>
          <w:tcPr>
            <w:tcW w:w="3195" w:type="dxa"/>
            <w:shd w:val="clear" w:color="auto" w:fill="auto"/>
            <w:noWrap/>
            <w:vAlign w:val="bottom"/>
            <w:hideMark/>
          </w:tcPr>
          <w:p w14:paraId="67CD06E9" w14:textId="77777777" w:rsidR="003762A8" w:rsidRPr="003762A8" w:rsidRDefault="003762A8" w:rsidP="003762A8">
            <w:pPr>
              <w:spacing w:after="0" w:line="240" w:lineRule="auto"/>
              <w:ind w:firstLine="0"/>
              <w:rPr>
                <w:rFonts w:eastAsia="Times New Roman" w:cs="Times New Roman"/>
                <w:color w:val="000000"/>
                <w:szCs w:val="24"/>
                <w:lang w:eastAsia="en-GB"/>
              </w:rPr>
            </w:pPr>
            <w:r w:rsidRPr="003762A8">
              <w:rPr>
                <w:rFonts w:eastAsia="Times New Roman" w:cs="Times New Roman"/>
                <w:color w:val="000000"/>
                <w:szCs w:val="24"/>
                <w:lang w:eastAsia="en-GB"/>
              </w:rPr>
              <w:t>2% Debentures</w:t>
            </w:r>
          </w:p>
        </w:tc>
        <w:tc>
          <w:tcPr>
            <w:tcW w:w="860" w:type="dxa"/>
            <w:shd w:val="clear" w:color="auto" w:fill="auto"/>
            <w:noWrap/>
            <w:vAlign w:val="bottom"/>
            <w:hideMark/>
          </w:tcPr>
          <w:p w14:paraId="3F8F0118"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r w:rsidRPr="003762A8">
              <w:rPr>
                <w:rFonts w:eastAsia="Times New Roman" w:cs="Times New Roman"/>
                <w:color w:val="000000"/>
                <w:szCs w:val="24"/>
                <w:lang w:eastAsia="en-GB"/>
              </w:rPr>
              <w:t>200,000</w:t>
            </w:r>
          </w:p>
        </w:tc>
        <w:tc>
          <w:tcPr>
            <w:tcW w:w="1051" w:type="dxa"/>
            <w:shd w:val="clear" w:color="auto" w:fill="auto"/>
            <w:noWrap/>
            <w:vAlign w:val="bottom"/>
            <w:hideMark/>
          </w:tcPr>
          <w:p w14:paraId="6C29D77F"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p>
        </w:tc>
      </w:tr>
      <w:tr w:rsidR="003762A8" w:rsidRPr="003762A8" w14:paraId="58E6CAAA" w14:textId="77777777" w:rsidTr="003762A8">
        <w:trPr>
          <w:trHeight w:val="300"/>
        </w:trPr>
        <w:tc>
          <w:tcPr>
            <w:tcW w:w="2172" w:type="dxa"/>
            <w:shd w:val="clear" w:color="auto" w:fill="auto"/>
            <w:noWrap/>
            <w:vAlign w:val="bottom"/>
            <w:hideMark/>
          </w:tcPr>
          <w:p w14:paraId="70BDEF8F" w14:textId="77777777" w:rsidR="003762A8" w:rsidRPr="003762A8" w:rsidRDefault="003762A8" w:rsidP="003762A8">
            <w:pPr>
              <w:spacing w:after="0" w:line="240" w:lineRule="auto"/>
              <w:ind w:firstLine="0"/>
              <w:rPr>
                <w:rFonts w:eastAsia="Times New Roman" w:cs="Times New Roman"/>
                <w:szCs w:val="24"/>
                <w:lang w:eastAsia="en-GB"/>
              </w:rPr>
            </w:pPr>
          </w:p>
        </w:tc>
        <w:tc>
          <w:tcPr>
            <w:tcW w:w="1051" w:type="dxa"/>
            <w:shd w:val="clear" w:color="auto" w:fill="auto"/>
            <w:noWrap/>
            <w:vAlign w:val="bottom"/>
            <w:hideMark/>
          </w:tcPr>
          <w:p w14:paraId="419C36E3" w14:textId="77777777" w:rsidR="003762A8" w:rsidRPr="003762A8" w:rsidRDefault="003762A8" w:rsidP="003762A8">
            <w:pPr>
              <w:spacing w:after="0" w:line="240" w:lineRule="auto"/>
              <w:ind w:firstLine="0"/>
              <w:rPr>
                <w:rFonts w:eastAsia="Times New Roman" w:cs="Times New Roman"/>
                <w:szCs w:val="24"/>
                <w:lang w:eastAsia="en-GB"/>
              </w:rPr>
            </w:pPr>
          </w:p>
        </w:tc>
        <w:tc>
          <w:tcPr>
            <w:tcW w:w="1051" w:type="dxa"/>
            <w:shd w:val="clear" w:color="auto" w:fill="auto"/>
            <w:noWrap/>
            <w:vAlign w:val="bottom"/>
            <w:hideMark/>
          </w:tcPr>
          <w:p w14:paraId="20F278B6" w14:textId="77777777" w:rsidR="003762A8" w:rsidRPr="003762A8" w:rsidRDefault="003762A8" w:rsidP="003762A8">
            <w:pPr>
              <w:spacing w:after="0" w:line="240" w:lineRule="auto"/>
              <w:ind w:firstLine="0"/>
              <w:rPr>
                <w:rFonts w:eastAsia="Times New Roman" w:cs="Times New Roman"/>
                <w:szCs w:val="24"/>
                <w:lang w:eastAsia="en-GB"/>
              </w:rPr>
            </w:pPr>
          </w:p>
        </w:tc>
        <w:tc>
          <w:tcPr>
            <w:tcW w:w="3195" w:type="dxa"/>
            <w:shd w:val="clear" w:color="auto" w:fill="auto"/>
            <w:noWrap/>
            <w:vAlign w:val="bottom"/>
            <w:hideMark/>
          </w:tcPr>
          <w:p w14:paraId="110D9438" w14:textId="77777777" w:rsidR="003762A8" w:rsidRPr="003762A8" w:rsidRDefault="003762A8" w:rsidP="003762A8">
            <w:pPr>
              <w:spacing w:after="0" w:line="240" w:lineRule="auto"/>
              <w:ind w:firstLine="0"/>
              <w:rPr>
                <w:rFonts w:eastAsia="Times New Roman" w:cs="Times New Roman"/>
                <w:b/>
                <w:bCs/>
                <w:color w:val="000000"/>
                <w:szCs w:val="24"/>
                <w:lang w:eastAsia="en-GB"/>
              </w:rPr>
            </w:pPr>
            <w:r w:rsidRPr="003762A8">
              <w:rPr>
                <w:rFonts w:eastAsia="Times New Roman" w:cs="Times New Roman"/>
                <w:b/>
                <w:bCs/>
                <w:color w:val="000000"/>
                <w:szCs w:val="24"/>
                <w:lang w:eastAsia="en-GB"/>
              </w:rPr>
              <w:t xml:space="preserve">Total Long-term Liabilities </w:t>
            </w:r>
          </w:p>
        </w:tc>
        <w:tc>
          <w:tcPr>
            <w:tcW w:w="860" w:type="dxa"/>
            <w:shd w:val="clear" w:color="auto" w:fill="auto"/>
            <w:noWrap/>
            <w:vAlign w:val="bottom"/>
            <w:hideMark/>
          </w:tcPr>
          <w:p w14:paraId="50FBE15D" w14:textId="77777777" w:rsidR="003762A8" w:rsidRPr="003762A8" w:rsidRDefault="003762A8" w:rsidP="003762A8">
            <w:pPr>
              <w:spacing w:after="0" w:line="240" w:lineRule="auto"/>
              <w:ind w:firstLine="0"/>
              <w:rPr>
                <w:rFonts w:eastAsia="Times New Roman" w:cs="Times New Roman"/>
                <w:b/>
                <w:bCs/>
                <w:color w:val="000000"/>
                <w:szCs w:val="24"/>
                <w:lang w:eastAsia="en-GB"/>
              </w:rPr>
            </w:pPr>
          </w:p>
        </w:tc>
        <w:tc>
          <w:tcPr>
            <w:tcW w:w="1051" w:type="dxa"/>
            <w:shd w:val="clear" w:color="auto" w:fill="auto"/>
            <w:noWrap/>
            <w:vAlign w:val="bottom"/>
            <w:hideMark/>
          </w:tcPr>
          <w:p w14:paraId="6A018F63" w14:textId="77777777" w:rsidR="003762A8" w:rsidRPr="003762A8" w:rsidRDefault="003762A8" w:rsidP="003762A8">
            <w:pPr>
              <w:spacing w:after="0" w:line="240" w:lineRule="auto"/>
              <w:ind w:firstLine="0"/>
              <w:jc w:val="right"/>
              <w:rPr>
                <w:rFonts w:eastAsia="Times New Roman" w:cs="Times New Roman"/>
                <w:b/>
                <w:bCs/>
                <w:color w:val="000000"/>
                <w:szCs w:val="24"/>
                <w:lang w:eastAsia="en-GB"/>
              </w:rPr>
            </w:pPr>
            <w:r w:rsidRPr="003762A8">
              <w:rPr>
                <w:rFonts w:eastAsia="Times New Roman" w:cs="Times New Roman"/>
                <w:b/>
                <w:bCs/>
                <w:color w:val="000000"/>
                <w:szCs w:val="24"/>
                <w:lang w:eastAsia="en-GB"/>
              </w:rPr>
              <w:t>200,000</w:t>
            </w:r>
          </w:p>
        </w:tc>
      </w:tr>
      <w:tr w:rsidR="003762A8" w:rsidRPr="003762A8" w14:paraId="20F2DF70" w14:textId="77777777" w:rsidTr="003762A8">
        <w:trPr>
          <w:trHeight w:val="300"/>
        </w:trPr>
        <w:tc>
          <w:tcPr>
            <w:tcW w:w="2172" w:type="dxa"/>
            <w:shd w:val="clear" w:color="auto" w:fill="auto"/>
            <w:noWrap/>
            <w:vAlign w:val="bottom"/>
            <w:hideMark/>
          </w:tcPr>
          <w:p w14:paraId="28F9C5B5" w14:textId="77777777" w:rsidR="003762A8" w:rsidRPr="003762A8" w:rsidRDefault="003762A8" w:rsidP="003762A8">
            <w:pPr>
              <w:spacing w:after="0" w:line="240" w:lineRule="auto"/>
              <w:ind w:firstLine="0"/>
              <w:rPr>
                <w:rFonts w:eastAsia="Times New Roman" w:cs="Times New Roman"/>
                <w:b/>
                <w:bCs/>
                <w:color w:val="000000"/>
                <w:szCs w:val="24"/>
                <w:lang w:eastAsia="en-GB"/>
              </w:rPr>
            </w:pPr>
            <w:r w:rsidRPr="003762A8">
              <w:rPr>
                <w:rFonts w:eastAsia="Times New Roman" w:cs="Times New Roman"/>
                <w:b/>
                <w:bCs/>
                <w:color w:val="000000"/>
                <w:szCs w:val="24"/>
                <w:lang w:eastAsia="en-GB"/>
              </w:rPr>
              <w:t>Total Current Assets</w:t>
            </w:r>
          </w:p>
        </w:tc>
        <w:tc>
          <w:tcPr>
            <w:tcW w:w="1051" w:type="dxa"/>
            <w:shd w:val="clear" w:color="auto" w:fill="auto"/>
            <w:noWrap/>
            <w:vAlign w:val="bottom"/>
            <w:hideMark/>
          </w:tcPr>
          <w:p w14:paraId="11228474" w14:textId="77777777" w:rsidR="003762A8" w:rsidRPr="003762A8" w:rsidRDefault="003762A8" w:rsidP="003762A8">
            <w:pPr>
              <w:spacing w:after="0" w:line="240" w:lineRule="auto"/>
              <w:ind w:firstLine="0"/>
              <w:rPr>
                <w:rFonts w:eastAsia="Times New Roman" w:cs="Times New Roman"/>
                <w:b/>
                <w:bCs/>
                <w:color w:val="000000"/>
                <w:szCs w:val="24"/>
                <w:lang w:eastAsia="en-GB"/>
              </w:rPr>
            </w:pPr>
          </w:p>
        </w:tc>
        <w:tc>
          <w:tcPr>
            <w:tcW w:w="1051" w:type="dxa"/>
            <w:shd w:val="clear" w:color="auto" w:fill="auto"/>
            <w:noWrap/>
            <w:vAlign w:val="bottom"/>
            <w:hideMark/>
          </w:tcPr>
          <w:p w14:paraId="7440057E" w14:textId="77777777" w:rsidR="003762A8" w:rsidRPr="003762A8" w:rsidRDefault="003762A8" w:rsidP="003762A8">
            <w:pPr>
              <w:spacing w:after="0" w:line="240" w:lineRule="auto"/>
              <w:ind w:firstLine="0"/>
              <w:jc w:val="right"/>
              <w:rPr>
                <w:rFonts w:eastAsia="Times New Roman" w:cs="Times New Roman"/>
                <w:b/>
                <w:bCs/>
                <w:color w:val="000000"/>
                <w:szCs w:val="24"/>
                <w:lang w:eastAsia="en-GB"/>
              </w:rPr>
            </w:pPr>
            <w:r w:rsidRPr="003762A8">
              <w:rPr>
                <w:rFonts w:eastAsia="Times New Roman" w:cs="Times New Roman"/>
                <w:b/>
                <w:bCs/>
                <w:color w:val="000000"/>
                <w:szCs w:val="24"/>
                <w:lang w:eastAsia="en-GB"/>
              </w:rPr>
              <w:t>778,975</w:t>
            </w:r>
          </w:p>
        </w:tc>
        <w:tc>
          <w:tcPr>
            <w:tcW w:w="3195" w:type="dxa"/>
            <w:shd w:val="clear" w:color="auto" w:fill="auto"/>
            <w:noWrap/>
            <w:vAlign w:val="bottom"/>
            <w:hideMark/>
          </w:tcPr>
          <w:p w14:paraId="571FAB2F" w14:textId="77777777" w:rsidR="003762A8" w:rsidRPr="003762A8" w:rsidRDefault="003762A8" w:rsidP="003762A8">
            <w:pPr>
              <w:spacing w:after="0" w:line="240" w:lineRule="auto"/>
              <w:ind w:firstLine="0"/>
              <w:rPr>
                <w:rFonts w:eastAsia="Times New Roman" w:cs="Times New Roman"/>
                <w:b/>
                <w:bCs/>
                <w:color w:val="000000"/>
                <w:szCs w:val="24"/>
                <w:lang w:eastAsia="en-GB"/>
              </w:rPr>
            </w:pPr>
            <w:r w:rsidRPr="003762A8">
              <w:rPr>
                <w:rFonts w:eastAsia="Times New Roman" w:cs="Times New Roman"/>
                <w:b/>
                <w:bCs/>
                <w:color w:val="000000"/>
                <w:szCs w:val="24"/>
                <w:lang w:eastAsia="en-GB"/>
              </w:rPr>
              <w:t>TOTAL LIABILITIES</w:t>
            </w:r>
          </w:p>
        </w:tc>
        <w:tc>
          <w:tcPr>
            <w:tcW w:w="860" w:type="dxa"/>
            <w:shd w:val="clear" w:color="auto" w:fill="auto"/>
            <w:noWrap/>
            <w:vAlign w:val="bottom"/>
            <w:hideMark/>
          </w:tcPr>
          <w:p w14:paraId="74F70004" w14:textId="77777777" w:rsidR="003762A8" w:rsidRPr="003762A8" w:rsidRDefault="003762A8" w:rsidP="003762A8">
            <w:pPr>
              <w:spacing w:after="0" w:line="240" w:lineRule="auto"/>
              <w:ind w:firstLine="0"/>
              <w:rPr>
                <w:rFonts w:eastAsia="Times New Roman" w:cs="Times New Roman"/>
                <w:b/>
                <w:bCs/>
                <w:color w:val="000000"/>
                <w:szCs w:val="24"/>
                <w:lang w:eastAsia="en-GB"/>
              </w:rPr>
            </w:pPr>
          </w:p>
        </w:tc>
        <w:tc>
          <w:tcPr>
            <w:tcW w:w="1051" w:type="dxa"/>
            <w:shd w:val="clear" w:color="auto" w:fill="auto"/>
            <w:noWrap/>
            <w:vAlign w:val="bottom"/>
            <w:hideMark/>
          </w:tcPr>
          <w:p w14:paraId="42C88068" w14:textId="77777777" w:rsidR="003762A8" w:rsidRPr="003762A8" w:rsidRDefault="003762A8" w:rsidP="003762A8">
            <w:pPr>
              <w:spacing w:after="0" w:line="240" w:lineRule="auto"/>
              <w:ind w:firstLine="0"/>
              <w:jc w:val="right"/>
              <w:rPr>
                <w:rFonts w:eastAsia="Times New Roman" w:cs="Times New Roman"/>
                <w:b/>
                <w:bCs/>
                <w:color w:val="000000"/>
                <w:szCs w:val="24"/>
                <w:lang w:eastAsia="en-GB"/>
              </w:rPr>
            </w:pPr>
            <w:r w:rsidRPr="003762A8">
              <w:rPr>
                <w:rFonts w:eastAsia="Times New Roman" w:cs="Times New Roman"/>
                <w:b/>
                <w:bCs/>
                <w:color w:val="000000"/>
                <w:szCs w:val="24"/>
                <w:lang w:eastAsia="en-GB"/>
              </w:rPr>
              <w:t>392,605</w:t>
            </w:r>
          </w:p>
        </w:tc>
      </w:tr>
      <w:tr w:rsidR="003762A8" w:rsidRPr="003762A8" w14:paraId="655C6919" w14:textId="77777777" w:rsidTr="003762A8">
        <w:trPr>
          <w:trHeight w:val="300"/>
        </w:trPr>
        <w:tc>
          <w:tcPr>
            <w:tcW w:w="2172" w:type="dxa"/>
            <w:shd w:val="clear" w:color="auto" w:fill="auto"/>
            <w:noWrap/>
            <w:vAlign w:val="bottom"/>
            <w:hideMark/>
          </w:tcPr>
          <w:p w14:paraId="2072945F"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p>
        </w:tc>
        <w:tc>
          <w:tcPr>
            <w:tcW w:w="1051" w:type="dxa"/>
            <w:shd w:val="clear" w:color="auto" w:fill="auto"/>
            <w:noWrap/>
            <w:vAlign w:val="bottom"/>
            <w:hideMark/>
          </w:tcPr>
          <w:p w14:paraId="66B2BB54" w14:textId="77777777" w:rsidR="003762A8" w:rsidRPr="003762A8" w:rsidRDefault="003762A8" w:rsidP="003762A8">
            <w:pPr>
              <w:spacing w:after="0" w:line="240" w:lineRule="auto"/>
              <w:ind w:firstLine="0"/>
              <w:rPr>
                <w:rFonts w:eastAsia="Times New Roman" w:cs="Times New Roman"/>
                <w:szCs w:val="24"/>
                <w:lang w:eastAsia="en-GB"/>
              </w:rPr>
            </w:pPr>
          </w:p>
        </w:tc>
        <w:tc>
          <w:tcPr>
            <w:tcW w:w="1051" w:type="dxa"/>
            <w:shd w:val="clear" w:color="auto" w:fill="auto"/>
            <w:noWrap/>
            <w:vAlign w:val="bottom"/>
            <w:hideMark/>
          </w:tcPr>
          <w:p w14:paraId="71C975E8" w14:textId="77777777" w:rsidR="003762A8" w:rsidRPr="003762A8" w:rsidRDefault="003762A8" w:rsidP="003762A8">
            <w:pPr>
              <w:spacing w:after="0" w:line="240" w:lineRule="auto"/>
              <w:ind w:firstLine="0"/>
              <w:rPr>
                <w:rFonts w:eastAsia="Times New Roman" w:cs="Times New Roman"/>
                <w:szCs w:val="24"/>
                <w:lang w:eastAsia="en-GB"/>
              </w:rPr>
            </w:pPr>
          </w:p>
        </w:tc>
        <w:tc>
          <w:tcPr>
            <w:tcW w:w="3195" w:type="dxa"/>
            <w:shd w:val="clear" w:color="auto" w:fill="auto"/>
            <w:noWrap/>
            <w:vAlign w:val="bottom"/>
            <w:hideMark/>
          </w:tcPr>
          <w:p w14:paraId="58BD30CD" w14:textId="77777777" w:rsidR="003762A8" w:rsidRPr="003762A8" w:rsidRDefault="003762A8" w:rsidP="003762A8">
            <w:pPr>
              <w:spacing w:after="0" w:line="240" w:lineRule="auto"/>
              <w:ind w:firstLine="0"/>
              <w:rPr>
                <w:rFonts w:eastAsia="Times New Roman" w:cs="Times New Roman"/>
                <w:szCs w:val="24"/>
                <w:lang w:eastAsia="en-GB"/>
              </w:rPr>
            </w:pPr>
          </w:p>
        </w:tc>
        <w:tc>
          <w:tcPr>
            <w:tcW w:w="860" w:type="dxa"/>
            <w:shd w:val="clear" w:color="auto" w:fill="auto"/>
            <w:noWrap/>
            <w:vAlign w:val="bottom"/>
            <w:hideMark/>
          </w:tcPr>
          <w:p w14:paraId="6D061B7C" w14:textId="77777777" w:rsidR="003762A8" w:rsidRPr="003762A8" w:rsidRDefault="003762A8" w:rsidP="003762A8">
            <w:pPr>
              <w:spacing w:after="0" w:line="240" w:lineRule="auto"/>
              <w:ind w:firstLine="0"/>
              <w:rPr>
                <w:rFonts w:eastAsia="Times New Roman" w:cs="Times New Roman"/>
                <w:szCs w:val="24"/>
                <w:lang w:eastAsia="en-GB"/>
              </w:rPr>
            </w:pPr>
          </w:p>
        </w:tc>
        <w:tc>
          <w:tcPr>
            <w:tcW w:w="1051" w:type="dxa"/>
            <w:shd w:val="clear" w:color="auto" w:fill="auto"/>
            <w:noWrap/>
            <w:vAlign w:val="bottom"/>
            <w:hideMark/>
          </w:tcPr>
          <w:p w14:paraId="1E595D49" w14:textId="77777777" w:rsidR="003762A8" w:rsidRPr="003762A8" w:rsidRDefault="003762A8" w:rsidP="003762A8">
            <w:pPr>
              <w:spacing w:after="0" w:line="240" w:lineRule="auto"/>
              <w:ind w:firstLine="0"/>
              <w:rPr>
                <w:rFonts w:eastAsia="Times New Roman" w:cs="Times New Roman"/>
                <w:szCs w:val="24"/>
                <w:lang w:eastAsia="en-GB"/>
              </w:rPr>
            </w:pPr>
          </w:p>
        </w:tc>
      </w:tr>
      <w:tr w:rsidR="003762A8" w:rsidRPr="003762A8" w14:paraId="4778AF53" w14:textId="77777777" w:rsidTr="003762A8">
        <w:trPr>
          <w:trHeight w:val="300"/>
        </w:trPr>
        <w:tc>
          <w:tcPr>
            <w:tcW w:w="2172" w:type="dxa"/>
            <w:shd w:val="clear" w:color="auto" w:fill="auto"/>
            <w:noWrap/>
            <w:vAlign w:val="bottom"/>
            <w:hideMark/>
          </w:tcPr>
          <w:p w14:paraId="2538CB09" w14:textId="77777777" w:rsidR="003762A8" w:rsidRPr="003762A8" w:rsidRDefault="003762A8" w:rsidP="003762A8">
            <w:pPr>
              <w:spacing w:after="0" w:line="240" w:lineRule="auto"/>
              <w:ind w:firstLine="0"/>
              <w:rPr>
                <w:rFonts w:eastAsia="Times New Roman" w:cs="Times New Roman"/>
                <w:b/>
                <w:bCs/>
                <w:color w:val="000000"/>
                <w:szCs w:val="24"/>
                <w:lang w:eastAsia="en-GB"/>
              </w:rPr>
            </w:pPr>
            <w:r w:rsidRPr="003762A8">
              <w:rPr>
                <w:rFonts w:eastAsia="Times New Roman" w:cs="Times New Roman"/>
                <w:b/>
                <w:bCs/>
                <w:color w:val="000000"/>
                <w:szCs w:val="24"/>
                <w:lang w:eastAsia="en-GB"/>
              </w:rPr>
              <w:t>Fixed Assets</w:t>
            </w:r>
          </w:p>
        </w:tc>
        <w:tc>
          <w:tcPr>
            <w:tcW w:w="1051" w:type="dxa"/>
            <w:shd w:val="clear" w:color="auto" w:fill="auto"/>
            <w:noWrap/>
            <w:vAlign w:val="bottom"/>
            <w:hideMark/>
          </w:tcPr>
          <w:p w14:paraId="0ED1E1C7" w14:textId="77777777" w:rsidR="003762A8" w:rsidRPr="003762A8" w:rsidRDefault="003762A8" w:rsidP="003762A8">
            <w:pPr>
              <w:spacing w:after="0" w:line="240" w:lineRule="auto"/>
              <w:ind w:firstLine="0"/>
              <w:rPr>
                <w:rFonts w:eastAsia="Times New Roman" w:cs="Times New Roman"/>
                <w:b/>
                <w:bCs/>
                <w:color w:val="000000"/>
                <w:szCs w:val="24"/>
                <w:lang w:eastAsia="en-GB"/>
              </w:rPr>
            </w:pPr>
          </w:p>
        </w:tc>
        <w:tc>
          <w:tcPr>
            <w:tcW w:w="1051" w:type="dxa"/>
            <w:shd w:val="clear" w:color="auto" w:fill="auto"/>
            <w:noWrap/>
            <w:vAlign w:val="bottom"/>
            <w:hideMark/>
          </w:tcPr>
          <w:p w14:paraId="24CF4A0A" w14:textId="77777777" w:rsidR="003762A8" w:rsidRPr="003762A8" w:rsidRDefault="003762A8" w:rsidP="003762A8">
            <w:pPr>
              <w:spacing w:after="0" w:line="240" w:lineRule="auto"/>
              <w:ind w:firstLine="0"/>
              <w:rPr>
                <w:rFonts w:eastAsia="Times New Roman" w:cs="Times New Roman"/>
                <w:szCs w:val="24"/>
                <w:lang w:eastAsia="en-GB"/>
              </w:rPr>
            </w:pPr>
          </w:p>
        </w:tc>
        <w:tc>
          <w:tcPr>
            <w:tcW w:w="3195" w:type="dxa"/>
            <w:shd w:val="clear" w:color="auto" w:fill="auto"/>
            <w:noWrap/>
            <w:vAlign w:val="bottom"/>
            <w:hideMark/>
          </w:tcPr>
          <w:p w14:paraId="3F5824B2" w14:textId="77777777" w:rsidR="003762A8" w:rsidRPr="003762A8" w:rsidRDefault="003762A8" w:rsidP="003762A8">
            <w:pPr>
              <w:spacing w:after="0" w:line="240" w:lineRule="auto"/>
              <w:ind w:firstLine="0"/>
              <w:rPr>
                <w:rFonts w:eastAsia="Times New Roman" w:cs="Times New Roman"/>
                <w:b/>
                <w:bCs/>
                <w:color w:val="000000"/>
                <w:szCs w:val="24"/>
                <w:lang w:eastAsia="en-GB"/>
              </w:rPr>
            </w:pPr>
            <w:r w:rsidRPr="003762A8">
              <w:rPr>
                <w:rFonts w:eastAsia="Times New Roman" w:cs="Times New Roman"/>
                <w:b/>
                <w:bCs/>
                <w:color w:val="000000"/>
                <w:szCs w:val="24"/>
                <w:lang w:eastAsia="en-GB"/>
              </w:rPr>
              <w:t>EQUITY</w:t>
            </w:r>
          </w:p>
        </w:tc>
        <w:tc>
          <w:tcPr>
            <w:tcW w:w="860" w:type="dxa"/>
            <w:shd w:val="clear" w:color="auto" w:fill="auto"/>
            <w:noWrap/>
            <w:vAlign w:val="bottom"/>
            <w:hideMark/>
          </w:tcPr>
          <w:p w14:paraId="338489F2" w14:textId="77777777" w:rsidR="003762A8" w:rsidRPr="003762A8" w:rsidRDefault="003762A8" w:rsidP="003762A8">
            <w:pPr>
              <w:spacing w:after="0" w:line="240" w:lineRule="auto"/>
              <w:ind w:firstLine="0"/>
              <w:rPr>
                <w:rFonts w:eastAsia="Times New Roman" w:cs="Times New Roman"/>
                <w:b/>
                <w:bCs/>
                <w:color w:val="000000"/>
                <w:szCs w:val="24"/>
                <w:lang w:eastAsia="en-GB"/>
              </w:rPr>
            </w:pPr>
          </w:p>
        </w:tc>
        <w:tc>
          <w:tcPr>
            <w:tcW w:w="1051" w:type="dxa"/>
            <w:shd w:val="clear" w:color="auto" w:fill="auto"/>
            <w:noWrap/>
            <w:vAlign w:val="bottom"/>
            <w:hideMark/>
          </w:tcPr>
          <w:p w14:paraId="7EACD51D" w14:textId="77777777" w:rsidR="003762A8" w:rsidRPr="003762A8" w:rsidRDefault="003762A8" w:rsidP="003762A8">
            <w:pPr>
              <w:spacing w:after="0" w:line="240" w:lineRule="auto"/>
              <w:ind w:firstLine="0"/>
              <w:rPr>
                <w:rFonts w:eastAsia="Times New Roman" w:cs="Times New Roman"/>
                <w:szCs w:val="24"/>
                <w:lang w:eastAsia="en-GB"/>
              </w:rPr>
            </w:pPr>
          </w:p>
        </w:tc>
      </w:tr>
      <w:tr w:rsidR="003762A8" w:rsidRPr="003762A8" w14:paraId="6AB3D79D" w14:textId="77777777" w:rsidTr="003762A8">
        <w:trPr>
          <w:trHeight w:val="300"/>
        </w:trPr>
        <w:tc>
          <w:tcPr>
            <w:tcW w:w="2172" w:type="dxa"/>
            <w:shd w:val="clear" w:color="auto" w:fill="auto"/>
            <w:noWrap/>
            <w:vAlign w:val="bottom"/>
            <w:hideMark/>
          </w:tcPr>
          <w:p w14:paraId="7BEACB4E" w14:textId="77777777" w:rsidR="003762A8" w:rsidRPr="003762A8" w:rsidRDefault="003762A8" w:rsidP="003762A8">
            <w:pPr>
              <w:spacing w:after="0" w:line="240" w:lineRule="auto"/>
              <w:ind w:firstLine="0"/>
              <w:rPr>
                <w:rFonts w:eastAsia="Times New Roman" w:cs="Times New Roman"/>
                <w:color w:val="000000"/>
                <w:szCs w:val="24"/>
                <w:lang w:eastAsia="en-GB"/>
              </w:rPr>
            </w:pPr>
            <w:r w:rsidRPr="003762A8">
              <w:rPr>
                <w:rFonts w:eastAsia="Times New Roman" w:cs="Times New Roman"/>
                <w:color w:val="000000"/>
                <w:szCs w:val="24"/>
                <w:lang w:eastAsia="en-GB"/>
              </w:rPr>
              <w:t>Plant and Equipment</w:t>
            </w:r>
          </w:p>
        </w:tc>
        <w:tc>
          <w:tcPr>
            <w:tcW w:w="1051" w:type="dxa"/>
            <w:shd w:val="clear" w:color="auto" w:fill="auto"/>
            <w:noWrap/>
            <w:vAlign w:val="bottom"/>
            <w:hideMark/>
          </w:tcPr>
          <w:p w14:paraId="79866C77"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r w:rsidRPr="003762A8">
              <w:rPr>
                <w:rFonts w:eastAsia="Times New Roman" w:cs="Times New Roman"/>
                <w:color w:val="000000"/>
                <w:szCs w:val="24"/>
                <w:lang w:eastAsia="en-GB"/>
              </w:rPr>
              <w:t>1,250,000</w:t>
            </w:r>
          </w:p>
        </w:tc>
        <w:tc>
          <w:tcPr>
            <w:tcW w:w="1051" w:type="dxa"/>
            <w:shd w:val="clear" w:color="auto" w:fill="auto"/>
            <w:noWrap/>
            <w:vAlign w:val="bottom"/>
            <w:hideMark/>
          </w:tcPr>
          <w:p w14:paraId="34FBF842"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p>
        </w:tc>
        <w:tc>
          <w:tcPr>
            <w:tcW w:w="3195" w:type="dxa"/>
            <w:shd w:val="clear" w:color="auto" w:fill="auto"/>
            <w:noWrap/>
            <w:vAlign w:val="bottom"/>
            <w:hideMark/>
          </w:tcPr>
          <w:p w14:paraId="416FCC86" w14:textId="77777777" w:rsidR="003762A8" w:rsidRPr="003762A8" w:rsidRDefault="003762A8" w:rsidP="003762A8">
            <w:pPr>
              <w:spacing w:after="0" w:line="240" w:lineRule="auto"/>
              <w:ind w:firstLine="0"/>
              <w:rPr>
                <w:rFonts w:eastAsia="Times New Roman" w:cs="Times New Roman"/>
                <w:color w:val="000000"/>
                <w:szCs w:val="24"/>
                <w:lang w:eastAsia="en-GB"/>
              </w:rPr>
            </w:pPr>
            <w:r w:rsidRPr="003762A8">
              <w:rPr>
                <w:rFonts w:eastAsia="Times New Roman" w:cs="Times New Roman"/>
                <w:color w:val="000000"/>
                <w:szCs w:val="24"/>
                <w:lang w:eastAsia="en-GB"/>
              </w:rPr>
              <w:t xml:space="preserve">£1 Ordinary Shares </w:t>
            </w:r>
          </w:p>
        </w:tc>
        <w:tc>
          <w:tcPr>
            <w:tcW w:w="860" w:type="dxa"/>
            <w:shd w:val="clear" w:color="auto" w:fill="auto"/>
            <w:noWrap/>
            <w:vAlign w:val="bottom"/>
            <w:hideMark/>
          </w:tcPr>
          <w:p w14:paraId="790614A2"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r w:rsidRPr="003762A8">
              <w:rPr>
                <w:rFonts w:eastAsia="Times New Roman" w:cs="Times New Roman"/>
                <w:color w:val="000000"/>
                <w:szCs w:val="24"/>
                <w:lang w:eastAsia="en-GB"/>
              </w:rPr>
              <w:t>900,000</w:t>
            </w:r>
          </w:p>
        </w:tc>
        <w:tc>
          <w:tcPr>
            <w:tcW w:w="1051" w:type="dxa"/>
            <w:shd w:val="clear" w:color="auto" w:fill="auto"/>
            <w:noWrap/>
            <w:vAlign w:val="bottom"/>
            <w:hideMark/>
          </w:tcPr>
          <w:p w14:paraId="79527087"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p>
        </w:tc>
      </w:tr>
      <w:tr w:rsidR="003762A8" w:rsidRPr="003762A8" w14:paraId="7FD4B0DF" w14:textId="77777777" w:rsidTr="003762A8">
        <w:trPr>
          <w:trHeight w:val="300"/>
        </w:trPr>
        <w:tc>
          <w:tcPr>
            <w:tcW w:w="2172" w:type="dxa"/>
            <w:shd w:val="clear" w:color="auto" w:fill="auto"/>
            <w:noWrap/>
            <w:vAlign w:val="bottom"/>
            <w:hideMark/>
          </w:tcPr>
          <w:p w14:paraId="10638385" w14:textId="77777777" w:rsidR="003762A8" w:rsidRPr="003762A8" w:rsidRDefault="003762A8" w:rsidP="003762A8">
            <w:pPr>
              <w:spacing w:after="0" w:line="240" w:lineRule="auto"/>
              <w:ind w:firstLine="0"/>
              <w:rPr>
                <w:rFonts w:eastAsia="Times New Roman" w:cs="Times New Roman"/>
                <w:szCs w:val="24"/>
                <w:lang w:eastAsia="en-GB"/>
              </w:rPr>
            </w:pPr>
          </w:p>
        </w:tc>
        <w:tc>
          <w:tcPr>
            <w:tcW w:w="1051" w:type="dxa"/>
            <w:shd w:val="clear" w:color="auto" w:fill="auto"/>
            <w:noWrap/>
            <w:vAlign w:val="bottom"/>
            <w:hideMark/>
          </w:tcPr>
          <w:p w14:paraId="54B944DB" w14:textId="77777777" w:rsidR="003762A8" w:rsidRPr="003762A8" w:rsidRDefault="003762A8" w:rsidP="003762A8">
            <w:pPr>
              <w:spacing w:after="0" w:line="240" w:lineRule="auto"/>
              <w:ind w:firstLine="0"/>
              <w:rPr>
                <w:rFonts w:eastAsia="Times New Roman" w:cs="Times New Roman"/>
                <w:szCs w:val="24"/>
                <w:lang w:eastAsia="en-GB"/>
              </w:rPr>
            </w:pPr>
          </w:p>
        </w:tc>
        <w:tc>
          <w:tcPr>
            <w:tcW w:w="1051" w:type="dxa"/>
            <w:shd w:val="clear" w:color="auto" w:fill="auto"/>
            <w:noWrap/>
            <w:vAlign w:val="bottom"/>
            <w:hideMark/>
          </w:tcPr>
          <w:p w14:paraId="62936098" w14:textId="77777777" w:rsidR="003762A8" w:rsidRPr="003762A8" w:rsidRDefault="003762A8" w:rsidP="003762A8">
            <w:pPr>
              <w:spacing w:after="0" w:line="240" w:lineRule="auto"/>
              <w:ind w:firstLine="0"/>
              <w:rPr>
                <w:rFonts w:eastAsia="Times New Roman" w:cs="Times New Roman"/>
                <w:szCs w:val="24"/>
                <w:lang w:eastAsia="en-GB"/>
              </w:rPr>
            </w:pPr>
          </w:p>
        </w:tc>
        <w:tc>
          <w:tcPr>
            <w:tcW w:w="3195" w:type="dxa"/>
            <w:shd w:val="clear" w:color="auto" w:fill="auto"/>
            <w:noWrap/>
            <w:vAlign w:val="bottom"/>
            <w:hideMark/>
          </w:tcPr>
          <w:p w14:paraId="4AED9BA8" w14:textId="77777777" w:rsidR="003762A8" w:rsidRPr="003762A8" w:rsidRDefault="003762A8" w:rsidP="003762A8">
            <w:pPr>
              <w:spacing w:after="0" w:line="240" w:lineRule="auto"/>
              <w:ind w:firstLine="0"/>
              <w:rPr>
                <w:rFonts w:eastAsia="Times New Roman" w:cs="Times New Roman"/>
                <w:color w:val="000000"/>
                <w:szCs w:val="24"/>
                <w:lang w:eastAsia="en-GB"/>
              </w:rPr>
            </w:pPr>
            <w:r w:rsidRPr="003762A8">
              <w:rPr>
                <w:rFonts w:eastAsia="Times New Roman" w:cs="Times New Roman"/>
                <w:color w:val="000000"/>
                <w:szCs w:val="24"/>
                <w:lang w:eastAsia="en-GB"/>
              </w:rPr>
              <w:t xml:space="preserve">10% £1 preference shares </w:t>
            </w:r>
          </w:p>
        </w:tc>
        <w:tc>
          <w:tcPr>
            <w:tcW w:w="860" w:type="dxa"/>
            <w:shd w:val="clear" w:color="auto" w:fill="auto"/>
            <w:noWrap/>
            <w:vAlign w:val="bottom"/>
            <w:hideMark/>
          </w:tcPr>
          <w:p w14:paraId="18796037"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r w:rsidRPr="003762A8">
              <w:rPr>
                <w:rFonts w:eastAsia="Times New Roman" w:cs="Times New Roman"/>
                <w:color w:val="000000"/>
                <w:szCs w:val="24"/>
                <w:lang w:eastAsia="en-GB"/>
              </w:rPr>
              <w:t>500,000</w:t>
            </w:r>
          </w:p>
        </w:tc>
        <w:tc>
          <w:tcPr>
            <w:tcW w:w="1051" w:type="dxa"/>
            <w:shd w:val="clear" w:color="auto" w:fill="auto"/>
            <w:noWrap/>
            <w:vAlign w:val="bottom"/>
            <w:hideMark/>
          </w:tcPr>
          <w:p w14:paraId="036CCBD7"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p>
        </w:tc>
      </w:tr>
      <w:tr w:rsidR="003762A8" w:rsidRPr="003762A8" w14:paraId="50776A0E" w14:textId="77777777" w:rsidTr="003762A8">
        <w:trPr>
          <w:trHeight w:val="300"/>
        </w:trPr>
        <w:tc>
          <w:tcPr>
            <w:tcW w:w="2172" w:type="dxa"/>
            <w:shd w:val="clear" w:color="auto" w:fill="auto"/>
            <w:noWrap/>
            <w:vAlign w:val="bottom"/>
            <w:hideMark/>
          </w:tcPr>
          <w:p w14:paraId="1D925CF1" w14:textId="77777777" w:rsidR="003762A8" w:rsidRPr="003762A8" w:rsidRDefault="003762A8" w:rsidP="003762A8">
            <w:pPr>
              <w:spacing w:after="0" w:line="240" w:lineRule="auto"/>
              <w:ind w:firstLine="0"/>
              <w:rPr>
                <w:rFonts w:eastAsia="Times New Roman" w:cs="Times New Roman"/>
                <w:szCs w:val="24"/>
                <w:lang w:eastAsia="en-GB"/>
              </w:rPr>
            </w:pPr>
          </w:p>
        </w:tc>
        <w:tc>
          <w:tcPr>
            <w:tcW w:w="1051" w:type="dxa"/>
            <w:shd w:val="clear" w:color="auto" w:fill="auto"/>
            <w:noWrap/>
            <w:vAlign w:val="bottom"/>
            <w:hideMark/>
          </w:tcPr>
          <w:p w14:paraId="13043BD5" w14:textId="77777777" w:rsidR="003762A8" w:rsidRPr="003762A8" w:rsidRDefault="003762A8" w:rsidP="003762A8">
            <w:pPr>
              <w:spacing w:after="0" w:line="240" w:lineRule="auto"/>
              <w:ind w:firstLine="0"/>
              <w:rPr>
                <w:rFonts w:eastAsia="Times New Roman" w:cs="Times New Roman"/>
                <w:szCs w:val="24"/>
                <w:lang w:eastAsia="en-GB"/>
              </w:rPr>
            </w:pPr>
          </w:p>
        </w:tc>
        <w:tc>
          <w:tcPr>
            <w:tcW w:w="1051" w:type="dxa"/>
            <w:shd w:val="clear" w:color="auto" w:fill="auto"/>
            <w:noWrap/>
            <w:vAlign w:val="bottom"/>
            <w:hideMark/>
          </w:tcPr>
          <w:p w14:paraId="24780949" w14:textId="77777777" w:rsidR="003762A8" w:rsidRPr="003762A8" w:rsidRDefault="003762A8" w:rsidP="003762A8">
            <w:pPr>
              <w:spacing w:after="0" w:line="240" w:lineRule="auto"/>
              <w:ind w:firstLine="0"/>
              <w:rPr>
                <w:rFonts w:eastAsia="Times New Roman" w:cs="Times New Roman"/>
                <w:szCs w:val="24"/>
                <w:lang w:eastAsia="en-GB"/>
              </w:rPr>
            </w:pPr>
          </w:p>
        </w:tc>
        <w:tc>
          <w:tcPr>
            <w:tcW w:w="3195" w:type="dxa"/>
            <w:shd w:val="clear" w:color="auto" w:fill="auto"/>
            <w:noWrap/>
            <w:vAlign w:val="bottom"/>
            <w:hideMark/>
          </w:tcPr>
          <w:p w14:paraId="2C09041F" w14:textId="77777777" w:rsidR="003762A8" w:rsidRPr="003762A8" w:rsidRDefault="003762A8" w:rsidP="003762A8">
            <w:pPr>
              <w:spacing w:after="0" w:line="240" w:lineRule="auto"/>
              <w:ind w:firstLine="0"/>
              <w:rPr>
                <w:rFonts w:eastAsia="Times New Roman" w:cs="Times New Roman"/>
                <w:color w:val="000000"/>
                <w:szCs w:val="24"/>
                <w:lang w:eastAsia="en-GB"/>
              </w:rPr>
            </w:pPr>
            <w:r w:rsidRPr="003762A8">
              <w:rPr>
                <w:rFonts w:eastAsia="Times New Roman" w:cs="Times New Roman"/>
                <w:color w:val="000000"/>
                <w:szCs w:val="24"/>
                <w:lang w:eastAsia="en-GB"/>
              </w:rPr>
              <w:t xml:space="preserve">Retained Profits </w:t>
            </w:r>
          </w:p>
        </w:tc>
        <w:tc>
          <w:tcPr>
            <w:tcW w:w="860" w:type="dxa"/>
            <w:shd w:val="clear" w:color="auto" w:fill="auto"/>
            <w:noWrap/>
            <w:vAlign w:val="bottom"/>
            <w:hideMark/>
          </w:tcPr>
          <w:p w14:paraId="70EFE17D"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r w:rsidRPr="003762A8">
              <w:rPr>
                <w:rFonts w:eastAsia="Times New Roman" w:cs="Times New Roman"/>
                <w:color w:val="000000"/>
                <w:szCs w:val="24"/>
                <w:lang w:eastAsia="en-GB"/>
              </w:rPr>
              <w:t>132,000</w:t>
            </w:r>
          </w:p>
        </w:tc>
        <w:tc>
          <w:tcPr>
            <w:tcW w:w="1051" w:type="dxa"/>
            <w:shd w:val="clear" w:color="auto" w:fill="auto"/>
            <w:noWrap/>
            <w:vAlign w:val="bottom"/>
            <w:hideMark/>
          </w:tcPr>
          <w:p w14:paraId="3DAA7C82"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p>
        </w:tc>
      </w:tr>
      <w:tr w:rsidR="003762A8" w:rsidRPr="003762A8" w14:paraId="3B887193" w14:textId="77777777" w:rsidTr="003762A8">
        <w:trPr>
          <w:trHeight w:val="300"/>
        </w:trPr>
        <w:tc>
          <w:tcPr>
            <w:tcW w:w="2172" w:type="dxa"/>
            <w:shd w:val="clear" w:color="auto" w:fill="auto"/>
            <w:noWrap/>
            <w:vAlign w:val="bottom"/>
            <w:hideMark/>
          </w:tcPr>
          <w:p w14:paraId="102C8B55" w14:textId="77777777" w:rsidR="003762A8" w:rsidRPr="003762A8" w:rsidRDefault="003762A8" w:rsidP="003762A8">
            <w:pPr>
              <w:spacing w:after="0" w:line="240" w:lineRule="auto"/>
              <w:ind w:firstLine="0"/>
              <w:rPr>
                <w:rFonts w:eastAsia="Times New Roman" w:cs="Times New Roman"/>
                <w:szCs w:val="24"/>
                <w:lang w:eastAsia="en-GB"/>
              </w:rPr>
            </w:pPr>
          </w:p>
        </w:tc>
        <w:tc>
          <w:tcPr>
            <w:tcW w:w="1051" w:type="dxa"/>
            <w:shd w:val="clear" w:color="auto" w:fill="auto"/>
            <w:noWrap/>
            <w:vAlign w:val="bottom"/>
            <w:hideMark/>
          </w:tcPr>
          <w:p w14:paraId="17E9F31B" w14:textId="77777777" w:rsidR="003762A8" w:rsidRPr="003762A8" w:rsidRDefault="003762A8" w:rsidP="003762A8">
            <w:pPr>
              <w:spacing w:after="0" w:line="240" w:lineRule="auto"/>
              <w:ind w:firstLine="0"/>
              <w:rPr>
                <w:rFonts w:eastAsia="Times New Roman" w:cs="Times New Roman"/>
                <w:szCs w:val="24"/>
                <w:lang w:eastAsia="en-GB"/>
              </w:rPr>
            </w:pPr>
          </w:p>
        </w:tc>
        <w:tc>
          <w:tcPr>
            <w:tcW w:w="1051" w:type="dxa"/>
            <w:shd w:val="clear" w:color="auto" w:fill="auto"/>
            <w:noWrap/>
            <w:vAlign w:val="bottom"/>
            <w:hideMark/>
          </w:tcPr>
          <w:p w14:paraId="05200145" w14:textId="77777777" w:rsidR="003762A8" w:rsidRPr="003762A8" w:rsidRDefault="003762A8" w:rsidP="003762A8">
            <w:pPr>
              <w:spacing w:after="0" w:line="240" w:lineRule="auto"/>
              <w:ind w:firstLine="0"/>
              <w:rPr>
                <w:rFonts w:eastAsia="Times New Roman" w:cs="Times New Roman"/>
                <w:szCs w:val="24"/>
                <w:lang w:eastAsia="en-GB"/>
              </w:rPr>
            </w:pPr>
          </w:p>
        </w:tc>
        <w:tc>
          <w:tcPr>
            <w:tcW w:w="3195" w:type="dxa"/>
            <w:shd w:val="clear" w:color="auto" w:fill="auto"/>
            <w:noWrap/>
            <w:vAlign w:val="bottom"/>
            <w:hideMark/>
          </w:tcPr>
          <w:p w14:paraId="37DD58DB" w14:textId="77777777" w:rsidR="003762A8" w:rsidRPr="003762A8" w:rsidRDefault="003762A8" w:rsidP="003762A8">
            <w:pPr>
              <w:spacing w:after="0" w:line="240" w:lineRule="auto"/>
              <w:ind w:firstLine="0"/>
              <w:rPr>
                <w:rFonts w:eastAsia="Times New Roman" w:cs="Times New Roman"/>
                <w:color w:val="000000"/>
                <w:szCs w:val="24"/>
                <w:lang w:eastAsia="en-GB"/>
              </w:rPr>
            </w:pPr>
            <w:r w:rsidRPr="003762A8">
              <w:rPr>
                <w:rFonts w:eastAsia="Times New Roman" w:cs="Times New Roman"/>
                <w:color w:val="000000"/>
                <w:szCs w:val="24"/>
                <w:lang w:eastAsia="en-GB"/>
              </w:rPr>
              <w:t xml:space="preserve">Ordinary Dividend Paid </w:t>
            </w:r>
          </w:p>
        </w:tc>
        <w:tc>
          <w:tcPr>
            <w:tcW w:w="860" w:type="dxa"/>
            <w:shd w:val="clear" w:color="auto" w:fill="auto"/>
            <w:noWrap/>
            <w:vAlign w:val="bottom"/>
            <w:hideMark/>
          </w:tcPr>
          <w:p w14:paraId="41A6AA84"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r w:rsidRPr="003762A8">
              <w:rPr>
                <w:rFonts w:eastAsia="Times New Roman" w:cs="Times New Roman"/>
                <w:color w:val="000000"/>
                <w:szCs w:val="24"/>
                <w:lang w:eastAsia="en-GB"/>
              </w:rPr>
              <w:t>20,000</w:t>
            </w:r>
          </w:p>
        </w:tc>
        <w:tc>
          <w:tcPr>
            <w:tcW w:w="1051" w:type="dxa"/>
            <w:shd w:val="clear" w:color="auto" w:fill="auto"/>
            <w:noWrap/>
            <w:vAlign w:val="bottom"/>
            <w:hideMark/>
          </w:tcPr>
          <w:p w14:paraId="31E86571"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p>
        </w:tc>
      </w:tr>
      <w:tr w:rsidR="003762A8" w:rsidRPr="003762A8" w14:paraId="51353D62" w14:textId="77777777" w:rsidTr="003762A8">
        <w:trPr>
          <w:trHeight w:val="300"/>
        </w:trPr>
        <w:tc>
          <w:tcPr>
            <w:tcW w:w="2172" w:type="dxa"/>
            <w:shd w:val="clear" w:color="auto" w:fill="auto"/>
            <w:noWrap/>
            <w:vAlign w:val="bottom"/>
            <w:hideMark/>
          </w:tcPr>
          <w:p w14:paraId="7C79DFDA" w14:textId="77777777" w:rsidR="003762A8" w:rsidRPr="003762A8" w:rsidRDefault="003762A8" w:rsidP="003762A8">
            <w:pPr>
              <w:spacing w:after="0" w:line="240" w:lineRule="auto"/>
              <w:ind w:firstLine="0"/>
              <w:rPr>
                <w:rFonts w:eastAsia="Times New Roman" w:cs="Times New Roman"/>
                <w:szCs w:val="24"/>
                <w:lang w:eastAsia="en-GB"/>
              </w:rPr>
            </w:pPr>
          </w:p>
        </w:tc>
        <w:tc>
          <w:tcPr>
            <w:tcW w:w="1051" w:type="dxa"/>
            <w:shd w:val="clear" w:color="auto" w:fill="auto"/>
            <w:noWrap/>
            <w:vAlign w:val="bottom"/>
            <w:hideMark/>
          </w:tcPr>
          <w:p w14:paraId="6A8DAB06" w14:textId="77777777" w:rsidR="003762A8" w:rsidRPr="003762A8" w:rsidRDefault="003762A8" w:rsidP="003762A8">
            <w:pPr>
              <w:spacing w:after="0" w:line="240" w:lineRule="auto"/>
              <w:ind w:firstLine="0"/>
              <w:rPr>
                <w:rFonts w:eastAsia="Times New Roman" w:cs="Times New Roman"/>
                <w:szCs w:val="24"/>
                <w:lang w:eastAsia="en-GB"/>
              </w:rPr>
            </w:pPr>
          </w:p>
        </w:tc>
        <w:tc>
          <w:tcPr>
            <w:tcW w:w="1051" w:type="dxa"/>
            <w:shd w:val="clear" w:color="auto" w:fill="auto"/>
            <w:noWrap/>
            <w:vAlign w:val="bottom"/>
            <w:hideMark/>
          </w:tcPr>
          <w:p w14:paraId="57E6F6B2" w14:textId="77777777" w:rsidR="003762A8" w:rsidRPr="003762A8" w:rsidRDefault="003762A8" w:rsidP="003762A8">
            <w:pPr>
              <w:spacing w:after="0" w:line="240" w:lineRule="auto"/>
              <w:ind w:firstLine="0"/>
              <w:rPr>
                <w:rFonts w:eastAsia="Times New Roman" w:cs="Times New Roman"/>
                <w:szCs w:val="24"/>
                <w:lang w:eastAsia="en-GB"/>
              </w:rPr>
            </w:pPr>
          </w:p>
        </w:tc>
        <w:tc>
          <w:tcPr>
            <w:tcW w:w="3195" w:type="dxa"/>
            <w:shd w:val="clear" w:color="auto" w:fill="auto"/>
            <w:noWrap/>
            <w:vAlign w:val="bottom"/>
            <w:hideMark/>
          </w:tcPr>
          <w:p w14:paraId="5292EB9F" w14:textId="62872A8D" w:rsidR="003762A8" w:rsidRPr="003762A8" w:rsidRDefault="003762A8" w:rsidP="003762A8">
            <w:pPr>
              <w:spacing w:after="0" w:line="240" w:lineRule="auto"/>
              <w:ind w:firstLine="0"/>
              <w:rPr>
                <w:rFonts w:eastAsia="Times New Roman" w:cs="Times New Roman"/>
                <w:color w:val="000000"/>
                <w:szCs w:val="24"/>
                <w:lang w:eastAsia="en-GB"/>
              </w:rPr>
            </w:pPr>
            <w:r w:rsidRPr="003762A8">
              <w:rPr>
                <w:rFonts w:eastAsia="Times New Roman" w:cs="Times New Roman"/>
                <w:color w:val="000000"/>
                <w:szCs w:val="24"/>
                <w:lang w:eastAsia="en-GB"/>
              </w:rPr>
              <w:t>Pref</w:t>
            </w:r>
            <w:r w:rsidR="00677F85">
              <w:rPr>
                <w:rFonts w:eastAsia="Times New Roman" w:cs="Times New Roman"/>
                <w:color w:val="000000"/>
                <w:szCs w:val="24"/>
                <w:lang w:eastAsia="en-GB"/>
              </w:rPr>
              <w:t>e</w:t>
            </w:r>
            <w:r w:rsidRPr="003762A8">
              <w:rPr>
                <w:rFonts w:eastAsia="Times New Roman" w:cs="Times New Roman"/>
                <w:color w:val="000000"/>
                <w:szCs w:val="24"/>
                <w:lang w:eastAsia="en-GB"/>
              </w:rPr>
              <w:t xml:space="preserve">rence Dividend Paid </w:t>
            </w:r>
          </w:p>
        </w:tc>
        <w:tc>
          <w:tcPr>
            <w:tcW w:w="860" w:type="dxa"/>
            <w:shd w:val="clear" w:color="auto" w:fill="auto"/>
            <w:noWrap/>
            <w:vAlign w:val="bottom"/>
            <w:hideMark/>
          </w:tcPr>
          <w:p w14:paraId="69660E3F"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r w:rsidRPr="003762A8">
              <w:rPr>
                <w:rFonts w:eastAsia="Times New Roman" w:cs="Times New Roman"/>
                <w:color w:val="000000"/>
                <w:szCs w:val="24"/>
                <w:lang w:eastAsia="en-GB"/>
              </w:rPr>
              <w:t>30,000</w:t>
            </w:r>
          </w:p>
        </w:tc>
        <w:tc>
          <w:tcPr>
            <w:tcW w:w="1051" w:type="dxa"/>
            <w:shd w:val="clear" w:color="auto" w:fill="auto"/>
            <w:noWrap/>
            <w:vAlign w:val="bottom"/>
            <w:hideMark/>
          </w:tcPr>
          <w:p w14:paraId="0B3D7EC7" w14:textId="77777777" w:rsidR="003762A8" w:rsidRPr="003762A8" w:rsidRDefault="003762A8" w:rsidP="003762A8">
            <w:pPr>
              <w:spacing w:after="0" w:line="240" w:lineRule="auto"/>
              <w:ind w:firstLine="0"/>
              <w:jc w:val="right"/>
              <w:rPr>
                <w:rFonts w:eastAsia="Times New Roman" w:cs="Times New Roman"/>
                <w:color w:val="000000"/>
                <w:szCs w:val="24"/>
                <w:lang w:eastAsia="en-GB"/>
              </w:rPr>
            </w:pPr>
          </w:p>
        </w:tc>
      </w:tr>
      <w:tr w:rsidR="003762A8" w:rsidRPr="003762A8" w14:paraId="0DF3AC95" w14:textId="77777777" w:rsidTr="003762A8">
        <w:trPr>
          <w:trHeight w:val="300"/>
        </w:trPr>
        <w:tc>
          <w:tcPr>
            <w:tcW w:w="2172" w:type="dxa"/>
            <w:shd w:val="clear" w:color="auto" w:fill="auto"/>
            <w:noWrap/>
            <w:vAlign w:val="bottom"/>
            <w:hideMark/>
          </w:tcPr>
          <w:p w14:paraId="0280AF13" w14:textId="77777777" w:rsidR="003762A8" w:rsidRPr="003762A8" w:rsidRDefault="003762A8" w:rsidP="003762A8">
            <w:pPr>
              <w:spacing w:after="0" w:line="240" w:lineRule="auto"/>
              <w:ind w:firstLine="0"/>
              <w:rPr>
                <w:rFonts w:eastAsia="Times New Roman" w:cs="Times New Roman"/>
                <w:b/>
                <w:bCs/>
                <w:color w:val="000000"/>
                <w:szCs w:val="24"/>
                <w:lang w:eastAsia="en-GB"/>
              </w:rPr>
            </w:pPr>
            <w:r w:rsidRPr="003762A8">
              <w:rPr>
                <w:rFonts w:eastAsia="Times New Roman" w:cs="Times New Roman"/>
                <w:b/>
                <w:bCs/>
                <w:color w:val="000000"/>
                <w:szCs w:val="24"/>
                <w:lang w:eastAsia="en-GB"/>
              </w:rPr>
              <w:t>Total Fixed Assets</w:t>
            </w:r>
          </w:p>
        </w:tc>
        <w:tc>
          <w:tcPr>
            <w:tcW w:w="1051" w:type="dxa"/>
            <w:shd w:val="clear" w:color="auto" w:fill="auto"/>
            <w:noWrap/>
            <w:vAlign w:val="bottom"/>
            <w:hideMark/>
          </w:tcPr>
          <w:p w14:paraId="1DC9108B" w14:textId="77777777" w:rsidR="003762A8" w:rsidRPr="003762A8" w:rsidRDefault="003762A8" w:rsidP="003762A8">
            <w:pPr>
              <w:spacing w:after="0" w:line="240" w:lineRule="auto"/>
              <w:ind w:firstLine="0"/>
              <w:rPr>
                <w:rFonts w:eastAsia="Times New Roman" w:cs="Times New Roman"/>
                <w:b/>
                <w:bCs/>
                <w:color w:val="000000"/>
                <w:szCs w:val="24"/>
                <w:lang w:eastAsia="en-GB"/>
              </w:rPr>
            </w:pPr>
          </w:p>
        </w:tc>
        <w:tc>
          <w:tcPr>
            <w:tcW w:w="1051" w:type="dxa"/>
            <w:shd w:val="clear" w:color="auto" w:fill="auto"/>
            <w:noWrap/>
            <w:vAlign w:val="bottom"/>
            <w:hideMark/>
          </w:tcPr>
          <w:p w14:paraId="458C7785" w14:textId="77777777" w:rsidR="003762A8" w:rsidRPr="003762A8" w:rsidRDefault="003762A8" w:rsidP="003762A8">
            <w:pPr>
              <w:spacing w:after="0" w:line="240" w:lineRule="auto"/>
              <w:ind w:firstLine="0"/>
              <w:jc w:val="right"/>
              <w:rPr>
                <w:rFonts w:eastAsia="Times New Roman" w:cs="Times New Roman"/>
                <w:b/>
                <w:bCs/>
                <w:color w:val="000000"/>
                <w:szCs w:val="24"/>
                <w:lang w:eastAsia="en-GB"/>
              </w:rPr>
            </w:pPr>
            <w:r w:rsidRPr="003762A8">
              <w:rPr>
                <w:rFonts w:eastAsia="Times New Roman" w:cs="Times New Roman"/>
                <w:b/>
                <w:bCs/>
                <w:color w:val="000000"/>
                <w:szCs w:val="24"/>
                <w:lang w:eastAsia="en-GB"/>
              </w:rPr>
              <w:t>1,250,000</w:t>
            </w:r>
          </w:p>
        </w:tc>
        <w:tc>
          <w:tcPr>
            <w:tcW w:w="3195" w:type="dxa"/>
            <w:shd w:val="clear" w:color="auto" w:fill="auto"/>
            <w:noWrap/>
            <w:vAlign w:val="bottom"/>
            <w:hideMark/>
          </w:tcPr>
          <w:p w14:paraId="38D1FDB0" w14:textId="77777777" w:rsidR="003762A8" w:rsidRPr="003762A8" w:rsidRDefault="003762A8" w:rsidP="003762A8">
            <w:pPr>
              <w:spacing w:after="0" w:line="240" w:lineRule="auto"/>
              <w:ind w:firstLine="0"/>
              <w:rPr>
                <w:rFonts w:eastAsia="Times New Roman" w:cs="Times New Roman"/>
                <w:b/>
                <w:bCs/>
                <w:color w:val="000000"/>
                <w:szCs w:val="24"/>
                <w:lang w:eastAsia="en-GB"/>
              </w:rPr>
            </w:pPr>
            <w:r w:rsidRPr="003762A8">
              <w:rPr>
                <w:rFonts w:eastAsia="Times New Roman" w:cs="Times New Roman"/>
                <w:b/>
                <w:bCs/>
                <w:color w:val="000000"/>
                <w:szCs w:val="24"/>
                <w:lang w:eastAsia="en-GB"/>
              </w:rPr>
              <w:t xml:space="preserve">TOTAL EQUITY </w:t>
            </w:r>
          </w:p>
        </w:tc>
        <w:tc>
          <w:tcPr>
            <w:tcW w:w="860" w:type="dxa"/>
            <w:shd w:val="clear" w:color="auto" w:fill="auto"/>
            <w:noWrap/>
            <w:vAlign w:val="bottom"/>
            <w:hideMark/>
          </w:tcPr>
          <w:p w14:paraId="6AFE10A4" w14:textId="77777777" w:rsidR="003762A8" w:rsidRPr="003762A8" w:rsidRDefault="003762A8" w:rsidP="003762A8">
            <w:pPr>
              <w:spacing w:after="0" w:line="240" w:lineRule="auto"/>
              <w:ind w:firstLine="0"/>
              <w:rPr>
                <w:rFonts w:eastAsia="Times New Roman" w:cs="Times New Roman"/>
                <w:b/>
                <w:bCs/>
                <w:color w:val="000000"/>
                <w:szCs w:val="24"/>
                <w:lang w:eastAsia="en-GB"/>
              </w:rPr>
            </w:pPr>
          </w:p>
        </w:tc>
        <w:tc>
          <w:tcPr>
            <w:tcW w:w="1051" w:type="dxa"/>
            <w:shd w:val="clear" w:color="auto" w:fill="auto"/>
            <w:noWrap/>
            <w:vAlign w:val="bottom"/>
            <w:hideMark/>
          </w:tcPr>
          <w:p w14:paraId="2FD15D43" w14:textId="77777777" w:rsidR="003762A8" w:rsidRPr="003762A8" w:rsidRDefault="003762A8" w:rsidP="003762A8">
            <w:pPr>
              <w:spacing w:after="0" w:line="240" w:lineRule="auto"/>
              <w:ind w:firstLine="0"/>
              <w:jc w:val="right"/>
              <w:rPr>
                <w:rFonts w:eastAsia="Times New Roman" w:cs="Times New Roman"/>
                <w:b/>
                <w:bCs/>
                <w:color w:val="000000"/>
                <w:szCs w:val="24"/>
                <w:lang w:eastAsia="en-GB"/>
              </w:rPr>
            </w:pPr>
            <w:r w:rsidRPr="003762A8">
              <w:rPr>
                <w:rFonts w:eastAsia="Times New Roman" w:cs="Times New Roman"/>
                <w:b/>
                <w:bCs/>
                <w:color w:val="000000"/>
                <w:szCs w:val="24"/>
                <w:lang w:eastAsia="en-GB"/>
              </w:rPr>
              <w:t>1,582,000</w:t>
            </w:r>
          </w:p>
        </w:tc>
      </w:tr>
      <w:tr w:rsidR="003762A8" w:rsidRPr="003762A8" w14:paraId="4DE12CCB" w14:textId="77777777" w:rsidTr="003762A8">
        <w:trPr>
          <w:trHeight w:val="300"/>
        </w:trPr>
        <w:tc>
          <w:tcPr>
            <w:tcW w:w="2172" w:type="dxa"/>
            <w:shd w:val="clear" w:color="auto" w:fill="auto"/>
            <w:noWrap/>
            <w:vAlign w:val="bottom"/>
            <w:hideMark/>
          </w:tcPr>
          <w:p w14:paraId="5830906B" w14:textId="77777777" w:rsidR="003762A8" w:rsidRPr="003762A8" w:rsidRDefault="003762A8" w:rsidP="003762A8">
            <w:pPr>
              <w:spacing w:after="0" w:line="240" w:lineRule="auto"/>
              <w:ind w:firstLine="0"/>
              <w:rPr>
                <w:rFonts w:eastAsia="Times New Roman" w:cs="Times New Roman"/>
                <w:b/>
                <w:bCs/>
                <w:color w:val="000000"/>
                <w:szCs w:val="24"/>
                <w:lang w:eastAsia="en-GB"/>
              </w:rPr>
            </w:pPr>
            <w:r w:rsidRPr="003762A8">
              <w:rPr>
                <w:rFonts w:eastAsia="Times New Roman" w:cs="Times New Roman"/>
                <w:b/>
                <w:bCs/>
                <w:color w:val="000000"/>
                <w:szCs w:val="24"/>
                <w:lang w:eastAsia="en-GB"/>
              </w:rPr>
              <w:t>TOTAL ASSETS</w:t>
            </w:r>
          </w:p>
        </w:tc>
        <w:tc>
          <w:tcPr>
            <w:tcW w:w="1051" w:type="dxa"/>
            <w:shd w:val="clear" w:color="auto" w:fill="auto"/>
            <w:noWrap/>
            <w:vAlign w:val="bottom"/>
            <w:hideMark/>
          </w:tcPr>
          <w:p w14:paraId="5A212CDD" w14:textId="77777777" w:rsidR="003762A8" w:rsidRPr="003762A8" w:rsidRDefault="003762A8" w:rsidP="003762A8">
            <w:pPr>
              <w:spacing w:after="0" w:line="240" w:lineRule="auto"/>
              <w:ind w:firstLine="0"/>
              <w:rPr>
                <w:rFonts w:eastAsia="Times New Roman" w:cs="Times New Roman"/>
                <w:b/>
                <w:bCs/>
                <w:color w:val="000000"/>
                <w:szCs w:val="24"/>
                <w:lang w:eastAsia="en-GB"/>
              </w:rPr>
            </w:pPr>
          </w:p>
        </w:tc>
        <w:tc>
          <w:tcPr>
            <w:tcW w:w="1051" w:type="dxa"/>
            <w:shd w:val="clear" w:color="auto" w:fill="auto"/>
            <w:noWrap/>
            <w:vAlign w:val="bottom"/>
            <w:hideMark/>
          </w:tcPr>
          <w:p w14:paraId="45C30BE0" w14:textId="77777777" w:rsidR="003762A8" w:rsidRPr="003762A8" w:rsidRDefault="003762A8" w:rsidP="003762A8">
            <w:pPr>
              <w:spacing w:after="0" w:line="240" w:lineRule="auto"/>
              <w:ind w:firstLine="0"/>
              <w:jc w:val="right"/>
              <w:rPr>
                <w:rFonts w:eastAsia="Times New Roman" w:cs="Times New Roman"/>
                <w:b/>
                <w:bCs/>
                <w:color w:val="000000"/>
                <w:szCs w:val="24"/>
                <w:lang w:eastAsia="en-GB"/>
              </w:rPr>
            </w:pPr>
            <w:r w:rsidRPr="003762A8">
              <w:rPr>
                <w:rFonts w:eastAsia="Times New Roman" w:cs="Times New Roman"/>
                <w:b/>
                <w:bCs/>
                <w:color w:val="000000"/>
                <w:szCs w:val="24"/>
                <w:lang w:eastAsia="en-GB"/>
              </w:rPr>
              <w:t>2,028,975</w:t>
            </w:r>
          </w:p>
        </w:tc>
        <w:tc>
          <w:tcPr>
            <w:tcW w:w="3195" w:type="dxa"/>
            <w:shd w:val="clear" w:color="auto" w:fill="auto"/>
            <w:noWrap/>
            <w:vAlign w:val="bottom"/>
            <w:hideMark/>
          </w:tcPr>
          <w:p w14:paraId="66AB784C" w14:textId="77777777" w:rsidR="003762A8" w:rsidRPr="003762A8" w:rsidRDefault="003762A8" w:rsidP="003762A8">
            <w:pPr>
              <w:spacing w:after="0" w:line="240" w:lineRule="auto"/>
              <w:ind w:firstLine="0"/>
              <w:rPr>
                <w:rFonts w:eastAsia="Times New Roman" w:cs="Times New Roman"/>
                <w:b/>
                <w:bCs/>
                <w:color w:val="000000"/>
                <w:szCs w:val="24"/>
                <w:lang w:eastAsia="en-GB"/>
              </w:rPr>
            </w:pPr>
            <w:r w:rsidRPr="003762A8">
              <w:rPr>
                <w:rFonts w:eastAsia="Times New Roman" w:cs="Times New Roman"/>
                <w:b/>
                <w:bCs/>
                <w:color w:val="000000"/>
                <w:szCs w:val="24"/>
                <w:lang w:eastAsia="en-GB"/>
              </w:rPr>
              <w:t>TOTAL LIABILITIES AND EQUITY</w:t>
            </w:r>
          </w:p>
        </w:tc>
        <w:tc>
          <w:tcPr>
            <w:tcW w:w="860" w:type="dxa"/>
            <w:shd w:val="clear" w:color="auto" w:fill="auto"/>
            <w:noWrap/>
            <w:vAlign w:val="bottom"/>
            <w:hideMark/>
          </w:tcPr>
          <w:p w14:paraId="5B32F956" w14:textId="77777777" w:rsidR="003762A8" w:rsidRPr="003762A8" w:rsidRDefault="003762A8" w:rsidP="003762A8">
            <w:pPr>
              <w:spacing w:after="0" w:line="240" w:lineRule="auto"/>
              <w:ind w:firstLine="0"/>
              <w:rPr>
                <w:rFonts w:eastAsia="Times New Roman" w:cs="Times New Roman"/>
                <w:b/>
                <w:bCs/>
                <w:color w:val="000000"/>
                <w:szCs w:val="24"/>
                <w:lang w:eastAsia="en-GB"/>
              </w:rPr>
            </w:pPr>
          </w:p>
        </w:tc>
        <w:tc>
          <w:tcPr>
            <w:tcW w:w="1051" w:type="dxa"/>
            <w:shd w:val="clear" w:color="auto" w:fill="auto"/>
            <w:noWrap/>
            <w:vAlign w:val="bottom"/>
            <w:hideMark/>
          </w:tcPr>
          <w:p w14:paraId="4D945080" w14:textId="1B13665A" w:rsidR="003762A8" w:rsidRPr="003762A8" w:rsidRDefault="00677F85" w:rsidP="003762A8">
            <w:pPr>
              <w:spacing w:after="0" w:line="240" w:lineRule="auto"/>
              <w:ind w:firstLine="0"/>
              <w:jc w:val="right"/>
              <w:rPr>
                <w:rFonts w:eastAsia="Times New Roman" w:cs="Times New Roman"/>
                <w:b/>
                <w:bCs/>
                <w:color w:val="000000"/>
                <w:szCs w:val="24"/>
                <w:lang w:eastAsia="en-GB"/>
              </w:rPr>
            </w:pPr>
            <w:r>
              <w:rPr>
                <w:rFonts w:eastAsia="Times New Roman" w:cs="Times New Roman"/>
                <w:b/>
                <w:bCs/>
                <w:color w:val="000000"/>
                <w:szCs w:val="24"/>
                <w:lang w:eastAsia="en-GB"/>
              </w:rPr>
              <w:t>2,028,975</w:t>
            </w:r>
          </w:p>
        </w:tc>
      </w:tr>
    </w:tbl>
    <w:p w14:paraId="0DEBFB4F" w14:textId="25655A9E" w:rsidR="003762A8" w:rsidRDefault="003762A8" w:rsidP="001977B8">
      <w:pPr>
        <w:rPr>
          <w:rFonts w:cs="Times New Roman"/>
          <w:szCs w:val="24"/>
        </w:rPr>
      </w:pPr>
    </w:p>
    <w:p w14:paraId="6ECB6BFC" w14:textId="7EAF998D" w:rsidR="00677F85" w:rsidRDefault="00677F85" w:rsidP="00617484">
      <w:pPr>
        <w:pStyle w:val="Heading2"/>
        <w:numPr>
          <w:ilvl w:val="0"/>
          <w:numId w:val="4"/>
        </w:numPr>
      </w:pPr>
      <w:r w:rsidRPr="00677F85">
        <w:t xml:space="preserve">Why does the statement of financial position balance? </w:t>
      </w:r>
    </w:p>
    <w:p w14:paraId="1B66AC18" w14:textId="0384A035" w:rsidR="00BE317A" w:rsidRDefault="00232C40" w:rsidP="00BE317A">
      <w:pPr>
        <w:rPr>
          <w:rFonts w:cs="Times New Roman"/>
          <w:szCs w:val="24"/>
        </w:rPr>
      </w:pPr>
      <w:r>
        <w:rPr>
          <w:rFonts w:cs="Times New Roman"/>
          <w:szCs w:val="24"/>
        </w:rPr>
        <w:t>Also referred to as the balance sheet, the statement of financial position provides a list of all assets, liabilities and equity of an organization as of the report date. Consequently, this important financial statement provides a snapshot of the financial condition of a business as of a specific point in time</w:t>
      </w:r>
      <w:r w:rsidR="00A627FD">
        <w:rPr>
          <w:rFonts w:cs="Times New Roman"/>
          <w:szCs w:val="24"/>
        </w:rPr>
        <w:t xml:space="preserve"> (Drury, 2013)</w:t>
      </w:r>
      <w:r>
        <w:rPr>
          <w:rFonts w:cs="Times New Roman"/>
          <w:szCs w:val="24"/>
        </w:rPr>
        <w:t xml:space="preserve">. </w:t>
      </w:r>
      <w:r w:rsidR="00BE317A">
        <w:rPr>
          <w:rFonts w:cs="Times New Roman"/>
          <w:szCs w:val="24"/>
        </w:rPr>
        <w:t xml:space="preserve">The main reason why the statement of financial position always balances is the accounting principle of double entry. This is because the accounting system records all transactions in at least two different accounts effectively acting as a check to </w:t>
      </w:r>
      <w:r w:rsidR="00BE317A">
        <w:rPr>
          <w:rFonts w:cs="Times New Roman"/>
          <w:szCs w:val="24"/>
        </w:rPr>
        <w:lastRenderedPageBreak/>
        <w:t xml:space="preserve">ensure that all the entries are consistent. </w:t>
      </w:r>
      <w:r w:rsidR="00617484">
        <w:rPr>
          <w:rFonts w:cs="Times New Roman"/>
          <w:szCs w:val="24"/>
        </w:rPr>
        <w:t>The balance sheet therefore needs to balance to indicate that the company’s assets are equal to the sum of its liabilities and equity</w:t>
      </w:r>
      <w:r w:rsidR="00A627FD">
        <w:rPr>
          <w:rFonts w:cs="Times New Roman"/>
          <w:szCs w:val="24"/>
        </w:rPr>
        <w:t xml:space="preserve"> (Drury, 2013)</w:t>
      </w:r>
      <w:r w:rsidR="00617484">
        <w:rPr>
          <w:rFonts w:cs="Times New Roman"/>
          <w:szCs w:val="24"/>
        </w:rPr>
        <w:t xml:space="preserve">. </w:t>
      </w:r>
    </w:p>
    <w:p w14:paraId="1202BB97" w14:textId="2C9E32AC" w:rsidR="00A627FD" w:rsidRDefault="00A627FD" w:rsidP="00A627FD">
      <w:pPr>
        <w:pStyle w:val="Heading1"/>
      </w:pPr>
      <w:r>
        <w:t>QUESTION 2</w:t>
      </w:r>
    </w:p>
    <w:p w14:paraId="4C0AC47B" w14:textId="560711EE" w:rsidR="00A627FD" w:rsidRDefault="00A627FD" w:rsidP="00A627FD">
      <w:pPr>
        <w:pStyle w:val="Heading2"/>
        <w:numPr>
          <w:ilvl w:val="0"/>
          <w:numId w:val="6"/>
        </w:numPr>
      </w:pPr>
      <w:r>
        <w:t>Calculate Ratios for Sweet Plc for 2021 and 2020</w:t>
      </w:r>
    </w:p>
    <w:p w14:paraId="4F7B4212" w14:textId="6A799633" w:rsidR="00A627FD" w:rsidRDefault="00A627FD" w:rsidP="00D25E84">
      <w:pPr>
        <w:pStyle w:val="Heading3"/>
        <w:numPr>
          <w:ilvl w:val="0"/>
          <w:numId w:val="7"/>
        </w:numPr>
      </w:pPr>
      <w:r>
        <w:t xml:space="preserve">ROCE </w:t>
      </w:r>
    </w:p>
    <w:p w14:paraId="74E5255B" w14:textId="786AFF37" w:rsidR="00A627FD" w:rsidRDefault="00A627FD" w:rsidP="00BE317A">
      <w:r>
        <w:rPr>
          <w:rFonts w:cs="Times New Roman"/>
          <w:szCs w:val="24"/>
        </w:rPr>
        <w:t xml:space="preserve">Return on Capital Employed (ROCE) is an important profitability and capital efficiency ratio that helps to understand how well a firm is generating profits from its capital as it is utilised </w:t>
      </w:r>
      <w:r w:rsidR="008E2051">
        <w:rPr>
          <w:rFonts w:cs="Times New Roman"/>
          <w:szCs w:val="24"/>
        </w:rPr>
        <w:t>(</w:t>
      </w:r>
      <w:r w:rsidR="008E2051" w:rsidRPr="00A16268">
        <w:t>Atrill,</w:t>
      </w:r>
      <w:r w:rsidR="008E2051">
        <w:t xml:space="preserve"> et al., 2014). It is calculated using the formula: </w:t>
      </w:r>
    </w:p>
    <w:p w14:paraId="3BCDD14C" w14:textId="46C28CFF" w:rsidR="008E2051" w:rsidRDefault="008E2051" w:rsidP="00BE317A">
      <w:pPr>
        <w:rPr>
          <w:rFonts w:eastAsiaTheme="minorEastAsia"/>
        </w:rPr>
      </w:pPr>
      <w:r>
        <w:t xml:space="preserve">ROCE = </w:t>
      </w:r>
      <m:oMath>
        <m:f>
          <m:fPr>
            <m:ctrlPr>
              <w:rPr>
                <w:rFonts w:ascii="Cambria Math" w:hAnsi="Cambria Math"/>
                <w:i/>
              </w:rPr>
            </m:ctrlPr>
          </m:fPr>
          <m:num>
            <m:r>
              <w:rPr>
                <w:rFonts w:ascii="Cambria Math" w:hAnsi="Cambria Math"/>
              </w:rPr>
              <m:t>Operating Profit</m:t>
            </m:r>
          </m:num>
          <m:den>
            <m:r>
              <w:rPr>
                <w:rFonts w:ascii="Cambria Math" w:hAnsi="Cambria Math"/>
              </w:rPr>
              <m:t>Capital Employed</m:t>
            </m:r>
          </m:den>
        </m:f>
        <m:r>
          <w:rPr>
            <w:rFonts w:ascii="Cambria Math" w:hAnsi="Cambria Math"/>
          </w:rPr>
          <m:t xml:space="preserve"> x 100</m:t>
        </m:r>
      </m:oMath>
      <w:r w:rsidR="00992E0C">
        <w:rPr>
          <w:rFonts w:eastAsiaTheme="minorEastAsia"/>
        </w:rPr>
        <w:t xml:space="preserve"> </w:t>
      </w:r>
    </w:p>
    <w:p w14:paraId="30A7E163" w14:textId="428B90FB" w:rsidR="00992E0C" w:rsidRDefault="00992E0C" w:rsidP="00BE317A">
      <w:pPr>
        <w:rPr>
          <w:rFonts w:eastAsiaTheme="minorEastAsia"/>
        </w:rPr>
      </w:pPr>
      <w:r>
        <w:rPr>
          <w:rFonts w:eastAsiaTheme="minorEastAsia"/>
        </w:rPr>
        <w:t xml:space="preserve">ROCE for 2021 = </w:t>
      </w:r>
      <w:r w:rsidR="000743D3">
        <w:rPr>
          <w:rFonts w:eastAsiaTheme="minorEastAsia"/>
        </w:rPr>
        <w:t>(805/</w:t>
      </w:r>
      <w:r w:rsidR="00772430">
        <w:rPr>
          <w:rFonts w:eastAsiaTheme="minorEastAsia"/>
        </w:rPr>
        <w:t xml:space="preserve">3,088) x 100 = </w:t>
      </w:r>
      <w:r w:rsidR="00D25E84">
        <w:rPr>
          <w:rFonts w:eastAsiaTheme="minorEastAsia"/>
        </w:rPr>
        <w:t xml:space="preserve">26.1% </w:t>
      </w:r>
    </w:p>
    <w:p w14:paraId="7F45C931" w14:textId="441FC0E9" w:rsidR="00D25E84" w:rsidRDefault="00D25E84" w:rsidP="00BE317A">
      <w:pPr>
        <w:rPr>
          <w:rFonts w:eastAsiaTheme="minorEastAsia"/>
        </w:rPr>
      </w:pPr>
      <w:r>
        <w:rPr>
          <w:rFonts w:eastAsiaTheme="minorEastAsia"/>
        </w:rPr>
        <w:t xml:space="preserve">ROCE for 2020 = (699/2,912) x 100 = 24.0% </w:t>
      </w:r>
    </w:p>
    <w:p w14:paraId="11388FCD" w14:textId="1BDB08B7" w:rsidR="006C43FB" w:rsidRDefault="006C43FB" w:rsidP="00513916">
      <w:pPr>
        <w:pStyle w:val="Heading3"/>
        <w:numPr>
          <w:ilvl w:val="0"/>
          <w:numId w:val="7"/>
        </w:numPr>
        <w:rPr>
          <w:rFonts w:eastAsiaTheme="minorEastAsia"/>
        </w:rPr>
      </w:pPr>
      <w:r>
        <w:rPr>
          <w:rFonts w:eastAsiaTheme="minorEastAsia"/>
        </w:rPr>
        <w:t>ROE</w:t>
      </w:r>
    </w:p>
    <w:p w14:paraId="13EE9A0F" w14:textId="46BF4D37" w:rsidR="004406BF" w:rsidRDefault="006C43FB" w:rsidP="004406BF">
      <w:pPr>
        <w:rPr>
          <w:rFonts w:eastAsiaTheme="minorEastAsia"/>
        </w:rPr>
      </w:pPr>
      <w:r>
        <w:rPr>
          <w:rFonts w:eastAsiaTheme="minorEastAsia"/>
        </w:rPr>
        <w:t xml:space="preserve">Return on Equity (ROE) is another important profitability ratio that is used to assess the financial performance of </w:t>
      </w:r>
      <w:r w:rsidR="004406BF">
        <w:rPr>
          <w:rFonts w:eastAsiaTheme="minorEastAsia"/>
        </w:rPr>
        <w:t xml:space="preserve">a firm in terms of the </w:t>
      </w:r>
      <w:r w:rsidR="004406BF" w:rsidRPr="004406BF">
        <w:rPr>
          <w:rFonts w:eastAsiaTheme="minorEastAsia"/>
        </w:rPr>
        <w:t>net profits</w:t>
      </w:r>
      <w:r w:rsidR="004406BF">
        <w:rPr>
          <w:rFonts w:eastAsiaTheme="minorEastAsia"/>
        </w:rPr>
        <w:t xml:space="preserve"> it</w:t>
      </w:r>
      <w:r w:rsidR="004406BF" w:rsidRPr="004406BF">
        <w:rPr>
          <w:rFonts w:eastAsiaTheme="minorEastAsia"/>
        </w:rPr>
        <w:t xml:space="preserve"> generated based on each dollar of equity investment contributed by shareholders</w:t>
      </w:r>
      <w:r w:rsidR="004406BF">
        <w:rPr>
          <w:rFonts w:eastAsiaTheme="minorEastAsia"/>
        </w:rPr>
        <w:t xml:space="preserve"> (</w:t>
      </w:r>
      <w:r w:rsidR="004406BF" w:rsidRPr="00A70233">
        <w:t>Harvey,</w:t>
      </w:r>
      <w:r w:rsidR="004406BF">
        <w:t xml:space="preserve"> et al., 2013)</w:t>
      </w:r>
      <w:r w:rsidR="004406BF" w:rsidRPr="004406BF">
        <w:rPr>
          <w:rFonts w:eastAsiaTheme="minorEastAsia"/>
        </w:rPr>
        <w:t>.</w:t>
      </w:r>
      <w:r w:rsidR="004406BF">
        <w:rPr>
          <w:rFonts w:eastAsiaTheme="minorEastAsia"/>
        </w:rPr>
        <w:t xml:space="preserve"> It is calculated using the formula: </w:t>
      </w:r>
    </w:p>
    <w:p w14:paraId="3401FE63" w14:textId="20544E02" w:rsidR="004406BF" w:rsidRDefault="004406BF" w:rsidP="004406BF">
      <w:pPr>
        <w:rPr>
          <w:rFonts w:eastAsiaTheme="minorEastAsia"/>
        </w:rPr>
      </w:pPr>
      <w:r>
        <w:rPr>
          <w:rFonts w:eastAsiaTheme="minorEastAsia"/>
        </w:rPr>
        <w:t xml:space="preserve">ROE = </w:t>
      </w:r>
      <m:oMath>
        <m:f>
          <m:fPr>
            <m:ctrlPr>
              <w:rPr>
                <w:rFonts w:ascii="Cambria Math" w:eastAsiaTheme="minorEastAsia" w:hAnsi="Cambria Math"/>
                <w:i/>
              </w:rPr>
            </m:ctrlPr>
          </m:fPr>
          <m:num>
            <m:r>
              <w:rPr>
                <w:rFonts w:ascii="Cambria Math" w:eastAsiaTheme="minorEastAsia" w:hAnsi="Cambria Math"/>
              </w:rPr>
              <m:t>Net Income</m:t>
            </m:r>
          </m:num>
          <m:den>
            <m:r>
              <w:rPr>
                <w:rFonts w:ascii="Cambria Math" w:eastAsiaTheme="minorEastAsia" w:hAnsi="Cambria Math"/>
              </w:rPr>
              <m:t>Shareholders Equity</m:t>
            </m:r>
          </m:den>
        </m:f>
        <m:r>
          <w:rPr>
            <w:rFonts w:ascii="Cambria Math" w:eastAsiaTheme="minorEastAsia" w:hAnsi="Cambria Math"/>
          </w:rPr>
          <m:t xml:space="preserve"> x 100</m:t>
        </m:r>
      </m:oMath>
    </w:p>
    <w:p w14:paraId="5D416556" w14:textId="7186FACF" w:rsidR="00A22A54" w:rsidRDefault="00A22A54" w:rsidP="004406BF">
      <w:pPr>
        <w:rPr>
          <w:rFonts w:eastAsiaTheme="minorEastAsia"/>
        </w:rPr>
      </w:pPr>
      <w:r>
        <w:rPr>
          <w:rFonts w:eastAsiaTheme="minorEastAsia"/>
        </w:rPr>
        <w:t xml:space="preserve">ROE for 2021 = </w:t>
      </w:r>
      <w:r w:rsidR="00513916">
        <w:rPr>
          <w:rFonts w:eastAsiaTheme="minorEastAsia"/>
        </w:rPr>
        <w:t xml:space="preserve">(431/3,088) x 100 = 14% </w:t>
      </w:r>
    </w:p>
    <w:p w14:paraId="6250DA9F" w14:textId="3CEA1DD6" w:rsidR="00513916" w:rsidRDefault="00513916" w:rsidP="004406BF">
      <w:pPr>
        <w:rPr>
          <w:rFonts w:eastAsiaTheme="minorEastAsia"/>
        </w:rPr>
      </w:pPr>
      <w:r>
        <w:rPr>
          <w:rFonts w:eastAsiaTheme="minorEastAsia"/>
        </w:rPr>
        <w:t>ROE for 2020 = (366/2,912) x 100 = 12.6%</w:t>
      </w:r>
    </w:p>
    <w:p w14:paraId="7C876DE9" w14:textId="01D15BF3" w:rsidR="00513916" w:rsidRDefault="00C90FBE" w:rsidP="000F73A0">
      <w:pPr>
        <w:pStyle w:val="Heading3"/>
        <w:numPr>
          <w:ilvl w:val="0"/>
          <w:numId w:val="7"/>
        </w:numPr>
        <w:rPr>
          <w:rFonts w:eastAsiaTheme="minorEastAsia"/>
        </w:rPr>
      </w:pPr>
      <w:r>
        <w:rPr>
          <w:rFonts w:eastAsiaTheme="minorEastAsia"/>
        </w:rPr>
        <w:lastRenderedPageBreak/>
        <w:t xml:space="preserve">Earnings per Share </w:t>
      </w:r>
    </w:p>
    <w:p w14:paraId="5403A57F" w14:textId="77777777" w:rsidR="00CD045C" w:rsidRDefault="00C90FBE" w:rsidP="004406BF">
      <w:pPr>
        <w:rPr>
          <w:rFonts w:eastAsiaTheme="minorEastAsia"/>
        </w:rPr>
      </w:pPr>
      <w:r>
        <w:rPr>
          <w:rFonts w:eastAsiaTheme="minorEastAsia"/>
        </w:rPr>
        <w:t xml:space="preserve">This is a profitability ratio that is often used by investors and other market participants to assess the profitability of a company before purchasing its shares. </w:t>
      </w:r>
      <w:r w:rsidR="00CD045C">
        <w:rPr>
          <w:rFonts w:eastAsiaTheme="minorEastAsia"/>
        </w:rPr>
        <w:t>Th</w:t>
      </w:r>
      <w:r w:rsidR="00CD045C" w:rsidRPr="00CD045C">
        <w:rPr>
          <w:rFonts w:eastAsiaTheme="minorEastAsia"/>
        </w:rPr>
        <w:t xml:space="preserve">e EPS ratio </w:t>
      </w:r>
      <w:r w:rsidR="00CD045C">
        <w:rPr>
          <w:rFonts w:eastAsiaTheme="minorEastAsia"/>
        </w:rPr>
        <w:t xml:space="preserve">particularly informs prospective investors </w:t>
      </w:r>
      <w:r w:rsidR="00CD045C" w:rsidRPr="00CD045C">
        <w:rPr>
          <w:rFonts w:eastAsiaTheme="minorEastAsia"/>
        </w:rPr>
        <w:t>the room a company has for increasing its existing dividend</w:t>
      </w:r>
      <w:r w:rsidR="00CD045C">
        <w:rPr>
          <w:rFonts w:eastAsiaTheme="minorEastAsia"/>
        </w:rPr>
        <w:t xml:space="preserve"> (Drury, 2013)</w:t>
      </w:r>
      <w:r w:rsidR="00CD045C" w:rsidRPr="00CD045C">
        <w:rPr>
          <w:rFonts w:eastAsiaTheme="minorEastAsia"/>
        </w:rPr>
        <w:t>.</w:t>
      </w:r>
      <w:r w:rsidR="00CD045C">
        <w:rPr>
          <w:rFonts w:eastAsiaTheme="minorEastAsia"/>
        </w:rPr>
        <w:t xml:space="preserve"> It is calculated using the formula: </w:t>
      </w:r>
    </w:p>
    <w:p w14:paraId="16056B83" w14:textId="61B0380D" w:rsidR="00C90FBE" w:rsidRDefault="00CD045C" w:rsidP="004406BF">
      <w:pPr>
        <w:rPr>
          <w:rFonts w:eastAsiaTheme="minorEastAsia"/>
        </w:rPr>
      </w:pPr>
      <w:r>
        <w:rPr>
          <w:rFonts w:eastAsiaTheme="minorEastAsia"/>
        </w:rPr>
        <w:t xml:space="preserve">EPS = </w:t>
      </w:r>
      <m:oMath>
        <m:f>
          <m:fPr>
            <m:ctrlPr>
              <w:rPr>
                <w:rFonts w:ascii="Cambria Math" w:eastAsiaTheme="minorEastAsia" w:hAnsi="Cambria Math"/>
                <w:i/>
              </w:rPr>
            </m:ctrlPr>
          </m:fPr>
          <m:num>
            <m:r>
              <w:rPr>
                <w:rFonts w:ascii="Cambria Math" w:eastAsiaTheme="minorEastAsia" w:hAnsi="Cambria Math"/>
              </w:rPr>
              <m:t>Net Income after Tax-Total Dividends</m:t>
            </m:r>
          </m:num>
          <m:den>
            <m:r>
              <w:rPr>
                <w:rFonts w:ascii="Cambria Math" w:eastAsiaTheme="minorEastAsia" w:hAnsi="Cambria Math"/>
              </w:rPr>
              <m:t>Total Number of Outstanding Shares</m:t>
            </m:r>
          </m:den>
        </m:f>
      </m:oMath>
      <w:r w:rsidRPr="00CD045C">
        <w:rPr>
          <w:rFonts w:eastAsiaTheme="minorEastAsia"/>
        </w:rPr>
        <w:t> </w:t>
      </w:r>
    </w:p>
    <w:p w14:paraId="40632490" w14:textId="19C2725E" w:rsidR="0018600E" w:rsidRDefault="0018600E" w:rsidP="004406BF">
      <w:pPr>
        <w:rPr>
          <w:rFonts w:eastAsiaTheme="minorEastAsia" w:cs="Times New Roman"/>
        </w:rPr>
      </w:pPr>
      <w:r>
        <w:rPr>
          <w:rFonts w:eastAsiaTheme="minorEastAsia"/>
        </w:rPr>
        <w:t xml:space="preserve">EPS for 2021 = </w:t>
      </w:r>
      <m:oMath>
        <m:f>
          <m:fPr>
            <m:ctrlPr>
              <w:rPr>
                <w:rFonts w:ascii="Cambria Math" w:eastAsiaTheme="minorEastAsia" w:hAnsi="Cambria Math"/>
                <w:i/>
              </w:rPr>
            </m:ctrlPr>
          </m:fPr>
          <m:num>
            <m:r>
              <w:rPr>
                <w:rFonts w:ascii="Cambria Math" w:eastAsiaTheme="minorEastAsia" w:hAnsi="Cambria Math"/>
              </w:rPr>
              <m:t>431-255</m:t>
            </m:r>
          </m:num>
          <m:den>
            <m:r>
              <w:rPr>
                <w:rFonts w:ascii="Cambria Math" w:eastAsiaTheme="minorEastAsia" w:hAnsi="Cambria Math"/>
              </w:rPr>
              <m:t>300</m:t>
            </m:r>
          </m:den>
        </m:f>
      </m:oMath>
      <w:r w:rsidR="000F73A0">
        <w:rPr>
          <w:rFonts w:eastAsiaTheme="minorEastAsia"/>
        </w:rPr>
        <w:t xml:space="preserve"> = 176/300 = </w:t>
      </w:r>
      <w:r w:rsidR="000F73A0">
        <w:rPr>
          <w:rFonts w:eastAsiaTheme="minorEastAsia" w:cs="Times New Roman"/>
        </w:rPr>
        <w:t>59 pence per share</w:t>
      </w:r>
    </w:p>
    <w:p w14:paraId="53AA3BF1" w14:textId="5951774F" w:rsidR="000F73A0" w:rsidRDefault="000F73A0" w:rsidP="004406BF">
      <w:pPr>
        <w:rPr>
          <w:rFonts w:eastAsiaTheme="minorEastAsia" w:cs="Times New Roman"/>
        </w:rPr>
      </w:pPr>
      <w:r>
        <w:rPr>
          <w:rFonts w:eastAsiaTheme="minorEastAsia" w:cs="Times New Roman"/>
        </w:rPr>
        <w:t xml:space="preserve">EPS for 2020 = </w:t>
      </w:r>
      <m:oMath>
        <m:f>
          <m:fPr>
            <m:ctrlPr>
              <w:rPr>
                <w:rFonts w:ascii="Cambria Math" w:eastAsiaTheme="minorEastAsia" w:hAnsi="Cambria Math" w:cs="Times New Roman"/>
                <w:i/>
              </w:rPr>
            </m:ctrlPr>
          </m:fPr>
          <m:num>
            <m:r>
              <w:rPr>
                <w:rFonts w:ascii="Cambria Math" w:eastAsiaTheme="minorEastAsia" w:hAnsi="Cambria Math" w:cs="Times New Roman"/>
              </w:rPr>
              <m:t>366-242</m:t>
            </m:r>
          </m:num>
          <m:den>
            <m:r>
              <w:rPr>
                <w:rFonts w:ascii="Cambria Math" w:eastAsiaTheme="minorEastAsia" w:hAnsi="Cambria Math" w:cs="Times New Roman"/>
              </w:rPr>
              <m:t>300</m:t>
            </m:r>
          </m:den>
        </m:f>
      </m:oMath>
      <w:r>
        <w:rPr>
          <w:rFonts w:eastAsiaTheme="minorEastAsia" w:cs="Times New Roman"/>
        </w:rPr>
        <w:t xml:space="preserve"> = 124/300 = 41 pence per share </w:t>
      </w:r>
    </w:p>
    <w:p w14:paraId="255AEEB0" w14:textId="4C7E2D0A" w:rsidR="000A5FCF" w:rsidRDefault="000A5FCF" w:rsidP="00BD46D2">
      <w:pPr>
        <w:pStyle w:val="Heading3"/>
        <w:numPr>
          <w:ilvl w:val="0"/>
          <w:numId w:val="7"/>
        </w:numPr>
        <w:rPr>
          <w:rFonts w:eastAsiaTheme="minorEastAsia"/>
        </w:rPr>
      </w:pPr>
      <w:r>
        <w:rPr>
          <w:rFonts w:eastAsiaTheme="minorEastAsia"/>
        </w:rPr>
        <w:t xml:space="preserve">Net Profit Margin </w:t>
      </w:r>
    </w:p>
    <w:p w14:paraId="57C7514D" w14:textId="6111EFAE" w:rsidR="000A5FCF" w:rsidRDefault="000A5FCF" w:rsidP="000A5FCF">
      <w:pPr>
        <w:rPr>
          <w:rFonts w:eastAsiaTheme="minorEastAsia"/>
        </w:rPr>
      </w:pPr>
      <w:r>
        <w:rPr>
          <w:rFonts w:eastAsiaTheme="minorEastAsia" w:cs="Times New Roman"/>
        </w:rPr>
        <w:t>This is a profitability ratio that highl</w:t>
      </w:r>
      <w:r w:rsidR="00BB24D5">
        <w:rPr>
          <w:rFonts w:eastAsiaTheme="minorEastAsia" w:cs="Times New Roman"/>
        </w:rPr>
        <w:t xml:space="preserve">ights </w:t>
      </w:r>
      <w:r w:rsidRPr="000A5FCF">
        <w:rPr>
          <w:rFonts w:eastAsiaTheme="minorEastAsia"/>
        </w:rPr>
        <w:t>the percentage of sales revenue a company keeps</w:t>
      </w:r>
      <w:r w:rsidR="00BB24D5">
        <w:rPr>
          <w:rFonts w:eastAsiaTheme="minorEastAsia"/>
        </w:rPr>
        <w:t xml:space="preserve"> it all its costs including interest and taxes are fully covered (Atrill, et al., 2014). The formula below is used to calculate this ratio: </w:t>
      </w:r>
    </w:p>
    <w:p w14:paraId="0824D5C8" w14:textId="7BA6DAF7" w:rsidR="00BB24D5" w:rsidRDefault="00BB24D5" w:rsidP="000A5FCF">
      <w:pPr>
        <w:rPr>
          <w:rFonts w:eastAsiaTheme="minorEastAsia"/>
        </w:rPr>
      </w:pPr>
      <w:r>
        <w:rPr>
          <w:rFonts w:eastAsiaTheme="minorEastAsia"/>
        </w:rPr>
        <w:t xml:space="preserve">Net Profit margin = </w:t>
      </w:r>
      <m:oMath>
        <m:f>
          <m:fPr>
            <m:ctrlPr>
              <w:rPr>
                <w:rFonts w:ascii="Cambria Math" w:eastAsiaTheme="minorEastAsia" w:hAnsi="Cambria Math"/>
                <w:i/>
              </w:rPr>
            </m:ctrlPr>
          </m:fPr>
          <m:num>
            <m:r>
              <w:rPr>
                <w:rFonts w:ascii="Cambria Math" w:eastAsiaTheme="minorEastAsia" w:hAnsi="Cambria Math"/>
              </w:rPr>
              <m:t xml:space="preserve">Net Profit </m:t>
            </m:r>
          </m:num>
          <m:den>
            <m:r>
              <w:rPr>
                <w:rFonts w:ascii="Cambria Math" w:eastAsiaTheme="minorEastAsia" w:hAnsi="Cambria Math"/>
              </w:rPr>
              <m:t>Revenue</m:t>
            </m:r>
          </m:den>
        </m:f>
        <m:r>
          <w:rPr>
            <w:rFonts w:ascii="Cambria Math" w:eastAsiaTheme="minorEastAsia" w:hAnsi="Cambria Math"/>
          </w:rPr>
          <m:t xml:space="preserve"> x 100</m:t>
        </m:r>
      </m:oMath>
    </w:p>
    <w:p w14:paraId="4B2B3542" w14:textId="03C5F10E" w:rsidR="00BB24D5" w:rsidRDefault="00BB24D5" w:rsidP="000A5FCF">
      <w:pPr>
        <w:rPr>
          <w:rFonts w:eastAsiaTheme="minorEastAsia"/>
        </w:rPr>
      </w:pPr>
      <w:r>
        <w:rPr>
          <w:rFonts w:eastAsiaTheme="minorEastAsia"/>
        </w:rPr>
        <w:t xml:space="preserve">Net Profit Margin for 2021 = </w:t>
      </w:r>
      <w:r w:rsidR="00BD46D2">
        <w:rPr>
          <w:rFonts w:eastAsiaTheme="minorEastAsia"/>
        </w:rPr>
        <w:t xml:space="preserve">(431/6,738) x 100 = 6.4% </w:t>
      </w:r>
    </w:p>
    <w:p w14:paraId="5BBD6300" w14:textId="1F92BC4A" w:rsidR="00BD46D2" w:rsidRDefault="00BD46D2" w:rsidP="000A5FCF">
      <w:pPr>
        <w:rPr>
          <w:rFonts w:eastAsiaTheme="minorEastAsia"/>
        </w:rPr>
      </w:pPr>
      <w:r>
        <w:rPr>
          <w:rFonts w:eastAsiaTheme="minorEastAsia"/>
        </w:rPr>
        <w:t xml:space="preserve">Net Profit Margin for 2020 = (366/6,441) x 100 = 5.7% </w:t>
      </w:r>
    </w:p>
    <w:p w14:paraId="5B4E2CB0" w14:textId="170920F7" w:rsidR="00BD46D2" w:rsidRDefault="00BD46D2" w:rsidP="00221510">
      <w:pPr>
        <w:pStyle w:val="Heading3"/>
        <w:numPr>
          <w:ilvl w:val="0"/>
          <w:numId w:val="7"/>
        </w:numPr>
        <w:rPr>
          <w:rFonts w:eastAsiaTheme="minorEastAsia"/>
        </w:rPr>
      </w:pPr>
      <w:r>
        <w:rPr>
          <w:rFonts w:eastAsiaTheme="minorEastAsia"/>
        </w:rPr>
        <w:t xml:space="preserve">Asset Turnover </w:t>
      </w:r>
    </w:p>
    <w:p w14:paraId="6B618AA5" w14:textId="1567C47F" w:rsidR="006C43FB" w:rsidRDefault="000F55DD" w:rsidP="000F55DD">
      <w:pPr>
        <w:rPr>
          <w:rFonts w:eastAsiaTheme="minorEastAsia"/>
        </w:rPr>
      </w:pPr>
      <w:r>
        <w:rPr>
          <w:rFonts w:eastAsiaTheme="minorEastAsia"/>
        </w:rPr>
        <w:t>This is an important efficiency ratio that evaluates how</w:t>
      </w:r>
      <w:r w:rsidRPr="000F55DD">
        <w:rPr>
          <w:rFonts w:eastAsiaTheme="minorEastAsia"/>
          <w:lang w:val="en"/>
        </w:rPr>
        <w:t xml:space="preserve"> efficiently a </w:t>
      </w:r>
      <w:r>
        <w:rPr>
          <w:rFonts w:eastAsiaTheme="minorEastAsia"/>
          <w:lang w:val="en"/>
        </w:rPr>
        <w:t xml:space="preserve">given firm </w:t>
      </w:r>
      <w:r w:rsidRPr="000F55DD">
        <w:rPr>
          <w:rFonts w:eastAsiaTheme="minorEastAsia"/>
          <w:lang w:val="en"/>
        </w:rPr>
        <w:t>is using its owned resources to generate revenue or sales.</w:t>
      </w:r>
      <w:r>
        <w:rPr>
          <w:rFonts w:eastAsiaTheme="minorEastAsia"/>
          <w:lang w:val="en"/>
        </w:rPr>
        <w:t xml:space="preserve"> It is particularly helpful to investors as it helps them understand how effectively the company is using its assets to generate sales. It is calculated using the formula: </w:t>
      </w:r>
    </w:p>
    <w:p w14:paraId="48E9F8E7" w14:textId="14BDFA6F" w:rsidR="000F55DD" w:rsidRDefault="000F55DD" w:rsidP="000F55DD">
      <w:pPr>
        <w:rPr>
          <w:rFonts w:eastAsiaTheme="minorEastAsia"/>
        </w:rPr>
      </w:pPr>
      <w:r>
        <w:rPr>
          <w:rFonts w:eastAsiaTheme="minorEastAsia"/>
        </w:rPr>
        <w:lastRenderedPageBreak/>
        <w:t xml:space="preserve">Asset turnover = </w:t>
      </w:r>
      <m:oMath>
        <m:f>
          <m:fPr>
            <m:ctrlPr>
              <w:rPr>
                <w:rFonts w:ascii="Cambria Math" w:eastAsiaTheme="minorEastAsia" w:hAnsi="Cambria Math"/>
                <w:i/>
              </w:rPr>
            </m:ctrlPr>
          </m:fPr>
          <m:num>
            <m:r>
              <w:rPr>
                <w:rFonts w:ascii="Cambria Math" w:eastAsiaTheme="minorEastAsia" w:hAnsi="Cambria Math"/>
              </w:rPr>
              <m:t>Sales Revenue</m:t>
            </m:r>
          </m:num>
          <m:den>
            <m:r>
              <w:rPr>
                <w:rFonts w:ascii="Cambria Math" w:eastAsiaTheme="minorEastAsia" w:hAnsi="Cambria Math"/>
              </w:rPr>
              <m:t>Average Total Assets</m:t>
            </m:r>
          </m:den>
        </m:f>
      </m:oMath>
    </w:p>
    <w:p w14:paraId="573D4266" w14:textId="5B7BA0C1" w:rsidR="000D7298" w:rsidRDefault="000D7298" w:rsidP="000F55DD">
      <w:pPr>
        <w:rPr>
          <w:rFonts w:eastAsiaTheme="minorEastAsia"/>
        </w:rPr>
      </w:pPr>
      <w:r>
        <w:rPr>
          <w:rFonts w:eastAsiaTheme="minorEastAsia"/>
        </w:rPr>
        <w:t xml:space="preserve">Asset Turnover ratio for 2021 = </w:t>
      </w:r>
      <m:oMath>
        <m:f>
          <m:fPr>
            <m:ctrlPr>
              <w:rPr>
                <w:rFonts w:ascii="Cambria Math" w:eastAsiaTheme="minorEastAsia" w:hAnsi="Cambria Math"/>
                <w:i/>
              </w:rPr>
            </m:ctrlPr>
          </m:fPr>
          <m:num>
            <m:r>
              <w:rPr>
                <w:rFonts w:ascii="Cambria Math" w:eastAsiaTheme="minorEastAsia" w:hAnsi="Cambria Math"/>
              </w:rPr>
              <m:t>6,738</m:t>
            </m:r>
          </m:num>
          <m:den>
            <m:r>
              <w:rPr>
                <w:rFonts w:ascii="Cambria Math" w:eastAsiaTheme="minorEastAsia" w:hAnsi="Cambria Math"/>
              </w:rPr>
              <m:t xml:space="preserve">(10,087+9,736)/2 </m:t>
            </m:r>
          </m:den>
        </m:f>
      </m:oMath>
      <w:r w:rsidR="00F22DDC">
        <w:rPr>
          <w:rFonts w:eastAsiaTheme="minorEastAsia"/>
        </w:rPr>
        <w:t xml:space="preserve"> = 6,738/9911.5 = </w:t>
      </w:r>
      <w:r w:rsidR="00221510">
        <w:rPr>
          <w:rFonts w:eastAsiaTheme="minorEastAsia"/>
        </w:rPr>
        <w:t xml:space="preserve">0.68 </w:t>
      </w:r>
    </w:p>
    <w:p w14:paraId="30D2F012" w14:textId="5442673D" w:rsidR="00221510" w:rsidRDefault="00221510" w:rsidP="000F55DD">
      <w:pPr>
        <w:rPr>
          <w:rFonts w:eastAsiaTheme="minorEastAsia"/>
        </w:rPr>
      </w:pPr>
      <w:r>
        <w:rPr>
          <w:rFonts w:eastAsiaTheme="minorEastAsia"/>
        </w:rPr>
        <w:t xml:space="preserve">Asset Turnover ratio for 2020 = </w:t>
      </w:r>
      <m:oMath>
        <m:f>
          <m:fPr>
            <m:ctrlPr>
              <w:rPr>
                <w:rFonts w:ascii="Cambria Math" w:eastAsiaTheme="minorEastAsia" w:hAnsi="Cambria Math"/>
                <w:i/>
              </w:rPr>
            </m:ctrlPr>
          </m:fPr>
          <m:num>
            <m:r>
              <w:rPr>
                <w:rFonts w:ascii="Cambria Math" w:eastAsiaTheme="minorEastAsia" w:hAnsi="Cambria Math"/>
              </w:rPr>
              <m:t>6,441</m:t>
            </m:r>
          </m:num>
          <m:den>
            <m:r>
              <w:rPr>
                <w:rFonts w:ascii="Cambria Math" w:eastAsiaTheme="minorEastAsia" w:hAnsi="Cambria Math"/>
              </w:rPr>
              <m:t>10,087</m:t>
            </m:r>
          </m:den>
        </m:f>
      </m:oMath>
      <w:r>
        <w:rPr>
          <w:rFonts w:eastAsiaTheme="minorEastAsia"/>
        </w:rPr>
        <w:t xml:space="preserve"> = 0.64 </w:t>
      </w:r>
    </w:p>
    <w:p w14:paraId="127F8241" w14:textId="3227F0E5" w:rsidR="00221510" w:rsidRDefault="00221510" w:rsidP="00890290">
      <w:pPr>
        <w:pStyle w:val="Heading3"/>
        <w:numPr>
          <w:ilvl w:val="0"/>
          <w:numId w:val="7"/>
        </w:numPr>
        <w:rPr>
          <w:rFonts w:eastAsiaTheme="minorEastAsia"/>
        </w:rPr>
      </w:pPr>
      <w:r>
        <w:rPr>
          <w:rFonts w:eastAsiaTheme="minorEastAsia"/>
        </w:rPr>
        <w:t xml:space="preserve">Stock holding days </w:t>
      </w:r>
    </w:p>
    <w:p w14:paraId="41B7096E" w14:textId="789CD29A" w:rsidR="00221510" w:rsidRDefault="00221510" w:rsidP="00221510">
      <w:pPr>
        <w:rPr>
          <w:rFonts w:eastAsiaTheme="minorEastAsia"/>
        </w:rPr>
      </w:pPr>
      <w:r>
        <w:rPr>
          <w:rFonts w:eastAsiaTheme="minorEastAsia"/>
        </w:rPr>
        <w:t xml:space="preserve">This </w:t>
      </w:r>
      <w:r w:rsidR="00F775DF">
        <w:rPr>
          <w:rFonts w:eastAsiaTheme="minorEastAsia"/>
        </w:rPr>
        <w:t xml:space="preserve">is an efficiency </w:t>
      </w:r>
      <w:r>
        <w:rPr>
          <w:rFonts w:eastAsiaTheme="minorEastAsia"/>
        </w:rPr>
        <w:t>ratio</w:t>
      </w:r>
      <w:r w:rsidR="00F775DF">
        <w:rPr>
          <w:rFonts w:eastAsiaTheme="minorEastAsia"/>
        </w:rPr>
        <w:t xml:space="preserve"> that</w:t>
      </w:r>
      <w:r>
        <w:rPr>
          <w:rFonts w:eastAsiaTheme="minorEastAsia"/>
        </w:rPr>
        <w:t xml:space="preserve"> shows the number </w:t>
      </w:r>
      <w:r w:rsidRPr="00221510">
        <w:rPr>
          <w:rFonts w:eastAsiaTheme="minorEastAsia"/>
        </w:rPr>
        <w:t>of days for which a</w:t>
      </w:r>
      <w:r w:rsidR="00F775DF">
        <w:rPr>
          <w:rFonts w:eastAsiaTheme="minorEastAsia"/>
        </w:rPr>
        <w:t xml:space="preserve"> company </w:t>
      </w:r>
      <w:r w:rsidRPr="00221510">
        <w:rPr>
          <w:rFonts w:eastAsiaTheme="minorEastAsia"/>
        </w:rPr>
        <w:t xml:space="preserve">holds inventory before sales. </w:t>
      </w:r>
      <w:r w:rsidR="00F775DF">
        <w:rPr>
          <w:rFonts w:eastAsiaTheme="minorEastAsia"/>
        </w:rPr>
        <w:t xml:space="preserve">According to Drury (2013), it is important in depicting the number of </w:t>
      </w:r>
      <w:r w:rsidRPr="00221510">
        <w:rPr>
          <w:rFonts w:eastAsiaTheme="minorEastAsia"/>
        </w:rPr>
        <w:t>days it takes for inventory to rotate in the business.</w:t>
      </w:r>
      <w:r w:rsidR="00F775DF">
        <w:rPr>
          <w:rFonts w:eastAsiaTheme="minorEastAsia"/>
        </w:rPr>
        <w:t xml:space="preserve"> It is computed using the formula: </w:t>
      </w:r>
    </w:p>
    <w:p w14:paraId="0830471E" w14:textId="31267780" w:rsidR="00F775DF" w:rsidRDefault="00F775DF" w:rsidP="00221510">
      <w:pPr>
        <w:rPr>
          <w:rFonts w:eastAsiaTheme="minorEastAsia"/>
        </w:rPr>
      </w:pPr>
      <w:r>
        <w:rPr>
          <w:rFonts w:eastAsiaTheme="minorEastAsia"/>
        </w:rPr>
        <w:t xml:space="preserve">Inventory holding days = </w:t>
      </w:r>
      <m:oMath>
        <m:f>
          <m:fPr>
            <m:ctrlPr>
              <w:rPr>
                <w:rFonts w:ascii="Cambria Math" w:eastAsiaTheme="minorEastAsia" w:hAnsi="Cambria Math"/>
                <w:i/>
              </w:rPr>
            </m:ctrlPr>
          </m:fPr>
          <m:num>
            <m:r>
              <w:rPr>
                <w:rFonts w:ascii="Cambria Math" w:eastAsiaTheme="minorEastAsia" w:hAnsi="Cambria Math"/>
              </w:rPr>
              <m:t>Average Inventory</m:t>
            </m:r>
          </m:num>
          <m:den>
            <m:r>
              <w:rPr>
                <w:rFonts w:ascii="Cambria Math" w:eastAsiaTheme="minorEastAsia" w:hAnsi="Cambria Math"/>
              </w:rPr>
              <m:t>Cost of Goods Sold</m:t>
            </m:r>
          </m:den>
        </m:f>
        <m:r>
          <w:rPr>
            <w:rFonts w:ascii="Cambria Math" w:eastAsiaTheme="minorEastAsia" w:hAnsi="Cambria Math"/>
          </w:rPr>
          <m:t xml:space="preserve"> x 365</m:t>
        </m:r>
      </m:oMath>
    </w:p>
    <w:p w14:paraId="3EE17D72" w14:textId="22447BCC" w:rsidR="00221619" w:rsidRDefault="00221619" w:rsidP="00221510">
      <w:pPr>
        <w:rPr>
          <w:rFonts w:eastAsiaTheme="minorEastAsia"/>
        </w:rPr>
      </w:pPr>
      <w:r>
        <w:rPr>
          <w:rFonts w:eastAsiaTheme="minorEastAsia"/>
        </w:rPr>
        <w:t xml:space="preserve">Average Inventory = </w:t>
      </w:r>
      <m:oMath>
        <m:f>
          <m:fPr>
            <m:ctrlPr>
              <w:rPr>
                <w:rFonts w:ascii="Cambria Math" w:eastAsiaTheme="minorEastAsia" w:hAnsi="Cambria Math"/>
                <w:i/>
              </w:rPr>
            </m:ctrlPr>
          </m:fPr>
          <m:num>
            <m:r>
              <w:rPr>
                <w:rFonts w:ascii="Cambria Math" w:eastAsiaTheme="minorEastAsia" w:hAnsi="Cambria Math"/>
              </w:rPr>
              <m:t>Opening Stock+Closing Stock</m:t>
            </m:r>
          </m:num>
          <m:den>
            <m:r>
              <w:rPr>
                <w:rFonts w:ascii="Cambria Math" w:eastAsiaTheme="minorEastAsia" w:hAnsi="Cambria Math"/>
              </w:rPr>
              <m:t>2</m:t>
            </m:r>
          </m:den>
        </m:f>
      </m:oMath>
    </w:p>
    <w:p w14:paraId="384DF9E8" w14:textId="1CEAF3EC" w:rsidR="00221619" w:rsidRDefault="00221619" w:rsidP="00221510">
      <w:pPr>
        <w:rPr>
          <w:rFonts w:eastAsiaTheme="minorEastAsia"/>
        </w:rPr>
      </w:pPr>
      <w:r>
        <w:rPr>
          <w:rFonts w:eastAsiaTheme="minorEastAsia"/>
        </w:rPr>
        <w:t>Average inventory for 2021 = (</w:t>
      </w:r>
      <w:r w:rsidR="00BD491E">
        <w:rPr>
          <w:rFonts w:eastAsiaTheme="minorEastAsia"/>
        </w:rPr>
        <w:t xml:space="preserve">708 + 659)/2 = 683.5 </w:t>
      </w:r>
    </w:p>
    <w:p w14:paraId="7C9C75E1" w14:textId="4B9D1535" w:rsidR="00BD491E" w:rsidRDefault="00BD491E" w:rsidP="00221510">
      <w:pPr>
        <w:rPr>
          <w:rFonts w:eastAsiaTheme="minorEastAsia"/>
        </w:rPr>
      </w:pPr>
      <w:r>
        <w:rPr>
          <w:rFonts w:eastAsiaTheme="minorEastAsia"/>
        </w:rPr>
        <w:t xml:space="preserve">Average Inventory for 2020 = 659 </w:t>
      </w:r>
    </w:p>
    <w:p w14:paraId="64437E73" w14:textId="4FD3F2C5" w:rsidR="00BD491E" w:rsidRDefault="00BD491E" w:rsidP="00221510">
      <w:pPr>
        <w:rPr>
          <w:rFonts w:eastAsiaTheme="minorEastAsia"/>
        </w:rPr>
      </w:pPr>
      <w:r>
        <w:rPr>
          <w:rFonts w:eastAsiaTheme="minorEastAsia"/>
        </w:rPr>
        <w:t xml:space="preserve">Stock holding days for 2021 = (683.5/3,235) x 365 = 77.1 days </w:t>
      </w:r>
    </w:p>
    <w:p w14:paraId="3715F5BD" w14:textId="4151472D" w:rsidR="00BD491E" w:rsidRDefault="00BD491E" w:rsidP="00221510">
      <w:pPr>
        <w:rPr>
          <w:rFonts w:eastAsiaTheme="minorEastAsia"/>
        </w:rPr>
      </w:pPr>
      <w:r>
        <w:rPr>
          <w:rFonts w:eastAsiaTheme="minorEastAsia"/>
        </w:rPr>
        <w:t xml:space="preserve">Stock holding days for 2020 = (659/3096) x 365 = </w:t>
      </w:r>
      <w:r w:rsidR="00890290">
        <w:rPr>
          <w:rFonts w:eastAsiaTheme="minorEastAsia"/>
        </w:rPr>
        <w:t xml:space="preserve">77.7 days </w:t>
      </w:r>
    </w:p>
    <w:p w14:paraId="662455D9" w14:textId="5187A3E0" w:rsidR="00890290" w:rsidRDefault="00890290" w:rsidP="002D0A33">
      <w:pPr>
        <w:pStyle w:val="Heading3"/>
        <w:numPr>
          <w:ilvl w:val="0"/>
          <w:numId w:val="7"/>
        </w:numPr>
        <w:rPr>
          <w:rFonts w:eastAsiaTheme="minorEastAsia"/>
        </w:rPr>
      </w:pPr>
      <w:r>
        <w:rPr>
          <w:rFonts w:eastAsiaTheme="minorEastAsia"/>
        </w:rPr>
        <w:t xml:space="preserve">Debtors Collection Period </w:t>
      </w:r>
    </w:p>
    <w:p w14:paraId="7C805EB0" w14:textId="3599E6F7" w:rsidR="001C4D21" w:rsidRDefault="001C4D21" w:rsidP="001C4D21">
      <w:r>
        <w:rPr>
          <w:rFonts w:eastAsiaTheme="minorEastAsia"/>
        </w:rPr>
        <w:t xml:space="preserve">This financial ratio denotes to </w:t>
      </w:r>
      <w:r w:rsidRPr="001C4D21">
        <w:rPr>
          <w:rFonts w:eastAsiaTheme="minorEastAsia"/>
        </w:rPr>
        <w:t xml:space="preserve">the amount of time that is </w:t>
      </w:r>
      <w:r>
        <w:rPr>
          <w:rFonts w:eastAsiaTheme="minorEastAsia"/>
        </w:rPr>
        <w:t>it takes</w:t>
      </w:r>
      <w:r w:rsidRPr="001C4D21">
        <w:rPr>
          <w:rFonts w:eastAsiaTheme="minorEastAsia"/>
        </w:rPr>
        <w:t xml:space="preserve"> for customers of a business to receive invoicing for goods and services rendered, schedule payment for </w:t>
      </w:r>
      <w:r w:rsidRPr="00272D0C">
        <w:rPr>
          <w:rFonts w:eastAsiaTheme="minorEastAsia"/>
        </w:rPr>
        <w:t>those invoices</w:t>
      </w:r>
      <w:r w:rsidRPr="001C4D21">
        <w:rPr>
          <w:rFonts w:eastAsiaTheme="minorEastAsia"/>
        </w:rPr>
        <w:t> and ultimately tender that payment to the provider</w:t>
      </w:r>
      <w:r w:rsidR="00272D0C">
        <w:rPr>
          <w:rFonts w:eastAsiaTheme="minorEastAsia"/>
        </w:rPr>
        <w:t xml:space="preserve"> (</w:t>
      </w:r>
      <w:r w:rsidR="00272D0C" w:rsidRPr="00A70233">
        <w:t>Harvey,</w:t>
      </w:r>
      <w:r w:rsidR="00272D0C">
        <w:t xml:space="preserve"> et al., 2013). It is calculated using the formula: </w:t>
      </w:r>
    </w:p>
    <w:p w14:paraId="6C3E517E" w14:textId="263CDEA5" w:rsidR="00272D0C" w:rsidRDefault="00272D0C" w:rsidP="001C4D21">
      <w:pPr>
        <w:rPr>
          <w:rFonts w:eastAsiaTheme="minorEastAsia"/>
        </w:rPr>
      </w:pPr>
      <w:r>
        <w:t xml:space="preserve">Debtors collection period = </w:t>
      </w:r>
      <m:oMath>
        <m:f>
          <m:fPr>
            <m:ctrlPr>
              <w:rPr>
                <w:rFonts w:ascii="Cambria Math" w:hAnsi="Cambria Math"/>
                <w:i/>
              </w:rPr>
            </m:ctrlPr>
          </m:fPr>
          <m:num>
            <m:r>
              <w:rPr>
                <w:rFonts w:ascii="Cambria Math" w:hAnsi="Cambria Math"/>
              </w:rPr>
              <m:t>Accounts Receivable</m:t>
            </m:r>
          </m:num>
          <m:den>
            <m:r>
              <w:rPr>
                <w:rFonts w:ascii="Cambria Math" w:hAnsi="Cambria Math"/>
              </w:rPr>
              <m:t>Annual Credit Sales</m:t>
            </m:r>
          </m:den>
        </m:f>
        <m:r>
          <w:rPr>
            <w:rFonts w:ascii="Cambria Math" w:hAnsi="Cambria Math"/>
          </w:rPr>
          <m:t xml:space="preserve"> x 365</m:t>
        </m:r>
      </m:oMath>
    </w:p>
    <w:p w14:paraId="083618E4" w14:textId="75AA27CF" w:rsidR="009E42AA" w:rsidRDefault="009E42AA" w:rsidP="001C4D21">
      <w:pPr>
        <w:rPr>
          <w:rFonts w:eastAsiaTheme="minorEastAsia"/>
        </w:rPr>
      </w:pPr>
      <w:r>
        <w:rPr>
          <w:rFonts w:eastAsiaTheme="minorEastAsia"/>
        </w:rPr>
        <w:lastRenderedPageBreak/>
        <w:t>Debtors Collection period for 2021 = (1249/</w:t>
      </w:r>
      <w:r w:rsidR="002D0A33">
        <w:rPr>
          <w:rFonts w:eastAsiaTheme="minorEastAsia"/>
        </w:rPr>
        <w:t xml:space="preserve">1928) x 365 = 236.5 days </w:t>
      </w:r>
    </w:p>
    <w:p w14:paraId="1BC6368C" w14:textId="5BA6A390" w:rsidR="002D0A33" w:rsidRDefault="002D0A33" w:rsidP="001C4D21">
      <w:pPr>
        <w:rPr>
          <w:rFonts w:eastAsiaTheme="minorEastAsia"/>
        </w:rPr>
      </w:pPr>
      <w:r>
        <w:rPr>
          <w:rFonts w:eastAsiaTheme="minorEastAsia"/>
        </w:rPr>
        <w:t xml:space="preserve">Debtors Collection period for 2020 = (1287/2391) x 365 = 196.5 days </w:t>
      </w:r>
    </w:p>
    <w:p w14:paraId="22DDA754" w14:textId="02897D60" w:rsidR="002D0A33" w:rsidRDefault="002D0A33" w:rsidP="008805C9">
      <w:pPr>
        <w:pStyle w:val="Heading3"/>
        <w:numPr>
          <w:ilvl w:val="0"/>
          <w:numId w:val="7"/>
        </w:numPr>
        <w:rPr>
          <w:rFonts w:eastAsiaTheme="minorEastAsia"/>
        </w:rPr>
      </w:pPr>
      <w:r>
        <w:rPr>
          <w:rFonts w:eastAsiaTheme="minorEastAsia"/>
        </w:rPr>
        <w:t xml:space="preserve">Current Ratio </w:t>
      </w:r>
    </w:p>
    <w:p w14:paraId="2F252E49" w14:textId="37ABA484" w:rsidR="002D0A33" w:rsidRDefault="007E70B1" w:rsidP="001C4D21">
      <w:r>
        <w:rPr>
          <w:rFonts w:eastAsiaTheme="minorEastAsia"/>
        </w:rPr>
        <w:t xml:space="preserve">This is a liquidity ratio that assesses </w:t>
      </w:r>
      <w:r w:rsidRPr="007E70B1">
        <w:rPr>
          <w:rFonts w:eastAsiaTheme="minorEastAsia"/>
        </w:rPr>
        <w:t xml:space="preserve">the capability of a business to meet its short-term obligations that are due within a year. </w:t>
      </w:r>
      <w:r>
        <w:rPr>
          <w:rFonts w:eastAsiaTheme="minorEastAsia"/>
        </w:rPr>
        <w:t xml:space="preserve">It is an important indicator for the </w:t>
      </w:r>
      <w:r w:rsidRPr="007E70B1">
        <w:rPr>
          <w:rFonts w:eastAsiaTheme="minorEastAsia"/>
        </w:rPr>
        <w:t xml:space="preserve">financial health of a company and how </w:t>
      </w:r>
      <w:r>
        <w:rPr>
          <w:rFonts w:eastAsiaTheme="minorEastAsia"/>
        </w:rPr>
        <w:t xml:space="preserve">the company </w:t>
      </w:r>
      <w:r w:rsidRPr="007E70B1">
        <w:rPr>
          <w:rFonts w:eastAsiaTheme="minorEastAsia"/>
        </w:rPr>
        <w:t>can maximize the liquidity of its current assets to settle debt and payables</w:t>
      </w:r>
      <w:r>
        <w:rPr>
          <w:rFonts w:eastAsiaTheme="minorEastAsia"/>
        </w:rPr>
        <w:t xml:space="preserve"> (</w:t>
      </w:r>
      <w:r w:rsidR="005E7B02" w:rsidRPr="00061A5D">
        <w:t>McLaney</w:t>
      </w:r>
      <w:r w:rsidR="005E7B02">
        <w:t xml:space="preserve"> &amp;</w:t>
      </w:r>
      <w:r w:rsidR="005E7B02" w:rsidRPr="00061A5D">
        <w:t xml:space="preserve"> Atrill, 2016</w:t>
      </w:r>
      <w:r w:rsidR="005E7B02">
        <w:t xml:space="preserve">). It is calculated using the formula: </w:t>
      </w:r>
    </w:p>
    <w:p w14:paraId="4ED3314C" w14:textId="1A450C5C" w:rsidR="005E7B02" w:rsidRDefault="005E7B02" w:rsidP="001C4D21">
      <w:pPr>
        <w:rPr>
          <w:rFonts w:eastAsiaTheme="minorEastAsia"/>
        </w:rPr>
      </w:pPr>
      <w:r>
        <w:t xml:space="preserve">Current Ratio = </w:t>
      </w:r>
      <m:oMath>
        <m:f>
          <m:fPr>
            <m:ctrlPr>
              <w:rPr>
                <w:rFonts w:ascii="Cambria Math" w:hAnsi="Cambria Math"/>
                <w:i/>
              </w:rPr>
            </m:ctrlPr>
          </m:fPr>
          <m:num>
            <m:r>
              <w:rPr>
                <w:rFonts w:ascii="Cambria Math" w:hAnsi="Cambria Math"/>
              </w:rPr>
              <m:t>Current Assets</m:t>
            </m:r>
          </m:num>
          <m:den>
            <m:r>
              <w:rPr>
                <w:rFonts w:ascii="Cambria Math" w:hAnsi="Cambria Math"/>
              </w:rPr>
              <m:t>Current Liabilities</m:t>
            </m:r>
          </m:den>
        </m:f>
      </m:oMath>
    </w:p>
    <w:p w14:paraId="65F7DCA4" w14:textId="168E3253" w:rsidR="005E7B02" w:rsidRDefault="005E7B02" w:rsidP="001C4D21">
      <w:pPr>
        <w:rPr>
          <w:rFonts w:eastAsiaTheme="minorEastAsia"/>
        </w:rPr>
      </w:pPr>
      <w:r>
        <w:rPr>
          <w:rFonts w:eastAsiaTheme="minorEastAsia"/>
        </w:rPr>
        <w:t xml:space="preserve">Current Ratio for 2021 = </w:t>
      </w:r>
      <w:r w:rsidR="008805C9">
        <w:rPr>
          <w:rFonts w:eastAsiaTheme="minorEastAsia"/>
        </w:rPr>
        <w:t xml:space="preserve">2303/2511 = 0.92 </w:t>
      </w:r>
    </w:p>
    <w:p w14:paraId="682D5CC3" w14:textId="6F9B6B44" w:rsidR="008805C9" w:rsidRDefault="008805C9" w:rsidP="001C4D21">
      <w:pPr>
        <w:rPr>
          <w:rFonts w:eastAsiaTheme="minorEastAsia"/>
        </w:rPr>
      </w:pPr>
      <w:r>
        <w:rPr>
          <w:rFonts w:eastAsiaTheme="minorEastAsia"/>
        </w:rPr>
        <w:t>Current Ratio for 2020 = 2355/3046 = 0.77</w:t>
      </w:r>
    </w:p>
    <w:p w14:paraId="386F1408" w14:textId="51C0DD10" w:rsidR="008805C9" w:rsidRDefault="008805C9" w:rsidP="00074BD2">
      <w:pPr>
        <w:pStyle w:val="Heading3"/>
        <w:numPr>
          <w:ilvl w:val="0"/>
          <w:numId w:val="7"/>
        </w:numPr>
        <w:rPr>
          <w:rFonts w:eastAsiaTheme="minorEastAsia"/>
        </w:rPr>
      </w:pPr>
      <w:r>
        <w:rPr>
          <w:rFonts w:eastAsiaTheme="minorEastAsia"/>
        </w:rPr>
        <w:t xml:space="preserve">Gearing Ratio </w:t>
      </w:r>
    </w:p>
    <w:p w14:paraId="005F7B7B" w14:textId="3791FF18" w:rsidR="009B4EC1" w:rsidRDefault="009B4EC1" w:rsidP="009B4EC1">
      <w:r>
        <w:rPr>
          <w:rFonts w:eastAsiaTheme="minorEastAsia"/>
        </w:rPr>
        <w:t xml:space="preserve">This </w:t>
      </w:r>
      <w:r w:rsidRPr="009B4EC1">
        <w:rPr>
          <w:rFonts w:eastAsiaTheme="minorEastAsia"/>
        </w:rPr>
        <w:t xml:space="preserve">is a measure </w:t>
      </w:r>
      <w:r>
        <w:rPr>
          <w:rFonts w:eastAsiaTheme="minorEastAsia"/>
        </w:rPr>
        <w:t xml:space="preserve">that is often </w:t>
      </w:r>
      <w:r w:rsidRPr="009B4EC1">
        <w:rPr>
          <w:rFonts w:eastAsiaTheme="minorEastAsia"/>
        </w:rPr>
        <w:t>used by investors</w:t>
      </w:r>
      <w:r>
        <w:rPr>
          <w:rFonts w:eastAsiaTheme="minorEastAsia"/>
        </w:rPr>
        <w:t xml:space="preserve"> and potential investors</w:t>
      </w:r>
      <w:r w:rsidRPr="009B4EC1">
        <w:rPr>
          <w:rFonts w:eastAsiaTheme="minorEastAsia"/>
        </w:rPr>
        <w:t xml:space="preserve"> to establish a company’s financial leverage. </w:t>
      </w:r>
      <w:r>
        <w:rPr>
          <w:rFonts w:eastAsiaTheme="minorEastAsia"/>
        </w:rPr>
        <w:t>Financial</w:t>
      </w:r>
      <w:r w:rsidRPr="009B4EC1">
        <w:rPr>
          <w:rFonts w:eastAsiaTheme="minorEastAsia"/>
        </w:rPr>
        <w:t xml:space="preserve"> leverage </w:t>
      </w:r>
      <w:r>
        <w:rPr>
          <w:rFonts w:eastAsiaTheme="minorEastAsia"/>
        </w:rPr>
        <w:t>denotes to</w:t>
      </w:r>
      <w:r w:rsidRPr="009B4EC1">
        <w:rPr>
          <w:rFonts w:eastAsiaTheme="minorEastAsia"/>
        </w:rPr>
        <w:t xml:space="preserve"> the amount of funds </w:t>
      </w:r>
      <w:r>
        <w:rPr>
          <w:rFonts w:eastAsiaTheme="minorEastAsia"/>
        </w:rPr>
        <w:t xml:space="preserve">that the company </w:t>
      </w:r>
      <w:r w:rsidRPr="009B4EC1">
        <w:rPr>
          <w:rFonts w:eastAsiaTheme="minorEastAsia"/>
        </w:rPr>
        <w:t xml:space="preserve">acquired </w:t>
      </w:r>
      <w:r>
        <w:rPr>
          <w:rFonts w:eastAsiaTheme="minorEastAsia"/>
        </w:rPr>
        <w:t>via</w:t>
      </w:r>
      <w:r w:rsidRPr="009B4EC1">
        <w:rPr>
          <w:rFonts w:eastAsiaTheme="minorEastAsia"/>
        </w:rPr>
        <w:t xml:space="preserve"> creditor loans compared to the funds acquired through equity capital</w:t>
      </w:r>
      <w:r w:rsidR="008A5654">
        <w:rPr>
          <w:rFonts w:eastAsiaTheme="minorEastAsia"/>
        </w:rPr>
        <w:t xml:space="preserve"> </w:t>
      </w:r>
      <w:r>
        <w:rPr>
          <w:rFonts w:eastAsiaTheme="minorEastAsia"/>
        </w:rPr>
        <w:t>(</w:t>
      </w:r>
      <w:r w:rsidRPr="00061A5D">
        <w:t>McLaney</w:t>
      </w:r>
      <w:r>
        <w:t xml:space="preserve"> &amp;</w:t>
      </w:r>
      <w:r w:rsidRPr="00061A5D">
        <w:t xml:space="preserve"> Atrill, 2016</w:t>
      </w:r>
      <w:r>
        <w:t>).</w:t>
      </w:r>
      <w:r w:rsidR="008A5654">
        <w:t xml:space="preserve"> Gearing ratio is calculated using the formula: </w:t>
      </w:r>
    </w:p>
    <w:p w14:paraId="76F416FA" w14:textId="6A140C22" w:rsidR="008A5654" w:rsidRDefault="008A5654" w:rsidP="009B4EC1">
      <w:pPr>
        <w:rPr>
          <w:rFonts w:eastAsiaTheme="minorEastAsia"/>
        </w:rPr>
      </w:pPr>
      <w:r>
        <w:t xml:space="preserve">Gearing ratio = </w:t>
      </w:r>
      <m:oMath>
        <m:f>
          <m:fPr>
            <m:ctrlPr>
              <w:rPr>
                <w:rFonts w:ascii="Cambria Math" w:hAnsi="Cambria Math"/>
                <w:i/>
              </w:rPr>
            </m:ctrlPr>
          </m:fPr>
          <m:num>
            <m:r>
              <w:rPr>
                <w:rFonts w:ascii="Cambria Math" w:hAnsi="Cambria Math"/>
              </w:rPr>
              <m:t>Total Debt</m:t>
            </m:r>
          </m:num>
          <m:den>
            <m:r>
              <w:rPr>
                <w:rFonts w:ascii="Cambria Math" w:hAnsi="Cambria Math"/>
              </w:rPr>
              <m:t>Shareholder Equity</m:t>
            </m:r>
          </m:den>
        </m:f>
        <m:r>
          <w:rPr>
            <w:rFonts w:ascii="Cambria Math" w:hAnsi="Cambria Math"/>
          </w:rPr>
          <m:t xml:space="preserve"> x 100</m:t>
        </m:r>
      </m:oMath>
    </w:p>
    <w:p w14:paraId="155DF089" w14:textId="0DB1A748" w:rsidR="00074BD2" w:rsidRDefault="008A5654" w:rsidP="00074BD2">
      <w:pPr>
        <w:rPr>
          <w:rFonts w:eastAsiaTheme="minorEastAsia"/>
        </w:rPr>
      </w:pPr>
      <w:r>
        <w:rPr>
          <w:rFonts w:eastAsiaTheme="minorEastAsia"/>
        </w:rPr>
        <w:t xml:space="preserve">Gearing Ratio for 2021 = </w:t>
      </w:r>
      <w:r w:rsidR="00074BD2">
        <w:rPr>
          <w:rFonts w:eastAsiaTheme="minorEastAsia"/>
        </w:rPr>
        <w:t>(4143/3088) x 100 = 34.2%</w:t>
      </w:r>
    </w:p>
    <w:p w14:paraId="325C705C" w14:textId="736B3FA2" w:rsidR="00074BD2" w:rsidRDefault="00074BD2" w:rsidP="00074BD2">
      <w:pPr>
        <w:rPr>
          <w:rFonts w:eastAsiaTheme="minorEastAsia"/>
        </w:rPr>
      </w:pPr>
      <w:r>
        <w:rPr>
          <w:rFonts w:eastAsiaTheme="minorEastAsia"/>
        </w:rPr>
        <w:t xml:space="preserve">Gearing Ratio for 2020 = (4129/2912) x 100 = 41.8% </w:t>
      </w:r>
    </w:p>
    <w:p w14:paraId="29FF1C13" w14:textId="6940E229" w:rsidR="00074BD2" w:rsidRDefault="00DA4E65" w:rsidP="00E66516">
      <w:pPr>
        <w:pStyle w:val="Heading3"/>
        <w:numPr>
          <w:ilvl w:val="0"/>
          <w:numId w:val="7"/>
        </w:numPr>
        <w:rPr>
          <w:rFonts w:eastAsiaTheme="minorEastAsia"/>
        </w:rPr>
      </w:pPr>
      <w:r>
        <w:rPr>
          <w:rFonts w:eastAsiaTheme="minorEastAsia"/>
        </w:rPr>
        <w:lastRenderedPageBreak/>
        <w:t xml:space="preserve">Interest Cover </w:t>
      </w:r>
    </w:p>
    <w:p w14:paraId="3F80E221" w14:textId="4CABB52F" w:rsidR="00DA4E65" w:rsidRDefault="00DA4E65" w:rsidP="00003B23">
      <w:pPr>
        <w:rPr>
          <w:rFonts w:eastAsiaTheme="minorEastAsia"/>
        </w:rPr>
      </w:pPr>
      <w:r>
        <w:rPr>
          <w:rFonts w:eastAsiaTheme="minorEastAsia"/>
        </w:rPr>
        <w:t xml:space="preserve">This is considered an important debt and profitability ratio that is often used to determine how easily a firm can pay interest on its outstanding debt. According to Artill et al., (2014), this ratio </w:t>
      </w:r>
      <w:r w:rsidR="00003B23">
        <w:rPr>
          <w:rFonts w:eastAsiaTheme="minorEastAsia"/>
        </w:rPr>
        <w:t xml:space="preserve">is often </w:t>
      </w:r>
      <w:r w:rsidR="00003B23" w:rsidRPr="00003B23">
        <w:rPr>
          <w:rFonts w:eastAsiaTheme="minorEastAsia"/>
        </w:rPr>
        <w:t xml:space="preserve">used by creditors, </w:t>
      </w:r>
      <w:r w:rsidR="00003B23">
        <w:rPr>
          <w:rFonts w:eastAsiaTheme="minorEastAsia"/>
        </w:rPr>
        <w:t>investors and lenders t</w:t>
      </w:r>
      <w:r w:rsidR="00003B23" w:rsidRPr="00003B23">
        <w:rPr>
          <w:rFonts w:eastAsiaTheme="minorEastAsia"/>
        </w:rPr>
        <w:t>o determine the risk of lending funds to a company. </w:t>
      </w:r>
      <w:r w:rsidR="00003B23">
        <w:rPr>
          <w:rFonts w:eastAsiaTheme="minorEastAsia"/>
        </w:rPr>
        <w:t xml:space="preserve">It is computed using the formula: </w:t>
      </w:r>
    </w:p>
    <w:p w14:paraId="7252AB75" w14:textId="49CCE009" w:rsidR="00003B23" w:rsidRDefault="00003B23" w:rsidP="00003B23">
      <w:pPr>
        <w:rPr>
          <w:rFonts w:eastAsiaTheme="minorEastAsia"/>
        </w:rPr>
      </w:pPr>
      <w:r>
        <w:rPr>
          <w:rFonts w:eastAsiaTheme="minorEastAsia"/>
        </w:rPr>
        <w:t xml:space="preserve">Interest Cover = </w:t>
      </w:r>
      <m:oMath>
        <m:f>
          <m:fPr>
            <m:ctrlPr>
              <w:rPr>
                <w:rFonts w:ascii="Cambria Math" w:eastAsiaTheme="minorEastAsia" w:hAnsi="Cambria Math"/>
                <w:i/>
              </w:rPr>
            </m:ctrlPr>
          </m:fPr>
          <m:num>
            <m:r>
              <w:rPr>
                <w:rFonts w:ascii="Cambria Math" w:eastAsiaTheme="minorEastAsia" w:hAnsi="Cambria Math"/>
              </w:rPr>
              <m:t>EBITDA</m:t>
            </m:r>
          </m:num>
          <m:den>
            <m:r>
              <w:rPr>
                <w:rFonts w:ascii="Cambria Math" w:eastAsiaTheme="minorEastAsia" w:hAnsi="Cambria Math"/>
              </w:rPr>
              <m:t>Interest Expense</m:t>
            </m:r>
          </m:den>
        </m:f>
      </m:oMath>
    </w:p>
    <w:p w14:paraId="53BB9E1F" w14:textId="06750443" w:rsidR="00003B23" w:rsidRDefault="00003B23" w:rsidP="00003B23">
      <w:pPr>
        <w:rPr>
          <w:rFonts w:eastAsiaTheme="minorEastAsia"/>
        </w:rPr>
      </w:pPr>
      <w:r>
        <w:rPr>
          <w:rFonts w:eastAsiaTheme="minorEastAsia"/>
        </w:rPr>
        <w:t xml:space="preserve">Interest Cover for 2021 = </w:t>
      </w:r>
      <w:r w:rsidR="00E66516">
        <w:rPr>
          <w:rFonts w:eastAsiaTheme="minorEastAsia"/>
        </w:rPr>
        <w:t>805/226 = 3.56</w:t>
      </w:r>
    </w:p>
    <w:p w14:paraId="52312FF1" w14:textId="79313AD3" w:rsidR="00E66516" w:rsidRDefault="00E66516" w:rsidP="00003B23">
      <w:pPr>
        <w:rPr>
          <w:rFonts w:eastAsiaTheme="minorEastAsia"/>
        </w:rPr>
      </w:pPr>
      <w:r>
        <w:rPr>
          <w:rFonts w:eastAsiaTheme="minorEastAsia"/>
        </w:rPr>
        <w:t xml:space="preserve">Interest Cover for 2020 = 699/181 = 3.86 </w:t>
      </w:r>
    </w:p>
    <w:p w14:paraId="70AA9B1F" w14:textId="0593DE7C" w:rsidR="00E66516" w:rsidRDefault="00E66516" w:rsidP="0017495A">
      <w:pPr>
        <w:pStyle w:val="Heading2"/>
        <w:numPr>
          <w:ilvl w:val="0"/>
          <w:numId w:val="6"/>
        </w:numPr>
        <w:rPr>
          <w:rFonts w:eastAsiaTheme="minorEastAsia"/>
        </w:rPr>
      </w:pPr>
      <w:r>
        <w:rPr>
          <w:rFonts w:eastAsiaTheme="minorEastAsia"/>
        </w:rPr>
        <w:t xml:space="preserve">Comment on Financial Performance and Position of Sweet Plc </w:t>
      </w:r>
    </w:p>
    <w:p w14:paraId="369189EE" w14:textId="14BAC2AB" w:rsidR="0017495A" w:rsidRDefault="00E8682A" w:rsidP="00003B23">
      <w:pPr>
        <w:rPr>
          <w:rFonts w:eastAsiaTheme="minorEastAsia"/>
        </w:rPr>
      </w:pPr>
      <w:r>
        <w:rPr>
          <w:rFonts w:eastAsiaTheme="minorEastAsia"/>
        </w:rPr>
        <w:t xml:space="preserve">The ten ratios computed for Sweet Plc can be categorised into liquidity ratios, leverage ratios, efficiency ratios, profitability ratios and market value ratios. According to Atrill et al., (2014) liquidity ratios assess a firm’s ability to repay both short- and long-term obligations. </w:t>
      </w:r>
      <w:r w:rsidR="00FF7C48">
        <w:rPr>
          <w:rFonts w:eastAsiaTheme="minorEastAsia"/>
        </w:rPr>
        <w:t xml:space="preserve">The liquidity ratio calculated for the company was the current ratio, which increased from 0.77 in 2020 to 0.92 in 2021 against a recommended current ratio of between 1.5 and 3. </w:t>
      </w:r>
      <w:r w:rsidR="0017495A">
        <w:rPr>
          <w:rFonts w:eastAsiaTheme="minorEastAsia"/>
        </w:rPr>
        <w:t xml:space="preserve">This shows that Sweet Plc has </w:t>
      </w:r>
      <w:r w:rsidR="0017495A" w:rsidRPr="0017495A">
        <w:rPr>
          <w:rFonts w:eastAsiaTheme="minorEastAsia"/>
        </w:rPr>
        <w:t xml:space="preserve">insufficient capital to pay off its short-term debt because it has a larger proportion of </w:t>
      </w:r>
      <w:r w:rsidR="0017495A">
        <w:rPr>
          <w:rFonts w:eastAsiaTheme="minorEastAsia"/>
        </w:rPr>
        <w:t xml:space="preserve">current </w:t>
      </w:r>
      <w:r w:rsidR="0017495A" w:rsidRPr="0017495A">
        <w:rPr>
          <w:rFonts w:eastAsiaTheme="minorEastAsia"/>
        </w:rPr>
        <w:t>liabilities relative to the value of its current assets.</w:t>
      </w:r>
    </w:p>
    <w:p w14:paraId="5BCAD709" w14:textId="0828D8A2" w:rsidR="002F6760" w:rsidRDefault="002F6760" w:rsidP="00003B23">
      <w:pPr>
        <w:rPr>
          <w:rFonts w:eastAsiaTheme="minorEastAsia"/>
        </w:rPr>
      </w:pPr>
      <w:r w:rsidRPr="002F6760">
        <w:rPr>
          <w:rFonts w:eastAsiaTheme="minorEastAsia"/>
        </w:rPr>
        <w:t>Leverage ratios </w:t>
      </w:r>
      <w:r>
        <w:rPr>
          <w:rFonts w:eastAsiaTheme="minorEastAsia"/>
        </w:rPr>
        <w:t xml:space="preserve">are on the other hand used to assess </w:t>
      </w:r>
      <w:r w:rsidRPr="002F6760">
        <w:rPr>
          <w:rFonts w:eastAsiaTheme="minorEastAsia"/>
        </w:rPr>
        <w:t xml:space="preserve">the amount of capital that comes from debt. </w:t>
      </w:r>
      <w:r>
        <w:rPr>
          <w:rFonts w:eastAsiaTheme="minorEastAsia"/>
        </w:rPr>
        <w:t>The two leverage ratios calculated for Sweet Plc are interest cover ratio and gearing ratio</w:t>
      </w:r>
      <w:r w:rsidRPr="002F6760">
        <w:rPr>
          <w:rFonts w:eastAsiaTheme="minorEastAsia"/>
        </w:rPr>
        <w:t>.</w:t>
      </w:r>
      <w:r>
        <w:rPr>
          <w:rFonts w:eastAsiaTheme="minorEastAsia"/>
        </w:rPr>
        <w:t xml:space="preserve"> The company’s interest cover dropped from 3.86 in 2020 to 3.56 in 2021 while the gearing ratio dropped from 41.8% to 34.2% over the same period. </w:t>
      </w:r>
      <w:r w:rsidR="00F600A9">
        <w:rPr>
          <w:rFonts w:eastAsiaTheme="minorEastAsia"/>
        </w:rPr>
        <w:t xml:space="preserve">Despite the drop in both the interest cover and gearing ratios, they are within the recommended limits. This </w:t>
      </w:r>
      <w:r w:rsidR="00A359DB">
        <w:rPr>
          <w:rFonts w:eastAsiaTheme="minorEastAsia"/>
        </w:rPr>
        <w:t xml:space="preserve">shows that the company </w:t>
      </w:r>
      <w:r w:rsidR="00A359DB">
        <w:rPr>
          <w:rFonts w:eastAsiaTheme="minorEastAsia"/>
        </w:rPr>
        <w:lastRenderedPageBreak/>
        <w:t xml:space="preserve">is not only able to cover all its fixed costs but also has a lower proportion of debt compared to its equity. </w:t>
      </w:r>
    </w:p>
    <w:p w14:paraId="3A02C718" w14:textId="0E0CCCC8" w:rsidR="00A359DB" w:rsidRDefault="00A359DB" w:rsidP="00A359DB">
      <w:pPr>
        <w:rPr>
          <w:rFonts w:eastAsiaTheme="minorEastAsia"/>
        </w:rPr>
      </w:pPr>
      <w:r w:rsidRPr="00A359DB">
        <w:rPr>
          <w:rFonts w:eastAsiaTheme="minorEastAsia"/>
        </w:rPr>
        <w:t>Efficiency ratios</w:t>
      </w:r>
      <w:r>
        <w:rPr>
          <w:rFonts w:eastAsiaTheme="minorEastAsia"/>
        </w:rPr>
        <w:t xml:space="preserve"> </w:t>
      </w:r>
      <w:r w:rsidRPr="00A359DB">
        <w:rPr>
          <w:rFonts w:eastAsiaTheme="minorEastAsia"/>
        </w:rPr>
        <w:t xml:space="preserve">are used to measure how well a company is utilizing its assets and resources. </w:t>
      </w:r>
      <w:r>
        <w:rPr>
          <w:rFonts w:eastAsiaTheme="minorEastAsia"/>
        </w:rPr>
        <w:t xml:space="preserve">Three efficiency ratios are assessed for Sweet Plc including the </w:t>
      </w:r>
      <w:r w:rsidR="008B34D9">
        <w:rPr>
          <w:rFonts w:eastAsiaTheme="minorEastAsia"/>
        </w:rPr>
        <w:t xml:space="preserve">asset turnover, </w:t>
      </w:r>
      <w:r w:rsidR="003D5BF3">
        <w:rPr>
          <w:rFonts w:eastAsiaTheme="minorEastAsia"/>
        </w:rPr>
        <w:t>stock holding days,</w:t>
      </w:r>
      <w:r>
        <w:rPr>
          <w:rFonts w:eastAsiaTheme="minorEastAsia"/>
        </w:rPr>
        <w:t xml:space="preserve"> and</w:t>
      </w:r>
      <w:r w:rsidR="003D5BF3">
        <w:rPr>
          <w:rFonts w:eastAsiaTheme="minorEastAsia"/>
        </w:rPr>
        <w:t xml:space="preserve"> debtor collection period</w:t>
      </w:r>
      <w:r>
        <w:rPr>
          <w:rFonts w:eastAsiaTheme="minorEastAsia"/>
        </w:rPr>
        <w:t xml:space="preserve">. The company’s asset turnover increased from 0.64 to 0.68 </w:t>
      </w:r>
      <w:r w:rsidR="00686DAC">
        <w:rPr>
          <w:rFonts w:eastAsiaTheme="minorEastAsia"/>
        </w:rPr>
        <w:t xml:space="preserve">against a recommended asset turnover of between 0.25 and 0.5 for companies within the </w:t>
      </w:r>
      <w:r w:rsidR="00897D4F">
        <w:rPr>
          <w:rFonts w:eastAsiaTheme="minorEastAsia"/>
        </w:rPr>
        <w:t>fast-moving</w:t>
      </w:r>
      <w:r w:rsidR="00686DAC">
        <w:rPr>
          <w:rFonts w:eastAsiaTheme="minorEastAsia"/>
        </w:rPr>
        <w:t xml:space="preserve"> </w:t>
      </w:r>
      <w:r w:rsidR="00897D4F">
        <w:rPr>
          <w:rFonts w:eastAsiaTheme="minorEastAsia"/>
        </w:rPr>
        <w:t xml:space="preserve">consumer goods (FMCG) sector. Stock holding days dropped from 77.7 days to 77.1 days against the ideal 30 to 60 days while the debtor collection period </w:t>
      </w:r>
      <w:r w:rsidR="000724B5">
        <w:rPr>
          <w:rFonts w:eastAsiaTheme="minorEastAsia"/>
        </w:rPr>
        <w:t xml:space="preserve">increased from 196.5 days to 236.5 days against the recommended 90 days or less. These high ratios highlight the fact that Sweet Plc is not efficiently collecting and spending money </w:t>
      </w:r>
      <w:r w:rsidR="00B92F5C">
        <w:rPr>
          <w:rFonts w:eastAsiaTheme="minorEastAsia"/>
        </w:rPr>
        <w:t xml:space="preserve">(Drury, 2013). This shows that the company’s management is not effectively making use of the company’s assets. </w:t>
      </w:r>
    </w:p>
    <w:p w14:paraId="1EA4A7AB" w14:textId="7E86CA55" w:rsidR="00066683" w:rsidRPr="00066683" w:rsidRDefault="00B92F5C" w:rsidP="00066683">
      <w:r>
        <w:rPr>
          <w:rFonts w:eastAsiaTheme="minorEastAsia"/>
        </w:rPr>
        <w:t xml:space="preserve">Three profitability ratios were also calculated including </w:t>
      </w:r>
      <w:r w:rsidR="003C64CF">
        <w:rPr>
          <w:rFonts w:eastAsiaTheme="minorEastAsia"/>
        </w:rPr>
        <w:t>ROE, ROCE,</w:t>
      </w:r>
      <w:r>
        <w:rPr>
          <w:rFonts w:eastAsiaTheme="minorEastAsia"/>
        </w:rPr>
        <w:t xml:space="preserve"> and</w:t>
      </w:r>
      <w:r w:rsidR="003C64CF">
        <w:rPr>
          <w:rFonts w:eastAsiaTheme="minorEastAsia"/>
        </w:rPr>
        <w:t xml:space="preserve"> net profit margin</w:t>
      </w:r>
      <w:r>
        <w:rPr>
          <w:rFonts w:eastAsiaTheme="minorEastAsia"/>
        </w:rPr>
        <w:t xml:space="preserve">. ROE improved from 12.6% in 2020 to 14% in 2021 while ROCE and net profit margin 24% to 26.1% and from </w:t>
      </w:r>
      <w:r w:rsidR="008C7A47">
        <w:rPr>
          <w:rFonts w:eastAsiaTheme="minorEastAsia"/>
        </w:rPr>
        <w:t>5.7% to 6.4% respectively over the same period of time. This performance was against the recommended 10% or less for ROE, 20% or more for ROCE, and 10-20% for net profit margin. (</w:t>
      </w:r>
      <w:r w:rsidR="008C7A47" w:rsidRPr="00061A5D">
        <w:t>McLaney</w:t>
      </w:r>
      <w:r w:rsidR="008C7A47">
        <w:t xml:space="preserve"> &amp;</w:t>
      </w:r>
      <w:r w:rsidR="008C7A47" w:rsidRPr="00061A5D">
        <w:t xml:space="preserve"> Atrill, 2016</w:t>
      </w:r>
      <w:r w:rsidR="008C7A47">
        <w:t xml:space="preserve">). </w:t>
      </w:r>
      <w:r w:rsidR="00066683">
        <w:t xml:space="preserve">These ratios not only show that Sweet Plc is </w:t>
      </w:r>
      <w:r w:rsidR="00066683" w:rsidRPr="00066683">
        <w:rPr>
          <w:rFonts w:eastAsiaTheme="minorEastAsia"/>
        </w:rPr>
        <w:t>generat</w:t>
      </w:r>
      <w:r w:rsidR="00066683">
        <w:rPr>
          <w:rFonts w:eastAsiaTheme="minorEastAsia"/>
        </w:rPr>
        <w:t>ing</w:t>
      </w:r>
      <w:r w:rsidR="00066683" w:rsidRPr="00066683">
        <w:rPr>
          <w:rFonts w:eastAsiaTheme="minorEastAsia"/>
        </w:rPr>
        <w:t xml:space="preserve"> income relative to revenue, balance sheet assets, operating costs, and equity</w:t>
      </w:r>
      <w:r w:rsidR="00066683">
        <w:rPr>
          <w:rFonts w:eastAsiaTheme="minorEastAsia"/>
        </w:rPr>
        <w:t xml:space="preserve"> but also that there is significant growth in the way the company is earning profit from its operations. </w:t>
      </w:r>
    </w:p>
    <w:p w14:paraId="068DBAFD" w14:textId="724D73BB" w:rsidR="00A01993" w:rsidRDefault="00066683" w:rsidP="00003B23">
      <w:pPr>
        <w:rPr>
          <w:rFonts w:eastAsiaTheme="minorEastAsia"/>
        </w:rPr>
      </w:pPr>
      <w:r>
        <w:rPr>
          <w:rFonts w:eastAsiaTheme="minorEastAsia"/>
        </w:rPr>
        <w:t>Finally, the m</w:t>
      </w:r>
      <w:r w:rsidR="00A01993">
        <w:rPr>
          <w:rFonts w:eastAsiaTheme="minorEastAsia"/>
        </w:rPr>
        <w:t xml:space="preserve">arket value ratio </w:t>
      </w:r>
      <w:r>
        <w:rPr>
          <w:rFonts w:eastAsiaTheme="minorEastAsia"/>
        </w:rPr>
        <w:t>computed was the earning per share which showed that Sweet’s EPS improved from 41 pence per share to 59 pence per share</w:t>
      </w:r>
      <w:r w:rsidR="005822BC">
        <w:rPr>
          <w:rFonts w:eastAsiaTheme="minorEastAsia"/>
        </w:rPr>
        <w:t xml:space="preserve"> between 2020 and 2021.</w:t>
      </w:r>
      <w:r>
        <w:rPr>
          <w:rFonts w:eastAsiaTheme="minorEastAsia"/>
        </w:rPr>
        <w:t xml:space="preserve"> Considering that these were against the </w:t>
      </w:r>
      <w:r w:rsidR="005822BC">
        <w:rPr>
          <w:rFonts w:eastAsiaTheme="minorEastAsia"/>
        </w:rPr>
        <w:t xml:space="preserve">share price of </w:t>
      </w:r>
      <w:r w:rsidR="005822BC">
        <w:rPr>
          <w:rFonts w:eastAsiaTheme="minorEastAsia" w:cs="Times New Roman"/>
        </w:rPr>
        <w:t>£</w:t>
      </w:r>
      <w:r w:rsidR="005822BC">
        <w:rPr>
          <w:rFonts w:eastAsiaTheme="minorEastAsia"/>
        </w:rPr>
        <w:t xml:space="preserve">4 and </w:t>
      </w:r>
      <w:r w:rsidR="005822BC">
        <w:rPr>
          <w:rFonts w:eastAsiaTheme="minorEastAsia" w:cs="Times New Roman"/>
        </w:rPr>
        <w:t>£</w:t>
      </w:r>
      <w:r w:rsidR="005822BC">
        <w:rPr>
          <w:rFonts w:eastAsiaTheme="minorEastAsia"/>
        </w:rPr>
        <w:t xml:space="preserve">5.12 in 2020 and 2021 respectively, it is evident that the company is performing well in this regard. </w:t>
      </w:r>
    </w:p>
    <w:p w14:paraId="205DB59C" w14:textId="1A2D0CF0" w:rsidR="005822BC" w:rsidRDefault="005822BC" w:rsidP="005822BC">
      <w:pPr>
        <w:pStyle w:val="Heading1"/>
        <w:rPr>
          <w:rFonts w:eastAsiaTheme="minorEastAsia"/>
        </w:rPr>
      </w:pPr>
      <w:r>
        <w:rPr>
          <w:rFonts w:eastAsiaTheme="minorEastAsia"/>
        </w:rPr>
        <w:lastRenderedPageBreak/>
        <w:t xml:space="preserve">References List </w:t>
      </w:r>
    </w:p>
    <w:p w14:paraId="7CE7ABB6" w14:textId="77777777" w:rsidR="005822BC" w:rsidRDefault="005822BC" w:rsidP="005822BC">
      <w:pPr>
        <w:ind w:left="720" w:hanging="720"/>
      </w:pPr>
      <w:r w:rsidRPr="00A16268">
        <w:t>Atrill, P., McLaney, E. and Harvey, D., 2014. </w:t>
      </w:r>
      <w:r w:rsidRPr="00A16268">
        <w:rPr>
          <w:i/>
          <w:iCs/>
        </w:rPr>
        <w:t>Accounting: An Introduction, 6/E</w:t>
      </w:r>
      <w:r w:rsidRPr="00A16268">
        <w:t> (Vol. 6). Pearson Higher Education AU.</w:t>
      </w:r>
    </w:p>
    <w:p w14:paraId="5EB36A6A" w14:textId="77777777" w:rsidR="005822BC" w:rsidRDefault="005822BC" w:rsidP="005822BC">
      <w:pPr>
        <w:ind w:left="720" w:hanging="720"/>
      </w:pPr>
      <w:r w:rsidRPr="007D1003">
        <w:t>Drury, C.M., 2013. </w:t>
      </w:r>
      <w:r w:rsidRPr="007D1003">
        <w:rPr>
          <w:i/>
          <w:iCs/>
        </w:rPr>
        <w:t>Management and cost accounting</w:t>
      </w:r>
      <w:r w:rsidRPr="007D1003">
        <w:t>. Springer.</w:t>
      </w:r>
    </w:p>
    <w:p w14:paraId="240643BE" w14:textId="77777777" w:rsidR="005822BC" w:rsidRDefault="005822BC" w:rsidP="005822BC">
      <w:pPr>
        <w:ind w:left="720" w:hanging="720"/>
      </w:pPr>
      <w:r w:rsidRPr="00A70233">
        <w:t>Harvey, D., McLaney, E. and Atrill, P., 2013. </w:t>
      </w:r>
      <w:r w:rsidRPr="00A70233">
        <w:rPr>
          <w:i/>
          <w:iCs/>
        </w:rPr>
        <w:t>Accounting for business</w:t>
      </w:r>
      <w:r w:rsidRPr="00A70233">
        <w:t>. Routledge.</w:t>
      </w:r>
    </w:p>
    <w:p w14:paraId="1F61A4B2" w14:textId="77777777" w:rsidR="005822BC" w:rsidRDefault="005822BC" w:rsidP="005822BC">
      <w:pPr>
        <w:ind w:left="720" w:hanging="720"/>
      </w:pPr>
      <w:r w:rsidRPr="00061A5D">
        <w:t>McLaney, E. and Atrill, P., 2016. </w:t>
      </w:r>
      <w:r w:rsidRPr="00061A5D">
        <w:rPr>
          <w:i/>
          <w:iCs/>
        </w:rPr>
        <w:t>Accounting and finance: an introduction</w:t>
      </w:r>
      <w:r w:rsidRPr="00061A5D">
        <w:t>. Prentice Hill.</w:t>
      </w:r>
    </w:p>
    <w:sectPr w:rsidR="005822BC" w:rsidSect="0077646A">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830710" w14:textId="77777777" w:rsidR="003D7143" w:rsidRDefault="003D7143" w:rsidP="00617484">
      <w:pPr>
        <w:spacing w:after="0" w:line="240" w:lineRule="auto"/>
      </w:pPr>
      <w:r>
        <w:separator/>
      </w:r>
    </w:p>
  </w:endnote>
  <w:endnote w:type="continuationSeparator" w:id="0">
    <w:p w14:paraId="1A4F914E" w14:textId="77777777" w:rsidR="003D7143" w:rsidRDefault="003D7143" w:rsidP="006174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BA37CE" w14:textId="77777777" w:rsidR="003D7143" w:rsidRDefault="003D7143" w:rsidP="00617484">
      <w:pPr>
        <w:spacing w:after="0" w:line="240" w:lineRule="auto"/>
      </w:pPr>
      <w:r>
        <w:separator/>
      </w:r>
    </w:p>
  </w:footnote>
  <w:footnote w:type="continuationSeparator" w:id="0">
    <w:p w14:paraId="14FCCDFD" w14:textId="77777777" w:rsidR="003D7143" w:rsidRDefault="003D7143" w:rsidP="006174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8415942"/>
      <w:docPartObj>
        <w:docPartGallery w:val="Page Numbers (Top of Page)"/>
        <w:docPartUnique/>
      </w:docPartObj>
    </w:sdtPr>
    <w:sdtEndPr>
      <w:rPr>
        <w:noProof/>
      </w:rPr>
    </w:sdtEndPr>
    <w:sdtContent>
      <w:p w14:paraId="6771DCBF" w14:textId="2F99AD4D" w:rsidR="00617484" w:rsidRDefault="0061748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B1C3850" w14:textId="77777777" w:rsidR="00617484" w:rsidRDefault="006174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DF0A4620"/>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6843043"/>
    <w:multiLevelType w:val="hybridMultilevel"/>
    <w:tmpl w:val="0960F6CE"/>
    <w:lvl w:ilvl="0" w:tplc="2D22F53E">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73C38B3"/>
    <w:multiLevelType w:val="hybridMultilevel"/>
    <w:tmpl w:val="11FA18E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4F4034"/>
    <w:multiLevelType w:val="hybridMultilevel"/>
    <w:tmpl w:val="8996C3A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660E6A"/>
    <w:multiLevelType w:val="hybridMultilevel"/>
    <w:tmpl w:val="20409682"/>
    <w:lvl w:ilvl="0" w:tplc="48EAA6A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D13981"/>
    <w:multiLevelType w:val="hybridMultilevel"/>
    <w:tmpl w:val="845AD4A8"/>
    <w:lvl w:ilvl="0" w:tplc="035E6C5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C6462F8"/>
    <w:multiLevelType w:val="hybridMultilevel"/>
    <w:tmpl w:val="E692330E"/>
    <w:lvl w:ilvl="0" w:tplc="2848CAB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92349">
    <w:abstractNumId w:val="5"/>
  </w:num>
  <w:num w:numId="2" w16cid:durableId="520124561">
    <w:abstractNumId w:val="1"/>
  </w:num>
  <w:num w:numId="3" w16cid:durableId="33235565">
    <w:abstractNumId w:val="0"/>
  </w:num>
  <w:num w:numId="4" w16cid:durableId="1324041698">
    <w:abstractNumId w:val="3"/>
  </w:num>
  <w:num w:numId="5" w16cid:durableId="1575703014">
    <w:abstractNumId w:val="4"/>
  </w:num>
  <w:num w:numId="6" w16cid:durableId="66417561">
    <w:abstractNumId w:val="2"/>
  </w:num>
  <w:num w:numId="7" w16cid:durableId="86490643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E12"/>
    <w:rsid w:val="00003B23"/>
    <w:rsid w:val="00037397"/>
    <w:rsid w:val="00066683"/>
    <w:rsid w:val="000724B5"/>
    <w:rsid w:val="000743D3"/>
    <w:rsid w:val="00074BD2"/>
    <w:rsid w:val="000A5FCF"/>
    <w:rsid w:val="000D7298"/>
    <w:rsid w:val="000F55DD"/>
    <w:rsid w:val="000F73A0"/>
    <w:rsid w:val="0017495A"/>
    <w:rsid w:val="0018600E"/>
    <w:rsid w:val="001977B8"/>
    <w:rsid w:val="001C4D21"/>
    <w:rsid w:val="002139DB"/>
    <w:rsid w:val="00221510"/>
    <w:rsid w:val="00221619"/>
    <w:rsid w:val="00232C40"/>
    <w:rsid w:val="00272D0C"/>
    <w:rsid w:val="00295452"/>
    <w:rsid w:val="002D0A33"/>
    <w:rsid w:val="002F6760"/>
    <w:rsid w:val="003762A8"/>
    <w:rsid w:val="003C64CF"/>
    <w:rsid w:val="003D5BF3"/>
    <w:rsid w:val="003D7143"/>
    <w:rsid w:val="00426E12"/>
    <w:rsid w:val="004406BF"/>
    <w:rsid w:val="004A4697"/>
    <w:rsid w:val="00513916"/>
    <w:rsid w:val="005822BC"/>
    <w:rsid w:val="005E7B02"/>
    <w:rsid w:val="006047BF"/>
    <w:rsid w:val="00617484"/>
    <w:rsid w:val="00677F85"/>
    <w:rsid w:val="00686DAC"/>
    <w:rsid w:val="006C43FB"/>
    <w:rsid w:val="007036E5"/>
    <w:rsid w:val="007643E0"/>
    <w:rsid w:val="00772430"/>
    <w:rsid w:val="0077646A"/>
    <w:rsid w:val="007E70B1"/>
    <w:rsid w:val="00855384"/>
    <w:rsid w:val="008805C9"/>
    <w:rsid w:val="00890290"/>
    <w:rsid w:val="00897D4F"/>
    <w:rsid w:val="008A5654"/>
    <w:rsid w:val="008B34D9"/>
    <w:rsid w:val="008C7A47"/>
    <w:rsid w:val="008E2051"/>
    <w:rsid w:val="00992E0C"/>
    <w:rsid w:val="009A1F77"/>
    <w:rsid w:val="009B4EC1"/>
    <w:rsid w:val="009E42AA"/>
    <w:rsid w:val="00A01993"/>
    <w:rsid w:val="00A22A54"/>
    <w:rsid w:val="00A359DB"/>
    <w:rsid w:val="00A627FD"/>
    <w:rsid w:val="00B92F5C"/>
    <w:rsid w:val="00BB24D5"/>
    <w:rsid w:val="00BD46D2"/>
    <w:rsid w:val="00BD491E"/>
    <w:rsid w:val="00BE317A"/>
    <w:rsid w:val="00C90FBE"/>
    <w:rsid w:val="00CB4375"/>
    <w:rsid w:val="00CD045C"/>
    <w:rsid w:val="00D01615"/>
    <w:rsid w:val="00D25E84"/>
    <w:rsid w:val="00D40E7A"/>
    <w:rsid w:val="00DA4E65"/>
    <w:rsid w:val="00E41C5E"/>
    <w:rsid w:val="00E66516"/>
    <w:rsid w:val="00E8682A"/>
    <w:rsid w:val="00F22DDC"/>
    <w:rsid w:val="00F600A9"/>
    <w:rsid w:val="00F775DF"/>
    <w:rsid w:val="00FF7C4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FB2B2"/>
  <w15:chartTrackingRefBased/>
  <w15:docId w15:val="{6130997E-09FA-4BAD-B8F0-5D105976A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5452"/>
    <w:pPr>
      <w:spacing w:line="480" w:lineRule="auto"/>
      <w:ind w:firstLine="720"/>
    </w:pPr>
    <w:rPr>
      <w:rFonts w:ascii="Times New Roman" w:hAnsi="Times New Roman"/>
      <w:sz w:val="24"/>
    </w:rPr>
  </w:style>
  <w:style w:type="paragraph" w:styleId="Heading1">
    <w:name w:val="heading 1"/>
    <w:basedOn w:val="Normal"/>
    <w:next w:val="Normal"/>
    <w:link w:val="Heading1Char"/>
    <w:autoRedefine/>
    <w:uiPriority w:val="9"/>
    <w:qFormat/>
    <w:rsid w:val="00E41C5E"/>
    <w:pPr>
      <w:keepNext/>
      <w:keepLines/>
      <w:spacing w:before="240" w:after="0"/>
      <w:ind w:firstLine="0"/>
      <w:jc w:val="center"/>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037397"/>
    <w:pPr>
      <w:keepNext/>
      <w:keepLines/>
      <w:spacing w:before="40" w:after="0"/>
      <w:ind w:firstLine="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6047BF"/>
    <w:pPr>
      <w:keepNext/>
      <w:keepLines/>
      <w:spacing w:before="40" w:after="0"/>
      <w:ind w:firstLine="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1C5E"/>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037397"/>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6047BF"/>
    <w:rPr>
      <w:rFonts w:ascii="Times New Roman" w:eastAsiaTheme="majorEastAsia" w:hAnsi="Times New Roman" w:cstheme="majorBidi"/>
      <w:b/>
      <w:i/>
      <w:sz w:val="24"/>
      <w:szCs w:val="24"/>
    </w:rPr>
  </w:style>
  <w:style w:type="paragraph" w:styleId="ListParagraph">
    <w:name w:val="List Paragraph"/>
    <w:basedOn w:val="Normal"/>
    <w:uiPriority w:val="34"/>
    <w:qFormat/>
    <w:rsid w:val="001977B8"/>
    <w:pPr>
      <w:ind w:left="720"/>
      <w:contextualSpacing/>
    </w:pPr>
  </w:style>
  <w:style w:type="character" w:styleId="Hyperlink">
    <w:name w:val="Hyperlink"/>
    <w:basedOn w:val="DefaultParagraphFont"/>
    <w:uiPriority w:val="99"/>
    <w:unhideWhenUsed/>
    <w:rsid w:val="00232C40"/>
    <w:rPr>
      <w:color w:val="0563C1" w:themeColor="hyperlink"/>
      <w:u w:val="single"/>
    </w:rPr>
  </w:style>
  <w:style w:type="character" w:styleId="UnresolvedMention">
    <w:name w:val="Unresolved Mention"/>
    <w:basedOn w:val="DefaultParagraphFont"/>
    <w:uiPriority w:val="99"/>
    <w:semiHidden/>
    <w:unhideWhenUsed/>
    <w:rsid w:val="00232C40"/>
    <w:rPr>
      <w:color w:val="605E5C"/>
      <w:shd w:val="clear" w:color="auto" w:fill="E1DFDD"/>
    </w:rPr>
  </w:style>
  <w:style w:type="paragraph" w:styleId="Header">
    <w:name w:val="header"/>
    <w:basedOn w:val="Normal"/>
    <w:link w:val="HeaderChar"/>
    <w:uiPriority w:val="99"/>
    <w:unhideWhenUsed/>
    <w:rsid w:val="006174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7484"/>
    <w:rPr>
      <w:rFonts w:ascii="Times New Roman" w:hAnsi="Times New Roman"/>
      <w:sz w:val="24"/>
    </w:rPr>
  </w:style>
  <w:style w:type="paragraph" w:styleId="Footer">
    <w:name w:val="footer"/>
    <w:basedOn w:val="Normal"/>
    <w:link w:val="FooterChar"/>
    <w:uiPriority w:val="99"/>
    <w:unhideWhenUsed/>
    <w:rsid w:val="006174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7484"/>
    <w:rPr>
      <w:rFonts w:ascii="Times New Roman" w:hAnsi="Times New Roman"/>
      <w:sz w:val="24"/>
    </w:rPr>
  </w:style>
  <w:style w:type="character" w:styleId="PlaceholderText">
    <w:name w:val="Placeholder Text"/>
    <w:basedOn w:val="DefaultParagraphFont"/>
    <w:uiPriority w:val="99"/>
    <w:semiHidden/>
    <w:rsid w:val="008E2051"/>
    <w:rPr>
      <w:color w:val="808080"/>
    </w:rPr>
  </w:style>
  <w:style w:type="character" w:customStyle="1" w:styleId="NoSpacingChar">
    <w:name w:val="No Spacing Char"/>
    <w:basedOn w:val="DefaultParagraphFont"/>
    <w:link w:val="NoSpacing"/>
    <w:uiPriority w:val="1"/>
    <w:locked/>
    <w:rsid w:val="00D01615"/>
    <w:rPr>
      <w:rFonts w:ascii="Times New Roman" w:eastAsiaTheme="minorEastAsia" w:hAnsi="Times New Roman" w:cs="Times New Roman"/>
      <w:lang w:eastAsia="ja-JP"/>
    </w:rPr>
  </w:style>
  <w:style w:type="paragraph" w:styleId="NoSpacing">
    <w:name w:val="No Spacing"/>
    <w:link w:val="NoSpacingChar"/>
    <w:uiPriority w:val="1"/>
    <w:qFormat/>
    <w:rsid w:val="00D01615"/>
    <w:pPr>
      <w:spacing w:after="0" w:line="240" w:lineRule="auto"/>
    </w:pPr>
    <w:rPr>
      <w:rFonts w:ascii="Times New Roman" w:eastAsiaTheme="minorEastAsia" w:hAnsi="Times New Roman" w:cs="Times New Roman"/>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064918">
      <w:bodyDiv w:val="1"/>
      <w:marLeft w:val="0"/>
      <w:marRight w:val="0"/>
      <w:marTop w:val="0"/>
      <w:marBottom w:val="0"/>
      <w:divBdr>
        <w:top w:val="none" w:sz="0" w:space="0" w:color="auto"/>
        <w:left w:val="none" w:sz="0" w:space="0" w:color="auto"/>
        <w:bottom w:val="none" w:sz="0" w:space="0" w:color="auto"/>
        <w:right w:val="none" w:sz="0" w:space="0" w:color="auto"/>
      </w:divBdr>
      <w:divsChild>
        <w:div w:id="501509474">
          <w:marLeft w:val="0"/>
          <w:marRight w:val="0"/>
          <w:marTop w:val="0"/>
          <w:marBottom w:val="0"/>
          <w:divBdr>
            <w:top w:val="none" w:sz="0" w:space="0" w:color="auto"/>
            <w:left w:val="none" w:sz="0" w:space="0" w:color="auto"/>
            <w:bottom w:val="none" w:sz="0" w:space="0" w:color="auto"/>
            <w:right w:val="none" w:sz="0" w:space="0" w:color="auto"/>
          </w:divBdr>
          <w:divsChild>
            <w:div w:id="1060785261">
              <w:marLeft w:val="0"/>
              <w:marRight w:val="0"/>
              <w:marTop w:val="0"/>
              <w:marBottom w:val="450"/>
              <w:divBdr>
                <w:top w:val="none" w:sz="0" w:space="0" w:color="auto"/>
                <w:left w:val="none" w:sz="0" w:space="0" w:color="auto"/>
                <w:bottom w:val="none" w:sz="0" w:space="0" w:color="auto"/>
                <w:right w:val="none" w:sz="0" w:space="0" w:color="auto"/>
              </w:divBdr>
              <w:divsChild>
                <w:div w:id="1897354648">
                  <w:marLeft w:val="0"/>
                  <w:marRight w:val="0"/>
                  <w:marTop w:val="0"/>
                  <w:marBottom w:val="0"/>
                  <w:divBdr>
                    <w:top w:val="none" w:sz="0" w:space="0" w:color="auto"/>
                    <w:left w:val="none" w:sz="0" w:space="0" w:color="auto"/>
                    <w:bottom w:val="none" w:sz="0" w:space="0" w:color="auto"/>
                    <w:right w:val="none" w:sz="0" w:space="0" w:color="auto"/>
                  </w:divBdr>
                  <w:divsChild>
                    <w:div w:id="1263687445">
                      <w:marLeft w:val="0"/>
                      <w:marRight w:val="0"/>
                      <w:marTop w:val="0"/>
                      <w:marBottom w:val="0"/>
                      <w:divBdr>
                        <w:top w:val="none" w:sz="0" w:space="0" w:color="auto"/>
                        <w:left w:val="none" w:sz="0" w:space="0" w:color="auto"/>
                        <w:bottom w:val="none" w:sz="0" w:space="0" w:color="auto"/>
                        <w:right w:val="none" w:sz="0" w:space="0" w:color="auto"/>
                      </w:divBdr>
                      <w:divsChild>
                        <w:div w:id="1278443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6333241">
      <w:bodyDiv w:val="1"/>
      <w:marLeft w:val="0"/>
      <w:marRight w:val="0"/>
      <w:marTop w:val="0"/>
      <w:marBottom w:val="0"/>
      <w:divBdr>
        <w:top w:val="none" w:sz="0" w:space="0" w:color="auto"/>
        <w:left w:val="none" w:sz="0" w:space="0" w:color="auto"/>
        <w:bottom w:val="none" w:sz="0" w:space="0" w:color="auto"/>
        <w:right w:val="none" w:sz="0" w:space="0" w:color="auto"/>
      </w:divBdr>
    </w:div>
    <w:div w:id="962803882">
      <w:bodyDiv w:val="1"/>
      <w:marLeft w:val="0"/>
      <w:marRight w:val="0"/>
      <w:marTop w:val="0"/>
      <w:marBottom w:val="0"/>
      <w:divBdr>
        <w:top w:val="none" w:sz="0" w:space="0" w:color="auto"/>
        <w:left w:val="none" w:sz="0" w:space="0" w:color="auto"/>
        <w:bottom w:val="none" w:sz="0" w:space="0" w:color="auto"/>
        <w:right w:val="none" w:sz="0" w:space="0" w:color="auto"/>
      </w:divBdr>
    </w:div>
    <w:div w:id="1401052650">
      <w:bodyDiv w:val="1"/>
      <w:marLeft w:val="0"/>
      <w:marRight w:val="0"/>
      <w:marTop w:val="0"/>
      <w:marBottom w:val="0"/>
      <w:divBdr>
        <w:top w:val="none" w:sz="0" w:space="0" w:color="auto"/>
        <w:left w:val="none" w:sz="0" w:space="0" w:color="auto"/>
        <w:bottom w:val="none" w:sz="0" w:space="0" w:color="auto"/>
        <w:right w:val="none" w:sz="0" w:space="0" w:color="auto"/>
      </w:divBdr>
      <w:divsChild>
        <w:div w:id="675039365">
          <w:marLeft w:val="0"/>
          <w:marRight w:val="0"/>
          <w:marTop w:val="0"/>
          <w:marBottom w:val="0"/>
          <w:divBdr>
            <w:top w:val="none" w:sz="0" w:space="0" w:color="auto"/>
            <w:left w:val="none" w:sz="0" w:space="0" w:color="auto"/>
            <w:bottom w:val="none" w:sz="0" w:space="0" w:color="auto"/>
            <w:right w:val="none" w:sz="0" w:space="0" w:color="auto"/>
          </w:divBdr>
          <w:divsChild>
            <w:div w:id="1539853925">
              <w:marLeft w:val="0"/>
              <w:marRight w:val="0"/>
              <w:marTop w:val="0"/>
              <w:marBottom w:val="450"/>
              <w:divBdr>
                <w:top w:val="none" w:sz="0" w:space="0" w:color="auto"/>
                <w:left w:val="none" w:sz="0" w:space="0" w:color="auto"/>
                <w:bottom w:val="none" w:sz="0" w:space="0" w:color="auto"/>
                <w:right w:val="none" w:sz="0" w:space="0" w:color="auto"/>
              </w:divBdr>
              <w:divsChild>
                <w:div w:id="1511330913">
                  <w:marLeft w:val="0"/>
                  <w:marRight w:val="0"/>
                  <w:marTop w:val="0"/>
                  <w:marBottom w:val="0"/>
                  <w:divBdr>
                    <w:top w:val="none" w:sz="0" w:space="0" w:color="auto"/>
                    <w:left w:val="none" w:sz="0" w:space="0" w:color="auto"/>
                    <w:bottom w:val="none" w:sz="0" w:space="0" w:color="auto"/>
                    <w:right w:val="none" w:sz="0" w:space="0" w:color="auto"/>
                  </w:divBdr>
                  <w:divsChild>
                    <w:div w:id="1851720570">
                      <w:marLeft w:val="0"/>
                      <w:marRight w:val="0"/>
                      <w:marTop w:val="0"/>
                      <w:marBottom w:val="0"/>
                      <w:divBdr>
                        <w:top w:val="none" w:sz="0" w:space="0" w:color="auto"/>
                        <w:left w:val="none" w:sz="0" w:space="0" w:color="auto"/>
                        <w:bottom w:val="none" w:sz="0" w:space="0" w:color="auto"/>
                        <w:right w:val="none" w:sz="0" w:space="0" w:color="auto"/>
                      </w:divBdr>
                      <w:divsChild>
                        <w:div w:id="1114902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8742014">
      <w:bodyDiv w:val="1"/>
      <w:marLeft w:val="0"/>
      <w:marRight w:val="0"/>
      <w:marTop w:val="0"/>
      <w:marBottom w:val="0"/>
      <w:divBdr>
        <w:top w:val="none" w:sz="0" w:space="0" w:color="auto"/>
        <w:left w:val="none" w:sz="0" w:space="0" w:color="auto"/>
        <w:bottom w:val="none" w:sz="0" w:space="0" w:color="auto"/>
        <w:right w:val="none" w:sz="0" w:space="0" w:color="auto"/>
      </w:divBdr>
    </w:div>
    <w:div w:id="2104256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337</TotalTime>
  <Pages>10</Pages>
  <Words>1661</Words>
  <Characters>9469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Nikol Stoyanova</cp:lastModifiedBy>
  <cp:revision>3</cp:revision>
  <dcterms:created xsi:type="dcterms:W3CDTF">2023-03-28T14:22:00Z</dcterms:created>
  <dcterms:modified xsi:type="dcterms:W3CDTF">2023-05-06T14:15:00Z</dcterms:modified>
</cp:coreProperties>
</file>