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1C2DB" w14:textId="77777777" w:rsidR="00C476C4" w:rsidRDefault="00C476C4"/>
    <w:p w14:paraId="52F9F96A" w14:textId="7C560C46" w:rsidR="00F5711D" w:rsidRDefault="00C476C4">
      <w:r>
        <w:rPr>
          <w:noProof/>
        </w:rPr>
        <w:drawing>
          <wp:inline distT="0" distB="0" distL="0" distR="0" wp14:anchorId="1D085E19" wp14:editId="642CD5DD">
            <wp:extent cx="1810385" cy="725170"/>
            <wp:effectExtent l="0" t="0" r="0" b="0"/>
            <wp:docPr id="1004830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3861C10" w14:textId="790C1467" w:rsidR="00C476C4" w:rsidRPr="00C476C4" w:rsidRDefault="00C476C4">
      <w:pPr>
        <w:rPr>
          <w:rFonts w:ascii="Arial" w:hAnsi="Arial" w:cs="Arial"/>
          <w:b/>
          <w:bCs/>
          <w:sz w:val="28"/>
          <w:szCs w:val="28"/>
        </w:rPr>
      </w:pPr>
      <w:r w:rsidRPr="00C476C4">
        <w:rPr>
          <w:rFonts w:ascii="Arial" w:hAnsi="Arial" w:cs="Arial"/>
          <w:b/>
          <w:bCs/>
          <w:sz w:val="28"/>
          <w:szCs w:val="28"/>
        </w:rPr>
        <w:t>International Financial Management</w:t>
      </w:r>
      <w:r>
        <w:rPr>
          <w:rFonts w:ascii="Arial" w:hAnsi="Arial" w:cs="Arial"/>
          <w:b/>
          <w:bCs/>
          <w:sz w:val="28"/>
          <w:szCs w:val="28"/>
        </w:rPr>
        <w:t xml:space="preserve">: </w:t>
      </w:r>
      <w:r w:rsidRPr="00C476C4">
        <w:rPr>
          <w:rFonts w:ascii="Arial" w:hAnsi="Arial" w:cs="Arial"/>
          <w:b/>
          <w:bCs/>
          <w:sz w:val="28"/>
          <w:szCs w:val="28"/>
        </w:rPr>
        <w:t>LCBB6002</w:t>
      </w:r>
    </w:p>
    <w:p w14:paraId="6C07FD25" w14:textId="46656483" w:rsidR="00C476C4" w:rsidRPr="00C476C4" w:rsidRDefault="00C476C4" w:rsidP="00C476C4">
      <w:pPr>
        <w:rPr>
          <w:rFonts w:ascii="Arial" w:hAnsi="Arial" w:cs="Arial"/>
          <w:b/>
          <w:bCs/>
          <w:sz w:val="28"/>
          <w:szCs w:val="28"/>
        </w:rPr>
      </w:pPr>
      <w:r w:rsidRPr="00C476C4">
        <w:rPr>
          <w:rFonts w:ascii="Arial" w:hAnsi="Arial" w:cs="Arial"/>
          <w:b/>
          <w:bCs/>
          <w:sz w:val="28"/>
          <w:szCs w:val="28"/>
        </w:rPr>
        <w:t xml:space="preserve">Component 1: Coursework: Written Report  </w:t>
      </w:r>
    </w:p>
    <w:p w14:paraId="03C10A77" w14:textId="14B59D4C" w:rsidR="00C476C4" w:rsidRDefault="00C476C4" w:rsidP="00C476C4">
      <w:pPr>
        <w:rPr>
          <w:rFonts w:ascii="Arial" w:hAnsi="Arial" w:cs="Arial"/>
          <w:b/>
          <w:bCs/>
          <w:sz w:val="28"/>
          <w:szCs w:val="28"/>
        </w:rPr>
      </w:pPr>
      <w:r w:rsidRPr="00C476C4">
        <w:rPr>
          <w:rFonts w:ascii="Arial" w:hAnsi="Arial" w:cs="Arial"/>
          <w:b/>
          <w:bCs/>
          <w:sz w:val="28"/>
          <w:szCs w:val="28"/>
        </w:rPr>
        <w:t xml:space="preserve">Student ID: </w:t>
      </w:r>
      <w:r w:rsidR="00690F2A">
        <w:rPr>
          <w:rFonts w:ascii="Arial" w:hAnsi="Arial" w:cs="Arial"/>
          <w:b/>
          <w:bCs/>
          <w:sz w:val="28"/>
          <w:szCs w:val="28"/>
        </w:rPr>
        <w:t>2244846</w:t>
      </w:r>
    </w:p>
    <w:p w14:paraId="02F20431" w14:textId="431EE9D9" w:rsidR="00690F2A" w:rsidRDefault="00690F2A" w:rsidP="00C476C4">
      <w:pPr>
        <w:rPr>
          <w:rFonts w:ascii="Arial" w:hAnsi="Arial" w:cs="Arial"/>
          <w:b/>
          <w:bCs/>
          <w:sz w:val="28"/>
          <w:szCs w:val="28"/>
          <w:lang w:val="it-IT"/>
        </w:rPr>
      </w:pPr>
      <w:proofErr w:type="spellStart"/>
      <w:r w:rsidRPr="004B62F3">
        <w:rPr>
          <w:rFonts w:ascii="Arial" w:hAnsi="Arial" w:cs="Arial"/>
          <w:b/>
          <w:bCs/>
          <w:sz w:val="28"/>
          <w:szCs w:val="28"/>
          <w:lang w:val="it-IT"/>
        </w:rPr>
        <w:t>Student</w:t>
      </w:r>
      <w:proofErr w:type="spellEnd"/>
      <w:r w:rsidRPr="004B62F3">
        <w:rPr>
          <w:rFonts w:ascii="Arial" w:hAnsi="Arial" w:cs="Arial"/>
          <w:b/>
          <w:bCs/>
          <w:sz w:val="28"/>
          <w:szCs w:val="28"/>
          <w:lang w:val="it-IT"/>
        </w:rPr>
        <w:t xml:space="preserve"> Name : </w:t>
      </w:r>
      <w:proofErr w:type="spellStart"/>
      <w:r w:rsidR="004B62F3" w:rsidRPr="004B62F3">
        <w:rPr>
          <w:rFonts w:ascii="Arial" w:hAnsi="Arial" w:cs="Arial"/>
          <w:b/>
          <w:bCs/>
          <w:sz w:val="28"/>
          <w:szCs w:val="28"/>
          <w:lang w:val="it-IT"/>
        </w:rPr>
        <w:t>Iuliana</w:t>
      </w:r>
      <w:proofErr w:type="spellEnd"/>
      <w:r w:rsidR="004B62F3" w:rsidRPr="004B62F3">
        <w:rPr>
          <w:rFonts w:ascii="Arial" w:hAnsi="Arial" w:cs="Arial"/>
          <w:b/>
          <w:bCs/>
          <w:sz w:val="28"/>
          <w:szCs w:val="28"/>
          <w:lang w:val="it-IT"/>
        </w:rPr>
        <w:t xml:space="preserve"> Luminita N</w:t>
      </w:r>
      <w:r w:rsidR="004B62F3">
        <w:rPr>
          <w:rFonts w:ascii="Arial" w:hAnsi="Arial" w:cs="Arial"/>
          <w:b/>
          <w:bCs/>
          <w:sz w:val="28"/>
          <w:szCs w:val="28"/>
          <w:lang w:val="it-IT"/>
        </w:rPr>
        <w:t xml:space="preserve">ica </w:t>
      </w:r>
    </w:p>
    <w:p w14:paraId="13F9627C" w14:textId="77777777" w:rsidR="004B62F3" w:rsidRPr="004B62F3" w:rsidRDefault="004B62F3" w:rsidP="00C476C4">
      <w:pPr>
        <w:rPr>
          <w:rFonts w:ascii="Arial" w:hAnsi="Arial" w:cs="Arial"/>
          <w:b/>
          <w:bCs/>
          <w:sz w:val="28"/>
          <w:szCs w:val="28"/>
          <w:lang w:val="it-IT"/>
        </w:rPr>
      </w:pPr>
    </w:p>
    <w:p w14:paraId="0A671839" w14:textId="77777777" w:rsidR="00C476C4" w:rsidRPr="004B62F3" w:rsidRDefault="00C476C4" w:rsidP="00C476C4">
      <w:pPr>
        <w:rPr>
          <w:rFonts w:ascii="Arial" w:hAnsi="Arial" w:cs="Arial"/>
          <w:b/>
          <w:bCs/>
          <w:sz w:val="28"/>
          <w:szCs w:val="28"/>
          <w:lang w:val="it-IT"/>
        </w:rPr>
      </w:pPr>
    </w:p>
    <w:p w14:paraId="4B697B10" w14:textId="77777777" w:rsidR="00C476C4" w:rsidRPr="004B62F3" w:rsidRDefault="00C476C4" w:rsidP="00C476C4">
      <w:pPr>
        <w:rPr>
          <w:rFonts w:ascii="Arial" w:hAnsi="Arial" w:cs="Arial"/>
          <w:b/>
          <w:bCs/>
          <w:sz w:val="28"/>
          <w:szCs w:val="28"/>
          <w:lang w:val="it-IT"/>
        </w:rPr>
      </w:pPr>
    </w:p>
    <w:p w14:paraId="0BC48433" w14:textId="77777777" w:rsidR="00C476C4" w:rsidRPr="004B62F3" w:rsidRDefault="00C476C4" w:rsidP="00C476C4">
      <w:pPr>
        <w:rPr>
          <w:rFonts w:ascii="Arial" w:hAnsi="Arial" w:cs="Arial"/>
          <w:b/>
          <w:bCs/>
          <w:sz w:val="28"/>
          <w:szCs w:val="28"/>
          <w:lang w:val="it-IT"/>
        </w:rPr>
      </w:pPr>
    </w:p>
    <w:p w14:paraId="46126A98" w14:textId="77777777" w:rsidR="00C476C4" w:rsidRPr="004B62F3" w:rsidRDefault="00C476C4" w:rsidP="00C476C4">
      <w:pPr>
        <w:rPr>
          <w:rFonts w:ascii="Arial" w:hAnsi="Arial" w:cs="Arial"/>
          <w:b/>
          <w:bCs/>
          <w:sz w:val="28"/>
          <w:szCs w:val="28"/>
          <w:lang w:val="it-IT"/>
        </w:rPr>
      </w:pPr>
    </w:p>
    <w:p w14:paraId="74755E6B" w14:textId="77777777" w:rsidR="00C476C4" w:rsidRPr="004B62F3" w:rsidRDefault="00C476C4" w:rsidP="00C476C4">
      <w:pPr>
        <w:rPr>
          <w:rFonts w:ascii="Arial" w:hAnsi="Arial" w:cs="Arial"/>
          <w:b/>
          <w:bCs/>
          <w:sz w:val="28"/>
          <w:szCs w:val="28"/>
          <w:lang w:val="it-IT"/>
        </w:rPr>
      </w:pPr>
    </w:p>
    <w:p w14:paraId="7C1A2219" w14:textId="77777777" w:rsidR="00C476C4" w:rsidRPr="004B62F3" w:rsidRDefault="00C476C4" w:rsidP="00C476C4">
      <w:pPr>
        <w:rPr>
          <w:rFonts w:ascii="Arial" w:hAnsi="Arial" w:cs="Arial"/>
          <w:b/>
          <w:bCs/>
          <w:sz w:val="28"/>
          <w:szCs w:val="28"/>
          <w:lang w:val="it-IT"/>
        </w:rPr>
      </w:pPr>
    </w:p>
    <w:p w14:paraId="04B30807" w14:textId="77777777" w:rsidR="00C476C4" w:rsidRPr="004B62F3" w:rsidRDefault="00C476C4" w:rsidP="00C476C4">
      <w:pPr>
        <w:rPr>
          <w:rFonts w:ascii="Arial" w:hAnsi="Arial" w:cs="Arial"/>
          <w:b/>
          <w:bCs/>
          <w:sz w:val="28"/>
          <w:szCs w:val="28"/>
          <w:lang w:val="it-IT"/>
        </w:rPr>
      </w:pPr>
    </w:p>
    <w:p w14:paraId="50392BA6" w14:textId="77777777" w:rsidR="00C476C4" w:rsidRPr="004B62F3" w:rsidRDefault="00C476C4" w:rsidP="00C476C4">
      <w:pPr>
        <w:rPr>
          <w:rFonts w:ascii="Arial" w:hAnsi="Arial" w:cs="Arial"/>
          <w:b/>
          <w:bCs/>
          <w:sz w:val="28"/>
          <w:szCs w:val="28"/>
          <w:lang w:val="it-IT"/>
        </w:rPr>
      </w:pPr>
    </w:p>
    <w:p w14:paraId="5ADBF164" w14:textId="77777777" w:rsidR="00C476C4" w:rsidRPr="004B62F3" w:rsidRDefault="00C476C4" w:rsidP="00C476C4">
      <w:pPr>
        <w:rPr>
          <w:rFonts w:ascii="Arial" w:hAnsi="Arial" w:cs="Arial"/>
          <w:b/>
          <w:bCs/>
          <w:sz w:val="28"/>
          <w:szCs w:val="28"/>
          <w:lang w:val="it-IT"/>
        </w:rPr>
      </w:pPr>
    </w:p>
    <w:p w14:paraId="213A24A0" w14:textId="77777777" w:rsidR="00C476C4" w:rsidRPr="004B62F3" w:rsidRDefault="00C476C4" w:rsidP="00C476C4">
      <w:pPr>
        <w:rPr>
          <w:rFonts w:ascii="Arial" w:hAnsi="Arial" w:cs="Arial"/>
          <w:b/>
          <w:bCs/>
          <w:sz w:val="28"/>
          <w:szCs w:val="28"/>
          <w:lang w:val="it-IT"/>
        </w:rPr>
      </w:pPr>
    </w:p>
    <w:p w14:paraId="4AB7C796" w14:textId="77777777" w:rsidR="00C476C4" w:rsidRPr="004B62F3" w:rsidRDefault="00C476C4" w:rsidP="00C476C4">
      <w:pPr>
        <w:rPr>
          <w:rFonts w:ascii="Arial" w:hAnsi="Arial" w:cs="Arial"/>
          <w:b/>
          <w:bCs/>
          <w:sz w:val="28"/>
          <w:szCs w:val="28"/>
          <w:lang w:val="it-IT"/>
        </w:rPr>
      </w:pPr>
    </w:p>
    <w:p w14:paraId="09B3CDFD" w14:textId="77777777" w:rsidR="00C476C4" w:rsidRPr="004B62F3" w:rsidRDefault="00C476C4" w:rsidP="00C476C4">
      <w:pPr>
        <w:rPr>
          <w:rFonts w:ascii="Arial" w:hAnsi="Arial" w:cs="Arial"/>
          <w:b/>
          <w:bCs/>
          <w:sz w:val="28"/>
          <w:szCs w:val="28"/>
          <w:lang w:val="it-IT"/>
        </w:rPr>
      </w:pPr>
    </w:p>
    <w:p w14:paraId="51E3E805" w14:textId="77777777" w:rsidR="00C476C4" w:rsidRPr="004B62F3" w:rsidRDefault="00C476C4" w:rsidP="00C476C4">
      <w:pPr>
        <w:rPr>
          <w:rFonts w:ascii="Arial" w:hAnsi="Arial" w:cs="Arial"/>
          <w:b/>
          <w:bCs/>
          <w:sz w:val="28"/>
          <w:szCs w:val="28"/>
          <w:lang w:val="it-IT"/>
        </w:rPr>
      </w:pPr>
    </w:p>
    <w:p w14:paraId="1C41C1F8" w14:textId="77777777" w:rsidR="00C476C4" w:rsidRPr="004B62F3" w:rsidRDefault="00C476C4" w:rsidP="00C476C4">
      <w:pPr>
        <w:rPr>
          <w:rFonts w:ascii="Arial" w:hAnsi="Arial" w:cs="Arial"/>
          <w:b/>
          <w:bCs/>
          <w:sz w:val="28"/>
          <w:szCs w:val="28"/>
          <w:lang w:val="it-IT"/>
        </w:rPr>
      </w:pPr>
    </w:p>
    <w:p w14:paraId="20AF3C3C" w14:textId="77777777" w:rsidR="00C476C4" w:rsidRPr="004B62F3" w:rsidRDefault="00C476C4" w:rsidP="00C476C4">
      <w:pPr>
        <w:rPr>
          <w:rFonts w:ascii="Arial" w:hAnsi="Arial" w:cs="Arial"/>
          <w:b/>
          <w:bCs/>
          <w:sz w:val="28"/>
          <w:szCs w:val="28"/>
          <w:lang w:val="it-IT"/>
        </w:rPr>
      </w:pPr>
    </w:p>
    <w:p w14:paraId="793A3FEA" w14:textId="77777777" w:rsidR="00C476C4" w:rsidRPr="004B62F3" w:rsidRDefault="00C476C4" w:rsidP="00C476C4">
      <w:pPr>
        <w:rPr>
          <w:rFonts w:ascii="Arial" w:hAnsi="Arial" w:cs="Arial"/>
          <w:b/>
          <w:bCs/>
          <w:sz w:val="28"/>
          <w:szCs w:val="28"/>
          <w:lang w:val="it-IT"/>
        </w:rPr>
      </w:pPr>
    </w:p>
    <w:p w14:paraId="4DBFD3D4" w14:textId="77777777" w:rsidR="00C476C4" w:rsidRPr="004B62F3" w:rsidRDefault="00C476C4" w:rsidP="00C476C4">
      <w:pPr>
        <w:rPr>
          <w:rFonts w:ascii="Arial" w:hAnsi="Arial" w:cs="Arial"/>
          <w:b/>
          <w:bCs/>
          <w:sz w:val="28"/>
          <w:szCs w:val="28"/>
          <w:lang w:val="it-IT"/>
        </w:rPr>
      </w:pPr>
    </w:p>
    <w:p w14:paraId="3456F069" w14:textId="77777777" w:rsidR="00C476C4" w:rsidRPr="004B62F3" w:rsidRDefault="00C476C4" w:rsidP="00C476C4">
      <w:pPr>
        <w:rPr>
          <w:rFonts w:ascii="Arial" w:hAnsi="Arial" w:cs="Arial"/>
          <w:b/>
          <w:bCs/>
          <w:sz w:val="28"/>
          <w:szCs w:val="28"/>
          <w:lang w:val="it-IT"/>
        </w:rPr>
      </w:pPr>
    </w:p>
    <w:p w14:paraId="05BB790C" w14:textId="77777777" w:rsidR="00C476C4" w:rsidRPr="004B62F3" w:rsidRDefault="00C476C4" w:rsidP="00C476C4">
      <w:pPr>
        <w:rPr>
          <w:rFonts w:ascii="Arial" w:hAnsi="Arial" w:cs="Arial"/>
          <w:b/>
          <w:bCs/>
          <w:sz w:val="28"/>
          <w:szCs w:val="28"/>
          <w:lang w:val="it-IT"/>
        </w:rPr>
      </w:pPr>
    </w:p>
    <w:p w14:paraId="46FFD9D6" w14:textId="77777777" w:rsidR="00C476C4" w:rsidRPr="004B62F3" w:rsidRDefault="00C476C4" w:rsidP="00C476C4">
      <w:pPr>
        <w:rPr>
          <w:rFonts w:ascii="Arial" w:hAnsi="Arial" w:cs="Arial"/>
          <w:b/>
          <w:bCs/>
          <w:sz w:val="28"/>
          <w:szCs w:val="28"/>
          <w:lang w:val="it-IT"/>
        </w:rPr>
      </w:pPr>
    </w:p>
    <w:p w14:paraId="2CC09912" w14:textId="77777777" w:rsidR="00C476C4" w:rsidRPr="004B62F3" w:rsidRDefault="00C476C4" w:rsidP="00C476C4">
      <w:pPr>
        <w:rPr>
          <w:rFonts w:ascii="Arial" w:hAnsi="Arial" w:cs="Arial"/>
          <w:b/>
          <w:bCs/>
          <w:sz w:val="28"/>
          <w:szCs w:val="28"/>
          <w:lang w:val="it-IT"/>
        </w:rPr>
      </w:pPr>
    </w:p>
    <w:p w14:paraId="39ADB84C" w14:textId="74001122" w:rsidR="00C476C4" w:rsidRDefault="00C476C4" w:rsidP="00427464">
      <w:pPr>
        <w:pStyle w:val="Heading1"/>
      </w:pPr>
      <w:bookmarkStart w:id="0" w:name="_Toc201251173"/>
      <w:r>
        <w:t>Executive Summary</w:t>
      </w:r>
      <w:bookmarkEnd w:id="0"/>
      <w:r>
        <w:t xml:space="preserve"> </w:t>
      </w:r>
    </w:p>
    <w:p w14:paraId="0FAFC18F" w14:textId="17384DC9" w:rsidR="00C476C4" w:rsidRDefault="00C476C4" w:rsidP="00C476C4">
      <w:pPr>
        <w:spacing w:line="360" w:lineRule="auto"/>
        <w:jc w:val="both"/>
        <w:rPr>
          <w:rFonts w:ascii="Arial" w:hAnsi="Arial" w:cs="Arial"/>
          <w:sz w:val="24"/>
          <w:szCs w:val="24"/>
        </w:rPr>
      </w:pPr>
      <w:r w:rsidRPr="00C476C4">
        <w:rPr>
          <w:rFonts w:ascii="Arial" w:hAnsi="Arial" w:cs="Arial"/>
          <w:sz w:val="24"/>
          <w:szCs w:val="24"/>
        </w:rPr>
        <w:t xml:space="preserve">The purpose of this study is to assist a family-owned service firm that is about to list on the Alternative Investment Market (AIM) in the United Kingdom. The study introduces an overview of the main principles of corporate governance and agency theory. The study identifies the issues and responsibilities that arise when ownership and control conflict with each other. </w:t>
      </w:r>
      <w:r>
        <w:rPr>
          <w:rFonts w:ascii="Arial" w:hAnsi="Arial" w:cs="Arial"/>
          <w:sz w:val="24"/>
          <w:szCs w:val="24"/>
        </w:rPr>
        <w:t>Also, t</w:t>
      </w:r>
      <w:r w:rsidRPr="00C476C4">
        <w:rPr>
          <w:rFonts w:ascii="Arial" w:hAnsi="Arial" w:cs="Arial"/>
          <w:sz w:val="24"/>
          <w:szCs w:val="24"/>
        </w:rPr>
        <w:t>he study describes the actual methods a family owner can apply to maintain strategic control even when they only have a thirty percent shareholding after the company is listed. It also outlines how to design a fair and competitive compensation scheme for the directors and to be in line with the best practice in the industry. A comparison of the governance structures and institutional environments in the United Kingdom, Shanghai, and the Netherlands is also undertaken to determine the main differences that can encourage the firm to list on the stock exchange. Diageo PLC, a highly ranked FTSE 100 business, is used as an example of effective governance and board processes throughout the entire study.</w:t>
      </w:r>
    </w:p>
    <w:p w14:paraId="7B80291D" w14:textId="77777777" w:rsidR="00C476C4" w:rsidRDefault="00C476C4" w:rsidP="00C476C4">
      <w:pPr>
        <w:spacing w:line="360" w:lineRule="auto"/>
        <w:jc w:val="both"/>
        <w:rPr>
          <w:rFonts w:ascii="Arial" w:hAnsi="Arial" w:cs="Arial"/>
          <w:sz w:val="24"/>
          <w:szCs w:val="24"/>
        </w:rPr>
      </w:pPr>
    </w:p>
    <w:p w14:paraId="2F62D94E" w14:textId="77777777" w:rsidR="00C476C4" w:rsidRDefault="00C476C4" w:rsidP="00C476C4">
      <w:pPr>
        <w:spacing w:line="360" w:lineRule="auto"/>
        <w:jc w:val="both"/>
        <w:rPr>
          <w:rFonts w:ascii="Arial" w:hAnsi="Arial" w:cs="Arial"/>
          <w:sz w:val="24"/>
          <w:szCs w:val="24"/>
        </w:rPr>
      </w:pPr>
    </w:p>
    <w:p w14:paraId="2D9B8F66" w14:textId="77777777" w:rsidR="00C476C4" w:rsidRDefault="00C476C4" w:rsidP="00C476C4">
      <w:pPr>
        <w:spacing w:line="360" w:lineRule="auto"/>
        <w:jc w:val="both"/>
        <w:rPr>
          <w:rFonts w:ascii="Arial" w:hAnsi="Arial" w:cs="Arial"/>
          <w:sz w:val="24"/>
          <w:szCs w:val="24"/>
        </w:rPr>
      </w:pPr>
    </w:p>
    <w:p w14:paraId="7A12C4E5" w14:textId="77777777" w:rsidR="00C476C4" w:rsidRDefault="00C476C4" w:rsidP="00C476C4">
      <w:pPr>
        <w:spacing w:line="360" w:lineRule="auto"/>
        <w:jc w:val="both"/>
        <w:rPr>
          <w:rFonts w:ascii="Arial" w:hAnsi="Arial" w:cs="Arial"/>
          <w:sz w:val="24"/>
          <w:szCs w:val="24"/>
        </w:rPr>
      </w:pPr>
    </w:p>
    <w:p w14:paraId="6FE20F86" w14:textId="77777777" w:rsidR="00C476C4" w:rsidRDefault="00C476C4" w:rsidP="00C476C4">
      <w:pPr>
        <w:spacing w:line="360" w:lineRule="auto"/>
        <w:jc w:val="both"/>
        <w:rPr>
          <w:rFonts w:ascii="Arial" w:hAnsi="Arial" w:cs="Arial"/>
          <w:sz w:val="24"/>
          <w:szCs w:val="24"/>
        </w:rPr>
      </w:pPr>
    </w:p>
    <w:p w14:paraId="4B23B8A6" w14:textId="77777777" w:rsidR="00C476C4" w:rsidRDefault="00C476C4" w:rsidP="00C476C4">
      <w:pPr>
        <w:spacing w:line="360" w:lineRule="auto"/>
        <w:jc w:val="both"/>
        <w:rPr>
          <w:rFonts w:ascii="Arial" w:hAnsi="Arial" w:cs="Arial"/>
          <w:sz w:val="24"/>
          <w:szCs w:val="24"/>
        </w:rPr>
      </w:pPr>
    </w:p>
    <w:p w14:paraId="3624142D" w14:textId="77777777" w:rsidR="00C476C4" w:rsidRDefault="00C476C4" w:rsidP="00C476C4">
      <w:pPr>
        <w:spacing w:line="360" w:lineRule="auto"/>
        <w:jc w:val="both"/>
        <w:rPr>
          <w:rFonts w:ascii="Arial" w:hAnsi="Arial" w:cs="Arial"/>
          <w:sz w:val="24"/>
          <w:szCs w:val="24"/>
        </w:rPr>
      </w:pPr>
    </w:p>
    <w:p w14:paraId="69EB59D7" w14:textId="77777777" w:rsidR="00C476C4" w:rsidRDefault="00C476C4" w:rsidP="00C476C4">
      <w:pPr>
        <w:spacing w:line="360" w:lineRule="auto"/>
        <w:jc w:val="both"/>
        <w:rPr>
          <w:rFonts w:ascii="Arial" w:hAnsi="Arial" w:cs="Arial"/>
          <w:sz w:val="24"/>
          <w:szCs w:val="24"/>
        </w:rPr>
      </w:pPr>
    </w:p>
    <w:p w14:paraId="01C707B6" w14:textId="77777777" w:rsidR="00C476C4" w:rsidRDefault="00C476C4" w:rsidP="00C476C4">
      <w:pPr>
        <w:spacing w:line="360" w:lineRule="auto"/>
        <w:jc w:val="both"/>
        <w:rPr>
          <w:rFonts w:ascii="Arial" w:hAnsi="Arial" w:cs="Arial"/>
          <w:sz w:val="24"/>
          <w:szCs w:val="24"/>
        </w:rPr>
      </w:pPr>
    </w:p>
    <w:p w14:paraId="77815C35" w14:textId="77777777" w:rsidR="00C476C4" w:rsidRDefault="00C476C4" w:rsidP="00C476C4">
      <w:pPr>
        <w:spacing w:line="360" w:lineRule="auto"/>
        <w:jc w:val="both"/>
        <w:rPr>
          <w:rFonts w:ascii="Arial" w:hAnsi="Arial" w:cs="Arial"/>
          <w:sz w:val="24"/>
          <w:szCs w:val="24"/>
        </w:rPr>
      </w:pPr>
    </w:p>
    <w:p w14:paraId="0570751A" w14:textId="77777777" w:rsidR="00C476C4" w:rsidRDefault="00C476C4" w:rsidP="00C476C4">
      <w:pPr>
        <w:spacing w:line="360" w:lineRule="auto"/>
        <w:jc w:val="both"/>
        <w:rPr>
          <w:rFonts w:ascii="Arial" w:hAnsi="Arial" w:cs="Arial"/>
          <w:sz w:val="24"/>
          <w:szCs w:val="24"/>
        </w:rPr>
      </w:pPr>
    </w:p>
    <w:p w14:paraId="7D6BA4CA" w14:textId="77777777" w:rsidR="00C476C4" w:rsidRDefault="00C476C4" w:rsidP="00C476C4">
      <w:pPr>
        <w:spacing w:line="360" w:lineRule="auto"/>
        <w:jc w:val="both"/>
        <w:rPr>
          <w:rFonts w:ascii="Arial" w:hAnsi="Arial" w:cs="Arial"/>
          <w:sz w:val="24"/>
          <w:szCs w:val="24"/>
        </w:rPr>
      </w:pPr>
    </w:p>
    <w:p w14:paraId="357A2CC1" w14:textId="77777777" w:rsidR="00C476C4" w:rsidRDefault="00C476C4" w:rsidP="00C476C4">
      <w:pPr>
        <w:spacing w:line="360" w:lineRule="auto"/>
        <w:jc w:val="both"/>
        <w:rPr>
          <w:rFonts w:ascii="Arial" w:hAnsi="Arial" w:cs="Arial"/>
          <w:sz w:val="24"/>
          <w:szCs w:val="24"/>
        </w:rPr>
      </w:pPr>
    </w:p>
    <w:p w14:paraId="2BD44F8D" w14:textId="77777777" w:rsidR="00C476C4" w:rsidRDefault="00C476C4" w:rsidP="00C476C4">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435357557"/>
        <w:docPartObj>
          <w:docPartGallery w:val="Table of Contents"/>
          <w:docPartUnique/>
        </w:docPartObj>
      </w:sdtPr>
      <w:sdtEndPr>
        <w:rPr>
          <w:b/>
          <w:bCs/>
        </w:rPr>
      </w:sdtEndPr>
      <w:sdtContent>
        <w:p w14:paraId="7FBA912B" w14:textId="63C344F6" w:rsidR="00427464" w:rsidRDefault="00427464">
          <w:pPr>
            <w:pStyle w:val="TOCHeading"/>
          </w:pPr>
          <w:r>
            <w:t>Contents</w:t>
          </w:r>
        </w:p>
        <w:p w14:paraId="3A7E4CC5" w14:textId="1D9EBD6D" w:rsidR="00427464" w:rsidRDefault="00427464">
          <w:pPr>
            <w:pStyle w:val="TOC1"/>
            <w:tabs>
              <w:tab w:val="right" w:leader="dot" w:pos="9016"/>
            </w:tabs>
            <w:rPr>
              <w:noProof/>
            </w:rPr>
          </w:pPr>
          <w:r>
            <w:fldChar w:fldCharType="begin"/>
          </w:r>
          <w:r>
            <w:instrText xml:space="preserve"> TOC \o "1-3" \h \z \u </w:instrText>
          </w:r>
          <w:r>
            <w:fldChar w:fldCharType="separate"/>
          </w:r>
          <w:hyperlink w:anchor="_Toc201251173" w:history="1">
            <w:r w:rsidRPr="00154D28">
              <w:rPr>
                <w:rStyle w:val="Hyperlink"/>
                <w:noProof/>
              </w:rPr>
              <w:t>Executive Summary</w:t>
            </w:r>
            <w:r>
              <w:rPr>
                <w:noProof/>
                <w:webHidden/>
              </w:rPr>
              <w:tab/>
            </w:r>
            <w:r>
              <w:rPr>
                <w:noProof/>
                <w:webHidden/>
              </w:rPr>
              <w:fldChar w:fldCharType="begin"/>
            </w:r>
            <w:r>
              <w:rPr>
                <w:noProof/>
                <w:webHidden/>
              </w:rPr>
              <w:instrText xml:space="preserve"> PAGEREF _Toc201251173 \h </w:instrText>
            </w:r>
            <w:r>
              <w:rPr>
                <w:noProof/>
                <w:webHidden/>
              </w:rPr>
            </w:r>
            <w:r>
              <w:rPr>
                <w:noProof/>
                <w:webHidden/>
              </w:rPr>
              <w:fldChar w:fldCharType="separate"/>
            </w:r>
            <w:r>
              <w:rPr>
                <w:noProof/>
                <w:webHidden/>
              </w:rPr>
              <w:t>2</w:t>
            </w:r>
            <w:r>
              <w:rPr>
                <w:noProof/>
                <w:webHidden/>
              </w:rPr>
              <w:fldChar w:fldCharType="end"/>
            </w:r>
          </w:hyperlink>
        </w:p>
        <w:p w14:paraId="1A53EE39" w14:textId="3C39BC43" w:rsidR="00427464" w:rsidRDefault="00427464">
          <w:pPr>
            <w:pStyle w:val="TOC1"/>
            <w:tabs>
              <w:tab w:val="right" w:leader="dot" w:pos="9016"/>
            </w:tabs>
            <w:rPr>
              <w:noProof/>
            </w:rPr>
          </w:pPr>
          <w:hyperlink w:anchor="_Toc201251174" w:history="1">
            <w:r w:rsidRPr="00154D28">
              <w:rPr>
                <w:rStyle w:val="Hyperlink"/>
                <w:noProof/>
              </w:rPr>
              <w:t>Introduction</w:t>
            </w:r>
            <w:r>
              <w:rPr>
                <w:noProof/>
                <w:webHidden/>
              </w:rPr>
              <w:tab/>
            </w:r>
            <w:r>
              <w:rPr>
                <w:noProof/>
                <w:webHidden/>
              </w:rPr>
              <w:fldChar w:fldCharType="begin"/>
            </w:r>
            <w:r>
              <w:rPr>
                <w:noProof/>
                <w:webHidden/>
              </w:rPr>
              <w:instrText xml:space="preserve"> PAGEREF _Toc201251174 \h </w:instrText>
            </w:r>
            <w:r>
              <w:rPr>
                <w:noProof/>
                <w:webHidden/>
              </w:rPr>
            </w:r>
            <w:r>
              <w:rPr>
                <w:noProof/>
                <w:webHidden/>
              </w:rPr>
              <w:fldChar w:fldCharType="separate"/>
            </w:r>
            <w:r>
              <w:rPr>
                <w:noProof/>
                <w:webHidden/>
              </w:rPr>
              <w:t>4</w:t>
            </w:r>
            <w:r>
              <w:rPr>
                <w:noProof/>
                <w:webHidden/>
              </w:rPr>
              <w:fldChar w:fldCharType="end"/>
            </w:r>
          </w:hyperlink>
        </w:p>
        <w:p w14:paraId="20E6B8AE" w14:textId="043233D6" w:rsidR="00427464" w:rsidRDefault="00427464">
          <w:pPr>
            <w:pStyle w:val="TOC1"/>
            <w:tabs>
              <w:tab w:val="right" w:leader="dot" w:pos="9016"/>
            </w:tabs>
            <w:rPr>
              <w:noProof/>
            </w:rPr>
          </w:pPr>
          <w:hyperlink w:anchor="_Toc201251175" w:history="1">
            <w:r w:rsidRPr="00154D28">
              <w:rPr>
                <w:rStyle w:val="Hyperlink"/>
                <w:noProof/>
              </w:rPr>
              <w:t>Corporate Governance &amp; Agency Theory</w:t>
            </w:r>
            <w:r>
              <w:rPr>
                <w:noProof/>
                <w:webHidden/>
              </w:rPr>
              <w:tab/>
            </w:r>
            <w:r>
              <w:rPr>
                <w:noProof/>
                <w:webHidden/>
              </w:rPr>
              <w:fldChar w:fldCharType="begin"/>
            </w:r>
            <w:r>
              <w:rPr>
                <w:noProof/>
                <w:webHidden/>
              </w:rPr>
              <w:instrText xml:space="preserve"> PAGEREF _Toc201251175 \h </w:instrText>
            </w:r>
            <w:r>
              <w:rPr>
                <w:noProof/>
                <w:webHidden/>
              </w:rPr>
            </w:r>
            <w:r>
              <w:rPr>
                <w:noProof/>
                <w:webHidden/>
              </w:rPr>
              <w:fldChar w:fldCharType="separate"/>
            </w:r>
            <w:r>
              <w:rPr>
                <w:noProof/>
                <w:webHidden/>
              </w:rPr>
              <w:t>4</w:t>
            </w:r>
            <w:r>
              <w:rPr>
                <w:noProof/>
                <w:webHidden/>
              </w:rPr>
              <w:fldChar w:fldCharType="end"/>
            </w:r>
          </w:hyperlink>
        </w:p>
        <w:p w14:paraId="4E47B8FC" w14:textId="0893876A" w:rsidR="00427464" w:rsidRDefault="00427464">
          <w:pPr>
            <w:pStyle w:val="TOC1"/>
            <w:tabs>
              <w:tab w:val="right" w:leader="dot" w:pos="9016"/>
            </w:tabs>
            <w:rPr>
              <w:noProof/>
            </w:rPr>
          </w:pPr>
          <w:hyperlink w:anchor="_Toc201251176" w:history="1">
            <w:r w:rsidRPr="00154D28">
              <w:rPr>
                <w:rStyle w:val="Hyperlink"/>
                <w:noProof/>
              </w:rPr>
              <w:t>Retaining Control with 30% Shareholding</w:t>
            </w:r>
            <w:r>
              <w:rPr>
                <w:noProof/>
                <w:webHidden/>
              </w:rPr>
              <w:tab/>
            </w:r>
            <w:r>
              <w:rPr>
                <w:noProof/>
                <w:webHidden/>
              </w:rPr>
              <w:fldChar w:fldCharType="begin"/>
            </w:r>
            <w:r>
              <w:rPr>
                <w:noProof/>
                <w:webHidden/>
              </w:rPr>
              <w:instrText xml:space="preserve"> PAGEREF _Toc201251176 \h </w:instrText>
            </w:r>
            <w:r>
              <w:rPr>
                <w:noProof/>
                <w:webHidden/>
              </w:rPr>
            </w:r>
            <w:r>
              <w:rPr>
                <w:noProof/>
                <w:webHidden/>
              </w:rPr>
              <w:fldChar w:fldCharType="separate"/>
            </w:r>
            <w:r>
              <w:rPr>
                <w:noProof/>
                <w:webHidden/>
              </w:rPr>
              <w:t>5</w:t>
            </w:r>
            <w:r>
              <w:rPr>
                <w:noProof/>
                <w:webHidden/>
              </w:rPr>
              <w:fldChar w:fldCharType="end"/>
            </w:r>
          </w:hyperlink>
        </w:p>
        <w:p w14:paraId="30908A38" w14:textId="133B2953" w:rsidR="00427464" w:rsidRDefault="00427464">
          <w:pPr>
            <w:pStyle w:val="TOC1"/>
            <w:tabs>
              <w:tab w:val="right" w:leader="dot" w:pos="9016"/>
            </w:tabs>
            <w:rPr>
              <w:noProof/>
            </w:rPr>
          </w:pPr>
          <w:hyperlink w:anchor="_Toc201251177" w:history="1">
            <w:r w:rsidRPr="00154D28">
              <w:rPr>
                <w:rStyle w:val="Hyperlink"/>
                <w:noProof/>
              </w:rPr>
              <w:t>Director Remuneration &amp; Governance Structure</w:t>
            </w:r>
            <w:r>
              <w:rPr>
                <w:noProof/>
                <w:webHidden/>
              </w:rPr>
              <w:tab/>
            </w:r>
            <w:r>
              <w:rPr>
                <w:noProof/>
                <w:webHidden/>
              </w:rPr>
              <w:fldChar w:fldCharType="begin"/>
            </w:r>
            <w:r>
              <w:rPr>
                <w:noProof/>
                <w:webHidden/>
              </w:rPr>
              <w:instrText xml:space="preserve"> PAGEREF _Toc201251177 \h </w:instrText>
            </w:r>
            <w:r>
              <w:rPr>
                <w:noProof/>
                <w:webHidden/>
              </w:rPr>
            </w:r>
            <w:r>
              <w:rPr>
                <w:noProof/>
                <w:webHidden/>
              </w:rPr>
              <w:fldChar w:fldCharType="separate"/>
            </w:r>
            <w:r>
              <w:rPr>
                <w:noProof/>
                <w:webHidden/>
              </w:rPr>
              <w:t>6</w:t>
            </w:r>
            <w:r>
              <w:rPr>
                <w:noProof/>
                <w:webHidden/>
              </w:rPr>
              <w:fldChar w:fldCharType="end"/>
            </w:r>
          </w:hyperlink>
        </w:p>
        <w:p w14:paraId="341344AF" w14:textId="0CCC132E" w:rsidR="00427464" w:rsidRDefault="00427464">
          <w:pPr>
            <w:pStyle w:val="TOC1"/>
            <w:tabs>
              <w:tab w:val="right" w:leader="dot" w:pos="9016"/>
            </w:tabs>
            <w:rPr>
              <w:noProof/>
            </w:rPr>
          </w:pPr>
          <w:hyperlink w:anchor="_Toc201251178" w:history="1">
            <w:r w:rsidRPr="00154D28">
              <w:rPr>
                <w:rStyle w:val="Hyperlink"/>
                <w:noProof/>
              </w:rPr>
              <w:t>Differences in rules, rights of shareholders, and expectations of governance</w:t>
            </w:r>
            <w:r>
              <w:rPr>
                <w:noProof/>
                <w:webHidden/>
              </w:rPr>
              <w:tab/>
            </w:r>
            <w:r>
              <w:rPr>
                <w:noProof/>
                <w:webHidden/>
              </w:rPr>
              <w:fldChar w:fldCharType="begin"/>
            </w:r>
            <w:r>
              <w:rPr>
                <w:noProof/>
                <w:webHidden/>
              </w:rPr>
              <w:instrText xml:space="preserve"> PAGEREF _Toc201251178 \h </w:instrText>
            </w:r>
            <w:r>
              <w:rPr>
                <w:noProof/>
                <w:webHidden/>
              </w:rPr>
            </w:r>
            <w:r>
              <w:rPr>
                <w:noProof/>
                <w:webHidden/>
              </w:rPr>
              <w:fldChar w:fldCharType="separate"/>
            </w:r>
            <w:r>
              <w:rPr>
                <w:noProof/>
                <w:webHidden/>
              </w:rPr>
              <w:t>6</w:t>
            </w:r>
            <w:r>
              <w:rPr>
                <w:noProof/>
                <w:webHidden/>
              </w:rPr>
              <w:fldChar w:fldCharType="end"/>
            </w:r>
          </w:hyperlink>
        </w:p>
        <w:p w14:paraId="623ECC35" w14:textId="3E1819B2" w:rsidR="00427464" w:rsidRDefault="00427464">
          <w:pPr>
            <w:pStyle w:val="TOC1"/>
            <w:tabs>
              <w:tab w:val="right" w:leader="dot" w:pos="9016"/>
            </w:tabs>
            <w:rPr>
              <w:noProof/>
            </w:rPr>
          </w:pPr>
          <w:hyperlink w:anchor="_Toc201251179" w:history="1">
            <w:r w:rsidRPr="00154D28">
              <w:rPr>
                <w:rStyle w:val="Hyperlink"/>
                <w:noProof/>
              </w:rPr>
              <w:t>Recommendations</w:t>
            </w:r>
            <w:r>
              <w:rPr>
                <w:noProof/>
                <w:webHidden/>
              </w:rPr>
              <w:tab/>
            </w:r>
            <w:r>
              <w:rPr>
                <w:noProof/>
                <w:webHidden/>
              </w:rPr>
              <w:fldChar w:fldCharType="begin"/>
            </w:r>
            <w:r>
              <w:rPr>
                <w:noProof/>
                <w:webHidden/>
              </w:rPr>
              <w:instrText xml:space="preserve"> PAGEREF _Toc201251179 \h </w:instrText>
            </w:r>
            <w:r>
              <w:rPr>
                <w:noProof/>
                <w:webHidden/>
              </w:rPr>
            </w:r>
            <w:r>
              <w:rPr>
                <w:noProof/>
                <w:webHidden/>
              </w:rPr>
              <w:fldChar w:fldCharType="separate"/>
            </w:r>
            <w:r>
              <w:rPr>
                <w:noProof/>
                <w:webHidden/>
              </w:rPr>
              <w:t>7</w:t>
            </w:r>
            <w:r>
              <w:rPr>
                <w:noProof/>
                <w:webHidden/>
              </w:rPr>
              <w:fldChar w:fldCharType="end"/>
            </w:r>
          </w:hyperlink>
        </w:p>
        <w:p w14:paraId="1E2CF6E8" w14:textId="06E34B02" w:rsidR="00427464" w:rsidRDefault="00427464">
          <w:pPr>
            <w:pStyle w:val="TOC1"/>
            <w:tabs>
              <w:tab w:val="right" w:leader="dot" w:pos="9016"/>
            </w:tabs>
            <w:rPr>
              <w:noProof/>
            </w:rPr>
          </w:pPr>
          <w:hyperlink w:anchor="_Toc201251180" w:history="1">
            <w:r w:rsidRPr="00154D28">
              <w:rPr>
                <w:rStyle w:val="Hyperlink"/>
                <w:noProof/>
              </w:rPr>
              <w:t>Conclusion</w:t>
            </w:r>
            <w:r>
              <w:rPr>
                <w:noProof/>
                <w:webHidden/>
              </w:rPr>
              <w:tab/>
            </w:r>
            <w:r>
              <w:rPr>
                <w:noProof/>
                <w:webHidden/>
              </w:rPr>
              <w:fldChar w:fldCharType="begin"/>
            </w:r>
            <w:r>
              <w:rPr>
                <w:noProof/>
                <w:webHidden/>
              </w:rPr>
              <w:instrText xml:space="preserve"> PAGEREF _Toc201251180 \h </w:instrText>
            </w:r>
            <w:r>
              <w:rPr>
                <w:noProof/>
                <w:webHidden/>
              </w:rPr>
            </w:r>
            <w:r>
              <w:rPr>
                <w:noProof/>
                <w:webHidden/>
              </w:rPr>
              <w:fldChar w:fldCharType="separate"/>
            </w:r>
            <w:r>
              <w:rPr>
                <w:noProof/>
                <w:webHidden/>
              </w:rPr>
              <w:t>7</w:t>
            </w:r>
            <w:r>
              <w:rPr>
                <w:noProof/>
                <w:webHidden/>
              </w:rPr>
              <w:fldChar w:fldCharType="end"/>
            </w:r>
          </w:hyperlink>
        </w:p>
        <w:p w14:paraId="3E08DA1A" w14:textId="079A0B77" w:rsidR="00427464" w:rsidRDefault="00427464">
          <w:pPr>
            <w:pStyle w:val="TOC1"/>
            <w:tabs>
              <w:tab w:val="right" w:leader="dot" w:pos="9016"/>
            </w:tabs>
            <w:rPr>
              <w:noProof/>
            </w:rPr>
          </w:pPr>
          <w:hyperlink w:anchor="_Toc201251181" w:history="1">
            <w:r w:rsidRPr="00154D28">
              <w:rPr>
                <w:rStyle w:val="Hyperlink"/>
                <w:noProof/>
              </w:rPr>
              <w:t>References</w:t>
            </w:r>
            <w:r>
              <w:rPr>
                <w:noProof/>
                <w:webHidden/>
              </w:rPr>
              <w:tab/>
            </w:r>
            <w:r>
              <w:rPr>
                <w:noProof/>
                <w:webHidden/>
              </w:rPr>
              <w:fldChar w:fldCharType="begin"/>
            </w:r>
            <w:r>
              <w:rPr>
                <w:noProof/>
                <w:webHidden/>
              </w:rPr>
              <w:instrText xml:space="preserve"> PAGEREF _Toc201251181 \h </w:instrText>
            </w:r>
            <w:r>
              <w:rPr>
                <w:noProof/>
                <w:webHidden/>
              </w:rPr>
            </w:r>
            <w:r>
              <w:rPr>
                <w:noProof/>
                <w:webHidden/>
              </w:rPr>
              <w:fldChar w:fldCharType="separate"/>
            </w:r>
            <w:r>
              <w:rPr>
                <w:noProof/>
                <w:webHidden/>
              </w:rPr>
              <w:t>8</w:t>
            </w:r>
            <w:r>
              <w:rPr>
                <w:noProof/>
                <w:webHidden/>
              </w:rPr>
              <w:fldChar w:fldCharType="end"/>
            </w:r>
          </w:hyperlink>
        </w:p>
        <w:p w14:paraId="33600F9D" w14:textId="3BB682C3" w:rsidR="00427464" w:rsidRDefault="00427464">
          <w:r>
            <w:rPr>
              <w:b/>
              <w:bCs/>
            </w:rPr>
            <w:fldChar w:fldCharType="end"/>
          </w:r>
        </w:p>
      </w:sdtContent>
    </w:sdt>
    <w:p w14:paraId="2A9E1295" w14:textId="77777777" w:rsidR="00427464" w:rsidRDefault="00427464" w:rsidP="00C476C4">
      <w:pPr>
        <w:spacing w:line="360" w:lineRule="auto"/>
        <w:jc w:val="both"/>
        <w:rPr>
          <w:rFonts w:ascii="Arial" w:hAnsi="Arial" w:cs="Arial"/>
          <w:sz w:val="24"/>
          <w:szCs w:val="24"/>
        </w:rPr>
      </w:pPr>
    </w:p>
    <w:p w14:paraId="4524CCC0" w14:textId="77777777" w:rsidR="00427464" w:rsidRDefault="00427464" w:rsidP="00C476C4">
      <w:pPr>
        <w:spacing w:line="360" w:lineRule="auto"/>
        <w:jc w:val="both"/>
        <w:rPr>
          <w:rFonts w:ascii="Arial" w:hAnsi="Arial" w:cs="Arial"/>
          <w:sz w:val="24"/>
          <w:szCs w:val="24"/>
        </w:rPr>
      </w:pPr>
    </w:p>
    <w:p w14:paraId="50CC50F9" w14:textId="77777777" w:rsidR="00427464" w:rsidRDefault="00427464" w:rsidP="00C476C4">
      <w:pPr>
        <w:spacing w:line="360" w:lineRule="auto"/>
        <w:jc w:val="both"/>
        <w:rPr>
          <w:rFonts w:ascii="Arial" w:hAnsi="Arial" w:cs="Arial"/>
          <w:sz w:val="24"/>
          <w:szCs w:val="24"/>
        </w:rPr>
      </w:pPr>
    </w:p>
    <w:p w14:paraId="6766F780" w14:textId="77777777" w:rsidR="00427464" w:rsidRDefault="00427464" w:rsidP="00C476C4">
      <w:pPr>
        <w:spacing w:line="360" w:lineRule="auto"/>
        <w:jc w:val="both"/>
        <w:rPr>
          <w:rFonts w:ascii="Arial" w:hAnsi="Arial" w:cs="Arial"/>
          <w:sz w:val="24"/>
          <w:szCs w:val="24"/>
        </w:rPr>
      </w:pPr>
    </w:p>
    <w:p w14:paraId="3932F7D3" w14:textId="77777777" w:rsidR="00427464" w:rsidRDefault="00427464" w:rsidP="00C476C4">
      <w:pPr>
        <w:spacing w:line="360" w:lineRule="auto"/>
        <w:jc w:val="both"/>
        <w:rPr>
          <w:rFonts w:ascii="Arial" w:hAnsi="Arial" w:cs="Arial"/>
          <w:sz w:val="24"/>
          <w:szCs w:val="24"/>
        </w:rPr>
      </w:pPr>
    </w:p>
    <w:p w14:paraId="633A5FB0" w14:textId="77777777" w:rsidR="00427464" w:rsidRDefault="00427464" w:rsidP="00C476C4">
      <w:pPr>
        <w:spacing w:line="360" w:lineRule="auto"/>
        <w:jc w:val="both"/>
        <w:rPr>
          <w:rFonts w:ascii="Arial" w:hAnsi="Arial" w:cs="Arial"/>
          <w:sz w:val="24"/>
          <w:szCs w:val="24"/>
        </w:rPr>
      </w:pPr>
    </w:p>
    <w:p w14:paraId="32303268" w14:textId="77777777" w:rsidR="00427464" w:rsidRDefault="00427464" w:rsidP="00C476C4">
      <w:pPr>
        <w:spacing w:line="360" w:lineRule="auto"/>
        <w:jc w:val="both"/>
        <w:rPr>
          <w:rFonts w:ascii="Arial" w:hAnsi="Arial" w:cs="Arial"/>
          <w:sz w:val="24"/>
          <w:szCs w:val="24"/>
        </w:rPr>
      </w:pPr>
    </w:p>
    <w:p w14:paraId="76DF8400" w14:textId="77777777" w:rsidR="00427464" w:rsidRDefault="00427464" w:rsidP="00C476C4">
      <w:pPr>
        <w:spacing w:line="360" w:lineRule="auto"/>
        <w:jc w:val="both"/>
        <w:rPr>
          <w:rFonts w:ascii="Arial" w:hAnsi="Arial" w:cs="Arial"/>
          <w:sz w:val="24"/>
          <w:szCs w:val="24"/>
        </w:rPr>
      </w:pPr>
    </w:p>
    <w:p w14:paraId="326444C7" w14:textId="77777777" w:rsidR="00427464" w:rsidRDefault="00427464" w:rsidP="00C476C4">
      <w:pPr>
        <w:spacing w:line="360" w:lineRule="auto"/>
        <w:jc w:val="both"/>
        <w:rPr>
          <w:rFonts w:ascii="Arial" w:hAnsi="Arial" w:cs="Arial"/>
          <w:sz w:val="24"/>
          <w:szCs w:val="24"/>
        </w:rPr>
      </w:pPr>
    </w:p>
    <w:p w14:paraId="1FC8E3E4" w14:textId="77777777" w:rsidR="00427464" w:rsidRDefault="00427464" w:rsidP="00C476C4">
      <w:pPr>
        <w:spacing w:line="360" w:lineRule="auto"/>
        <w:jc w:val="both"/>
        <w:rPr>
          <w:rFonts w:ascii="Arial" w:hAnsi="Arial" w:cs="Arial"/>
          <w:sz w:val="24"/>
          <w:szCs w:val="24"/>
        </w:rPr>
      </w:pPr>
    </w:p>
    <w:p w14:paraId="141C03B7" w14:textId="77777777" w:rsidR="00427464" w:rsidRDefault="00427464" w:rsidP="00C476C4">
      <w:pPr>
        <w:spacing w:line="360" w:lineRule="auto"/>
        <w:jc w:val="both"/>
        <w:rPr>
          <w:rFonts w:ascii="Arial" w:hAnsi="Arial" w:cs="Arial"/>
          <w:sz w:val="24"/>
          <w:szCs w:val="24"/>
        </w:rPr>
      </w:pPr>
    </w:p>
    <w:p w14:paraId="2288A732" w14:textId="77777777" w:rsidR="00427464" w:rsidRDefault="00427464" w:rsidP="00C476C4">
      <w:pPr>
        <w:spacing w:line="360" w:lineRule="auto"/>
        <w:jc w:val="both"/>
        <w:rPr>
          <w:rFonts w:ascii="Arial" w:hAnsi="Arial" w:cs="Arial"/>
          <w:sz w:val="24"/>
          <w:szCs w:val="24"/>
        </w:rPr>
      </w:pPr>
    </w:p>
    <w:p w14:paraId="0CBE7594" w14:textId="77777777" w:rsidR="00427464" w:rsidRDefault="00427464" w:rsidP="00C476C4">
      <w:pPr>
        <w:spacing w:line="360" w:lineRule="auto"/>
        <w:jc w:val="both"/>
        <w:rPr>
          <w:rFonts w:ascii="Arial" w:hAnsi="Arial" w:cs="Arial"/>
          <w:sz w:val="24"/>
          <w:szCs w:val="24"/>
        </w:rPr>
      </w:pPr>
    </w:p>
    <w:p w14:paraId="0D12B633" w14:textId="77777777" w:rsidR="00427464" w:rsidRDefault="00427464" w:rsidP="00C476C4">
      <w:pPr>
        <w:spacing w:line="360" w:lineRule="auto"/>
        <w:jc w:val="both"/>
        <w:rPr>
          <w:rFonts w:ascii="Arial" w:hAnsi="Arial" w:cs="Arial"/>
          <w:sz w:val="24"/>
          <w:szCs w:val="24"/>
        </w:rPr>
      </w:pPr>
    </w:p>
    <w:p w14:paraId="34D132A8" w14:textId="77777777" w:rsidR="00427464" w:rsidRDefault="00427464" w:rsidP="00C476C4">
      <w:pPr>
        <w:spacing w:line="360" w:lineRule="auto"/>
        <w:jc w:val="both"/>
        <w:rPr>
          <w:rFonts w:ascii="Arial" w:hAnsi="Arial" w:cs="Arial"/>
          <w:sz w:val="24"/>
          <w:szCs w:val="24"/>
        </w:rPr>
      </w:pPr>
    </w:p>
    <w:p w14:paraId="157A06B5" w14:textId="2EA50644" w:rsidR="00C476C4" w:rsidRPr="00C476C4" w:rsidRDefault="00C476C4" w:rsidP="00427464">
      <w:pPr>
        <w:pStyle w:val="Heading1"/>
      </w:pPr>
      <w:bookmarkStart w:id="1" w:name="_Toc201251174"/>
      <w:r w:rsidRPr="00C476C4">
        <w:lastRenderedPageBreak/>
        <w:t>Introduction</w:t>
      </w:r>
      <w:bookmarkEnd w:id="1"/>
    </w:p>
    <w:p w14:paraId="26A68067" w14:textId="252B0922" w:rsidR="00C476C4" w:rsidRDefault="00C476C4" w:rsidP="00C476C4">
      <w:pPr>
        <w:spacing w:line="360" w:lineRule="auto"/>
        <w:jc w:val="both"/>
        <w:rPr>
          <w:rFonts w:ascii="Arial" w:hAnsi="Arial" w:cs="Arial"/>
          <w:sz w:val="24"/>
          <w:szCs w:val="24"/>
        </w:rPr>
      </w:pPr>
      <w:r w:rsidRPr="00C476C4">
        <w:rPr>
          <w:rFonts w:ascii="Arial" w:hAnsi="Arial" w:cs="Arial"/>
          <w:sz w:val="24"/>
          <w:szCs w:val="24"/>
        </w:rPr>
        <w:t>In this context, I think that going public from a family-owned company to a public traded company is a positive development. The company will be listed on the Alternative Investment Market (AIM) in the UK, and the company will have a new set of rules and expectations from the Board and other stakeholders that do not currently exist in a private company. The Board of Directors, which is made up of four siblings each owning 25% of the company, will need to deal with corporate governance, agency theory, board composition, and shareholder duties</w:t>
      </w:r>
      <w:r>
        <w:rPr>
          <w:rFonts w:ascii="Arial" w:hAnsi="Arial" w:cs="Arial"/>
          <w:sz w:val="24"/>
          <w:szCs w:val="24"/>
        </w:rPr>
        <w:t>,</w:t>
      </w:r>
      <w:r w:rsidRPr="00C476C4">
        <w:rPr>
          <w:rFonts w:ascii="Arial" w:hAnsi="Arial" w:cs="Arial"/>
          <w:sz w:val="24"/>
          <w:szCs w:val="24"/>
        </w:rPr>
        <w:t xml:space="preserve"> as well as the corporate control of the direction of the company and how much to pay directors compared to what the shareholders and the market want</w:t>
      </w:r>
      <w:r w:rsidR="008C52AC">
        <w:rPr>
          <w:rFonts w:ascii="Arial" w:hAnsi="Arial" w:cs="Arial"/>
          <w:sz w:val="24"/>
          <w:szCs w:val="24"/>
        </w:rPr>
        <w:t xml:space="preserve"> (</w:t>
      </w:r>
      <w:r w:rsidR="008C52AC" w:rsidRPr="008C52AC">
        <w:rPr>
          <w:rFonts w:ascii="Arial" w:hAnsi="Arial" w:cs="Arial"/>
          <w:sz w:val="24"/>
          <w:szCs w:val="24"/>
        </w:rPr>
        <w:t xml:space="preserve">Diageo PLC, 2024). </w:t>
      </w:r>
      <w:r w:rsidRPr="00C476C4">
        <w:rPr>
          <w:rFonts w:ascii="Arial" w:hAnsi="Arial" w:cs="Arial"/>
          <w:sz w:val="24"/>
          <w:szCs w:val="24"/>
        </w:rPr>
        <w:t xml:space="preserve"> Alternatives in Shanghai and the Netherlands are also being considered, and it will be necessary to know how the two markets differ. Recommendations will be based on best practices such as Diageo PLC.</w:t>
      </w:r>
    </w:p>
    <w:p w14:paraId="3FE7C4A0" w14:textId="52F38774" w:rsidR="00C476C4" w:rsidRPr="001A2344" w:rsidRDefault="00C476C4" w:rsidP="00427464">
      <w:pPr>
        <w:pStyle w:val="Heading1"/>
      </w:pPr>
      <w:bookmarkStart w:id="2" w:name="_Toc201251175"/>
      <w:r w:rsidRPr="001A2344">
        <w:t>Corporate Governance &amp; Agency Theory</w:t>
      </w:r>
      <w:bookmarkEnd w:id="2"/>
    </w:p>
    <w:p w14:paraId="6886E8E1" w14:textId="4FBFD45B" w:rsidR="001A2344" w:rsidRPr="001A2344" w:rsidRDefault="001A2344" w:rsidP="001A2344">
      <w:pPr>
        <w:spacing w:line="360" w:lineRule="auto"/>
        <w:jc w:val="both"/>
        <w:rPr>
          <w:rFonts w:ascii="Arial" w:hAnsi="Arial" w:cs="Arial"/>
          <w:sz w:val="24"/>
          <w:szCs w:val="24"/>
        </w:rPr>
      </w:pPr>
      <w:r w:rsidRPr="001A2344">
        <w:rPr>
          <w:rFonts w:ascii="Arial" w:hAnsi="Arial" w:cs="Arial"/>
          <w:sz w:val="24"/>
          <w:szCs w:val="24"/>
        </w:rPr>
        <w:t>Corporate governance is the systems and methods that a company uses to operate. It is intended to ensure that the owners, the directors and other stakeholders have a vested interest in the company and that the right checks and balances are in place. The UK Corporate Governance Code (FRC, 2018)</w:t>
      </w:r>
      <w:r>
        <w:rPr>
          <w:rFonts w:ascii="Arial" w:hAnsi="Arial" w:cs="Arial"/>
          <w:sz w:val="24"/>
          <w:szCs w:val="24"/>
        </w:rPr>
        <w:t>,</w:t>
      </w:r>
      <w:r w:rsidRPr="001A2344">
        <w:rPr>
          <w:rFonts w:ascii="Arial" w:hAnsi="Arial" w:cs="Arial"/>
          <w:sz w:val="24"/>
          <w:szCs w:val="24"/>
        </w:rPr>
        <w:t xml:space="preserve"> addresses issues</w:t>
      </w:r>
      <w:r>
        <w:rPr>
          <w:rFonts w:ascii="Arial" w:hAnsi="Arial" w:cs="Arial"/>
          <w:sz w:val="24"/>
          <w:szCs w:val="24"/>
        </w:rPr>
        <w:t>,</w:t>
      </w:r>
      <w:r w:rsidRPr="001A2344">
        <w:rPr>
          <w:rFonts w:ascii="Arial" w:hAnsi="Arial" w:cs="Arial"/>
          <w:sz w:val="24"/>
          <w:szCs w:val="24"/>
        </w:rPr>
        <w:t xml:space="preserve"> such as board accountability, openness, fairness and responsibility. All of these are critical for a company raising money from the public.</w:t>
      </w:r>
    </w:p>
    <w:p w14:paraId="2BD865A0" w14:textId="4D7CD086" w:rsidR="001A2344" w:rsidRPr="001A2344" w:rsidRDefault="001A2344" w:rsidP="001A2344">
      <w:pPr>
        <w:spacing w:line="360" w:lineRule="auto"/>
        <w:jc w:val="both"/>
        <w:rPr>
          <w:rFonts w:ascii="Arial" w:hAnsi="Arial" w:cs="Arial"/>
          <w:sz w:val="24"/>
          <w:szCs w:val="24"/>
        </w:rPr>
      </w:pPr>
      <w:r w:rsidRPr="001A2344">
        <w:rPr>
          <w:rFonts w:ascii="Arial" w:hAnsi="Arial" w:cs="Arial"/>
          <w:sz w:val="24"/>
          <w:szCs w:val="24"/>
        </w:rPr>
        <w:t>An agency theory (Jensen &amp; Meckling, 1976) is a theoretical framework to understand the possible conflict that can arise when ownership (principals) and control (agents) are separated. In this case the family directors will soon only control 30% of the company although they own 100%. This creates a typical principal-agent situation where outside shareholders will wonder if the board is acting in their best interests. Without good governance agency costs</w:t>
      </w:r>
      <w:r>
        <w:rPr>
          <w:rFonts w:ascii="Arial" w:hAnsi="Arial" w:cs="Arial"/>
          <w:sz w:val="24"/>
          <w:szCs w:val="24"/>
        </w:rPr>
        <w:t>,</w:t>
      </w:r>
      <w:r w:rsidRPr="001A2344">
        <w:rPr>
          <w:rFonts w:ascii="Arial" w:hAnsi="Arial" w:cs="Arial"/>
          <w:sz w:val="24"/>
          <w:szCs w:val="24"/>
        </w:rPr>
        <w:t xml:space="preserve"> such as bad management decisions or self-interested behaviour can hurt shareholder value.</w:t>
      </w:r>
    </w:p>
    <w:p w14:paraId="743284E4" w14:textId="48589094" w:rsidR="001A2344" w:rsidRPr="001A2344" w:rsidRDefault="001A2344" w:rsidP="001A2344">
      <w:pPr>
        <w:spacing w:line="360" w:lineRule="auto"/>
        <w:jc w:val="both"/>
        <w:rPr>
          <w:rFonts w:ascii="Arial" w:hAnsi="Arial" w:cs="Arial"/>
          <w:sz w:val="24"/>
          <w:szCs w:val="24"/>
        </w:rPr>
      </w:pPr>
      <w:r w:rsidRPr="001A2344">
        <w:rPr>
          <w:rFonts w:ascii="Arial" w:hAnsi="Arial" w:cs="Arial"/>
          <w:sz w:val="24"/>
          <w:szCs w:val="24"/>
        </w:rPr>
        <w:t>Companies use a variety of tools to manage these risks:</w:t>
      </w:r>
    </w:p>
    <w:p w14:paraId="7A59B3F8" w14:textId="77777777" w:rsidR="001A2344" w:rsidRDefault="001A2344" w:rsidP="001A2344">
      <w:pPr>
        <w:pStyle w:val="ListParagraph"/>
        <w:numPr>
          <w:ilvl w:val="0"/>
          <w:numId w:val="1"/>
        </w:numPr>
        <w:spacing w:line="360" w:lineRule="auto"/>
        <w:jc w:val="both"/>
        <w:rPr>
          <w:rFonts w:ascii="Arial" w:hAnsi="Arial" w:cs="Arial"/>
          <w:sz w:val="24"/>
          <w:szCs w:val="24"/>
        </w:rPr>
      </w:pPr>
      <w:r w:rsidRPr="001A2344">
        <w:rPr>
          <w:rFonts w:ascii="Arial" w:hAnsi="Arial" w:cs="Arial"/>
          <w:sz w:val="24"/>
          <w:szCs w:val="24"/>
        </w:rPr>
        <w:t>A balanced board with a majority of independent non-executive directors (NEDs) who can be objective.</w:t>
      </w:r>
    </w:p>
    <w:p w14:paraId="139EA192" w14:textId="77777777" w:rsidR="001A2344" w:rsidRDefault="001A2344" w:rsidP="001A2344">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M</w:t>
      </w:r>
      <w:r w:rsidRPr="001A2344">
        <w:rPr>
          <w:rFonts w:ascii="Arial" w:hAnsi="Arial" w:cs="Arial"/>
          <w:sz w:val="24"/>
          <w:szCs w:val="24"/>
        </w:rPr>
        <w:t>embers of clearly defined committees</w:t>
      </w:r>
      <w:r>
        <w:rPr>
          <w:rFonts w:ascii="Arial" w:hAnsi="Arial" w:cs="Arial"/>
          <w:sz w:val="24"/>
          <w:szCs w:val="24"/>
        </w:rPr>
        <w:t>,</w:t>
      </w:r>
      <w:r w:rsidRPr="001A2344">
        <w:rPr>
          <w:rFonts w:ascii="Arial" w:hAnsi="Arial" w:cs="Arial"/>
          <w:sz w:val="24"/>
          <w:szCs w:val="24"/>
        </w:rPr>
        <w:t xml:space="preserve"> such as the audit, pay and nominating committees</w:t>
      </w:r>
      <w:r>
        <w:rPr>
          <w:rFonts w:ascii="Arial" w:hAnsi="Arial" w:cs="Arial"/>
          <w:sz w:val="24"/>
          <w:szCs w:val="24"/>
        </w:rPr>
        <w:t>.</w:t>
      </w:r>
    </w:p>
    <w:p w14:paraId="45FA365A" w14:textId="77777777" w:rsidR="001A2344" w:rsidRDefault="001A2344" w:rsidP="001A2344">
      <w:pPr>
        <w:pStyle w:val="ListParagraph"/>
        <w:numPr>
          <w:ilvl w:val="0"/>
          <w:numId w:val="1"/>
        </w:numPr>
        <w:spacing w:line="360" w:lineRule="auto"/>
        <w:jc w:val="both"/>
        <w:rPr>
          <w:rFonts w:ascii="Arial" w:hAnsi="Arial" w:cs="Arial"/>
          <w:sz w:val="24"/>
          <w:szCs w:val="24"/>
        </w:rPr>
      </w:pPr>
      <w:r w:rsidRPr="001A2344">
        <w:rPr>
          <w:rFonts w:ascii="Arial" w:hAnsi="Arial" w:cs="Arial"/>
          <w:sz w:val="24"/>
          <w:szCs w:val="24"/>
        </w:rPr>
        <w:t xml:space="preserve">Reporting on risks, strategy and results. </w:t>
      </w:r>
    </w:p>
    <w:p w14:paraId="184C8DB6" w14:textId="4CD9435D" w:rsidR="001A2344" w:rsidRPr="001A2344" w:rsidRDefault="001A2344" w:rsidP="001A2344">
      <w:pPr>
        <w:pStyle w:val="ListParagraph"/>
        <w:numPr>
          <w:ilvl w:val="0"/>
          <w:numId w:val="1"/>
        </w:numPr>
        <w:spacing w:line="360" w:lineRule="auto"/>
        <w:jc w:val="both"/>
        <w:rPr>
          <w:rFonts w:ascii="Arial" w:hAnsi="Arial" w:cs="Arial"/>
          <w:sz w:val="24"/>
          <w:szCs w:val="24"/>
        </w:rPr>
      </w:pPr>
      <w:r w:rsidRPr="001A2344">
        <w:rPr>
          <w:rFonts w:ascii="Arial" w:hAnsi="Arial" w:cs="Arial"/>
          <w:sz w:val="24"/>
          <w:szCs w:val="24"/>
        </w:rPr>
        <w:t xml:space="preserve">Executive incentives linked to long-term shareholder value. </w:t>
      </w:r>
    </w:p>
    <w:p w14:paraId="093F749C" w14:textId="54723ECA" w:rsidR="001A2344" w:rsidRPr="001A2344" w:rsidRDefault="001A2344" w:rsidP="001A2344">
      <w:pPr>
        <w:spacing w:line="360" w:lineRule="auto"/>
        <w:jc w:val="both"/>
        <w:rPr>
          <w:rFonts w:ascii="Arial" w:hAnsi="Arial" w:cs="Arial"/>
          <w:sz w:val="24"/>
          <w:szCs w:val="24"/>
        </w:rPr>
      </w:pPr>
      <w:r w:rsidRPr="001A2344">
        <w:rPr>
          <w:rFonts w:ascii="Arial" w:hAnsi="Arial" w:cs="Arial"/>
          <w:sz w:val="24"/>
          <w:szCs w:val="24"/>
        </w:rPr>
        <w:t>Diageo PLC is an example of these concepts in practice. 64% of the board members are independent NEDs and a number of committees oversee everything (Diageo Annual Report, 2024). Executive compensation is tied to long-term success and clear disclosures make shareholders feel confident.</w:t>
      </w:r>
      <w:r>
        <w:rPr>
          <w:rFonts w:ascii="Arial" w:hAnsi="Arial" w:cs="Arial"/>
          <w:sz w:val="24"/>
          <w:szCs w:val="24"/>
        </w:rPr>
        <w:t xml:space="preserve"> </w:t>
      </w:r>
      <w:r w:rsidRPr="001A2344">
        <w:rPr>
          <w:rFonts w:ascii="Arial" w:hAnsi="Arial" w:cs="Arial"/>
          <w:sz w:val="24"/>
          <w:szCs w:val="24"/>
        </w:rPr>
        <w:t>It is critical for the family-owned company that is going public to implement these types of processes to get the support of investors and reduce agency risks. This is particularly important because outside shareholders will soon control most of the company.</w:t>
      </w:r>
    </w:p>
    <w:p w14:paraId="6269402A" w14:textId="6872A284" w:rsidR="001A2344" w:rsidRPr="001A2344" w:rsidRDefault="001A2344" w:rsidP="00427464">
      <w:pPr>
        <w:pStyle w:val="Heading1"/>
      </w:pPr>
      <w:bookmarkStart w:id="3" w:name="_Toc201251176"/>
      <w:r w:rsidRPr="001A2344">
        <w:t>Retaining Control with 30% Shareholding</w:t>
      </w:r>
      <w:bookmarkEnd w:id="3"/>
    </w:p>
    <w:p w14:paraId="5FD03B88" w14:textId="163BE950" w:rsidR="001A2344" w:rsidRPr="001A2344" w:rsidRDefault="001A2344" w:rsidP="001A2344">
      <w:pPr>
        <w:spacing w:line="360" w:lineRule="auto"/>
        <w:jc w:val="both"/>
        <w:rPr>
          <w:rFonts w:ascii="Arial" w:hAnsi="Arial" w:cs="Arial"/>
          <w:sz w:val="24"/>
          <w:szCs w:val="24"/>
        </w:rPr>
      </w:pPr>
      <w:r w:rsidRPr="001A2344">
        <w:rPr>
          <w:rFonts w:ascii="Arial" w:hAnsi="Arial" w:cs="Arial"/>
          <w:sz w:val="24"/>
          <w:szCs w:val="24"/>
        </w:rPr>
        <w:t>As they take the company to the AIM market, the family shareholders will only own 30% of the company and it is harder for them to exercise control. In practice minorities, including family shareholders, can have a range of legal and governance-based tools to exercise control</w:t>
      </w:r>
      <w:r>
        <w:rPr>
          <w:rFonts w:ascii="Arial" w:hAnsi="Arial" w:cs="Arial"/>
          <w:sz w:val="24"/>
          <w:szCs w:val="24"/>
        </w:rPr>
        <w:t>,</w:t>
      </w:r>
      <w:r w:rsidRPr="001A2344">
        <w:rPr>
          <w:rFonts w:ascii="Arial" w:hAnsi="Arial" w:cs="Arial"/>
          <w:sz w:val="24"/>
          <w:szCs w:val="24"/>
        </w:rPr>
        <w:t xml:space="preserve"> while abiding by good governance principles.</w:t>
      </w:r>
      <w:r>
        <w:rPr>
          <w:rFonts w:ascii="Arial" w:hAnsi="Arial" w:cs="Arial"/>
          <w:sz w:val="24"/>
          <w:szCs w:val="24"/>
        </w:rPr>
        <w:t xml:space="preserve"> </w:t>
      </w:r>
      <w:r w:rsidRPr="001A2344">
        <w:rPr>
          <w:rFonts w:ascii="Arial" w:hAnsi="Arial" w:cs="Arial"/>
          <w:sz w:val="24"/>
          <w:szCs w:val="24"/>
        </w:rPr>
        <w:t>Dual class shares or shares with weighted voting rights is one of the ways family shareholders may be able to retain more voting power than their shareholding would otherwise allow. AIM has no problem with this as long as it is declared upfront and clearly communicated to all investors to avoid disillusioning investors with this.</w:t>
      </w:r>
      <w:r>
        <w:rPr>
          <w:rFonts w:ascii="Arial" w:hAnsi="Arial" w:cs="Arial"/>
          <w:sz w:val="24"/>
          <w:szCs w:val="24"/>
        </w:rPr>
        <w:t xml:space="preserve"> </w:t>
      </w:r>
      <w:r w:rsidRPr="001A2344">
        <w:rPr>
          <w:rFonts w:ascii="Arial" w:hAnsi="Arial" w:cs="Arial"/>
          <w:sz w:val="24"/>
          <w:szCs w:val="24"/>
        </w:rPr>
        <w:t>The family may also have close relationships with other long-term investors</w:t>
      </w:r>
      <w:r>
        <w:rPr>
          <w:rFonts w:ascii="Arial" w:hAnsi="Arial" w:cs="Arial"/>
          <w:sz w:val="24"/>
          <w:szCs w:val="24"/>
        </w:rPr>
        <w:t>,</w:t>
      </w:r>
      <w:r w:rsidRPr="001A2344">
        <w:rPr>
          <w:rFonts w:ascii="Arial" w:hAnsi="Arial" w:cs="Arial"/>
          <w:sz w:val="24"/>
          <w:szCs w:val="24"/>
        </w:rPr>
        <w:t xml:space="preserve"> such as institutional investors or family trusts and so can form an alliance to ensure that they are able to exert influence over the key decisions of the company through forming voting </w:t>
      </w:r>
      <w:r w:rsidR="008C52AC" w:rsidRPr="001A2344">
        <w:rPr>
          <w:rFonts w:ascii="Arial" w:hAnsi="Arial" w:cs="Arial"/>
          <w:sz w:val="24"/>
          <w:szCs w:val="24"/>
        </w:rPr>
        <w:t>blocs</w:t>
      </w:r>
      <w:r w:rsidR="008C52AC">
        <w:rPr>
          <w:rFonts w:ascii="Arial" w:hAnsi="Arial" w:cs="Arial"/>
          <w:sz w:val="24"/>
          <w:szCs w:val="24"/>
        </w:rPr>
        <w:t xml:space="preserve"> (T</w:t>
      </w:r>
      <w:r w:rsidR="008C52AC" w:rsidRPr="008C52AC">
        <w:rPr>
          <w:rFonts w:ascii="Arial" w:hAnsi="Arial" w:cs="Arial"/>
          <w:sz w:val="24"/>
          <w:szCs w:val="24"/>
        </w:rPr>
        <w:t>ricker, 2015).</w:t>
      </w:r>
    </w:p>
    <w:p w14:paraId="6656A852" w14:textId="36E71551" w:rsidR="001A2344" w:rsidRDefault="001A2344" w:rsidP="001A2344">
      <w:pPr>
        <w:spacing w:line="360" w:lineRule="auto"/>
        <w:jc w:val="both"/>
        <w:rPr>
          <w:rFonts w:ascii="Arial" w:hAnsi="Arial" w:cs="Arial"/>
          <w:sz w:val="24"/>
          <w:szCs w:val="24"/>
        </w:rPr>
      </w:pPr>
      <w:r>
        <w:rPr>
          <w:rFonts w:ascii="Arial" w:hAnsi="Arial" w:cs="Arial"/>
          <w:sz w:val="24"/>
          <w:szCs w:val="24"/>
        </w:rPr>
        <w:t>Moreover, t</w:t>
      </w:r>
      <w:r w:rsidRPr="001A2344">
        <w:rPr>
          <w:rFonts w:ascii="Arial" w:hAnsi="Arial" w:cs="Arial"/>
          <w:sz w:val="24"/>
          <w:szCs w:val="24"/>
        </w:rPr>
        <w:t>he family may also be able to exercise control over the company through the composition of the board. The family may be able to ensure the strategic direction of the company through ensuring that family members remain on the board, and as Chair and CEO. The family may also have good relationships with the independent non-executive directors (NEDs) to ensure that there are agreements and that the family’s views are taken into account when key decisions are made.</w:t>
      </w:r>
      <w:r>
        <w:rPr>
          <w:rFonts w:ascii="Arial" w:hAnsi="Arial" w:cs="Arial"/>
          <w:sz w:val="24"/>
          <w:szCs w:val="24"/>
        </w:rPr>
        <w:t xml:space="preserve"> </w:t>
      </w:r>
      <w:r w:rsidRPr="001A2344">
        <w:rPr>
          <w:rFonts w:ascii="Arial" w:hAnsi="Arial" w:cs="Arial"/>
          <w:sz w:val="24"/>
          <w:szCs w:val="24"/>
        </w:rPr>
        <w:t xml:space="preserve">The family’s use of the strength of governance arrangements can impact the composition of board committees (such as remuneration, nominations and audit), the issues that need to be </w:t>
      </w:r>
      <w:r w:rsidRPr="001A2344">
        <w:rPr>
          <w:rFonts w:ascii="Arial" w:hAnsi="Arial" w:cs="Arial"/>
          <w:sz w:val="24"/>
          <w:szCs w:val="24"/>
        </w:rPr>
        <w:lastRenderedPageBreak/>
        <w:t>voted on and the long-term business strategy in ways that are likely to reflect the family’s wishes</w:t>
      </w:r>
      <w:r w:rsidR="00164BE9">
        <w:rPr>
          <w:rFonts w:ascii="Arial" w:hAnsi="Arial" w:cs="Arial"/>
          <w:sz w:val="24"/>
          <w:szCs w:val="24"/>
        </w:rPr>
        <w:t xml:space="preserve"> (</w:t>
      </w:r>
      <w:r w:rsidR="00164BE9" w:rsidRPr="00164BE9">
        <w:rPr>
          <w:rFonts w:ascii="Arial" w:hAnsi="Arial" w:cs="Arial"/>
          <w:sz w:val="24"/>
          <w:szCs w:val="24"/>
        </w:rPr>
        <w:t>Shaba, 2024).</w:t>
      </w:r>
    </w:p>
    <w:p w14:paraId="02ADF304" w14:textId="008038ED" w:rsidR="001A2344" w:rsidRDefault="001A2344" w:rsidP="001A2344">
      <w:pPr>
        <w:spacing w:line="360" w:lineRule="auto"/>
        <w:jc w:val="both"/>
        <w:rPr>
          <w:rFonts w:ascii="Arial" w:hAnsi="Arial" w:cs="Arial"/>
          <w:sz w:val="24"/>
          <w:szCs w:val="24"/>
        </w:rPr>
      </w:pPr>
      <w:r>
        <w:rPr>
          <w:rFonts w:ascii="Arial" w:hAnsi="Arial" w:cs="Arial"/>
          <w:sz w:val="24"/>
          <w:szCs w:val="24"/>
        </w:rPr>
        <w:t xml:space="preserve">However, </w:t>
      </w:r>
      <w:r w:rsidRPr="001A2344">
        <w:rPr>
          <w:rFonts w:ascii="Arial" w:hAnsi="Arial" w:cs="Arial"/>
          <w:sz w:val="24"/>
          <w:szCs w:val="24"/>
        </w:rPr>
        <w:t>Diageo has a complex ownership structure but has strong leadership and a clear strategic direction due to the strength of the board and good relationships with institutional shareholders.</w:t>
      </w:r>
      <w:r>
        <w:rPr>
          <w:rFonts w:ascii="Arial" w:hAnsi="Arial" w:cs="Arial"/>
          <w:sz w:val="24"/>
          <w:szCs w:val="24"/>
        </w:rPr>
        <w:t xml:space="preserve"> </w:t>
      </w:r>
      <w:r w:rsidRPr="001A2344">
        <w:rPr>
          <w:rFonts w:ascii="Arial" w:hAnsi="Arial" w:cs="Arial"/>
          <w:sz w:val="24"/>
          <w:szCs w:val="24"/>
        </w:rPr>
        <w:t>A careful balance of voting rights, board presence, alliances and governance can ensure that the family can have influence even if they only own a small part of the company while being fair and transparent.</w:t>
      </w:r>
    </w:p>
    <w:p w14:paraId="2F275CDD" w14:textId="72E91AD5" w:rsidR="00DD4C66" w:rsidRPr="00DD4C66" w:rsidRDefault="00DD4C66" w:rsidP="00427464">
      <w:pPr>
        <w:pStyle w:val="Heading1"/>
      </w:pPr>
      <w:bookmarkStart w:id="4" w:name="_Toc201251177"/>
      <w:r w:rsidRPr="00DD4C66">
        <w:t>Director Remuneration &amp; Governance Structure</w:t>
      </w:r>
      <w:bookmarkEnd w:id="4"/>
    </w:p>
    <w:p w14:paraId="050C20F3" w14:textId="336BFBCA" w:rsidR="00DD4C66" w:rsidRPr="00DD4C66" w:rsidRDefault="00DD4C66" w:rsidP="00DD4C66">
      <w:pPr>
        <w:spacing w:line="360" w:lineRule="auto"/>
        <w:jc w:val="both"/>
        <w:rPr>
          <w:rFonts w:ascii="Arial" w:hAnsi="Arial" w:cs="Arial"/>
          <w:sz w:val="24"/>
          <w:szCs w:val="24"/>
        </w:rPr>
      </w:pPr>
      <w:r w:rsidRPr="00DD4C66">
        <w:rPr>
          <w:rFonts w:ascii="Arial" w:hAnsi="Arial" w:cs="Arial"/>
          <w:sz w:val="24"/>
          <w:szCs w:val="24"/>
        </w:rPr>
        <w:t>One of the aspects of the going public of the company that should be changed is the remuneration policy. There are several reasons for such a change. One of the reasons for such a change is to attract the best candidates for the positions of directors and to keep them in the company in the future</w:t>
      </w:r>
      <w:r w:rsidR="00427464">
        <w:rPr>
          <w:rFonts w:ascii="Arial" w:hAnsi="Arial" w:cs="Arial"/>
          <w:sz w:val="24"/>
          <w:szCs w:val="24"/>
        </w:rPr>
        <w:t xml:space="preserve"> (</w:t>
      </w:r>
      <w:r w:rsidR="00427464" w:rsidRPr="00427464">
        <w:rPr>
          <w:rFonts w:ascii="Arial" w:hAnsi="Arial" w:cs="Arial"/>
          <w:sz w:val="24"/>
          <w:szCs w:val="24"/>
        </w:rPr>
        <w:t>Natalya, 2014</w:t>
      </w:r>
      <w:r w:rsidR="00427464">
        <w:rPr>
          <w:rFonts w:ascii="Arial" w:hAnsi="Arial" w:cs="Arial"/>
          <w:sz w:val="24"/>
          <w:szCs w:val="24"/>
        </w:rPr>
        <w:t xml:space="preserve">). </w:t>
      </w:r>
      <w:r w:rsidRPr="00DD4C66">
        <w:rPr>
          <w:rFonts w:ascii="Arial" w:hAnsi="Arial" w:cs="Arial"/>
          <w:sz w:val="24"/>
          <w:szCs w:val="24"/>
        </w:rPr>
        <w:t>To make the remuneration policy in such a way that it would satisfy the interests of the company’s shareholders, the best thing to do is to make a system</w:t>
      </w:r>
      <w:r>
        <w:rPr>
          <w:rFonts w:ascii="Arial" w:hAnsi="Arial" w:cs="Arial"/>
          <w:sz w:val="24"/>
          <w:szCs w:val="24"/>
        </w:rPr>
        <w:t>,</w:t>
      </w:r>
      <w:r w:rsidRPr="00DD4C66">
        <w:rPr>
          <w:rFonts w:ascii="Arial" w:hAnsi="Arial" w:cs="Arial"/>
          <w:sz w:val="24"/>
          <w:szCs w:val="24"/>
        </w:rPr>
        <w:t xml:space="preserve"> in which the amount of remuneration of the best managers increases. One of the reasons for the existence of agency costs in this case is their being motivated.</w:t>
      </w:r>
    </w:p>
    <w:p w14:paraId="106047B2" w14:textId="4E1AC8D9" w:rsidR="00DD4C66" w:rsidRPr="00DD4C66" w:rsidRDefault="00DD4C66" w:rsidP="00DD4C66">
      <w:pPr>
        <w:spacing w:line="360" w:lineRule="auto"/>
        <w:jc w:val="both"/>
        <w:rPr>
          <w:rFonts w:ascii="Arial" w:hAnsi="Arial" w:cs="Arial"/>
          <w:sz w:val="24"/>
          <w:szCs w:val="24"/>
        </w:rPr>
      </w:pPr>
      <w:r w:rsidRPr="00DD4C66">
        <w:rPr>
          <w:rFonts w:ascii="Arial" w:hAnsi="Arial" w:cs="Arial"/>
          <w:sz w:val="24"/>
          <w:szCs w:val="24"/>
        </w:rPr>
        <w:t>The Corporate Governance Code (FRC, 2018) states that in the UK the pay policy should be built in such a way that it:</w:t>
      </w:r>
    </w:p>
    <w:p w14:paraId="7EDEB43D" w14:textId="51F8B444" w:rsidR="00DD4C66" w:rsidRDefault="00DD4C66" w:rsidP="00DD4C66">
      <w:pPr>
        <w:pStyle w:val="ListParagraph"/>
        <w:numPr>
          <w:ilvl w:val="0"/>
          <w:numId w:val="1"/>
        </w:numPr>
        <w:spacing w:line="360" w:lineRule="auto"/>
        <w:jc w:val="both"/>
        <w:rPr>
          <w:rFonts w:ascii="Arial" w:hAnsi="Arial" w:cs="Arial"/>
          <w:sz w:val="24"/>
          <w:szCs w:val="24"/>
        </w:rPr>
      </w:pPr>
      <w:r>
        <w:rPr>
          <w:rFonts w:ascii="Arial" w:hAnsi="Arial" w:cs="Arial"/>
          <w:sz w:val="24"/>
          <w:szCs w:val="24"/>
        </w:rPr>
        <w:t>S</w:t>
      </w:r>
      <w:r w:rsidRPr="00DD4C66">
        <w:rPr>
          <w:rFonts w:ascii="Arial" w:hAnsi="Arial" w:cs="Arial"/>
          <w:sz w:val="24"/>
          <w:szCs w:val="24"/>
        </w:rPr>
        <w:t>erves the long-term interest of the company</w:t>
      </w:r>
      <w:r>
        <w:rPr>
          <w:rFonts w:ascii="Arial" w:hAnsi="Arial" w:cs="Arial"/>
          <w:sz w:val="24"/>
          <w:szCs w:val="24"/>
        </w:rPr>
        <w:t>.</w:t>
      </w:r>
    </w:p>
    <w:p w14:paraId="12147E58" w14:textId="4D287F40" w:rsidR="00DD4C66" w:rsidRDefault="00DD4C66" w:rsidP="00DD4C66">
      <w:pPr>
        <w:pStyle w:val="ListParagraph"/>
        <w:numPr>
          <w:ilvl w:val="0"/>
          <w:numId w:val="1"/>
        </w:numPr>
        <w:spacing w:line="360" w:lineRule="auto"/>
        <w:jc w:val="both"/>
        <w:rPr>
          <w:rFonts w:ascii="Arial" w:hAnsi="Arial" w:cs="Arial"/>
          <w:sz w:val="24"/>
          <w:szCs w:val="24"/>
        </w:rPr>
      </w:pPr>
      <w:r>
        <w:rPr>
          <w:rFonts w:ascii="Arial" w:hAnsi="Arial" w:cs="Arial"/>
          <w:sz w:val="24"/>
          <w:szCs w:val="24"/>
        </w:rPr>
        <w:t>I</w:t>
      </w:r>
      <w:r w:rsidRPr="00DD4C66">
        <w:rPr>
          <w:rFonts w:ascii="Arial" w:hAnsi="Arial" w:cs="Arial"/>
          <w:sz w:val="24"/>
          <w:szCs w:val="24"/>
        </w:rPr>
        <w:t>s determined by the degree to which KPIs are measurable</w:t>
      </w:r>
      <w:r>
        <w:rPr>
          <w:rFonts w:ascii="Arial" w:hAnsi="Arial" w:cs="Arial"/>
          <w:sz w:val="24"/>
          <w:szCs w:val="24"/>
        </w:rPr>
        <w:t>.</w:t>
      </w:r>
    </w:p>
    <w:p w14:paraId="0ED08560" w14:textId="77777777" w:rsidR="00DD4C66" w:rsidRDefault="00DD4C66" w:rsidP="00DD4C66">
      <w:pPr>
        <w:pStyle w:val="ListParagraph"/>
        <w:numPr>
          <w:ilvl w:val="0"/>
          <w:numId w:val="1"/>
        </w:numPr>
        <w:spacing w:line="360" w:lineRule="auto"/>
        <w:jc w:val="both"/>
        <w:rPr>
          <w:rFonts w:ascii="Arial" w:hAnsi="Arial" w:cs="Arial"/>
          <w:sz w:val="24"/>
          <w:szCs w:val="24"/>
        </w:rPr>
      </w:pPr>
      <w:r>
        <w:rPr>
          <w:rFonts w:ascii="Arial" w:hAnsi="Arial" w:cs="Arial"/>
          <w:sz w:val="24"/>
          <w:szCs w:val="24"/>
        </w:rPr>
        <w:t>I</w:t>
      </w:r>
      <w:r w:rsidRPr="00DD4C66">
        <w:rPr>
          <w:rFonts w:ascii="Arial" w:hAnsi="Arial" w:cs="Arial"/>
          <w:sz w:val="24"/>
          <w:szCs w:val="24"/>
        </w:rPr>
        <w:t>s easy to understand for shareholders</w:t>
      </w:r>
      <w:r>
        <w:rPr>
          <w:rFonts w:ascii="Arial" w:hAnsi="Arial" w:cs="Arial"/>
          <w:sz w:val="24"/>
          <w:szCs w:val="24"/>
        </w:rPr>
        <w:t>.</w:t>
      </w:r>
    </w:p>
    <w:p w14:paraId="4C724CCA" w14:textId="7CAD7A33" w:rsidR="00DD4C66" w:rsidRPr="00DD4C66" w:rsidRDefault="00DD4C66" w:rsidP="00DD4C66">
      <w:pPr>
        <w:pStyle w:val="ListParagraph"/>
        <w:numPr>
          <w:ilvl w:val="0"/>
          <w:numId w:val="1"/>
        </w:numPr>
        <w:spacing w:line="360" w:lineRule="auto"/>
        <w:jc w:val="both"/>
        <w:rPr>
          <w:rFonts w:ascii="Arial" w:hAnsi="Arial" w:cs="Arial"/>
          <w:sz w:val="24"/>
          <w:szCs w:val="24"/>
        </w:rPr>
      </w:pPr>
      <w:r>
        <w:rPr>
          <w:rFonts w:ascii="Arial" w:hAnsi="Arial" w:cs="Arial"/>
          <w:sz w:val="24"/>
          <w:szCs w:val="24"/>
        </w:rPr>
        <w:t>D</w:t>
      </w:r>
      <w:r w:rsidRPr="00DD4C66">
        <w:rPr>
          <w:rFonts w:ascii="Arial" w:hAnsi="Arial" w:cs="Arial"/>
          <w:sz w:val="24"/>
          <w:szCs w:val="24"/>
        </w:rPr>
        <w:t xml:space="preserve">oes not stimulate risk-taking </w:t>
      </w:r>
      <w:r>
        <w:rPr>
          <w:rFonts w:ascii="Arial" w:hAnsi="Arial" w:cs="Arial"/>
          <w:sz w:val="24"/>
          <w:szCs w:val="24"/>
        </w:rPr>
        <w:t>.</w:t>
      </w:r>
    </w:p>
    <w:p w14:paraId="3E22820D" w14:textId="77777777" w:rsidR="00DD4C66" w:rsidRDefault="00DD4C66" w:rsidP="00DD4C66">
      <w:pPr>
        <w:spacing w:line="360" w:lineRule="auto"/>
        <w:jc w:val="both"/>
        <w:rPr>
          <w:rFonts w:ascii="Arial" w:hAnsi="Arial" w:cs="Arial"/>
          <w:sz w:val="24"/>
          <w:szCs w:val="24"/>
        </w:rPr>
      </w:pPr>
      <w:r w:rsidRPr="00DD4C66">
        <w:rPr>
          <w:rFonts w:ascii="Arial" w:hAnsi="Arial" w:cs="Arial"/>
          <w:sz w:val="24"/>
          <w:szCs w:val="24"/>
        </w:rPr>
        <w:t xml:space="preserve">According to the Code, the remuneration policy package should include: </w:t>
      </w:r>
    </w:p>
    <w:p w14:paraId="1BC09971" w14:textId="77777777" w:rsidR="00DD4C66" w:rsidRDefault="00DD4C66" w:rsidP="00DD4C66">
      <w:pPr>
        <w:pStyle w:val="ListParagraph"/>
        <w:numPr>
          <w:ilvl w:val="0"/>
          <w:numId w:val="3"/>
        </w:numPr>
        <w:spacing w:line="360" w:lineRule="auto"/>
        <w:jc w:val="both"/>
        <w:rPr>
          <w:rFonts w:ascii="Arial" w:hAnsi="Arial" w:cs="Arial"/>
          <w:sz w:val="24"/>
          <w:szCs w:val="24"/>
        </w:rPr>
      </w:pPr>
      <w:r w:rsidRPr="00DD4C66">
        <w:rPr>
          <w:rFonts w:ascii="Arial" w:hAnsi="Arial" w:cs="Arial"/>
          <w:sz w:val="24"/>
          <w:szCs w:val="24"/>
        </w:rPr>
        <w:t>The amount of remuneration is based on the level of remuneration in other AIM-listed companies to be fair and reasonable.</w:t>
      </w:r>
    </w:p>
    <w:p w14:paraId="46F9EB57" w14:textId="77777777" w:rsidR="00DD4C66" w:rsidRDefault="00DD4C66" w:rsidP="00DD4C66">
      <w:pPr>
        <w:pStyle w:val="ListParagraph"/>
        <w:numPr>
          <w:ilvl w:val="0"/>
          <w:numId w:val="3"/>
        </w:numPr>
        <w:spacing w:line="360" w:lineRule="auto"/>
        <w:jc w:val="both"/>
        <w:rPr>
          <w:rFonts w:ascii="Arial" w:hAnsi="Arial" w:cs="Arial"/>
          <w:sz w:val="24"/>
          <w:szCs w:val="24"/>
        </w:rPr>
      </w:pPr>
      <w:r w:rsidRPr="00DD4C66">
        <w:rPr>
          <w:rFonts w:ascii="Arial" w:hAnsi="Arial" w:cs="Arial"/>
          <w:sz w:val="24"/>
          <w:szCs w:val="24"/>
        </w:rPr>
        <w:t xml:space="preserve">Bonuses are paid for performance in the given year and are based on clear KPIs (ROCE, revenue growth, operational efficiency). </w:t>
      </w:r>
    </w:p>
    <w:p w14:paraId="713C9D06" w14:textId="77777777" w:rsidR="00DD4C66" w:rsidRDefault="00DD4C66" w:rsidP="00DD4C66">
      <w:pPr>
        <w:pStyle w:val="ListParagraph"/>
        <w:numPr>
          <w:ilvl w:val="0"/>
          <w:numId w:val="3"/>
        </w:numPr>
        <w:spacing w:line="360" w:lineRule="auto"/>
        <w:jc w:val="both"/>
        <w:rPr>
          <w:rFonts w:ascii="Arial" w:hAnsi="Arial" w:cs="Arial"/>
          <w:sz w:val="24"/>
          <w:szCs w:val="24"/>
        </w:rPr>
      </w:pPr>
      <w:r w:rsidRPr="00DD4C66">
        <w:rPr>
          <w:rFonts w:ascii="Arial" w:hAnsi="Arial" w:cs="Arial"/>
          <w:sz w:val="24"/>
          <w:szCs w:val="24"/>
        </w:rPr>
        <w:t xml:space="preserve"> Long-term incentives (LTIPs) – Equity-based incentives over a number of years with performance targets to motivate employees to act in the interests of long-term shareholders. </w:t>
      </w:r>
    </w:p>
    <w:p w14:paraId="01EE5E1B" w14:textId="53229861" w:rsidR="00DD4C66" w:rsidRPr="00DD4C66" w:rsidRDefault="00DD4C66" w:rsidP="00DD4C66">
      <w:pPr>
        <w:pStyle w:val="ListParagraph"/>
        <w:numPr>
          <w:ilvl w:val="0"/>
          <w:numId w:val="3"/>
        </w:numPr>
        <w:spacing w:line="360" w:lineRule="auto"/>
        <w:jc w:val="both"/>
        <w:rPr>
          <w:rFonts w:ascii="Arial" w:hAnsi="Arial" w:cs="Arial"/>
          <w:sz w:val="24"/>
          <w:szCs w:val="24"/>
        </w:rPr>
      </w:pPr>
      <w:r w:rsidRPr="00DD4C66">
        <w:rPr>
          <w:rFonts w:ascii="Arial" w:hAnsi="Arial" w:cs="Arial"/>
          <w:sz w:val="24"/>
          <w:szCs w:val="24"/>
        </w:rPr>
        <w:lastRenderedPageBreak/>
        <w:t>Clawback – a provision to be able to recover bonuses or LTIPs in case of any misconduct or not true reporting of results.</w:t>
      </w:r>
    </w:p>
    <w:p w14:paraId="309CE895" w14:textId="77777777" w:rsidR="00DD4C66" w:rsidRPr="00DD4C66" w:rsidRDefault="00DD4C66" w:rsidP="00DD4C66">
      <w:pPr>
        <w:spacing w:line="360" w:lineRule="auto"/>
        <w:jc w:val="both"/>
        <w:rPr>
          <w:rFonts w:ascii="Arial" w:hAnsi="Arial" w:cs="Arial"/>
          <w:sz w:val="24"/>
          <w:szCs w:val="24"/>
        </w:rPr>
      </w:pPr>
    </w:p>
    <w:p w14:paraId="5819FF3E" w14:textId="6E09D59E" w:rsidR="00DD4C66" w:rsidRDefault="00DD4C66" w:rsidP="00DD4C66">
      <w:pPr>
        <w:spacing w:line="360" w:lineRule="auto"/>
        <w:jc w:val="both"/>
        <w:rPr>
          <w:rFonts w:ascii="Arial" w:hAnsi="Arial" w:cs="Arial"/>
          <w:sz w:val="24"/>
          <w:szCs w:val="24"/>
        </w:rPr>
      </w:pPr>
      <w:r w:rsidRPr="00DD4C66">
        <w:rPr>
          <w:rFonts w:ascii="Arial" w:hAnsi="Arial" w:cs="Arial"/>
          <w:sz w:val="24"/>
          <w:szCs w:val="24"/>
        </w:rPr>
        <w:t>In addition, a Remuneration Committee of independent non-executive directors (NEDs) should be established to ensure that pay policies are objective and fair.</w:t>
      </w:r>
      <w:r>
        <w:rPr>
          <w:rFonts w:ascii="Arial" w:hAnsi="Arial" w:cs="Arial"/>
          <w:sz w:val="24"/>
          <w:szCs w:val="24"/>
        </w:rPr>
        <w:t xml:space="preserve"> I</w:t>
      </w:r>
      <w:r w:rsidRPr="00DD4C66">
        <w:rPr>
          <w:rFonts w:ascii="Arial" w:hAnsi="Arial" w:cs="Arial"/>
          <w:sz w:val="24"/>
          <w:szCs w:val="24"/>
        </w:rPr>
        <w:t>ts pay arrangements are clear, CEO pay is linked to long-term company performance, and the Remuneration Committee provides detailed reports to the shareholders about the choices (</w:t>
      </w:r>
      <w:r w:rsidRPr="00DD4C66">
        <w:rPr>
          <w:rFonts w:ascii="Arial" w:hAnsi="Arial" w:cs="Arial"/>
          <w:b/>
          <w:bCs/>
          <w:sz w:val="24"/>
          <w:szCs w:val="24"/>
        </w:rPr>
        <w:t>Diageo Annual Report, 2024).</w:t>
      </w:r>
      <w:r w:rsidRPr="00DD4C66">
        <w:rPr>
          <w:rFonts w:ascii="Arial" w:hAnsi="Arial" w:cs="Arial"/>
          <w:sz w:val="24"/>
          <w:szCs w:val="24"/>
        </w:rPr>
        <w:t xml:space="preserve"> The family board will encourage the potential investors in its readiness to follow the norms and make the company more competitive in the public market by copying the process.</w:t>
      </w:r>
    </w:p>
    <w:p w14:paraId="323BC2E5" w14:textId="6D35F35C" w:rsidR="00DD4C66" w:rsidRPr="00DD4C66" w:rsidRDefault="00DD4C66" w:rsidP="00427464">
      <w:pPr>
        <w:pStyle w:val="Heading1"/>
      </w:pPr>
      <w:bookmarkStart w:id="5" w:name="_Toc201251178"/>
      <w:r w:rsidRPr="00DD4C66">
        <w:t>Differences in rules, rights of shareholders, and expectations of governance</w:t>
      </w:r>
      <w:bookmarkEnd w:id="5"/>
    </w:p>
    <w:p w14:paraId="2013A20C" w14:textId="7A2FC1A9" w:rsidR="00DD4C66" w:rsidRPr="00DD4C66" w:rsidRDefault="00DD4C66" w:rsidP="00DD4C66">
      <w:pPr>
        <w:spacing w:line="360" w:lineRule="auto"/>
        <w:jc w:val="both"/>
        <w:rPr>
          <w:rFonts w:ascii="Arial" w:hAnsi="Arial" w:cs="Arial"/>
          <w:b/>
          <w:bCs/>
          <w:sz w:val="24"/>
          <w:szCs w:val="24"/>
        </w:rPr>
      </w:pPr>
      <w:r w:rsidRPr="00DD4C66">
        <w:rPr>
          <w:rFonts w:ascii="Arial" w:hAnsi="Arial" w:cs="Arial"/>
          <w:sz w:val="24"/>
          <w:szCs w:val="24"/>
        </w:rPr>
        <w:t>When deciding where to list, it is important to know the rules, rights of shareholders, and expectations of governance in the market and how these vary. These aspects will determine how the board functions when the company lists</w:t>
      </w:r>
      <w:r w:rsidR="00427464">
        <w:rPr>
          <w:rFonts w:ascii="Arial" w:hAnsi="Arial" w:cs="Arial"/>
          <w:sz w:val="24"/>
          <w:szCs w:val="24"/>
        </w:rPr>
        <w:t xml:space="preserve"> (</w:t>
      </w:r>
      <w:r w:rsidR="00427464" w:rsidRPr="00427464">
        <w:rPr>
          <w:rFonts w:ascii="Arial" w:hAnsi="Arial" w:cs="Arial"/>
          <w:sz w:val="24"/>
          <w:szCs w:val="24"/>
        </w:rPr>
        <w:t>Redenius</w:t>
      </w:r>
      <w:r w:rsidR="00427464">
        <w:rPr>
          <w:rFonts w:ascii="Arial" w:hAnsi="Arial" w:cs="Arial"/>
          <w:sz w:val="24"/>
          <w:szCs w:val="24"/>
        </w:rPr>
        <w:t xml:space="preserve"> </w:t>
      </w:r>
      <w:r w:rsidR="00427464" w:rsidRPr="00427464">
        <w:rPr>
          <w:rFonts w:ascii="Arial" w:hAnsi="Arial" w:cs="Arial"/>
          <w:sz w:val="24"/>
          <w:szCs w:val="24"/>
        </w:rPr>
        <w:t>and Demirtaş,</w:t>
      </w:r>
      <w:r w:rsidR="00427464">
        <w:rPr>
          <w:rFonts w:ascii="Arial" w:hAnsi="Arial" w:cs="Arial"/>
          <w:sz w:val="24"/>
          <w:szCs w:val="24"/>
        </w:rPr>
        <w:t xml:space="preserve"> </w:t>
      </w:r>
      <w:r w:rsidR="00427464" w:rsidRPr="00427464">
        <w:rPr>
          <w:rFonts w:ascii="Arial" w:hAnsi="Arial" w:cs="Arial"/>
          <w:sz w:val="24"/>
          <w:szCs w:val="24"/>
        </w:rPr>
        <w:t xml:space="preserve">2023). </w:t>
      </w:r>
      <w:r w:rsidRPr="00DD4C66">
        <w:rPr>
          <w:rFonts w:ascii="Arial" w:hAnsi="Arial" w:cs="Arial"/>
          <w:sz w:val="24"/>
          <w:szCs w:val="24"/>
        </w:rPr>
        <w:t xml:space="preserve"> For example, the UK market is investor-driven and has many shareholder protections. AIM follows a less rigorous version of the UK Corporate Governance Code but requires companies to be open about their governance processes and have independent NEDs. Shareholders in the UK want to know what is going on, be involved, and make sure that CEO remuneration is tied to long-term value. The UK also favours a board with diverse members and active stewardship of institutional investors (</w:t>
      </w:r>
      <w:r w:rsidRPr="00427464">
        <w:rPr>
          <w:rFonts w:ascii="Arial" w:hAnsi="Arial" w:cs="Arial"/>
          <w:sz w:val="24"/>
          <w:szCs w:val="24"/>
        </w:rPr>
        <w:t>FRC, 2018</w:t>
      </w:r>
      <w:r w:rsidRPr="00DD4C66">
        <w:rPr>
          <w:rFonts w:ascii="Arial" w:hAnsi="Arial" w:cs="Arial"/>
          <w:b/>
          <w:bCs/>
          <w:sz w:val="24"/>
          <w:szCs w:val="24"/>
        </w:rPr>
        <w:t>).</w:t>
      </w:r>
      <w:r>
        <w:rPr>
          <w:rFonts w:ascii="Arial" w:hAnsi="Arial" w:cs="Arial"/>
          <w:b/>
          <w:bCs/>
          <w:sz w:val="24"/>
          <w:szCs w:val="24"/>
        </w:rPr>
        <w:t xml:space="preserve"> </w:t>
      </w:r>
      <w:r w:rsidRPr="00DD4C66">
        <w:rPr>
          <w:rFonts w:ascii="Arial" w:hAnsi="Arial" w:cs="Arial"/>
          <w:sz w:val="24"/>
          <w:szCs w:val="24"/>
        </w:rPr>
        <w:t>Chinese financial markets are still under the government’s control. If the company is associated with state-owned enterprises (SOEs), the board will include people connected to the government (</w:t>
      </w:r>
      <w:r w:rsidR="008C52AC" w:rsidRPr="008C52AC">
        <w:rPr>
          <w:rFonts w:ascii="Arial" w:hAnsi="Arial" w:cs="Arial"/>
          <w:sz w:val="24"/>
          <w:szCs w:val="24"/>
        </w:rPr>
        <w:t>Jovičević-Klug and Rohwerder, 2023</w:t>
      </w:r>
      <w:r w:rsidR="008C52AC">
        <w:rPr>
          <w:rFonts w:ascii="Arial" w:hAnsi="Arial" w:cs="Arial"/>
          <w:sz w:val="24"/>
          <w:szCs w:val="24"/>
        </w:rPr>
        <w:t xml:space="preserve">). </w:t>
      </w:r>
      <w:r w:rsidRPr="00DD4C66">
        <w:rPr>
          <w:rFonts w:ascii="Arial" w:hAnsi="Arial" w:cs="Arial"/>
          <w:sz w:val="24"/>
          <w:szCs w:val="24"/>
        </w:rPr>
        <w:t>Governance in China is not as concerned with protecting the interests of minority shareholders but rather ensuring that social and national policies align. Investor activism is not as prominent, and the openness and board independence may not meet UK standards.</w:t>
      </w:r>
    </w:p>
    <w:p w14:paraId="39F33416" w14:textId="40F45D42" w:rsidR="008C52AC" w:rsidRDefault="00DD4C66" w:rsidP="00DD4C66">
      <w:pPr>
        <w:spacing w:line="360" w:lineRule="auto"/>
        <w:jc w:val="both"/>
        <w:rPr>
          <w:rFonts w:ascii="Arial" w:hAnsi="Arial" w:cs="Arial"/>
          <w:sz w:val="24"/>
          <w:szCs w:val="24"/>
        </w:rPr>
      </w:pPr>
      <w:r>
        <w:rPr>
          <w:rFonts w:ascii="Arial" w:hAnsi="Arial" w:cs="Arial"/>
          <w:sz w:val="24"/>
          <w:szCs w:val="24"/>
        </w:rPr>
        <w:t>Moreover, t</w:t>
      </w:r>
      <w:r w:rsidRPr="00DD4C66">
        <w:rPr>
          <w:rFonts w:ascii="Arial" w:hAnsi="Arial" w:cs="Arial"/>
          <w:sz w:val="24"/>
          <w:szCs w:val="24"/>
        </w:rPr>
        <w:t>he governance structure of the Netherlands consists of a management board (executive) and a supervisory board (non-executive). This gives the system a lot of independent oversight (</w:t>
      </w:r>
      <w:r w:rsidRPr="00427464">
        <w:rPr>
          <w:rFonts w:ascii="Arial" w:hAnsi="Arial" w:cs="Arial"/>
          <w:sz w:val="24"/>
          <w:szCs w:val="24"/>
        </w:rPr>
        <w:t>Netherlands Corporate Governance Code, 2022).</w:t>
      </w:r>
      <w:r w:rsidRPr="00DD4C66">
        <w:rPr>
          <w:rFonts w:ascii="Arial" w:hAnsi="Arial" w:cs="Arial"/>
          <w:sz w:val="24"/>
          <w:szCs w:val="24"/>
        </w:rPr>
        <w:t xml:space="preserve"> </w:t>
      </w:r>
      <w:r w:rsidRPr="00DD4C66">
        <w:rPr>
          <w:rFonts w:ascii="Arial" w:hAnsi="Arial" w:cs="Arial"/>
          <w:sz w:val="24"/>
          <w:szCs w:val="24"/>
        </w:rPr>
        <w:lastRenderedPageBreak/>
        <w:t>Netherlands legislation is good at protecting the rights of shareholders, but putting workers and the community first is a greater influence than in the UK or Shanghai.</w:t>
      </w:r>
      <w:r>
        <w:rPr>
          <w:rFonts w:ascii="Arial" w:hAnsi="Arial" w:cs="Arial"/>
          <w:sz w:val="24"/>
          <w:szCs w:val="24"/>
        </w:rPr>
        <w:t xml:space="preserve"> </w:t>
      </w:r>
      <w:r w:rsidRPr="00DD4C66">
        <w:rPr>
          <w:rFonts w:ascii="Arial" w:hAnsi="Arial" w:cs="Arial"/>
          <w:sz w:val="24"/>
          <w:szCs w:val="24"/>
        </w:rPr>
        <w:t>In summary, both the UK and the Netherlands have governance systems that encourage openness and trust between shareholders. Shanghai’s approach may make it difficult for boards to have strong independent oversight and to meet global best practices.</w:t>
      </w:r>
    </w:p>
    <w:p w14:paraId="6C37488E" w14:textId="5FDD48CB" w:rsidR="008C52AC" w:rsidRPr="008C52AC" w:rsidRDefault="008C52AC" w:rsidP="00427464">
      <w:pPr>
        <w:pStyle w:val="Heading1"/>
      </w:pPr>
      <w:bookmarkStart w:id="6" w:name="_Toc201251179"/>
      <w:r w:rsidRPr="008C52AC">
        <w:t>Recommendations</w:t>
      </w:r>
      <w:bookmarkEnd w:id="6"/>
    </w:p>
    <w:p w14:paraId="683E6B81" w14:textId="02250CD5" w:rsidR="00A228D2" w:rsidRDefault="008C52AC" w:rsidP="00DD4C66">
      <w:pPr>
        <w:spacing w:line="360" w:lineRule="auto"/>
        <w:jc w:val="both"/>
        <w:rPr>
          <w:rFonts w:ascii="Arial" w:hAnsi="Arial" w:cs="Arial"/>
          <w:sz w:val="24"/>
          <w:szCs w:val="24"/>
        </w:rPr>
      </w:pPr>
      <w:r w:rsidRPr="008C52AC">
        <w:rPr>
          <w:rFonts w:ascii="Arial" w:hAnsi="Arial" w:cs="Arial"/>
          <w:sz w:val="24"/>
          <w:szCs w:val="24"/>
        </w:rPr>
        <w:t>The proposed recommendations include voting rights, appoint independent non-executive directors, form independent audit, remuneration and nomination committees, a transparent remuneration policy where base pay is market aligned and incentives are KPI based. Recommendation is to list on the UK AIM or the Netherlands, where shareholders have more protection and corporate governance. Communication with new external investors must be proactive to build trust</w:t>
      </w:r>
      <w:r w:rsidR="00427464">
        <w:rPr>
          <w:rFonts w:ascii="Arial" w:hAnsi="Arial" w:cs="Arial"/>
          <w:sz w:val="24"/>
          <w:szCs w:val="24"/>
        </w:rPr>
        <w:t xml:space="preserve"> (</w:t>
      </w:r>
      <w:r w:rsidR="00427464" w:rsidRPr="00427464">
        <w:rPr>
          <w:rFonts w:ascii="Arial" w:hAnsi="Arial" w:cs="Arial"/>
          <w:sz w:val="24"/>
          <w:szCs w:val="24"/>
        </w:rPr>
        <w:t xml:space="preserve">Armitage, </w:t>
      </w:r>
      <w:r w:rsidR="00427464">
        <w:rPr>
          <w:rFonts w:ascii="Arial" w:hAnsi="Arial" w:cs="Arial"/>
          <w:sz w:val="24"/>
          <w:szCs w:val="24"/>
        </w:rPr>
        <w:t xml:space="preserve">et. al., </w:t>
      </w:r>
      <w:r w:rsidR="00427464" w:rsidRPr="00427464">
        <w:rPr>
          <w:rFonts w:ascii="Arial" w:hAnsi="Arial" w:cs="Arial"/>
          <w:sz w:val="24"/>
          <w:szCs w:val="24"/>
        </w:rPr>
        <w:t>2017</w:t>
      </w:r>
      <w:r w:rsidR="00427464">
        <w:rPr>
          <w:rFonts w:ascii="Arial" w:hAnsi="Arial" w:cs="Arial"/>
          <w:sz w:val="24"/>
          <w:szCs w:val="24"/>
        </w:rPr>
        <w:t xml:space="preserve">). </w:t>
      </w:r>
    </w:p>
    <w:p w14:paraId="348425FC" w14:textId="5E9ED4C1" w:rsidR="00A228D2" w:rsidRPr="00A228D2" w:rsidRDefault="00A228D2" w:rsidP="00427464">
      <w:pPr>
        <w:pStyle w:val="Heading1"/>
      </w:pPr>
      <w:bookmarkStart w:id="7" w:name="_Toc201251180"/>
      <w:r w:rsidRPr="00A228D2">
        <w:t>Conclusion</w:t>
      </w:r>
      <w:bookmarkEnd w:id="7"/>
    </w:p>
    <w:p w14:paraId="53D6136B" w14:textId="34536FC3" w:rsidR="00A228D2" w:rsidRDefault="00A228D2" w:rsidP="00A228D2">
      <w:pPr>
        <w:spacing w:line="360" w:lineRule="auto"/>
        <w:jc w:val="both"/>
        <w:rPr>
          <w:rFonts w:ascii="Arial" w:hAnsi="Arial" w:cs="Arial"/>
          <w:sz w:val="24"/>
          <w:szCs w:val="24"/>
        </w:rPr>
      </w:pPr>
      <w:r w:rsidRPr="00A228D2">
        <w:rPr>
          <w:rFonts w:ascii="Arial" w:hAnsi="Arial" w:cs="Arial"/>
          <w:sz w:val="24"/>
          <w:szCs w:val="24"/>
        </w:rPr>
        <w:t>It would be a mistake to assume that there are no changes required when shifting from a family-owned business to a publicly traded business. A variety of modifications in running the business, dealing with the board and dealing with shareholders would be necessary. Corporate governance and agency theory exposes the potential risks that can arise when control is not aligned with ownership. Since the family’s ownership will be diluted to 30% it is necessary for the corporation to find ways to mitigate the risks and to make potential investors feel safe. Strong corporate governance, an independent board, monitoring and transparent pay would go a long way in assuring investors that the company is not only compliant with market standards of fairness but also does not sacrifice the interests of its family owners.</w:t>
      </w:r>
      <w:r>
        <w:rPr>
          <w:rFonts w:ascii="Arial" w:hAnsi="Arial" w:cs="Arial"/>
          <w:sz w:val="24"/>
          <w:szCs w:val="24"/>
        </w:rPr>
        <w:t xml:space="preserve"> </w:t>
      </w:r>
      <w:r w:rsidRPr="00A228D2">
        <w:rPr>
          <w:rFonts w:ascii="Arial" w:hAnsi="Arial" w:cs="Arial"/>
          <w:sz w:val="24"/>
          <w:szCs w:val="24"/>
        </w:rPr>
        <w:t>Assuming that the family wants to maintain its ownership, they will have to balance it with market norms of fairness through the management of voting rights, board composition and shareholding of key positions. Implementing a professional pay system based on performance will align the board’s decisions with the market value of the company to its shareholders.</w:t>
      </w:r>
      <w:r>
        <w:rPr>
          <w:rFonts w:ascii="Arial" w:hAnsi="Arial" w:cs="Arial"/>
          <w:sz w:val="24"/>
          <w:szCs w:val="24"/>
        </w:rPr>
        <w:t xml:space="preserve"> </w:t>
      </w:r>
    </w:p>
    <w:p w14:paraId="1440C83D" w14:textId="77777777" w:rsidR="00A228D2" w:rsidRDefault="00A228D2" w:rsidP="00A228D2">
      <w:pPr>
        <w:spacing w:line="360" w:lineRule="auto"/>
        <w:jc w:val="both"/>
        <w:rPr>
          <w:rFonts w:ascii="Arial" w:hAnsi="Arial" w:cs="Arial"/>
          <w:sz w:val="24"/>
          <w:szCs w:val="24"/>
        </w:rPr>
      </w:pPr>
    </w:p>
    <w:p w14:paraId="24D0A760" w14:textId="5B90497E" w:rsidR="00A228D2" w:rsidRPr="00DD4C66" w:rsidRDefault="00A228D2" w:rsidP="00427464">
      <w:pPr>
        <w:pStyle w:val="Heading1"/>
      </w:pPr>
      <w:bookmarkStart w:id="8" w:name="_Toc201251181"/>
      <w:r>
        <w:lastRenderedPageBreak/>
        <w:t>References</w:t>
      </w:r>
      <w:bookmarkEnd w:id="8"/>
      <w:r>
        <w:t xml:space="preserve"> </w:t>
      </w:r>
    </w:p>
    <w:p w14:paraId="7B520F31" w14:textId="75F617C5" w:rsidR="00427464" w:rsidRPr="00427464" w:rsidRDefault="00427464"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Armitage, S., Hou, W., Sarkar, S. and Talaulicar, T., (2017). Corporate governance challenges in emerging economies. </w:t>
      </w:r>
      <w:r w:rsidRPr="00427464">
        <w:rPr>
          <w:rFonts w:ascii="Arial" w:hAnsi="Arial" w:cs="Arial"/>
          <w:i/>
          <w:iCs/>
          <w:sz w:val="24"/>
          <w:szCs w:val="24"/>
        </w:rPr>
        <w:t>Corporate Governance</w:t>
      </w:r>
      <w:r w:rsidRPr="00427464">
        <w:rPr>
          <w:rFonts w:ascii="Arial" w:hAnsi="Arial" w:cs="Arial"/>
          <w:sz w:val="24"/>
          <w:szCs w:val="24"/>
        </w:rPr>
        <w:t>, </w:t>
      </w:r>
      <w:r w:rsidRPr="00427464">
        <w:rPr>
          <w:rFonts w:ascii="Arial" w:hAnsi="Arial" w:cs="Arial"/>
          <w:i/>
          <w:iCs/>
          <w:sz w:val="24"/>
          <w:szCs w:val="24"/>
        </w:rPr>
        <w:t>25</w:t>
      </w:r>
      <w:r w:rsidRPr="00427464">
        <w:rPr>
          <w:rFonts w:ascii="Arial" w:hAnsi="Arial" w:cs="Arial"/>
          <w:sz w:val="24"/>
          <w:szCs w:val="24"/>
        </w:rPr>
        <w:t>(3), pp.148-154.</w:t>
      </w:r>
    </w:p>
    <w:p w14:paraId="5BCEA23E" w14:textId="5F0C70D9" w:rsidR="008C52AC" w:rsidRPr="00427464" w:rsidRDefault="008C52AC"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 xml:space="preserve">Diageo PLC, (2024). </w:t>
      </w:r>
      <w:r w:rsidRPr="00427464">
        <w:rPr>
          <w:rFonts w:ascii="Arial" w:hAnsi="Arial" w:cs="Arial"/>
          <w:i/>
          <w:iCs/>
          <w:sz w:val="24"/>
          <w:szCs w:val="24"/>
        </w:rPr>
        <w:t>Annual Report and Accounts 2024</w:t>
      </w:r>
      <w:r w:rsidRPr="00427464">
        <w:rPr>
          <w:rFonts w:ascii="Arial" w:hAnsi="Arial" w:cs="Arial"/>
          <w:sz w:val="24"/>
          <w:szCs w:val="24"/>
        </w:rPr>
        <w:t xml:space="preserve">. Available at: </w:t>
      </w:r>
      <w:hyperlink r:id="rId9" w:history="1">
        <w:r w:rsidRPr="00427464">
          <w:rPr>
            <w:rStyle w:val="Hyperlink"/>
            <w:rFonts w:ascii="Arial" w:hAnsi="Arial" w:cs="Arial"/>
            <w:sz w:val="24"/>
            <w:szCs w:val="24"/>
          </w:rPr>
          <w:t>https://www.diageo.com/en/investors/results-reports-and-events/annual-report-2024</w:t>
        </w:r>
      </w:hyperlink>
      <w:r w:rsidRPr="00427464">
        <w:rPr>
          <w:rFonts w:ascii="Arial" w:hAnsi="Arial" w:cs="Arial"/>
          <w:sz w:val="24"/>
          <w:szCs w:val="24"/>
        </w:rPr>
        <w:t xml:space="preserve">   [Accessed 15 June 2025].</w:t>
      </w:r>
    </w:p>
    <w:p w14:paraId="2D3C42CC" w14:textId="026C609D" w:rsidR="008C52AC" w:rsidRPr="00427464" w:rsidRDefault="008C52AC"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 xml:space="preserve">FRC (Financial Reporting Council), (2018). </w:t>
      </w:r>
      <w:r w:rsidRPr="00427464">
        <w:rPr>
          <w:rFonts w:ascii="Arial" w:hAnsi="Arial" w:cs="Arial"/>
          <w:i/>
          <w:iCs/>
          <w:sz w:val="24"/>
          <w:szCs w:val="24"/>
        </w:rPr>
        <w:t>UK Corporate Governance Code</w:t>
      </w:r>
      <w:r w:rsidRPr="00427464">
        <w:rPr>
          <w:rFonts w:ascii="Arial" w:hAnsi="Arial" w:cs="Arial"/>
          <w:sz w:val="24"/>
          <w:szCs w:val="24"/>
        </w:rPr>
        <w:t xml:space="preserve">. Available at: </w:t>
      </w:r>
      <w:hyperlink r:id="rId10" w:history="1">
        <w:r w:rsidRPr="00427464">
          <w:rPr>
            <w:rStyle w:val="Hyperlink"/>
            <w:rFonts w:ascii="Arial" w:hAnsi="Arial" w:cs="Arial"/>
            <w:sz w:val="24"/>
            <w:szCs w:val="24"/>
          </w:rPr>
          <w:t>https://www.frc.org.uk/library/standards-codes-policy/corporate-governance/uk-corporate-governance-code/</w:t>
        </w:r>
      </w:hyperlink>
      <w:r w:rsidRPr="00427464">
        <w:rPr>
          <w:rFonts w:ascii="Arial" w:hAnsi="Arial" w:cs="Arial"/>
          <w:sz w:val="24"/>
          <w:szCs w:val="24"/>
        </w:rPr>
        <w:t xml:space="preserve">  [Accessed 14 June 2025].</w:t>
      </w:r>
    </w:p>
    <w:p w14:paraId="7A40D128" w14:textId="7D3E584E" w:rsidR="00DD4C66" w:rsidRPr="00427464" w:rsidRDefault="008C52AC" w:rsidP="00427464">
      <w:pPr>
        <w:pStyle w:val="ListParagraph"/>
        <w:numPr>
          <w:ilvl w:val="0"/>
          <w:numId w:val="4"/>
        </w:numPr>
        <w:spacing w:line="360" w:lineRule="auto"/>
        <w:jc w:val="both"/>
        <w:rPr>
          <w:rFonts w:ascii="Arial" w:hAnsi="Arial" w:cs="Arial"/>
          <w:sz w:val="24"/>
          <w:szCs w:val="24"/>
        </w:rPr>
      </w:pPr>
      <w:proofErr w:type="spellStart"/>
      <w:r w:rsidRPr="00690F2A">
        <w:rPr>
          <w:rFonts w:ascii="Arial" w:hAnsi="Arial" w:cs="Arial"/>
          <w:sz w:val="24"/>
          <w:szCs w:val="24"/>
          <w:lang w:val="de-DE"/>
        </w:rPr>
        <w:t>Jovičević</w:t>
      </w:r>
      <w:proofErr w:type="spellEnd"/>
      <w:r w:rsidRPr="00690F2A">
        <w:rPr>
          <w:rFonts w:ascii="Arial" w:hAnsi="Arial" w:cs="Arial"/>
          <w:sz w:val="24"/>
          <w:szCs w:val="24"/>
          <w:lang w:val="de-DE"/>
        </w:rPr>
        <w:t xml:space="preserve">-Klug, P. and </w:t>
      </w:r>
      <w:proofErr w:type="spellStart"/>
      <w:r w:rsidRPr="00690F2A">
        <w:rPr>
          <w:rFonts w:ascii="Arial" w:hAnsi="Arial" w:cs="Arial"/>
          <w:sz w:val="24"/>
          <w:szCs w:val="24"/>
          <w:lang w:val="de-DE"/>
        </w:rPr>
        <w:t>Rohwerder</w:t>
      </w:r>
      <w:proofErr w:type="spellEnd"/>
      <w:r w:rsidRPr="00690F2A">
        <w:rPr>
          <w:rFonts w:ascii="Arial" w:hAnsi="Arial" w:cs="Arial"/>
          <w:sz w:val="24"/>
          <w:szCs w:val="24"/>
          <w:lang w:val="de-DE"/>
        </w:rPr>
        <w:t>, M., (2023). </w:t>
      </w:r>
      <w:r w:rsidRPr="00427464">
        <w:rPr>
          <w:rFonts w:ascii="Arial" w:hAnsi="Arial" w:cs="Arial"/>
          <w:i/>
          <w:iCs/>
          <w:sz w:val="24"/>
          <w:szCs w:val="24"/>
        </w:rPr>
        <w:t>Sustainable New Technology for the Improvement of Metallic Materials for Future Energy Applications. Coatings 2023, 13, 1822</w:t>
      </w:r>
      <w:r w:rsidRPr="00427464">
        <w:rPr>
          <w:rFonts w:ascii="Arial" w:hAnsi="Arial" w:cs="Arial"/>
          <w:sz w:val="24"/>
          <w:szCs w:val="24"/>
        </w:rPr>
        <w:t> [online]</w:t>
      </w:r>
    </w:p>
    <w:p w14:paraId="644F8912" w14:textId="0437E019" w:rsidR="008C52AC" w:rsidRPr="00427464" w:rsidRDefault="008C52AC"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 xml:space="preserve">Jensen, M.C. and Meckling, W.H., (1976). </w:t>
      </w:r>
      <w:r w:rsidRPr="00427464">
        <w:rPr>
          <w:rFonts w:ascii="Arial" w:hAnsi="Arial" w:cs="Arial"/>
          <w:i/>
          <w:iCs/>
          <w:sz w:val="24"/>
          <w:szCs w:val="24"/>
        </w:rPr>
        <w:t>Theory of the Firm: Managerial Behaviour, Agency Costs and Ownership Structure</w:t>
      </w:r>
      <w:r w:rsidRPr="00427464">
        <w:rPr>
          <w:rFonts w:ascii="Arial" w:hAnsi="Arial" w:cs="Arial"/>
          <w:sz w:val="24"/>
          <w:szCs w:val="24"/>
        </w:rPr>
        <w:t>. Journal of Financial Economics, 3(4), pp.305–360.</w:t>
      </w:r>
    </w:p>
    <w:p w14:paraId="0EA6E342" w14:textId="477F34FE" w:rsidR="00427464" w:rsidRPr="00427464" w:rsidRDefault="00427464"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Natalya, M., (2014). The content of accountability in corporate governance. </w:t>
      </w:r>
      <w:r w:rsidRPr="00427464">
        <w:rPr>
          <w:rFonts w:ascii="Arial" w:hAnsi="Arial" w:cs="Arial"/>
          <w:i/>
          <w:iCs/>
          <w:sz w:val="24"/>
          <w:szCs w:val="24"/>
        </w:rPr>
        <w:t>Russian Law Journal</w:t>
      </w:r>
      <w:r w:rsidRPr="00427464">
        <w:rPr>
          <w:rFonts w:ascii="Arial" w:hAnsi="Arial" w:cs="Arial"/>
          <w:sz w:val="24"/>
          <w:szCs w:val="24"/>
        </w:rPr>
        <w:t>, </w:t>
      </w:r>
      <w:r w:rsidRPr="00427464">
        <w:rPr>
          <w:rFonts w:ascii="Arial" w:hAnsi="Arial" w:cs="Arial"/>
          <w:i/>
          <w:iCs/>
          <w:sz w:val="24"/>
          <w:szCs w:val="24"/>
        </w:rPr>
        <w:t>2</w:t>
      </w:r>
      <w:r w:rsidRPr="00427464">
        <w:rPr>
          <w:rFonts w:ascii="Arial" w:hAnsi="Arial" w:cs="Arial"/>
          <w:sz w:val="24"/>
          <w:szCs w:val="24"/>
        </w:rPr>
        <w:t>(3), pp.116-129.</w:t>
      </w:r>
    </w:p>
    <w:p w14:paraId="1FB20900" w14:textId="1CA80867" w:rsidR="00427464" w:rsidRPr="00427464" w:rsidRDefault="00427464"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 xml:space="preserve">Netherlands Corporate Governance Code Committee, (2022). </w:t>
      </w:r>
      <w:r w:rsidRPr="00427464">
        <w:rPr>
          <w:rFonts w:ascii="Arial" w:hAnsi="Arial" w:cs="Arial"/>
          <w:i/>
          <w:iCs/>
          <w:sz w:val="24"/>
          <w:szCs w:val="24"/>
        </w:rPr>
        <w:t>Dutch Corporate Governance Code</w:t>
      </w:r>
      <w:r w:rsidRPr="00427464">
        <w:rPr>
          <w:rFonts w:ascii="Arial" w:hAnsi="Arial" w:cs="Arial"/>
          <w:sz w:val="24"/>
          <w:szCs w:val="24"/>
        </w:rPr>
        <w:t xml:space="preserve">. Available at: </w:t>
      </w:r>
      <w:hyperlink r:id="rId11" w:history="1">
        <w:r w:rsidRPr="007B25A5">
          <w:rPr>
            <w:rStyle w:val="Hyperlink"/>
            <w:rFonts w:ascii="Arial" w:hAnsi="Arial" w:cs="Arial"/>
            <w:sz w:val="24"/>
            <w:szCs w:val="24"/>
          </w:rPr>
          <w:t>https://www.mccg.nl/documenten/2022/12/20/dutch-corporate-governance-code-2022</w:t>
        </w:r>
      </w:hyperlink>
      <w:r>
        <w:rPr>
          <w:rFonts w:ascii="Arial" w:hAnsi="Arial" w:cs="Arial"/>
          <w:sz w:val="24"/>
          <w:szCs w:val="24"/>
        </w:rPr>
        <w:t xml:space="preserve"> </w:t>
      </w:r>
      <w:r w:rsidRPr="00427464">
        <w:rPr>
          <w:rFonts w:ascii="Arial" w:hAnsi="Arial" w:cs="Arial"/>
          <w:sz w:val="24"/>
          <w:szCs w:val="24"/>
        </w:rPr>
        <w:t xml:space="preserve"> Accessed 15 June 2025].</w:t>
      </w:r>
    </w:p>
    <w:p w14:paraId="7A05F7A9" w14:textId="06BB6B34" w:rsidR="00427464" w:rsidRPr="00427464" w:rsidRDefault="00427464"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Pye, A. and Pettigrew, A., (2005). Studying Board Context, Process and Dynamics: Some Challenges for the Future. </w:t>
      </w:r>
      <w:r w:rsidRPr="00427464">
        <w:rPr>
          <w:rFonts w:ascii="Arial" w:hAnsi="Arial" w:cs="Arial"/>
          <w:i/>
          <w:iCs/>
          <w:sz w:val="24"/>
          <w:szCs w:val="24"/>
        </w:rPr>
        <w:t>British Journal of Management</w:t>
      </w:r>
      <w:r w:rsidRPr="00427464">
        <w:rPr>
          <w:rFonts w:ascii="Arial" w:hAnsi="Arial" w:cs="Arial"/>
          <w:sz w:val="24"/>
          <w:szCs w:val="24"/>
        </w:rPr>
        <w:t>, </w:t>
      </w:r>
      <w:r w:rsidRPr="00427464">
        <w:rPr>
          <w:rFonts w:ascii="Arial" w:hAnsi="Arial" w:cs="Arial"/>
          <w:i/>
          <w:iCs/>
          <w:sz w:val="24"/>
          <w:szCs w:val="24"/>
        </w:rPr>
        <w:t>16</w:t>
      </w:r>
      <w:r w:rsidRPr="00427464">
        <w:rPr>
          <w:rFonts w:ascii="Arial" w:hAnsi="Arial" w:cs="Arial"/>
          <w:sz w:val="24"/>
          <w:szCs w:val="24"/>
        </w:rPr>
        <w:t>, pp.S27-S38.</w:t>
      </w:r>
    </w:p>
    <w:p w14:paraId="47777F8F" w14:textId="5EA60A11" w:rsidR="00427464" w:rsidRPr="00427464" w:rsidRDefault="00427464"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Redenius, C.S.P.D.J. and Demirtaş, H.D.G., (2023). The Governance System of Germany: Background and Discussion of its Code.</w:t>
      </w:r>
    </w:p>
    <w:p w14:paraId="31CE9C91" w14:textId="0837C739" w:rsidR="00164BE9" w:rsidRPr="00427464" w:rsidRDefault="00164BE9"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Shaba, Y., (2024). Corporate Governance: Exploring Key Concepts, Mechanisms, and Historical Evolution. </w:t>
      </w:r>
      <w:r w:rsidRPr="00427464">
        <w:rPr>
          <w:rFonts w:ascii="Arial" w:hAnsi="Arial" w:cs="Arial"/>
          <w:i/>
          <w:iCs/>
          <w:sz w:val="24"/>
          <w:szCs w:val="24"/>
        </w:rPr>
        <w:t>Asian Research Journal of Arts &amp; Social Sciences</w:t>
      </w:r>
      <w:r w:rsidRPr="00427464">
        <w:rPr>
          <w:rFonts w:ascii="Arial" w:hAnsi="Arial" w:cs="Arial"/>
          <w:sz w:val="24"/>
          <w:szCs w:val="24"/>
        </w:rPr>
        <w:t>, </w:t>
      </w:r>
      <w:r w:rsidRPr="00427464">
        <w:rPr>
          <w:rFonts w:ascii="Arial" w:hAnsi="Arial" w:cs="Arial"/>
          <w:i/>
          <w:iCs/>
          <w:sz w:val="24"/>
          <w:szCs w:val="24"/>
        </w:rPr>
        <w:t>22</w:t>
      </w:r>
      <w:r w:rsidRPr="00427464">
        <w:rPr>
          <w:rFonts w:ascii="Arial" w:hAnsi="Arial" w:cs="Arial"/>
          <w:sz w:val="24"/>
          <w:szCs w:val="24"/>
        </w:rPr>
        <w:t>(11), pp.10-9734.</w:t>
      </w:r>
    </w:p>
    <w:p w14:paraId="119FA59D" w14:textId="59400C93" w:rsidR="008C52AC" w:rsidRPr="00427464" w:rsidRDefault="008C52AC" w:rsidP="00427464">
      <w:pPr>
        <w:pStyle w:val="ListParagraph"/>
        <w:numPr>
          <w:ilvl w:val="0"/>
          <w:numId w:val="4"/>
        </w:numPr>
        <w:spacing w:line="360" w:lineRule="auto"/>
        <w:jc w:val="both"/>
        <w:rPr>
          <w:rFonts w:ascii="Arial" w:hAnsi="Arial" w:cs="Arial"/>
          <w:sz w:val="24"/>
          <w:szCs w:val="24"/>
        </w:rPr>
      </w:pPr>
      <w:r w:rsidRPr="00427464">
        <w:rPr>
          <w:rFonts w:ascii="Arial" w:hAnsi="Arial" w:cs="Arial"/>
          <w:sz w:val="24"/>
          <w:szCs w:val="24"/>
        </w:rPr>
        <w:t>Tricker, R.I., (2015). </w:t>
      </w:r>
      <w:r w:rsidRPr="00427464">
        <w:rPr>
          <w:rFonts w:ascii="Arial" w:hAnsi="Arial" w:cs="Arial"/>
          <w:i/>
          <w:iCs/>
          <w:sz w:val="24"/>
          <w:szCs w:val="24"/>
        </w:rPr>
        <w:t>Corporate governance: Principles, policies, and practices</w:t>
      </w:r>
      <w:r w:rsidRPr="00427464">
        <w:rPr>
          <w:rFonts w:ascii="Arial" w:hAnsi="Arial" w:cs="Arial"/>
          <w:sz w:val="24"/>
          <w:szCs w:val="24"/>
        </w:rPr>
        <w:t>. Oxford University Press, USA.</w:t>
      </w:r>
    </w:p>
    <w:p w14:paraId="7B44BB85" w14:textId="77777777" w:rsidR="001A2344" w:rsidRPr="001A2344" w:rsidRDefault="001A2344" w:rsidP="001A2344">
      <w:pPr>
        <w:spacing w:line="360" w:lineRule="auto"/>
        <w:jc w:val="both"/>
        <w:rPr>
          <w:rFonts w:ascii="Arial" w:hAnsi="Arial" w:cs="Arial"/>
          <w:sz w:val="24"/>
          <w:szCs w:val="24"/>
        </w:rPr>
      </w:pPr>
    </w:p>
    <w:p w14:paraId="3CA31B4F" w14:textId="77777777" w:rsidR="00C476C4" w:rsidRPr="00C476C4" w:rsidRDefault="00C476C4" w:rsidP="00C476C4">
      <w:pPr>
        <w:spacing w:line="360" w:lineRule="auto"/>
        <w:jc w:val="both"/>
        <w:rPr>
          <w:rFonts w:ascii="Arial" w:hAnsi="Arial" w:cs="Arial"/>
          <w:b/>
          <w:bCs/>
          <w:sz w:val="28"/>
          <w:szCs w:val="28"/>
        </w:rPr>
      </w:pPr>
    </w:p>
    <w:sectPr w:rsidR="00C476C4" w:rsidRPr="00C476C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4DFC0" w14:textId="77777777" w:rsidR="002E6FA0" w:rsidRDefault="002E6FA0" w:rsidP="00A228D2">
      <w:pPr>
        <w:spacing w:after="0" w:line="240" w:lineRule="auto"/>
      </w:pPr>
      <w:r>
        <w:separator/>
      </w:r>
    </w:p>
  </w:endnote>
  <w:endnote w:type="continuationSeparator" w:id="0">
    <w:p w14:paraId="4BDD9A59" w14:textId="77777777" w:rsidR="002E6FA0" w:rsidRDefault="002E6FA0" w:rsidP="00A22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124518"/>
      <w:docPartObj>
        <w:docPartGallery w:val="Page Numbers (Bottom of Page)"/>
        <w:docPartUnique/>
      </w:docPartObj>
    </w:sdtPr>
    <w:sdtContent>
      <w:p w14:paraId="389575AE" w14:textId="7DC9F20D" w:rsidR="00A228D2" w:rsidRDefault="00A228D2">
        <w:pPr>
          <w:pStyle w:val="Footer"/>
        </w:pPr>
        <w:r>
          <w:rPr>
            <w:noProof/>
          </w:rPr>
          <mc:AlternateContent>
            <mc:Choice Requires="wps">
              <w:drawing>
                <wp:anchor distT="0" distB="0" distL="114300" distR="114300" simplePos="0" relativeHeight="251660288" behindDoc="0" locked="0" layoutInCell="1" allowOverlap="1" wp14:anchorId="38AC2EF9" wp14:editId="2DB74096">
                  <wp:simplePos x="0" y="0"/>
                  <wp:positionH relativeFrom="margin">
                    <wp:align>center</wp:align>
                  </wp:positionH>
                  <wp:positionV relativeFrom="bottomMargin">
                    <wp:align>center</wp:align>
                  </wp:positionV>
                  <wp:extent cx="551815" cy="238760"/>
                  <wp:effectExtent l="19050" t="19050" r="19685" b="18415"/>
                  <wp:wrapNone/>
                  <wp:docPr id="2034893959"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EEFC70E" w14:textId="77777777" w:rsidR="00A228D2" w:rsidRDefault="00A228D2">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8AC2EF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5EEFC70E" w14:textId="77777777" w:rsidR="00A228D2" w:rsidRDefault="00A228D2">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092E88A" wp14:editId="0BF0552F">
                  <wp:simplePos x="0" y="0"/>
                  <wp:positionH relativeFrom="margin">
                    <wp:align>center</wp:align>
                  </wp:positionH>
                  <wp:positionV relativeFrom="bottomMargin">
                    <wp:align>center</wp:align>
                  </wp:positionV>
                  <wp:extent cx="5518150" cy="0"/>
                  <wp:effectExtent l="9525" t="9525" r="6350" b="9525"/>
                  <wp:wrapNone/>
                  <wp:docPr id="44926568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C00F1D7"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A16DB" w14:textId="77777777" w:rsidR="002E6FA0" w:rsidRDefault="002E6FA0" w:rsidP="00A228D2">
      <w:pPr>
        <w:spacing w:after="0" w:line="240" w:lineRule="auto"/>
      </w:pPr>
      <w:r>
        <w:separator/>
      </w:r>
    </w:p>
  </w:footnote>
  <w:footnote w:type="continuationSeparator" w:id="0">
    <w:p w14:paraId="2F56B9AA" w14:textId="77777777" w:rsidR="002E6FA0" w:rsidRDefault="002E6FA0" w:rsidP="00A22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A3369"/>
    <w:multiLevelType w:val="hybridMultilevel"/>
    <w:tmpl w:val="0C20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E45337"/>
    <w:multiLevelType w:val="hybridMultilevel"/>
    <w:tmpl w:val="7CB48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1962E4"/>
    <w:multiLevelType w:val="hybridMultilevel"/>
    <w:tmpl w:val="34287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3403FE"/>
    <w:multiLevelType w:val="hybridMultilevel"/>
    <w:tmpl w:val="C7E09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5888349">
    <w:abstractNumId w:val="1"/>
  </w:num>
  <w:num w:numId="2" w16cid:durableId="1967276394">
    <w:abstractNumId w:val="2"/>
  </w:num>
  <w:num w:numId="3" w16cid:durableId="860314964">
    <w:abstractNumId w:val="0"/>
  </w:num>
  <w:num w:numId="4" w16cid:durableId="14790296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11D"/>
    <w:rsid w:val="000C5048"/>
    <w:rsid w:val="00164BE9"/>
    <w:rsid w:val="001A2344"/>
    <w:rsid w:val="002E6FA0"/>
    <w:rsid w:val="003E5121"/>
    <w:rsid w:val="00427464"/>
    <w:rsid w:val="004B62F3"/>
    <w:rsid w:val="00690F2A"/>
    <w:rsid w:val="007051B2"/>
    <w:rsid w:val="00732838"/>
    <w:rsid w:val="008C52AC"/>
    <w:rsid w:val="00A228D2"/>
    <w:rsid w:val="00BB2F6B"/>
    <w:rsid w:val="00C476C4"/>
    <w:rsid w:val="00D873D1"/>
    <w:rsid w:val="00DD4C66"/>
    <w:rsid w:val="00F57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6CB53B"/>
  <w15:chartTrackingRefBased/>
  <w15:docId w15:val="{48007D5A-6B38-476F-832B-A7C2D2E92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1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71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71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71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71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7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1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71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71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71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71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7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11D"/>
    <w:rPr>
      <w:rFonts w:eastAsiaTheme="majorEastAsia" w:cstheme="majorBidi"/>
      <w:color w:val="272727" w:themeColor="text1" w:themeTint="D8"/>
    </w:rPr>
  </w:style>
  <w:style w:type="paragraph" w:styleId="Title">
    <w:name w:val="Title"/>
    <w:basedOn w:val="Normal"/>
    <w:next w:val="Normal"/>
    <w:link w:val="TitleChar"/>
    <w:uiPriority w:val="10"/>
    <w:qFormat/>
    <w:rsid w:val="00F57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11D"/>
    <w:pPr>
      <w:spacing w:before="160"/>
      <w:jc w:val="center"/>
    </w:pPr>
    <w:rPr>
      <w:i/>
      <w:iCs/>
      <w:color w:val="404040" w:themeColor="text1" w:themeTint="BF"/>
    </w:rPr>
  </w:style>
  <w:style w:type="character" w:customStyle="1" w:styleId="QuoteChar">
    <w:name w:val="Quote Char"/>
    <w:basedOn w:val="DefaultParagraphFont"/>
    <w:link w:val="Quote"/>
    <w:uiPriority w:val="29"/>
    <w:rsid w:val="00F5711D"/>
    <w:rPr>
      <w:i/>
      <w:iCs/>
      <w:color w:val="404040" w:themeColor="text1" w:themeTint="BF"/>
    </w:rPr>
  </w:style>
  <w:style w:type="paragraph" w:styleId="ListParagraph">
    <w:name w:val="List Paragraph"/>
    <w:basedOn w:val="Normal"/>
    <w:uiPriority w:val="34"/>
    <w:qFormat/>
    <w:rsid w:val="00F5711D"/>
    <w:pPr>
      <w:ind w:left="720"/>
      <w:contextualSpacing/>
    </w:pPr>
  </w:style>
  <w:style w:type="character" w:styleId="IntenseEmphasis">
    <w:name w:val="Intense Emphasis"/>
    <w:basedOn w:val="DefaultParagraphFont"/>
    <w:uiPriority w:val="21"/>
    <w:qFormat/>
    <w:rsid w:val="00F5711D"/>
    <w:rPr>
      <w:i/>
      <w:iCs/>
      <w:color w:val="2F5496" w:themeColor="accent1" w:themeShade="BF"/>
    </w:rPr>
  </w:style>
  <w:style w:type="paragraph" w:styleId="IntenseQuote">
    <w:name w:val="Intense Quote"/>
    <w:basedOn w:val="Normal"/>
    <w:next w:val="Normal"/>
    <w:link w:val="IntenseQuoteChar"/>
    <w:uiPriority w:val="30"/>
    <w:qFormat/>
    <w:rsid w:val="00F571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711D"/>
    <w:rPr>
      <w:i/>
      <w:iCs/>
      <w:color w:val="2F5496" w:themeColor="accent1" w:themeShade="BF"/>
    </w:rPr>
  </w:style>
  <w:style w:type="character" w:styleId="IntenseReference">
    <w:name w:val="Intense Reference"/>
    <w:basedOn w:val="DefaultParagraphFont"/>
    <w:uiPriority w:val="32"/>
    <w:qFormat/>
    <w:rsid w:val="00F5711D"/>
    <w:rPr>
      <w:b/>
      <w:bCs/>
      <w:smallCaps/>
      <w:color w:val="2F5496" w:themeColor="accent1" w:themeShade="BF"/>
      <w:spacing w:val="5"/>
    </w:rPr>
  </w:style>
  <w:style w:type="character" w:styleId="Hyperlink">
    <w:name w:val="Hyperlink"/>
    <w:basedOn w:val="DefaultParagraphFont"/>
    <w:uiPriority w:val="99"/>
    <w:unhideWhenUsed/>
    <w:rsid w:val="003E5121"/>
    <w:rPr>
      <w:color w:val="0563C1" w:themeColor="hyperlink"/>
      <w:u w:val="single"/>
    </w:rPr>
  </w:style>
  <w:style w:type="character" w:styleId="UnresolvedMention">
    <w:name w:val="Unresolved Mention"/>
    <w:basedOn w:val="DefaultParagraphFont"/>
    <w:uiPriority w:val="99"/>
    <w:semiHidden/>
    <w:unhideWhenUsed/>
    <w:rsid w:val="003E5121"/>
    <w:rPr>
      <w:color w:val="605E5C"/>
      <w:shd w:val="clear" w:color="auto" w:fill="E1DFDD"/>
    </w:rPr>
  </w:style>
  <w:style w:type="paragraph" w:styleId="Header">
    <w:name w:val="header"/>
    <w:basedOn w:val="Normal"/>
    <w:link w:val="HeaderChar"/>
    <w:uiPriority w:val="99"/>
    <w:unhideWhenUsed/>
    <w:rsid w:val="00A22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8D2"/>
  </w:style>
  <w:style w:type="paragraph" w:styleId="Footer">
    <w:name w:val="footer"/>
    <w:basedOn w:val="Normal"/>
    <w:link w:val="FooterChar"/>
    <w:uiPriority w:val="99"/>
    <w:unhideWhenUsed/>
    <w:rsid w:val="00A22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8D2"/>
  </w:style>
  <w:style w:type="paragraph" w:styleId="TOCHeading">
    <w:name w:val="TOC Heading"/>
    <w:basedOn w:val="Heading1"/>
    <w:next w:val="Normal"/>
    <w:uiPriority w:val="39"/>
    <w:unhideWhenUsed/>
    <w:qFormat/>
    <w:rsid w:val="0042746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274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cg.nl/documenten/2022/12/20/dutch-corporate-governance-code-2022" TargetMode="External"/><Relationship Id="rId5" Type="http://schemas.openxmlformats.org/officeDocument/2006/relationships/webSettings" Target="webSettings.xml"/><Relationship Id="rId10" Type="http://schemas.openxmlformats.org/officeDocument/2006/relationships/hyperlink" Target="https://www.frc.org.uk/library/standards-codes-policy/corporate-governance/uk-corporate-governance-code/" TargetMode="External"/><Relationship Id="rId4" Type="http://schemas.openxmlformats.org/officeDocument/2006/relationships/settings" Target="settings.xml"/><Relationship Id="rId9" Type="http://schemas.openxmlformats.org/officeDocument/2006/relationships/hyperlink" Target="https://www.diageo.com/en/investors/results-reports-and-events/annual-report-20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39692-F9BB-49A0-A24A-2CA1B5A3E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dc:creator>
  <cp:keywords/>
  <dc:description/>
  <cp:lastModifiedBy>adriana mandache</cp:lastModifiedBy>
  <cp:revision>4</cp:revision>
  <dcterms:created xsi:type="dcterms:W3CDTF">2025-06-20T11:03:00Z</dcterms:created>
  <dcterms:modified xsi:type="dcterms:W3CDTF">2025-06-20T11:05:00Z</dcterms:modified>
</cp:coreProperties>
</file>