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 critical evaluation and the identification of next teaching and learning steps focusing on a case study of an individual learner or a group of learners, based on an observed, critical incident. </w:t>
      </w:r>
    </w:p>
    <w:p w:rsidR="00000000" w:rsidDel="00000000" w:rsidP="00000000" w:rsidRDefault="00000000" w:rsidRPr="00000000" w14:paraId="0000000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following essay will discuss an observed critical incident, focusing on behaviour management systems and the role they can play within the classroom environment. The observation of critical incidents is an aspect of reflective practice, vital in creating informed and well-rounded educational practitioners. The usefulness of critical incidents and the role they can play on improving teacher training practices was first proposed by Tripp (1993). In his definition, critical incidents are turning points in the classroom environment that allow for reflection. He suggests that by reflecting on an event, a deeper understanding of teaching practices can be found, and new ways of approaching the classroom environment can be constructed (Tripp, 1933). By reflecting on another's teaching practices, this essay hopes to further develop professional judgement and abilities. This has allowed for an investigation of different theories surrounding behaviour management, as well as their benefits and limitations. From this, next steps have been identified, by noting what worked well within the observed critical incident, and what has the potential to be improved, as well as judgements of the literature surrounding discussed theories. This has allowed for the creation of a plan of future steps, which can be applied and tested to one’s own personal teaching journey. </w:t>
      </w:r>
    </w:p>
    <w:p w:rsidR="00000000" w:rsidDel="00000000" w:rsidP="00000000" w:rsidRDefault="00000000" w:rsidRPr="00000000" w14:paraId="0000000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What is critical reflection? There are many different definitions of this phrase. In the context of education, this is much more complex than simply suggesting that reflection is the process of looking back. It requires a critical analysis on the situation, reflecting on your own perceptions, behaviours and thoughts relating to this. This deeper understanding allows you to better relate your studies to the real world (Bottomley, 2019). Zeichner and Lister (1996) would suggest that a critically reflective practitioner is able to examine the problems witnessed in the classroom, can question their assumptions and values in this context, can remain aware of the cultural context of this classroom and can actively engage in continuous development, both institutionally and professionally. Simply put, if we as practitioners critically explore the underlying factors in our teaching practices, then we can better develop our understanding of teaching and learning, and find new ways of approaching our practice </w:t>
      </w:r>
      <w:r w:rsidDel="00000000" w:rsidR="00000000" w:rsidRPr="00000000">
        <w:rPr>
          <w:rFonts w:ascii="Times New Roman" w:cs="Times New Roman" w:eastAsia="Times New Roman" w:hAnsi="Times New Roman"/>
          <w:sz w:val="24"/>
          <w:szCs w:val="24"/>
          <w:rtl w:val="0"/>
        </w:rPr>
        <w:t xml:space="preserve">(Dymoke, 2008). </w:t>
      </w:r>
      <w:r w:rsidDel="00000000" w:rsidR="00000000" w:rsidRPr="00000000">
        <w:rPr>
          <w:rFonts w:ascii="Times New Roman" w:cs="Times New Roman" w:eastAsia="Times New Roman" w:hAnsi="Times New Roman"/>
          <w:sz w:val="24"/>
          <w:szCs w:val="24"/>
          <w:rtl w:val="0"/>
        </w:rPr>
        <w:t xml:space="preserve">One of the founding theorists relating to critical reflection is Dewey (1933), who suggested that reflection requires an active consideration of our beliefs and knowledge, formed from our experiences. Dewey (1933) proposed five steps to this reflective practice; suggesting solutions, proposing questions, hypothesising, reasoning and testing. He suggests that critically reflective individuals demonstrate qualities of open-mindedness, responsibility and whole-heartedness (Dewey, 1933). This definition is the basis of many reflective practice theories, such as Kolb’s Experiential Learning Cycle (1984). This model suggests there are four stages to critical reflection; experience, reflective observation, modelling and experimentation. Kolb (1984) highlights the importance of testing out new learning in order to validate it, and subsequently apply it to our own work. In the context of teacher training, critical reflection is thought to be vital in developing well-rounded practitioners (Harrison and Lee, 2011). Indeed, in order for student teachers to gain Qualified Teacher Status (QTS) in Wales, five Professional Standards have to be met, with reflective vocabulary demonstrated across these. For example, to meet the requirements within the Professional Learning Standard, student teachers must demonstrate they can be critical about their knowledge and understanding, and reflect on this to improve on their practice. This reflection allows for a deeper understanding of Pedagogy, key for creating a successful teaching and learning environment </w:t>
      </w:r>
      <w:r w:rsidDel="00000000" w:rsidR="00000000" w:rsidRPr="00000000">
        <w:rPr>
          <w:rFonts w:ascii="Times New Roman" w:cs="Times New Roman" w:eastAsia="Times New Roman" w:hAnsi="Times New Roman"/>
          <w:sz w:val="24"/>
          <w:szCs w:val="24"/>
          <w:highlight w:val="white"/>
          <w:rtl w:val="0"/>
        </w:rPr>
        <w:t xml:space="preserve">(Professional standards - Hwb, 2017). </w:t>
      </w:r>
    </w:p>
    <w:p w:rsidR="00000000" w:rsidDel="00000000" w:rsidP="00000000" w:rsidRDefault="00000000" w:rsidRPr="00000000" w14:paraId="00000006">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7">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highlights the need for critical reflection skills. But how can practitioners develop this? One method of doing this is through the use of critical incidents. Proposed by Tripp (1993), these are significant events that lead to a turning point within the learning environment. These critical incidents do not need to be a negative event as the name suggests, rather it is a moment in which to reflect and question. This pedagogical theory allows practitioners to reflect on theirs or others teaching and develop professional judgement and practice (Mohammed, 2016). Incorporating the use of critical incidents in teaching training practices is becoming more apparent. Current literature suggests that it leads to improved self-confidence, a deeper understanding of the role of a teacher and leaves student teachers feeling more prepared for the classroom (</w:t>
      </w:r>
      <w:r w:rsidDel="00000000" w:rsidR="00000000" w:rsidRPr="00000000">
        <w:rPr>
          <w:rFonts w:ascii="Times New Roman" w:cs="Times New Roman" w:eastAsia="Times New Roman" w:hAnsi="Times New Roman"/>
          <w:sz w:val="24"/>
          <w:szCs w:val="24"/>
          <w:highlight w:val="white"/>
          <w:rtl w:val="0"/>
        </w:rPr>
        <w:t xml:space="preserve">Kossakowska -Pisarek, 2020). Developing teachers who feel confident in their own abilities is vital in Wales, as it reflects the overarching themes of the new curriculum. This new curriculum focuses on Four Purposes, aspirations for every young learner to allow the development of well-rounded, informed citizens of Wales. The Four Purposes aim to create; </w:t>
      </w:r>
      <w:r w:rsidDel="00000000" w:rsidR="00000000" w:rsidRPr="00000000">
        <w:rPr>
          <w:rFonts w:ascii="Times New Roman" w:cs="Times New Roman" w:eastAsia="Times New Roman" w:hAnsi="Times New Roman"/>
          <w:sz w:val="24"/>
          <w:szCs w:val="24"/>
          <w:highlight w:val="white"/>
          <w:rtl w:val="0"/>
        </w:rPr>
        <w:t xml:space="preserve">ambitious, capable learners who are ready to learn throughout their lives, enterprising and creative contributors in society, ethical, informed citizens of Wales and the world and healthy, confident individuals who are ready to lead fulfilling lives as valued members of society (Donaldson, 2015). If the goal of the new curriculum in Wales is to instil such qualities in young learners, surely it is vital for teachers to reflect these qualities. By teaching the skills and importance of critical reflection within teacher training programs, then newly qualified teachers will have the confidence and ability to deliver the new curriculum successfully. </w:t>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critical incident discussed in the current literature took place at a mixed, English-medium secondary school within the Cardiff local authority. According to recent Estyn (2017) reports, more than 1700 students are enrolled here. The catchment area for this school is the West of Cardiff, an area of high social and economic disadvantage. More than half of this school’s pupils live in some of the most deprived areas in Wales. Indeed, more than 30% of pupils enrolled here are eligible for free school meals. According to the most recent Esytn (2017) report related to this school, this is much higher than the national average. This is a multinational school, with over 70% of students enrolled speaking English as a second or even third language. Over 60 languages are spoken across the school community. It should also be noted that 35% of the school's students have an additional learning need </w:t>
      </w:r>
      <w:r w:rsidDel="00000000" w:rsidR="00000000" w:rsidRPr="00000000">
        <w:rPr>
          <w:rFonts w:ascii="Times New Roman" w:cs="Times New Roman" w:eastAsia="Times New Roman" w:hAnsi="Times New Roman"/>
          <w:sz w:val="24"/>
          <w:szCs w:val="24"/>
          <w:highlight w:val="white"/>
          <w:rtl w:val="0"/>
        </w:rPr>
        <w:t xml:space="preserve">(Estyn, 2017)</w:t>
      </w:r>
      <w:r w:rsidDel="00000000" w:rsidR="00000000" w:rsidRPr="00000000">
        <w:rPr>
          <w:rFonts w:ascii="Times New Roman" w:cs="Times New Roman" w:eastAsia="Times New Roman" w:hAnsi="Times New Roman"/>
          <w:sz w:val="24"/>
          <w:szCs w:val="24"/>
          <w:rtl w:val="0"/>
        </w:rPr>
        <w:t xml:space="preserve">. The critical incident that will be discussed within this literature took place in a low-ability year seven class. This class was formed of around twenty students, with one student permanently supported by a teaching assistant. </w:t>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critical incident observed took place within a French class, and was scheduled during the first period of the school day (See Appendix 3). Students had recently transitioned to secondary school, and this class focused on learning new vocabulary. Developing an understanding of international cultures and languages is an important aspect of the new curriculum in Wales. By allowing students to develop a foundation of potential life-long interest and enthusiasm for languages, students are demonstrating qualities of an ambitious, capable learner, who can learn throughout their entire lives, one of the Four Purposes (Donaldson, 2015). The observed class was very lively and energetic, with Teacher A using a range of visual aids, body language and activities for the students to practise this new vocabulary. As a result, energy levels were very high, and some students were off-task and disrupting others. This resulted in a ‘yellow card’; the first of five steps in a whole-school behaviour system. This would be followed by a change of seats for any student who disregards this warning. If the behaviour continues, students will then be sent outside for a restorative conversation with the teacher. If this still does not work, students will be moved to another classroom. The final step involves an on-call teacher, resulting in the removal of the student from the classroom. Conversations will then be had with parents and head of years. This behaviour system is implemented across the entire schools and students are very clear on how this works. This calmed the students down, and Teacher A gave clear praise. It allowed the class to transition smoothly into the next task, a paired game. Teacher A was very successful in including a range of tasks and media into their classroom environment, allowing students to take on different roles within a team, give off energy and demonstrate skills that would benefit the whole, and connect and apply their knowledge to create within the class, thus demonstrating an understanding of one of the Four Purposes; developing effective, creative contributors who are ready to play a full part in life and in work (Donaldson, 2015). This activity increased energy levels and some students began to show signs of disruption. The teacher asked some students to change seats, as a way of diffusing this behaviour. This was the second step of the school's behaviour system. Student A continued their disruption and as a result, Teacher A sent this student out of the classroom, in order to calm down and take control of their behaviour. This was an escalation to the third step of the school’s behaviour system. The teacher went with Student A in order to have a restorative conversation. This action worked really well, and Student A was able to return to class much calmer and was able to complete the task alongside their peers. Teacher A again vocalised their praise, making sure that Student A left the class knowing that their ability to check their behaviour was valued in the classroom. This action is a clear example of bringing the Four Purposes of the new curriculum into the classroom. By giving Student A some time to think about the impact that their actions were having on the other students, and staging a conversation to allow them to choose whether to continue with this action or not, the teacher was allowing Student A to develop the skills of an ethically informed citizen, who considers their actions on the whole community and not just the self (Donaldson, 2015). </w:t>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observed critical incident highlighted many areas of potential research, particularly the usefulness of a behaviour management system as a form of discipline. It is important to note that discipline in the classroom should not be thought of as a physical concept, with harsh punishments for any student who does not show appropriate behaviours. Rather, in this instance, it is a clear behavioural system which is in place to prevent or respond to disruptive behaviours, in </w:t>
      </w:r>
      <w:r w:rsidDel="00000000" w:rsidR="00000000" w:rsidRPr="00000000">
        <w:rPr>
          <w:rFonts w:ascii="Times New Roman" w:cs="Times New Roman" w:eastAsia="Times New Roman" w:hAnsi="Times New Roman"/>
          <w:sz w:val="24"/>
          <w:szCs w:val="24"/>
          <w:rtl w:val="0"/>
        </w:rPr>
        <w:t xml:space="preserve">orde</w:t>
      </w:r>
      <w:r w:rsidDel="00000000" w:rsidR="00000000" w:rsidRPr="00000000">
        <w:rPr>
          <w:rFonts w:ascii="Times New Roman" w:cs="Times New Roman" w:eastAsia="Times New Roman" w:hAnsi="Times New Roman"/>
          <w:sz w:val="24"/>
          <w:szCs w:val="24"/>
          <w:rtl w:val="0"/>
        </w:rPr>
        <w:t xml:space="preserve">r to stop them occurring in the future. Research indicates that students who show challenging behaviours not only have a negative impact on teaching and learning, but are at higher risk of negative outcomes later in life, such as relationship difficulties, poor mental health and substance abuse (Van Lier et al, 2004). As schools become more inclusive to all learners, teachers must be confident in dealing with increasing problem behaviours (Mckenna and Flower, 2014). Having an effective behaviour management system in place allows students to become responsible for their own behaviours, leading to success in later education and in life (Boynton and Boyton, 2005). In order to investigate how these behavioural systems can be implemented successfully, we should consider the psychological theories surrounding them. One school of thought is Behaviourism, that we learn through the conditioning of certain behaviours. Early research by psychologists such as Pavlov and Skinner, formulated the concepts of Classical and Operant Conditioning (Taylor and Mackenny, 2008). The latter suggests that we can learn and consequently manage behaviour through the use of positive and negative reinforcements in the classroom, such as praise for good behaviour and consequences for bad behaviour (O’ </w:t>
      </w:r>
      <w:r w:rsidDel="00000000" w:rsidR="00000000" w:rsidRPr="00000000">
        <w:rPr>
          <w:rFonts w:ascii="Times New Roman" w:cs="Times New Roman" w:eastAsia="Times New Roman" w:hAnsi="Times New Roman"/>
          <w:sz w:val="24"/>
          <w:szCs w:val="24"/>
          <w:highlight w:val="white"/>
          <w:rtl w:val="0"/>
        </w:rPr>
        <w:t xml:space="preserve">Donohue and Ferguson, 2001).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Behaviourist ideas form the basis of many classroom management theories, such as Canter’s research into Assertive Discipline (1976). This theory suggests that successful teachers must be assertive, teaching their students how to behave in the classroom by establishing clear rules. Students choose to behave either positively or negatively. Positive reinforcement should be used regularly, to encourage good behaviour. If these rules are broken, there should be clear and consistent negative consequences (Canter, 1992). Research suggests that this encourages students to be responsible for their own behaviours (Canter, 1992). Aspects of this model can be seen within the observed critical incident. Teacher A was consistent in the school’s behavioural management system, working through each stage when expectations of behaviour were not met. Teacher A also used consistent positive reinforcement; praising the class when they were able to regulate their behaviour and stay on task. Canter (1976) suggests this is the key factor in a successful assertive discipline plan. There is much literature in support of this form of behaviour management. Swinson and Cording (2002) found that the use of an Assertive Discipline Plan in the classroom led to increased engagement and positive behaviour from students, a decrease in negative incidents in the classroom, and a decreased use of negative language by the teacher. Similarly, Ferguson and Houghton (1992) found that following Canter’s teachings around the use of praise in the classroom environment led to a reduction in negative behaviours and students being more on-task during class. </w:t>
      </w:r>
    </w:p>
    <w:p w:rsidR="00000000" w:rsidDel="00000000" w:rsidP="00000000" w:rsidRDefault="00000000" w:rsidRPr="00000000" w14:paraId="0000001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it could be argued that ideas centred around Assertive Discipline Theory are too out of touch with the present day (Pane, 2010). This theory of discipline views all students as a collective, and that learning occurs in the same way for all. This reduces the individual needs of each student, particularly in current classrooms where students with diverse additional needs are becoming more and more commonplace (Pane, 2010). A further criticism of this model is that it places too much emphasis on extrinsic motivation, that the student only changes their behaviour in order to avoid punishment or get a reward (Pinto, 2013). Research indicates that while this does create positive results in terms of behaviour management in the classroom in the short-term, it is ineffective in the long-term (</w:t>
      </w:r>
      <w:r w:rsidDel="00000000" w:rsidR="00000000" w:rsidRPr="00000000">
        <w:rPr>
          <w:rFonts w:ascii="Times New Roman" w:cs="Times New Roman" w:eastAsia="Times New Roman" w:hAnsi="Times New Roman"/>
          <w:sz w:val="24"/>
          <w:szCs w:val="24"/>
          <w:highlight w:val="white"/>
          <w:rtl w:val="0"/>
        </w:rPr>
        <w:t xml:space="preserve">Deci, Koestner, &amp; Ryan, 1999)</w:t>
      </w:r>
      <w:r w:rsidDel="00000000" w:rsidR="00000000" w:rsidRPr="00000000">
        <w:rPr>
          <w:rFonts w:ascii="Times New Roman" w:cs="Times New Roman" w:eastAsia="Times New Roman" w:hAnsi="Times New Roman"/>
          <w:sz w:val="24"/>
          <w:szCs w:val="24"/>
          <w:rtl w:val="0"/>
        </w:rPr>
        <w:t xml:space="preserve">. Finally, it</w:t>
      </w:r>
      <w:r w:rsidDel="00000000" w:rsidR="00000000" w:rsidRPr="00000000">
        <w:rPr>
          <w:rFonts w:ascii="Times New Roman" w:cs="Times New Roman" w:eastAsia="Times New Roman" w:hAnsi="Times New Roman"/>
          <w:sz w:val="24"/>
          <w:szCs w:val="24"/>
          <w:rtl w:val="0"/>
        </w:rPr>
        <w:t xml:space="preserve"> perhaps fails to consider the motivation of autonomy and self-determination in the classroom for students. With the new curriculum implemented in Wales focusing on developing well-rounded and independent students, perhaps this should be an important factor to consider in the types of behaviour management systems used within our schools. </w:t>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model which may consider the importance of self-determination is Glasser’s Choice Theory (1992), which indicates that an effective behavioural system would have to meet the individual's Five Needs; Freedom, Survival, Power, Belonging and Love and Fun. He suggests that students need the opportunity to manage their own behaviour, and choose whether to behave in an appropriate and positive way (Glasser, 1992). If teachers meet all of these needs, through the use of engaging and varying activities, student choice in the classroom and a positive and encouraging environment that considers the cultural needs of each student, then behaviour will be positive (Bucher and Manning, 2001). Therefore, it could be argued that within the observed critical incident, the negative behaviour of Student A was as a result of a conscious and unconscious attempt at need fulfilment. To be implemented successfully, teachers must take the time to get to know their students' individual needs, strengths and weaknesses, and cultural background, and work together to create classroom expectations. By considering these factors, perhaps the negative behaviour of Student A could be altered. Literature also suggests that these types of behaviour management strategies allow for the development of civic skills, as students learn to work with diversity, and develop a deeper awareness of the needs and experiences of others (Parker, 2005). In terms of the revised education system in Wales, this behaviour management system would allow for the creation of informed, ethical citizens who are ready to contribute positively to Welsh society (Donaldson, 2015). It is perhaps key to consider the use of such practices in order to meet this important purpose. </w:t>
      </w:r>
    </w:p>
    <w:p w:rsidR="00000000" w:rsidDel="00000000" w:rsidP="00000000" w:rsidRDefault="00000000" w:rsidRPr="00000000" w14:paraId="0000001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potential limitations to this model that should be considered. In order for the foundations of Choice Theory (Glasser 1992) to be successful as a behaviour management tool, staff need to receive thorough training in its methods. Without this strong foundation of knowledge, this behaviour management system will not succeed within the classroom, and have little impact on improving the classroom climate (Hale and Maola, 2011). Something that also needs to be considered when considering Choice Theory (Glasser, 1992) as a form of behaviour management is the lack of current literature. More longitudinal studies need to be carried out in order to determine the impact this theory may have in classroom management (Irvine, 2015).</w:t>
      </w:r>
    </w:p>
    <w:p w:rsidR="00000000" w:rsidDel="00000000" w:rsidP="00000000" w:rsidRDefault="00000000" w:rsidRPr="00000000" w14:paraId="0000001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final model of behaviour management to consider is Restorative Discipline. This form of a behaviour management system is complex; for it to be successful it’s ethos must be a part of the whole school environment, and the relationships experienced both in and out of the classroom (Meyer and Evans, 2016). A classroom which uses this would be a positive environment, where students and staff are inclusive of diversity. Expectations of behaviour in the classroom are created and shared with all staff, students and families, with clear consequences in place for when this behaviour is negative. There will also be clear levels of support within the school, such as crisis management teams and in-school suspension when behaviour requires more serious consequences (McCluskey et al., 2008). This allows for peaceful resolutions between teachers, students and their families (Meyer and Evans, 2016). One of the key aims of using Restorative Discipline Theory in schools is to develop social and emotional skills, as students are taught how to be responsible for their behaviour, and have awareness on its impact to the self and to others (Lodi et al., 2021). Ultimately, the goal of such theory is to create safe learning spaces that promote well-being. If one of the Four Purposes within the Welsh curriculum is the creation of </w:t>
      </w:r>
      <w:r w:rsidDel="00000000" w:rsidR="00000000" w:rsidRPr="00000000">
        <w:rPr>
          <w:rFonts w:ascii="Times New Roman" w:cs="Times New Roman" w:eastAsia="Times New Roman" w:hAnsi="Times New Roman"/>
          <w:sz w:val="24"/>
          <w:szCs w:val="24"/>
          <w:rtl w:val="0"/>
        </w:rPr>
        <w:t xml:space="preserve">healthy, confident individuals who are able to contribute positively to society, surely we should be promoting the use of such practices. </w:t>
      </w:r>
      <w:r w:rsidDel="00000000" w:rsidR="00000000" w:rsidRPr="00000000">
        <w:rPr>
          <w:rFonts w:ascii="Times New Roman" w:cs="Times New Roman" w:eastAsia="Times New Roman" w:hAnsi="Times New Roman"/>
          <w:sz w:val="24"/>
          <w:szCs w:val="24"/>
          <w:rtl w:val="0"/>
        </w:rPr>
        <w:t xml:space="preserve">Educational institutes which adopt Restorative Discipline report increased positive behaviours and relationships between teachers and students, and as a result, higher academic attainment (Short, Case and McKenzie, 2018). Literature even suggests that the implementation of Restorative Discipline Practices leads to a significant reduction in school suspension gaps between students of Black and Latinx heritage and their White student counterparts (Gonzalez, 2015). In terms of the observed critical incident, it could be suggested that the behavioural management system in place included aspects of a Restorative Discipline Model. It was implemented across the school, with each member of this community clear on the standards expected of them and the consequences if this was not met. What is important to note within the observed critical incident was the turning point in behaviour after the restorative conversations took place. The conversation between Teacher A and Student A led to that student altering their behaviour in a positive way, resulting in the ability to return to class and stay on-task, and not continue to climb each stage of the behavioural management system in place. This highlights the usefulness of restorative practices in the classroom.</w:t>
      </w:r>
    </w:p>
    <w:p w:rsidR="00000000" w:rsidDel="00000000" w:rsidP="00000000" w:rsidRDefault="00000000" w:rsidRPr="00000000" w14:paraId="0000001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there are limitations of this theory that should be noted. One limitation is that still not enough is known about the long-term influence that Restorative Discipline Theories have on managing behaviour in the classroom. This is still a relatively new concept, and although it seems to have a positive impact on behaviour, school culture, and attainment in the short term, literature is still limited on its long-term impact (Vincent et al., 2012). It is also important to note the racial disparities within the benefits of using Restorative Discipline Theories. Although these racial gaps within suspensions appear, in the short-term, to be closing, they are not entirely eliminated by Restorative Discipline. Sustained and long-term use of such practices are needed to overcome such issues seen in many educational institutes (</w:t>
      </w:r>
      <w:r w:rsidDel="00000000" w:rsidR="00000000" w:rsidRPr="00000000">
        <w:rPr>
          <w:rFonts w:ascii="Times New Roman" w:cs="Times New Roman" w:eastAsia="Times New Roman" w:hAnsi="Times New Roman"/>
          <w:sz w:val="24"/>
          <w:szCs w:val="24"/>
          <w:highlight w:val="white"/>
          <w:rtl w:val="0"/>
        </w:rPr>
        <w:t xml:space="preserve">Gomez, Rucinski and Higgins-D’Alessandro, 2021). </w:t>
      </w:r>
      <w:r w:rsidDel="00000000" w:rsidR="00000000" w:rsidRPr="00000000">
        <w:rPr>
          <w:rFonts w:ascii="Times New Roman" w:cs="Times New Roman" w:eastAsia="Times New Roman" w:hAnsi="Times New Roman"/>
          <w:sz w:val="24"/>
          <w:szCs w:val="24"/>
          <w:rtl w:val="0"/>
        </w:rPr>
        <w:t xml:space="preserve">What is clear is the need for sufficient training to staff across the entire school community to ensure that each member is confident in their knowledge and the application of Restorative Discipline. Schools that fail in providing consistent and updated training on this theory will fail to see its benefits (Lodi et al., 2021). </w:t>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considering the impact of this critical incident, it is important to refer back to the reflective practices previously discussed and the role that they play in both personal and professional development. Dewey’s (1993) model of reflective practice suggests that reflection can be used as a tool for gaining understanding and formulating new ideas. By observing the critical incident, in this case, behaviour management systems within the classroom, a potential problem can be identified. Reflection on this incident is then needed, by presenting the facts of the incident, such as the negative behaviour of Student A. The next stage involves considering and analysing a solution, for example, researching the benefits and potential limitations of behaviour management theories. Finally, this needs to be put into practice, to test out a possible solution. In this instance, discussing how this could be included in my own teaching. This cycle then begins again, by reflecting on whether the potential solution was effective and how I can adapt it in the future. Similarly, in Kolb's Experiential Learning Cycle (1984), it is vital to conceptualise findings and suggestions and apply them to further teaching practice. Only by testing this new knowledge in my own classroom, can I validate it and adopt it in my professional journey (Kolb, 1984). By making use of reflective practices, both Teacher A and myself can look back on the critical incident to see what worked, and what could potentially be improved. These cyclical reflective practices allow the personal and professional journey to constantly evolve and adapt with the times, allowing for the creation of well-rounded and informed educational practitioners. </w:t>
      </w:r>
    </w:p>
    <w:p w:rsidR="00000000" w:rsidDel="00000000" w:rsidP="00000000" w:rsidRDefault="00000000" w:rsidRPr="00000000" w14:paraId="0000001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these reflective practices to consider the critical incident, it is clear that the behavioural management system adopted by Teacher A did, on the whole, lead to an improvement in classroom behaviour from Student A. However, there is room for potential improvement. Although the adoption of a whole-school approach, with clear and progressive levels of consequences did appear to work for some students, Student A continued to demonstrate poor behaviour. It is important to consider why this could be the case. As discussed above, it could be suggested that Teacher A has viewed their students as a collective, subsequently failing to consider their individual needs and motivations (Pane, 2010). Because of this, it could be suggested that Student A was not having their needs fulfilled within the classroom environment. As previously mentioned, Glasser (1992) suggested that the needs of Freedom, Survival, Power, Belonging and Love and Fun, have to be met if behaviour is to be positive. Perhaps by giving students more choice in classroom activities, Teacher A could foster a better sense of responsibility and engagement, leading to an improvement in behaviour. A third suggestion is the timing of the restorative conversation. Although such a conversation did take place between Student A and Teacher A, it happened after behaviour had already escalated. As the above research indicates, restorative practices lead to an improvement in relationships and behaviours in the classroom environment (Meyer and Evans, 2016). Perhaps if this conversation had taken place earlier on within the lesson, Student A would not have escalated to the third stage of the behavioural system in place. </w:t>
      </w:r>
    </w:p>
    <w:p w:rsidR="00000000" w:rsidDel="00000000" w:rsidP="00000000" w:rsidRDefault="00000000" w:rsidRPr="00000000" w14:paraId="0000001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Upon reflection of this critical incident and subsequent research, I will adopt a combined approach for behaviour management in my own teaching practice. Individually, I can recognise both the benefits and limitations of each model of behaviour management. In terms of Assertive Discipline, Canter (1976) highlights the impact that positive and negative reinforcement have within the classroom. By having a clear system in place, where every individual is aware of the consequences of poor behaviour, students can take responsibility for their behaviours. This is clearly shown within the critical incident, as the majority of the students were able to demonstrate positive behaviours. Therefore, I will make use of a whole-school behaviour system, as its usefulness within the teaching environment is clearly supported by the above research. However, as discussed, a lack of consideration of individual choice within the classroom limits this model. Subsequently, it is important to consider aspects of Glasser’s Choice Theory (1992). Based on the above literature surrounding this, I will hold discussions with students at the start of term, to provide insight in what and how they would like to learn. Finally, it is also clear that Restorative Discipline (Meyer and Evans, 2016) is vital within a successful behaviour management system. However, I will employ this with a greater focus on restorative conversations at each stage of escalation, rather than as a last resort, with the above research highlighting the importance of such strategies (Meyer and Evans, 2016).</w:t>
      </w:r>
    </w:p>
    <w:p w:rsidR="00000000" w:rsidDel="00000000" w:rsidP="00000000" w:rsidRDefault="00000000" w:rsidRPr="00000000" w14:paraId="0000002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By observing the critical incident, a wealth of knowledge surrounding effective behaviour management systems has been found. The critical incident has highlighted the benefits of aspects of behavioural management systems based on theories of Assertive Discipline (Canter, 1976) and Restorative Discipline (Meyer and Evans, 2016), such as whole-school behaviour management systems and the use of restorative conversations after poor behaviour. The benefits of including Glasser’s Choice Theory (1992) has also been highlighted within this literature. What is clear is that there is no perfect behavioural system. </w:t>
      </w:r>
      <w:r w:rsidDel="00000000" w:rsidR="00000000" w:rsidRPr="00000000">
        <w:rPr>
          <w:rFonts w:ascii="Times New Roman" w:cs="Times New Roman" w:eastAsia="Times New Roman" w:hAnsi="Times New Roman"/>
          <w:sz w:val="24"/>
          <w:szCs w:val="24"/>
          <w:rtl w:val="0"/>
        </w:rPr>
        <w:t xml:space="preserve">Practi</w:t>
      </w:r>
      <w:r w:rsidDel="00000000" w:rsidR="00000000" w:rsidRPr="00000000">
        <w:rPr>
          <w:rFonts w:ascii="Times New Roman" w:cs="Times New Roman" w:eastAsia="Times New Roman" w:hAnsi="Times New Roman"/>
          <w:sz w:val="24"/>
          <w:szCs w:val="24"/>
          <w:rtl w:val="0"/>
        </w:rPr>
        <w:t xml:space="preserve">tioners must think about what methods will work best in their classroom, and adopt such findings to best suit their students. As a result, it is vital for teachers in training to adopt reflective practices throughout their professional journey. By adopting reflective practices such as critical incidents, teachers can think on their own and others' teaching journeys to discover what works best, and what can be improved. As previously discussed, this reflective language is apparent throughout the Professional Standards needed to gain QTS in Wales. Within the Professional Learning Standard, the important role that reflection plays on developing personal and professional growth is clearly apparent. By including reflection in our Professional Learning, student teachers can progressively develop the Pedagogy Standard </w:t>
      </w:r>
      <w:r w:rsidDel="00000000" w:rsidR="00000000" w:rsidRPr="00000000">
        <w:rPr>
          <w:rFonts w:ascii="Times New Roman" w:cs="Times New Roman" w:eastAsia="Times New Roman" w:hAnsi="Times New Roman"/>
          <w:sz w:val="24"/>
          <w:szCs w:val="24"/>
          <w:highlight w:val="white"/>
          <w:rtl w:val="0"/>
        </w:rPr>
        <w:t xml:space="preserve">(Professional standards - Hwb, 2017). By demonstrating Pedagogy, practitioners are allowing students to meet the conditions of the Four Purposes. Discussed previously, the aim of these purposes is to prepare young learners for life, by creating high expectations, promoting well-being and creating well-rounded citizens of Wales (Donaldson, 2015). Overarching all Four Purposes is the ability to be independent and responsible learners. Introducing clear behaviour management systems, which promotes individuals taking charge of their own behaviour, and considering its implications on not only themselves, but the entire school community, can help achieve these purposes. By adopting a combined behavioural approach in my own future teaching, which allows students to continue their development of independence and responsibility, I hope to better prepare young learners for the world. </w:t>
      </w:r>
    </w:p>
    <w:p w:rsidR="00000000" w:rsidDel="00000000" w:rsidP="00000000" w:rsidRDefault="00000000" w:rsidRPr="00000000" w14:paraId="00000022">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7">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9">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B">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Bottomley, J. (2019) Critical thinking skills for your education degree. St Albans: Critical Publishing.</w:t>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Boynton, M. and Boynton, C. (2005) </w:t>
      </w:r>
      <w:r w:rsidDel="00000000" w:rsidR="00000000" w:rsidRPr="00000000">
        <w:rPr>
          <w:rFonts w:ascii="Times New Roman" w:cs="Times New Roman" w:eastAsia="Times New Roman" w:hAnsi="Times New Roman"/>
          <w:i w:val="1"/>
          <w:sz w:val="24"/>
          <w:szCs w:val="24"/>
          <w:rtl w:val="0"/>
        </w:rPr>
        <w:t xml:space="preserve">The educator’s guide to preventing and solving discipline problems.</w:t>
      </w:r>
      <w:r w:rsidDel="00000000" w:rsidR="00000000" w:rsidRPr="00000000">
        <w:rPr>
          <w:rFonts w:ascii="Times New Roman" w:cs="Times New Roman" w:eastAsia="Times New Roman" w:hAnsi="Times New Roman"/>
          <w:sz w:val="24"/>
          <w:szCs w:val="24"/>
          <w:rtl w:val="0"/>
        </w:rPr>
        <w:t xml:space="preserve"> Alexandria, VA: Association for Supervision and Curriculum Development.</w:t>
      </w:r>
    </w:p>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Bucher, K.T. and Manning, M.L. (2001) ‘Exploring the foundations of middle school classroom management: the theoretical contributions of B. F. Skinner, Fritz Redl and William Wattenberg, William Glasser, and Thomas Gordon all have particular relevance for middle school educators’, </w:t>
      </w:r>
      <w:r w:rsidDel="00000000" w:rsidR="00000000" w:rsidRPr="00000000">
        <w:rPr>
          <w:rFonts w:ascii="Times New Roman" w:cs="Times New Roman" w:eastAsia="Times New Roman" w:hAnsi="Times New Roman"/>
          <w:i w:val="1"/>
          <w:sz w:val="24"/>
          <w:szCs w:val="24"/>
          <w:rtl w:val="0"/>
        </w:rPr>
        <w:t xml:space="preserve">Childhood education,</w:t>
      </w:r>
      <w:r w:rsidDel="00000000" w:rsidR="00000000" w:rsidRPr="00000000">
        <w:rPr>
          <w:rFonts w:ascii="Times New Roman" w:cs="Times New Roman" w:eastAsia="Times New Roman" w:hAnsi="Times New Roman"/>
          <w:sz w:val="24"/>
          <w:szCs w:val="24"/>
          <w:rtl w:val="0"/>
        </w:rPr>
        <w:t xml:space="preserve"> 78(2).</w:t>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Canter, L. and Canter, M. (1976). </w:t>
      </w:r>
      <w:r w:rsidDel="00000000" w:rsidR="00000000" w:rsidRPr="00000000">
        <w:rPr>
          <w:rFonts w:ascii="Times New Roman" w:cs="Times New Roman" w:eastAsia="Times New Roman" w:hAnsi="Times New Roman"/>
          <w:i w:val="1"/>
          <w:sz w:val="24"/>
          <w:szCs w:val="24"/>
          <w:rtl w:val="0"/>
        </w:rPr>
        <w:t xml:space="preserve">Assertive Discipline.</w:t>
      </w:r>
      <w:r w:rsidDel="00000000" w:rsidR="00000000" w:rsidRPr="00000000">
        <w:rPr>
          <w:rFonts w:ascii="Times New Roman" w:cs="Times New Roman" w:eastAsia="Times New Roman" w:hAnsi="Times New Roman"/>
          <w:sz w:val="24"/>
          <w:szCs w:val="24"/>
          <w:rtl w:val="0"/>
        </w:rPr>
        <w:t xml:space="preserve"> Santa Monica: Lee Canter Associates.</w:t>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Canter, L. and Canter, M. (1992). </w:t>
      </w:r>
      <w:r w:rsidDel="00000000" w:rsidR="00000000" w:rsidRPr="00000000">
        <w:rPr>
          <w:rFonts w:ascii="Times New Roman" w:cs="Times New Roman" w:eastAsia="Times New Roman" w:hAnsi="Times New Roman"/>
          <w:i w:val="1"/>
          <w:sz w:val="24"/>
          <w:szCs w:val="24"/>
          <w:rtl w:val="0"/>
        </w:rPr>
        <w:t xml:space="preserve">Lee Canter’s assertive discipline : Positive behaviour management for today’s classroom.</w:t>
      </w:r>
      <w:r w:rsidDel="00000000" w:rsidR="00000000" w:rsidRPr="00000000">
        <w:rPr>
          <w:rFonts w:ascii="Times New Roman" w:cs="Times New Roman" w:eastAsia="Times New Roman" w:hAnsi="Times New Roman"/>
          <w:sz w:val="24"/>
          <w:szCs w:val="24"/>
          <w:rtl w:val="0"/>
        </w:rPr>
        <w:t xml:space="preserve"> [New and rev. ed.]. Santa Monica: Lee Canter.</w:t>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Cottrell, S. (2017) Critical thinking skills : </w:t>
      </w:r>
      <w:r w:rsidDel="00000000" w:rsidR="00000000" w:rsidRPr="00000000">
        <w:rPr>
          <w:rFonts w:ascii="Times New Roman" w:cs="Times New Roman" w:eastAsia="Times New Roman" w:hAnsi="Times New Roman"/>
          <w:i w:val="1"/>
          <w:sz w:val="24"/>
          <w:szCs w:val="24"/>
          <w:rtl w:val="0"/>
        </w:rPr>
        <w:t xml:space="preserve">Effective analysis, argument and reflection.</w:t>
      </w:r>
      <w:r w:rsidDel="00000000" w:rsidR="00000000" w:rsidRPr="00000000">
        <w:rPr>
          <w:rFonts w:ascii="Times New Roman" w:cs="Times New Roman" w:eastAsia="Times New Roman" w:hAnsi="Times New Roman"/>
          <w:sz w:val="24"/>
          <w:szCs w:val="24"/>
          <w:rtl w:val="0"/>
        </w:rPr>
        <w:t xml:space="preserve"> 3rd. edn. London: Palgrave Macmillan.</w:t>
      </w:r>
    </w:p>
    <w:p w:rsidR="00000000" w:rsidDel="00000000" w:rsidP="00000000" w:rsidRDefault="00000000" w:rsidRPr="00000000" w14:paraId="0000003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Deci, E.L., Koestner, R., and Ryan, R.M. (1999) ‘A meta-analytic review of experiments examining the effects of extrinsic rewards on intrinsic motivation’. </w:t>
      </w:r>
      <w:r w:rsidDel="00000000" w:rsidR="00000000" w:rsidRPr="00000000">
        <w:rPr>
          <w:rFonts w:ascii="Times New Roman" w:cs="Times New Roman" w:eastAsia="Times New Roman" w:hAnsi="Times New Roman"/>
          <w:i w:val="1"/>
          <w:sz w:val="24"/>
          <w:szCs w:val="24"/>
          <w:rtl w:val="0"/>
        </w:rPr>
        <w:t xml:space="preserve">Psychological Bulletin, </w:t>
      </w:r>
      <w:r w:rsidDel="00000000" w:rsidR="00000000" w:rsidRPr="00000000">
        <w:rPr>
          <w:rFonts w:ascii="Times New Roman" w:cs="Times New Roman" w:eastAsia="Times New Roman" w:hAnsi="Times New Roman"/>
          <w:sz w:val="24"/>
          <w:szCs w:val="24"/>
          <w:rtl w:val="0"/>
        </w:rPr>
        <w:t xml:space="preserve">125(6), 627–669.</w:t>
      </w:r>
    </w:p>
    <w:p w:rsidR="00000000" w:rsidDel="00000000" w:rsidP="00000000" w:rsidRDefault="00000000" w:rsidRPr="00000000" w14:paraId="0000003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 G. (2015</w:t>
      </w:r>
      <w:r w:rsidDel="00000000" w:rsidR="00000000" w:rsidRPr="00000000">
        <w:rPr>
          <w:rFonts w:ascii="Times New Roman" w:cs="Times New Roman" w:eastAsia="Times New Roman" w:hAnsi="Times New Roman"/>
          <w:i w:val="1"/>
          <w:sz w:val="24"/>
          <w:szCs w:val="24"/>
          <w:rtl w:val="0"/>
        </w:rPr>
        <w:t xml:space="preserve">) Successful Futures: Independent Review of Curriculum and Assessment Arrangements in Wales.</w:t>
      </w:r>
      <w:r w:rsidDel="00000000" w:rsidR="00000000" w:rsidRPr="00000000">
        <w:rPr>
          <w:rFonts w:ascii="Times New Roman" w:cs="Times New Roman" w:eastAsia="Times New Roman" w:hAnsi="Times New Roman"/>
          <w:sz w:val="24"/>
          <w:szCs w:val="24"/>
          <w:rtl w:val="0"/>
        </w:rPr>
        <w:t xml:space="preserve"> Cardiff: Welsh Government.</w:t>
      </w:r>
    </w:p>
    <w:p w:rsidR="00000000" w:rsidDel="00000000" w:rsidP="00000000" w:rsidRDefault="00000000" w:rsidRPr="00000000" w14:paraId="0000003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Dymoke, S. (2008)</w:t>
      </w:r>
      <w:r w:rsidDel="00000000" w:rsidR="00000000" w:rsidRPr="00000000">
        <w:rPr>
          <w:rFonts w:ascii="Times New Roman" w:cs="Times New Roman" w:eastAsia="Times New Roman" w:hAnsi="Times New Roman"/>
          <w:i w:val="1"/>
          <w:sz w:val="24"/>
          <w:szCs w:val="24"/>
          <w:rtl w:val="0"/>
        </w:rPr>
        <w:t xml:space="preserve"> Reflective teaching and learning.</w:t>
      </w:r>
      <w:r w:rsidDel="00000000" w:rsidR="00000000" w:rsidRPr="00000000">
        <w:rPr>
          <w:rFonts w:ascii="Times New Roman" w:cs="Times New Roman" w:eastAsia="Times New Roman" w:hAnsi="Times New Roman"/>
          <w:sz w:val="24"/>
          <w:szCs w:val="24"/>
          <w:rtl w:val="0"/>
        </w:rPr>
        <w:t xml:space="preserve"> Sage.</w:t>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Ferguson, E. and Houghton, S. (1992) ‘The Effects of Contingent Teacher Praise, as Specified by Canter’s Assertive Discipline Programme, on Children’s On-task Behaviour’, </w:t>
      </w:r>
      <w:r w:rsidDel="00000000" w:rsidR="00000000" w:rsidRPr="00000000">
        <w:rPr>
          <w:rFonts w:ascii="Times New Roman" w:cs="Times New Roman" w:eastAsia="Times New Roman" w:hAnsi="Times New Roman"/>
          <w:i w:val="1"/>
          <w:sz w:val="24"/>
          <w:szCs w:val="24"/>
          <w:rtl w:val="0"/>
        </w:rPr>
        <w:t xml:space="preserve">Educational studies, </w:t>
      </w:r>
      <w:r w:rsidDel="00000000" w:rsidR="00000000" w:rsidRPr="00000000">
        <w:rPr>
          <w:rFonts w:ascii="Times New Roman" w:cs="Times New Roman" w:eastAsia="Times New Roman" w:hAnsi="Times New Roman"/>
          <w:sz w:val="24"/>
          <w:szCs w:val="24"/>
          <w:rtl w:val="0"/>
        </w:rPr>
        <w:t xml:space="preserve">18(1), pp. 83–93. Available at: https://doi.org/10.1080/0305569920180108.</w:t>
      </w:r>
    </w:p>
    <w:p w:rsidR="00000000" w:rsidDel="00000000" w:rsidP="00000000" w:rsidRDefault="00000000" w:rsidRPr="00000000" w14:paraId="0000004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black"/>
          <w:rtl w:val="0"/>
        </w:rPr>
        <w:t xml:space="preserve">Fitzalan.cardiff.sch.uk</w:t>
      </w:r>
      <w:r w:rsidDel="00000000" w:rsidR="00000000" w:rsidRPr="00000000">
        <w:rPr>
          <w:rFonts w:ascii="Times New Roman" w:cs="Times New Roman" w:eastAsia="Times New Roman" w:hAnsi="Times New Roman"/>
          <w:sz w:val="24"/>
          <w:szCs w:val="24"/>
          <w:rtl w:val="0"/>
        </w:rPr>
        <w:t xml:space="preserve">. 2017. Estyn - </w:t>
      </w:r>
      <w:r w:rsidDel="00000000" w:rsidR="00000000" w:rsidRPr="00000000">
        <w:rPr>
          <w:rFonts w:ascii="Times New Roman" w:cs="Times New Roman" w:eastAsia="Times New Roman" w:hAnsi="Times New Roman"/>
          <w:sz w:val="24"/>
          <w:szCs w:val="24"/>
          <w:highlight w:val="black"/>
          <w:rtl w:val="0"/>
        </w:rPr>
        <w:t xml:space="preserve">Fitzalan High School. </w:t>
      </w:r>
      <w:r w:rsidDel="00000000" w:rsidR="00000000" w:rsidRPr="00000000">
        <w:rPr>
          <w:rFonts w:ascii="Times New Roman" w:cs="Times New Roman" w:eastAsia="Times New Roman" w:hAnsi="Times New Roman"/>
          <w:sz w:val="24"/>
          <w:szCs w:val="24"/>
          <w:rtl w:val="0"/>
        </w:rPr>
        <w:t xml:space="preserve">[online] Available at: &lt;http://www</w:t>
      </w:r>
      <w:r w:rsidDel="00000000" w:rsidR="00000000" w:rsidRPr="00000000">
        <w:rPr>
          <w:rFonts w:ascii="Times New Roman" w:cs="Times New Roman" w:eastAsia="Times New Roman" w:hAnsi="Times New Roman"/>
          <w:sz w:val="24"/>
          <w:szCs w:val="24"/>
          <w:highlight w:val="black"/>
          <w:rtl w:val="0"/>
        </w:rPr>
        <w:t xml:space="preserve">.fitzalan.cardiff</w:t>
      </w:r>
      <w:r w:rsidDel="00000000" w:rsidR="00000000" w:rsidRPr="00000000">
        <w:rPr>
          <w:rFonts w:ascii="Times New Roman" w:cs="Times New Roman" w:eastAsia="Times New Roman" w:hAnsi="Times New Roman"/>
          <w:sz w:val="24"/>
          <w:szCs w:val="24"/>
          <w:rtl w:val="0"/>
        </w:rPr>
        <w:t xml:space="preserve">.sch.uk/253/estyn&gt; [Accessed 10 October 2022].</w:t>
      </w:r>
    </w:p>
    <w:p w:rsidR="00000000" w:rsidDel="00000000" w:rsidP="00000000" w:rsidRDefault="00000000" w:rsidRPr="00000000" w14:paraId="0000004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Gomez, J.A., Rucinski, C.L. and Higgins-D’Alessandro, A. (2021) ‘Promising pathways from school restorative practices to educational equity’, </w:t>
      </w:r>
      <w:r w:rsidDel="00000000" w:rsidR="00000000" w:rsidRPr="00000000">
        <w:rPr>
          <w:rFonts w:ascii="Times New Roman" w:cs="Times New Roman" w:eastAsia="Times New Roman" w:hAnsi="Times New Roman"/>
          <w:i w:val="1"/>
          <w:sz w:val="24"/>
          <w:szCs w:val="24"/>
          <w:rtl w:val="0"/>
        </w:rPr>
        <w:t xml:space="preserve">Journal of moral education, </w:t>
      </w:r>
      <w:r w:rsidDel="00000000" w:rsidR="00000000" w:rsidRPr="00000000">
        <w:rPr>
          <w:rFonts w:ascii="Times New Roman" w:cs="Times New Roman" w:eastAsia="Times New Roman" w:hAnsi="Times New Roman"/>
          <w:sz w:val="24"/>
          <w:szCs w:val="24"/>
          <w:rtl w:val="0"/>
        </w:rPr>
        <w:t xml:space="preserve">50(4), pp. 452–470. Available at: </w:t>
      </w:r>
      <w:hyperlink r:id="rId6">
        <w:r w:rsidDel="00000000" w:rsidR="00000000" w:rsidRPr="00000000">
          <w:rPr>
            <w:rFonts w:ascii="Times New Roman" w:cs="Times New Roman" w:eastAsia="Times New Roman" w:hAnsi="Times New Roman"/>
            <w:sz w:val="24"/>
            <w:szCs w:val="24"/>
            <w:u w:val="single"/>
            <w:rtl w:val="0"/>
          </w:rPr>
          <w:t xml:space="preserve">https://doi.org/10.1080/03057240.2020.1793742</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González, T. (2015) Socialising schools: Addressing racial disparities in discipline through restorative justice. In D. Losen (Ed.), Closing the school discipline gap: Equitable remedies for excessive exclusion (pp. 151–165). </w:t>
      </w:r>
      <w:r w:rsidDel="00000000" w:rsidR="00000000" w:rsidRPr="00000000">
        <w:rPr>
          <w:rFonts w:ascii="Times New Roman" w:cs="Times New Roman" w:eastAsia="Times New Roman" w:hAnsi="Times New Roman"/>
          <w:i w:val="1"/>
          <w:sz w:val="24"/>
          <w:szCs w:val="24"/>
          <w:rtl w:val="0"/>
        </w:rPr>
        <w:t xml:space="preserve">Teachers College Press.</w:t>
      </w:r>
    </w:p>
    <w:p w:rsidR="00000000" w:rsidDel="00000000" w:rsidP="00000000" w:rsidRDefault="00000000" w:rsidRPr="00000000" w14:paraId="0000004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Glasser, W. (1992) </w:t>
      </w:r>
      <w:r w:rsidDel="00000000" w:rsidR="00000000" w:rsidRPr="00000000">
        <w:rPr>
          <w:rFonts w:ascii="Times New Roman" w:cs="Times New Roman" w:eastAsia="Times New Roman" w:hAnsi="Times New Roman"/>
          <w:i w:val="1"/>
          <w:sz w:val="24"/>
          <w:szCs w:val="24"/>
          <w:rtl w:val="0"/>
        </w:rPr>
        <w:t xml:space="preserve">The quality school: Managing students without coercion</w:t>
      </w:r>
      <w:r w:rsidDel="00000000" w:rsidR="00000000" w:rsidRPr="00000000">
        <w:rPr>
          <w:rFonts w:ascii="Times New Roman" w:cs="Times New Roman" w:eastAsia="Times New Roman" w:hAnsi="Times New Roman"/>
          <w:sz w:val="24"/>
          <w:szCs w:val="24"/>
          <w:rtl w:val="0"/>
        </w:rPr>
        <w:t xml:space="preserve">. New York: HarperPerennial.</w:t>
      </w:r>
    </w:p>
    <w:p w:rsidR="00000000" w:rsidDel="00000000" w:rsidP="00000000" w:rsidRDefault="00000000" w:rsidRPr="00000000" w14:paraId="0000004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Hale, J.V. and Maola, J. (2011) ‘Achievement among second grade students who received  instruction from either teachers trained in choice theory/reality therapy or teachers who were not so trained’, </w:t>
      </w:r>
      <w:r w:rsidDel="00000000" w:rsidR="00000000" w:rsidRPr="00000000">
        <w:rPr>
          <w:rFonts w:ascii="Times New Roman" w:cs="Times New Roman" w:eastAsia="Times New Roman" w:hAnsi="Times New Roman"/>
          <w:i w:val="1"/>
          <w:sz w:val="24"/>
          <w:szCs w:val="24"/>
          <w:rtl w:val="0"/>
        </w:rPr>
        <w:t xml:space="preserve">International Journal of Choice Theory and Reality Therapy</w:t>
      </w:r>
      <w:r w:rsidDel="00000000" w:rsidR="00000000" w:rsidRPr="00000000">
        <w:rPr>
          <w:rFonts w:ascii="Times New Roman" w:cs="Times New Roman" w:eastAsia="Times New Roman" w:hAnsi="Times New Roman"/>
          <w:sz w:val="24"/>
          <w:szCs w:val="24"/>
          <w:rtl w:val="0"/>
        </w:rPr>
        <w:t xml:space="preserve">, 31(1), p. 109–.</w:t>
      </w:r>
    </w:p>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Harrison, J.K. and Lee, R. (2011) ‘Exploring the use of critical incident analysis and the professional learning conversation in an initial teacher education programme’,</w:t>
      </w:r>
      <w:r w:rsidDel="00000000" w:rsidR="00000000" w:rsidRPr="00000000">
        <w:rPr>
          <w:rFonts w:ascii="Times New Roman" w:cs="Times New Roman" w:eastAsia="Times New Roman" w:hAnsi="Times New Roman"/>
          <w:i w:val="1"/>
          <w:sz w:val="24"/>
          <w:szCs w:val="24"/>
          <w:rtl w:val="0"/>
        </w:rPr>
        <w:t xml:space="preserve"> Journal of Education for Teaching,</w:t>
      </w:r>
      <w:r w:rsidDel="00000000" w:rsidR="00000000" w:rsidRPr="00000000">
        <w:rPr>
          <w:rFonts w:ascii="Times New Roman" w:cs="Times New Roman" w:eastAsia="Times New Roman" w:hAnsi="Times New Roman"/>
          <w:sz w:val="24"/>
          <w:szCs w:val="24"/>
          <w:rtl w:val="0"/>
        </w:rPr>
        <w:t xml:space="preserve"> 37(2), pp. 199.</w:t>
      </w:r>
    </w:p>
    <w:p w:rsidR="00000000" w:rsidDel="00000000" w:rsidP="00000000" w:rsidRDefault="00000000" w:rsidRPr="00000000" w14:paraId="0000004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Hwb.gov.wales. 2017. Professional standards - Hwb. [online] Available at: &lt;https://hwb.gov.wales/professional-development/professional-standards/&gt; [Accessed 13 October 2022].</w:t>
      </w:r>
    </w:p>
    <w:p w:rsidR="00000000" w:rsidDel="00000000" w:rsidP="00000000" w:rsidRDefault="00000000" w:rsidRPr="00000000" w14:paraId="0000004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Irvine, J. (2015) ‘Enacting Glasser's (1998) Choice Theory in a Grade 3 Classroom: A Case Study’, </w:t>
      </w:r>
      <w:r w:rsidDel="00000000" w:rsidR="00000000" w:rsidRPr="00000000">
        <w:rPr>
          <w:rFonts w:ascii="Times New Roman" w:cs="Times New Roman" w:eastAsia="Times New Roman" w:hAnsi="Times New Roman"/>
          <w:i w:val="1"/>
          <w:sz w:val="24"/>
          <w:szCs w:val="24"/>
          <w:rtl w:val="0"/>
        </w:rPr>
        <w:t xml:space="preserve">Journal of Case Studies in Education,</w:t>
      </w:r>
      <w:r w:rsidDel="00000000" w:rsidR="00000000" w:rsidRPr="00000000">
        <w:rPr>
          <w:rFonts w:ascii="Times New Roman" w:cs="Times New Roman" w:eastAsia="Times New Roman" w:hAnsi="Times New Roman"/>
          <w:sz w:val="24"/>
          <w:szCs w:val="24"/>
          <w:rtl w:val="0"/>
        </w:rPr>
        <w:t xml:space="preserve"> 7.</w:t>
      </w:r>
    </w:p>
    <w:p w:rsidR="00000000" w:rsidDel="00000000" w:rsidP="00000000" w:rsidRDefault="00000000" w:rsidRPr="00000000" w14:paraId="0000005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Kolb, D.A. (1984) </w:t>
      </w:r>
      <w:r w:rsidDel="00000000" w:rsidR="00000000" w:rsidRPr="00000000">
        <w:rPr>
          <w:rFonts w:ascii="Times New Roman" w:cs="Times New Roman" w:eastAsia="Times New Roman" w:hAnsi="Times New Roman"/>
          <w:i w:val="1"/>
          <w:sz w:val="24"/>
          <w:szCs w:val="24"/>
          <w:rtl w:val="0"/>
        </w:rPr>
        <w:t xml:space="preserve">Experiential learning : Experience as the source of learning and development</w:t>
      </w:r>
      <w:r w:rsidDel="00000000" w:rsidR="00000000" w:rsidRPr="00000000">
        <w:rPr>
          <w:rFonts w:ascii="Times New Roman" w:cs="Times New Roman" w:eastAsia="Times New Roman" w:hAnsi="Times New Roman"/>
          <w:sz w:val="24"/>
          <w:szCs w:val="24"/>
          <w:rtl w:val="0"/>
        </w:rPr>
        <w:t xml:space="preserve">. London: Prentice-Hall.</w:t>
      </w:r>
    </w:p>
    <w:p w:rsidR="00000000" w:rsidDel="00000000" w:rsidP="00000000" w:rsidRDefault="00000000" w:rsidRPr="00000000" w14:paraId="0000005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Kossakowska-Pisarek, S. (2020) ‘Developing Reflective Practice as part of teacher training with the use of critical incidents’, </w:t>
      </w:r>
      <w:r w:rsidDel="00000000" w:rsidR="00000000" w:rsidRPr="00000000">
        <w:rPr>
          <w:rFonts w:ascii="Times New Roman" w:cs="Times New Roman" w:eastAsia="Times New Roman" w:hAnsi="Times New Roman"/>
          <w:i w:val="1"/>
          <w:sz w:val="24"/>
          <w:szCs w:val="24"/>
          <w:rtl w:val="0"/>
        </w:rPr>
        <w:t xml:space="preserve">Neofilolog</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(55/1), pp. 93–106. Available at: </w:t>
      </w:r>
      <w:hyperlink r:id="rId7">
        <w:r w:rsidDel="00000000" w:rsidR="00000000" w:rsidRPr="00000000">
          <w:rPr>
            <w:rFonts w:ascii="Times New Roman" w:cs="Times New Roman" w:eastAsia="Times New Roman" w:hAnsi="Times New Roman"/>
            <w:sz w:val="24"/>
            <w:szCs w:val="24"/>
            <w:u w:val="single"/>
            <w:rtl w:val="0"/>
          </w:rPr>
          <w:t xml:space="preserve">https://doi.org/10.14746/n.2020.55.1.6</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Lodi, E. et al. (2021) ‘Use of Restorative Justice and Restorative Practices at School: A Systematic Literature Review’,</w:t>
      </w:r>
      <w:r w:rsidDel="00000000" w:rsidR="00000000" w:rsidRPr="00000000">
        <w:rPr>
          <w:rFonts w:ascii="Times New Roman" w:cs="Times New Roman" w:eastAsia="Times New Roman" w:hAnsi="Times New Roman"/>
          <w:i w:val="1"/>
          <w:sz w:val="24"/>
          <w:szCs w:val="24"/>
          <w:rtl w:val="0"/>
        </w:rPr>
        <w:t xml:space="preserve"> International journal of environmental research and public health,</w:t>
      </w:r>
      <w:r w:rsidDel="00000000" w:rsidR="00000000" w:rsidRPr="00000000">
        <w:rPr>
          <w:rFonts w:ascii="Times New Roman" w:cs="Times New Roman" w:eastAsia="Times New Roman" w:hAnsi="Times New Roman"/>
          <w:sz w:val="24"/>
          <w:szCs w:val="24"/>
          <w:rtl w:val="0"/>
        </w:rPr>
        <w:t xml:space="preserve"> 19(1), p. 96–. Available at: </w:t>
      </w:r>
      <w:hyperlink r:id="rId8">
        <w:r w:rsidDel="00000000" w:rsidR="00000000" w:rsidRPr="00000000">
          <w:rPr>
            <w:rFonts w:ascii="Times New Roman" w:cs="Times New Roman" w:eastAsia="Times New Roman" w:hAnsi="Times New Roman"/>
            <w:sz w:val="24"/>
            <w:szCs w:val="24"/>
            <w:u w:val="single"/>
            <w:rtl w:val="0"/>
          </w:rPr>
          <w:t xml:space="preserve">https://doi.org/10.3390/ijerph19010096</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Lustick, H. (2021) ‘Restorative Justice” or Restoring Order? Restorative School Discipline Practices in Urban Public Schools’, </w:t>
      </w:r>
      <w:r w:rsidDel="00000000" w:rsidR="00000000" w:rsidRPr="00000000">
        <w:rPr>
          <w:rFonts w:ascii="Times New Roman" w:cs="Times New Roman" w:eastAsia="Times New Roman" w:hAnsi="Times New Roman"/>
          <w:i w:val="1"/>
          <w:sz w:val="24"/>
          <w:szCs w:val="24"/>
          <w:rtl w:val="0"/>
        </w:rPr>
        <w:t xml:space="preserve">Urban education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 56(8), pp. 1269–1296. Available at: </w:t>
      </w:r>
      <w:hyperlink r:id="rId9">
        <w:r w:rsidDel="00000000" w:rsidR="00000000" w:rsidRPr="00000000">
          <w:rPr>
            <w:rFonts w:ascii="Times New Roman" w:cs="Times New Roman" w:eastAsia="Times New Roman" w:hAnsi="Times New Roman"/>
            <w:sz w:val="24"/>
            <w:szCs w:val="24"/>
            <w:u w:val="single"/>
            <w:rtl w:val="0"/>
          </w:rPr>
          <w:t xml:space="preserve">https://doi.org/10.1177/0042085917741725</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McCluskey, G., Lloyd, G., Kane, J., Riddell, S., Stead, J. and Weedon, E. (2008) ‘Can restorative practices in schools make a difference?’, </w:t>
      </w:r>
      <w:r w:rsidDel="00000000" w:rsidR="00000000" w:rsidRPr="00000000">
        <w:rPr>
          <w:rFonts w:ascii="Times New Roman" w:cs="Times New Roman" w:eastAsia="Times New Roman" w:hAnsi="Times New Roman"/>
          <w:i w:val="1"/>
          <w:sz w:val="24"/>
          <w:szCs w:val="24"/>
          <w:rtl w:val="0"/>
        </w:rPr>
        <w:t xml:space="preserve">Educational Review,</w:t>
      </w:r>
      <w:r w:rsidDel="00000000" w:rsidR="00000000" w:rsidRPr="00000000">
        <w:rPr>
          <w:rFonts w:ascii="Times New Roman" w:cs="Times New Roman" w:eastAsia="Times New Roman" w:hAnsi="Times New Roman"/>
          <w:sz w:val="24"/>
          <w:szCs w:val="24"/>
          <w:rtl w:val="0"/>
        </w:rPr>
        <w:t xml:space="preserve"> 60(4), 405–417.</w:t>
      </w:r>
    </w:p>
    <w:p w:rsidR="00000000" w:rsidDel="00000000" w:rsidP="00000000" w:rsidRDefault="00000000" w:rsidRPr="00000000" w14:paraId="0000005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Mckenna, J.W. and Flower, A. (2014) ‘Get Them Back on Track: Use of the Good Behaviour Game to Improve Student Behaviour’,</w:t>
      </w:r>
      <w:r w:rsidDel="00000000" w:rsidR="00000000" w:rsidRPr="00000000">
        <w:rPr>
          <w:rFonts w:ascii="Times New Roman" w:cs="Times New Roman" w:eastAsia="Times New Roman" w:hAnsi="Times New Roman"/>
          <w:i w:val="1"/>
          <w:sz w:val="24"/>
          <w:szCs w:val="24"/>
          <w:rtl w:val="0"/>
        </w:rPr>
        <w:t xml:space="preserve"> Beyond Behaviour,</w:t>
      </w:r>
      <w:r w:rsidDel="00000000" w:rsidR="00000000" w:rsidRPr="00000000">
        <w:rPr>
          <w:rFonts w:ascii="Times New Roman" w:cs="Times New Roman" w:eastAsia="Times New Roman" w:hAnsi="Times New Roman"/>
          <w:sz w:val="24"/>
          <w:szCs w:val="24"/>
          <w:rtl w:val="0"/>
        </w:rPr>
        <w:t xml:space="preserve"> 23(2), pp. 20–26. Available at: https://doi.org/10.1177/107429561402300204.</w:t>
      </w:r>
    </w:p>
    <w:p w:rsidR="00000000" w:rsidDel="00000000" w:rsidP="00000000" w:rsidRDefault="00000000" w:rsidRPr="00000000" w14:paraId="0000005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Meyer, L.H. and Evans, I.M. (2016) </w:t>
      </w:r>
      <w:r w:rsidDel="00000000" w:rsidR="00000000" w:rsidRPr="00000000">
        <w:rPr>
          <w:rFonts w:ascii="Times New Roman" w:cs="Times New Roman" w:eastAsia="Times New Roman" w:hAnsi="Times New Roman"/>
          <w:i w:val="1"/>
          <w:sz w:val="24"/>
          <w:szCs w:val="24"/>
          <w:rtl w:val="0"/>
        </w:rPr>
        <w:t xml:space="preserve">The teacher’s guide to restorative classroom discipline.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California: Corwin.</w:t>
      </w:r>
    </w:p>
    <w:p w:rsidR="00000000" w:rsidDel="00000000" w:rsidP="00000000" w:rsidRDefault="00000000" w:rsidRPr="00000000" w14:paraId="0000005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Mohammed, R. (2016) ‘Critical incident analysis: reflections of a teacher educator’, </w:t>
      </w:r>
      <w:r w:rsidDel="00000000" w:rsidR="00000000" w:rsidRPr="00000000">
        <w:rPr>
          <w:rFonts w:ascii="Times New Roman" w:cs="Times New Roman" w:eastAsia="Times New Roman" w:hAnsi="Times New Roman"/>
          <w:i w:val="1"/>
          <w:sz w:val="24"/>
          <w:szCs w:val="24"/>
          <w:rtl w:val="0"/>
        </w:rPr>
        <w:t xml:space="preserve">Research in Teacher Education, </w:t>
      </w:r>
      <w:r w:rsidDel="00000000" w:rsidR="00000000" w:rsidRPr="00000000">
        <w:rPr>
          <w:rFonts w:ascii="Times New Roman" w:cs="Times New Roman" w:eastAsia="Times New Roman" w:hAnsi="Times New Roman"/>
          <w:sz w:val="24"/>
          <w:szCs w:val="24"/>
          <w:rtl w:val="0"/>
        </w:rPr>
        <w:t xml:space="preserve">6(1), pp.25-29.</w:t>
      </w:r>
    </w:p>
    <w:p w:rsidR="00000000" w:rsidDel="00000000" w:rsidP="00000000" w:rsidRDefault="00000000" w:rsidRPr="00000000" w14:paraId="0000006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O’Donohue, W.T. and Ferguson, K.E. (2001)</w:t>
      </w:r>
      <w:r w:rsidDel="00000000" w:rsidR="00000000" w:rsidRPr="00000000">
        <w:rPr>
          <w:rFonts w:ascii="Times New Roman" w:cs="Times New Roman" w:eastAsia="Times New Roman" w:hAnsi="Times New Roman"/>
          <w:i w:val="1"/>
          <w:sz w:val="24"/>
          <w:szCs w:val="24"/>
          <w:rtl w:val="0"/>
        </w:rPr>
        <w:t xml:space="preserve"> The psychology of B.F. Skinner. </w:t>
      </w:r>
      <w:r w:rsidDel="00000000" w:rsidR="00000000" w:rsidRPr="00000000">
        <w:rPr>
          <w:rFonts w:ascii="Times New Roman" w:cs="Times New Roman" w:eastAsia="Times New Roman" w:hAnsi="Times New Roman"/>
          <w:sz w:val="24"/>
          <w:szCs w:val="24"/>
          <w:rtl w:val="0"/>
        </w:rPr>
        <w:t xml:space="preserve">California: SAGE.</w:t>
      </w:r>
    </w:p>
    <w:p w:rsidR="00000000" w:rsidDel="00000000" w:rsidP="00000000" w:rsidRDefault="00000000" w:rsidRPr="00000000" w14:paraId="0000006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Pane, D. M. (2010) ‘Viewing classroom discipline as negotiable social interaction: A community of practice perspective’, </w:t>
      </w:r>
      <w:r w:rsidDel="00000000" w:rsidR="00000000" w:rsidRPr="00000000">
        <w:rPr>
          <w:rFonts w:ascii="Times New Roman" w:cs="Times New Roman" w:eastAsia="Times New Roman" w:hAnsi="Times New Roman"/>
          <w:i w:val="1"/>
          <w:sz w:val="24"/>
          <w:szCs w:val="24"/>
          <w:rtl w:val="0"/>
        </w:rPr>
        <w:t xml:space="preserve">Teaching and Teacher Education</w:t>
      </w:r>
      <w:r w:rsidDel="00000000" w:rsidR="00000000" w:rsidRPr="00000000">
        <w:rPr>
          <w:rFonts w:ascii="Times New Roman" w:cs="Times New Roman" w:eastAsia="Times New Roman" w:hAnsi="Times New Roman"/>
          <w:sz w:val="24"/>
          <w:szCs w:val="24"/>
          <w:rtl w:val="0"/>
        </w:rPr>
        <w:t xml:space="preserve">, 26, 87–97.</w:t>
      </w:r>
    </w:p>
    <w:p w:rsidR="00000000" w:rsidDel="00000000" w:rsidP="00000000" w:rsidRDefault="00000000" w:rsidRPr="00000000" w14:paraId="0000006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Parker, W. C. (2005) ‘Teaching against Idiocy’, </w:t>
      </w:r>
      <w:r w:rsidDel="00000000" w:rsidR="00000000" w:rsidRPr="00000000">
        <w:rPr>
          <w:rFonts w:ascii="Times New Roman" w:cs="Times New Roman" w:eastAsia="Times New Roman" w:hAnsi="Times New Roman"/>
          <w:i w:val="1"/>
          <w:sz w:val="24"/>
          <w:szCs w:val="24"/>
          <w:rtl w:val="0"/>
        </w:rPr>
        <w:t xml:space="preserve">Phi Delta Kappan, </w:t>
      </w:r>
      <w:r w:rsidDel="00000000" w:rsidR="00000000" w:rsidRPr="00000000">
        <w:rPr>
          <w:rFonts w:ascii="Times New Roman" w:cs="Times New Roman" w:eastAsia="Times New Roman" w:hAnsi="Times New Roman"/>
          <w:sz w:val="24"/>
          <w:szCs w:val="24"/>
          <w:rtl w:val="0"/>
        </w:rPr>
        <w:t xml:space="preserve">86(5), 344–351. Available at: </w:t>
      </w:r>
      <w:hyperlink r:id="rId10">
        <w:r w:rsidDel="00000000" w:rsidR="00000000" w:rsidRPr="00000000">
          <w:rPr>
            <w:rFonts w:ascii="Times New Roman" w:cs="Times New Roman" w:eastAsia="Times New Roman" w:hAnsi="Times New Roman"/>
            <w:sz w:val="24"/>
            <w:szCs w:val="24"/>
            <w:u w:val="single"/>
            <w:rtl w:val="0"/>
          </w:rPr>
          <w:t xml:space="preserve">https://doi.org/10.1177/003172170508600504</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Short, R., Case, G. and McKenzie, K. (2018) ‘The long-term impact of a whole school approach of restorative practice: the views of secondary school teachers’, </w:t>
      </w:r>
      <w:r w:rsidDel="00000000" w:rsidR="00000000" w:rsidRPr="00000000">
        <w:rPr>
          <w:rFonts w:ascii="Times New Roman" w:cs="Times New Roman" w:eastAsia="Times New Roman" w:hAnsi="Times New Roman"/>
          <w:i w:val="1"/>
          <w:sz w:val="24"/>
          <w:szCs w:val="24"/>
          <w:rtl w:val="0"/>
        </w:rPr>
        <w:t xml:space="preserve">Pastoral care in education,</w:t>
      </w:r>
      <w:r w:rsidDel="00000000" w:rsidR="00000000" w:rsidRPr="00000000">
        <w:rPr>
          <w:rFonts w:ascii="Times New Roman" w:cs="Times New Roman" w:eastAsia="Times New Roman" w:hAnsi="Times New Roman"/>
          <w:sz w:val="24"/>
          <w:szCs w:val="24"/>
          <w:rtl w:val="0"/>
        </w:rPr>
        <w:t xml:space="preserve"> 36(4), pp. 313–324. Available at: </w:t>
      </w:r>
      <w:hyperlink r:id="rId11">
        <w:r w:rsidDel="00000000" w:rsidR="00000000" w:rsidRPr="00000000">
          <w:rPr>
            <w:rFonts w:ascii="Times New Roman" w:cs="Times New Roman" w:eastAsia="Times New Roman" w:hAnsi="Times New Roman"/>
            <w:sz w:val="24"/>
            <w:szCs w:val="24"/>
            <w:u w:val="single"/>
            <w:rtl w:val="0"/>
          </w:rPr>
          <w:t xml:space="preserve">https://doi.org/10.1080/02643944.2018.1528625</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6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Swinson, J. and Cording, M. (2002) ‘Focus on Practice: Assertive Discipline in a school for pupils with emotional and behavioural difficulties’, </w:t>
      </w:r>
      <w:r w:rsidDel="00000000" w:rsidR="00000000" w:rsidRPr="00000000">
        <w:rPr>
          <w:rFonts w:ascii="Times New Roman" w:cs="Times New Roman" w:eastAsia="Times New Roman" w:hAnsi="Times New Roman"/>
          <w:i w:val="1"/>
          <w:sz w:val="24"/>
          <w:szCs w:val="24"/>
          <w:rtl w:val="0"/>
        </w:rPr>
        <w:t xml:space="preserve">British journal of special education, </w:t>
      </w:r>
      <w:r w:rsidDel="00000000" w:rsidR="00000000" w:rsidRPr="00000000">
        <w:rPr>
          <w:rFonts w:ascii="Times New Roman" w:cs="Times New Roman" w:eastAsia="Times New Roman" w:hAnsi="Times New Roman"/>
          <w:sz w:val="24"/>
          <w:szCs w:val="24"/>
          <w:rtl w:val="0"/>
        </w:rPr>
        <w:t xml:space="preserve">29(2), pp. 72–75. Available at: </w:t>
      </w:r>
      <w:hyperlink r:id="rId12">
        <w:r w:rsidDel="00000000" w:rsidR="00000000" w:rsidRPr="00000000">
          <w:rPr>
            <w:rFonts w:ascii="Times New Roman" w:cs="Times New Roman" w:eastAsia="Times New Roman" w:hAnsi="Times New Roman"/>
            <w:sz w:val="24"/>
            <w:szCs w:val="24"/>
            <w:u w:val="single"/>
            <w:rtl w:val="0"/>
          </w:rPr>
          <w:t xml:space="preserve">https://doi.org/10.1111/1467-8527.00243</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6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Taylor, G.R. and MacKenney, L. (2008) </w:t>
      </w:r>
      <w:r w:rsidDel="00000000" w:rsidR="00000000" w:rsidRPr="00000000">
        <w:rPr>
          <w:rFonts w:ascii="Times New Roman" w:cs="Times New Roman" w:eastAsia="Times New Roman" w:hAnsi="Times New Roman"/>
          <w:i w:val="1"/>
          <w:sz w:val="24"/>
          <w:szCs w:val="24"/>
          <w:rtl w:val="0"/>
        </w:rPr>
        <w:t xml:space="preserve">Improving human learning in the classroom theories and teaching practices. </w:t>
      </w:r>
      <w:r w:rsidDel="00000000" w:rsidR="00000000" w:rsidRPr="00000000">
        <w:rPr>
          <w:rFonts w:ascii="Times New Roman" w:cs="Times New Roman" w:eastAsia="Times New Roman" w:hAnsi="Times New Roman"/>
          <w:sz w:val="24"/>
          <w:szCs w:val="24"/>
          <w:rtl w:val="0"/>
        </w:rPr>
        <w:t xml:space="preserve">Lanham: Rowman &amp; Littlefield Education.</w:t>
      </w:r>
    </w:p>
    <w:p w:rsidR="00000000" w:rsidDel="00000000" w:rsidP="00000000" w:rsidRDefault="00000000" w:rsidRPr="00000000" w14:paraId="0000006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Tripp, D. (2011) </w:t>
      </w:r>
      <w:r w:rsidDel="00000000" w:rsidR="00000000" w:rsidRPr="00000000">
        <w:rPr>
          <w:rFonts w:ascii="Times New Roman" w:cs="Times New Roman" w:eastAsia="Times New Roman" w:hAnsi="Times New Roman"/>
          <w:i w:val="1"/>
          <w:sz w:val="24"/>
          <w:szCs w:val="24"/>
          <w:rtl w:val="0"/>
        </w:rPr>
        <w:t xml:space="preserve">Critical incidents in teaching (classic edition): Developing professional judgement.</w:t>
      </w:r>
      <w:r w:rsidDel="00000000" w:rsidR="00000000" w:rsidRPr="00000000">
        <w:rPr>
          <w:rFonts w:ascii="Times New Roman" w:cs="Times New Roman" w:eastAsia="Times New Roman" w:hAnsi="Times New Roman"/>
          <w:sz w:val="24"/>
          <w:szCs w:val="24"/>
          <w:rtl w:val="0"/>
        </w:rPr>
        <w:t xml:space="preserve"> Routledge.</w:t>
      </w:r>
    </w:p>
    <w:p w:rsidR="00000000" w:rsidDel="00000000" w:rsidP="00000000" w:rsidRDefault="00000000" w:rsidRPr="00000000" w14:paraId="0000006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Van Leir, O.A.C., Mythen, B.O., Van Der Sar, R.M. and Crijnen, A.A.M. (2004) ‘Preventing Disruptive Behaviour in Elementary Schoolchildren: Impact of a Universal Classroom-Based Intervention’, </w:t>
      </w:r>
      <w:r w:rsidDel="00000000" w:rsidR="00000000" w:rsidRPr="00000000">
        <w:rPr>
          <w:rFonts w:ascii="Times New Roman" w:cs="Times New Roman" w:eastAsia="Times New Roman" w:hAnsi="Times New Roman"/>
          <w:i w:val="1"/>
          <w:sz w:val="24"/>
          <w:szCs w:val="24"/>
          <w:rtl w:val="0"/>
        </w:rPr>
        <w:t xml:space="preserve">Journal of Consulting and Clinical Psychology.</w:t>
      </w:r>
    </w:p>
    <w:p w:rsidR="00000000" w:rsidDel="00000000" w:rsidP="00000000" w:rsidRDefault="00000000" w:rsidRPr="00000000" w14:paraId="0000007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Watt, S.M., Higgins, C. and Reid, F. (1999) ‘Positive Assertive Management: A solution to discipline problems in Scottish primary schools?’, </w:t>
      </w:r>
      <w:r w:rsidDel="00000000" w:rsidR="00000000" w:rsidRPr="00000000">
        <w:rPr>
          <w:rFonts w:ascii="Times New Roman" w:cs="Times New Roman" w:eastAsia="Times New Roman" w:hAnsi="Times New Roman"/>
          <w:i w:val="1"/>
          <w:sz w:val="24"/>
          <w:szCs w:val="24"/>
          <w:rtl w:val="0"/>
        </w:rPr>
        <w:t xml:space="preserve">Education</w:t>
      </w:r>
      <w:r w:rsidDel="00000000" w:rsidR="00000000" w:rsidRPr="00000000">
        <w:rPr>
          <w:rFonts w:ascii="Times New Roman" w:cs="Times New Roman" w:eastAsia="Times New Roman" w:hAnsi="Times New Roman"/>
          <w:sz w:val="24"/>
          <w:szCs w:val="24"/>
          <w:rtl w:val="0"/>
        </w:rPr>
        <w:t xml:space="preserve"> 3-13, 27(2), pp. 42–49. Available at: </w:t>
      </w:r>
      <w:hyperlink r:id="rId13">
        <w:r w:rsidDel="00000000" w:rsidR="00000000" w:rsidRPr="00000000">
          <w:rPr>
            <w:rFonts w:ascii="Times New Roman" w:cs="Times New Roman" w:eastAsia="Times New Roman" w:hAnsi="Times New Roman"/>
            <w:sz w:val="24"/>
            <w:szCs w:val="24"/>
            <w:u w:val="single"/>
            <w:rtl w:val="0"/>
          </w:rPr>
          <w:t xml:space="preserve">https://doi.org/10.1080/03004279985200191</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line="360" w:lineRule="auto"/>
        <w:rPr>
          <w:highlight w:val="white"/>
        </w:rPr>
      </w:pPr>
      <w:r w:rsidDel="00000000" w:rsidR="00000000" w:rsidRPr="00000000">
        <w:rPr>
          <w:rFonts w:ascii="Times New Roman" w:cs="Times New Roman" w:eastAsia="Times New Roman" w:hAnsi="Times New Roman"/>
          <w:sz w:val="24"/>
          <w:szCs w:val="24"/>
          <w:rtl w:val="0"/>
        </w:rPr>
        <w:t xml:space="preserve">Zeichner, K.M. and Liston, D.P. (2013) </w:t>
      </w:r>
      <w:r w:rsidDel="00000000" w:rsidR="00000000" w:rsidRPr="00000000">
        <w:rPr>
          <w:rFonts w:ascii="Times New Roman" w:cs="Times New Roman" w:eastAsia="Times New Roman" w:hAnsi="Times New Roman"/>
          <w:i w:val="1"/>
          <w:sz w:val="24"/>
          <w:szCs w:val="24"/>
          <w:rtl w:val="0"/>
        </w:rPr>
        <w:t xml:space="preserve">Reflective teaching: An introduction.</w:t>
      </w:r>
      <w:r w:rsidDel="00000000" w:rsidR="00000000" w:rsidRPr="00000000">
        <w:rPr>
          <w:rFonts w:ascii="Times New Roman" w:cs="Times New Roman" w:eastAsia="Times New Roman" w:hAnsi="Times New Roman"/>
          <w:sz w:val="24"/>
          <w:szCs w:val="24"/>
          <w:rtl w:val="0"/>
        </w:rPr>
        <w:t xml:space="preserve"> Routledge.</w:t>
      </w:r>
      <w:r w:rsidDel="00000000" w:rsidR="00000000" w:rsidRPr="00000000">
        <w:rPr>
          <w:rtl w:val="0"/>
        </w:rPr>
      </w:r>
    </w:p>
    <w:p w:rsidR="00000000" w:rsidDel="00000000" w:rsidP="00000000" w:rsidRDefault="00000000" w:rsidRPr="00000000" w14:paraId="00000074">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Appendices</w:t>
      </w:r>
    </w:p>
    <w:p w:rsidR="00000000" w:rsidDel="00000000" w:rsidP="00000000" w:rsidRDefault="00000000" w:rsidRPr="00000000" w14:paraId="00000075">
      <w:pP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Appendix 1</w:t>
      </w:r>
    </w:p>
    <w:tbl>
      <w:tblPr>
        <w:tblStyle w:val="Table1"/>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6">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Date and time, year group:</w:t>
            </w:r>
          </w:p>
          <w:p w:rsidR="00000000" w:rsidDel="00000000" w:rsidP="00000000" w:rsidRDefault="00000000" w:rsidRPr="00000000" w14:paraId="00000077">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27th September 2022, Year 7.</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Where and When: Context of the observation – subject/AOLE, general classroom context</w:t>
            </w:r>
          </w:p>
          <w:p w:rsidR="00000000" w:rsidDel="00000000" w:rsidP="00000000" w:rsidRDefault="00000000" w:rsidRPr="00000000" w14:paraId="00000079">
            <w:pPr>
              <w:widowControl w:val="0"/>
              <w:spacing w:after="0" w:before="0" w:line="24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7A">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This observation took place within a Year 7 class of low abilities. Several of the students have ALN that require support from teaching assistants. This was the final class of the school day.</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What happened: a detailed description of the critical incident(the more detail the better to refer to in your later work)</w:t>
            </w:r>
          </w:p>
          <w:p w:rsidR="00000000" w:rsidDel="00000000" w:rsidP="00000000" w:rsidRDefault="00000000" w:rsidRPr="00000000" w14:paraId="0000007C">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7D">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Students were observed to be very disruptive and off-task during this lesson, with little engagement in the lesson aims. The teacher began the class by giving students one minute to write down the date in their Welsh books. As a low ability class, I felt that this was perhaps unfair, as many struggle with their writing and this would not be sufficient time to complete the task. Indeed, many struggled with the spelling of this and 10 minutes was then used for the teacher to write this on the board and for the students to copy it. Some students were brand new to this class, and did not have a book to work from. However, the teacher did not have any readily available and paper had to be found for them to write on. The teacher then presented the lesson aims, which involved being able to comprehend a short Welsh-language video. This was accompanied by a worksheet with several activities. This worksheet had a lot of information on it, with a small font, and perhaps was difficult to identify and separate each individual task. As a low ability class, I felt that this worksheet could have been edited with these students in mind to make it clear and concise, and easier to follow. Students were then told they were going to play a class game of Bingo. They were asked to select 6 Welsh words from a word bank on the right hand side of this worksheet and write them in the six boxes at the top of the worksheet. Almost all of the students struggled with these instructions, and although the teacher attempted to verbally explain to several of them, most remained off-task. The teacher gave students 5 minutes to complete this task, but by the end of this, half of the students still hadn't been able to comprehend what was expected of them. The teacher then verbally produced the Bingo words for students to mark off, but those who had written some down were unable to identify these. Perhaps by having the words displayed visually, it would have made the task easier for students to engage in. Student engagement in this lesson remained low for the rest of the lesson, with the same individuals being called on to answer questions. This meant that many students didn't get any one to one contact with the teacher the entire lesson. It was clear that the teacher was frustrated with this lack of engagement and resulting poor behaviour. Indeed, one student had been particularly disruptive and was given behaviour points. However, this behaviour carried on and the student was sent out of class for the last 20 minutes of the lesson. This process did not follow the schools 5 step behavioural system, and I was surprised that actions weren't taken before this point to try and curb this behaviour. It is hard to see the usefulness of this action, as no restorative conversation took place during or after the class. Perhaps by having this one to one conversation with the student, a problem might have been identified and resolved that would have prevented bad behaviour. It also would have made clear to the students the consequences of their actions and poor behaviour within the classroom. But, it also meant that this student missed out on an entire section of learning that could contribute to continued bad behaviour in the next lesson as they still have little understanding of the content. </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E">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Areas of possible exploration: what you think could be” under the hood” in these incidents? What avenues of research could you consider?</w:t>
            </w:r>
          </w:p>
          <w:p w:rsidR="00000000" w:rsidDel="00000000" w:rsidP="00000000" w:rsidRDefault="00000000" w:rsidRPr="00000000" w14:paraId="0000007F">
            <w:pPr>
              <w:widowControl w:val="0"/>
              <w:spacing w:after="0" w:before="0" w:line="24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80">
            <w:pPr>
              <w:widowControl w:val="0"/>
              <w:spacing w:after="0" w:before="0" w:line="240" w:lineRule="auto"/>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It would be interesting to first consider the learning environment in which this lesson took place. It could be argued that this tired and undecorated classroom has not contributed to an authentic learning environment for these students. Would it be possible for the students to feel more positive and engaged in this class, if their physical environment reflected this? Did this classroom have continuous provisions needed for the students to learn? By not having a sufficient amount of workbooks or paper for the students, how could students actually engage in this class? The level of the class should also be noted, and I believe that focused provisions should have been put in place to better support these students. In regards to the Bingo task, perhaps by writing out clear and concise instructions, with picture aids, it could have helped students engage with this activity more and remain on-task. I believe that more scaffolding could have been put in place to help students achieve the lesson aims. Perhaps with these provisions, students would not have felt so frustrated within the class and behaviour would have improved.</w:t>
            </w:r>
          </w:p>
          <w:p w:rsidR="00000000" w:rsidDel="00000000" w:rsidP="00000000" w:rsidRDefault="00000000" w:rsidRPr="00000000" w14:paraId="00000081">
            <w:pPr>
              <w:widowControl w:val="0"/>
              <w:spacing w:after="0" w:before="0" w:line="24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82">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One other area of exploration could be assessment for learning. Perhaps if the teacher had inserted some small AFL tasks within the activities, they would have been better able to assess the engagement and understanding of the learners and perhaps alter their tasks to better suit these needs. Indeed, in regards to the lesson aims at the start of the class, there was no clear and specific mention of how these were to be achieved within the lesson. The lesson aim was to ‘comprehend a short Welsh-language video’, but there was no mention of what this comprehension would entail for the students. I also don’t believe it was attainable for the students. This was a very low ability class, and without clear and specific objectives, students struggled to understand the instructions given to them and what was actually expected of them.</w:t>
            </w:r>
            <w:r w:rsidDel="00000000" w:rsidR="00000000" w:rsidRPr="00000000">
              <w:rPr>
                <w:rtl w:val="0"/>
              </w:rPr>
            </w:r>
          </w:p>
        </w:tc>
      </w:tr>
      <w:tr>
        <w:trPr>
          <w:cantSplit w:val="0"/>
          <w:trHeight w:val="5276.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before="0" w:line="240" w:lineRule="auto"/>
              <w:rPr>
                <w:rFonts w:ascii="Times New Roman" w:cs="Times New Roman" w:eastAsia="Times New Roman" w:hAnsi="Times New Roman"/>
                <w:b w:val="1"/>
                <w:sz w:val="24"/>
                <w:szCs w:val="24"/>
                <w:highlight w:val="white"/>
              </w:rPr>
            </w:pPr>
            <w:r w:rsidDel="00000000" w:rsidR="00000000" w:rsidRPr="00000000">
              <w:rPr>
                <w:rtl w:val="0"/>
              </w:rPr>
            </w:r>
          </w:p>
          <w:tbl>
            <w:tblPr>
              <w:tblStyle w:val="Table2"/>
              <w:tblW w:w="908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80"/>
              <w:tblGridChange w:id="0">
                <w:tblGrid>
                  <w:gridCol w:w="9080"/>
                </w:tblGrid>
              </w:tblGridChange>
            </w:tblGrid>
            <w:tr>
              <w:trPr>
                <w:cantSplit w:val="0"/>
                <w:trHeight w:val="5320.60546875" w:hRule="atLeast"/>
                <w:tblHeader w:val="0"/>
              </w:trPr>
              <w:tc>
                <w:tcPr>
                  <w:tcMar>
                    <w:top w:w="100.0" w:type="dxa"/>
                    <w:left w:w="100.0" w:type="dxa"/>
                    <w:bottom w:w="100.0" w:type="dxa"/>
                    <w:right w:w="100.0" w:type="dxa"/>
                  </w:tcMar>
                  <w:vAlign w:val="top"/>
                </w:tcPr>
                <w:p w:rsidR="00000000" w:rsidDel="00000000" w:rsidP="00000000" w:rsidRDefault="00000000" w:rsidRPr="00000000" w14:paraId="00000084">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Notes: 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85">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86">
                  <w:pPr>
                    <w:widowControl w:val="0"/>
                    <w:spacing w:after="0" w:before="0" w:line="240" w:lineRule="auto"/>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This classroom was located in one of the older buildings within the school. The classroom was tired looking, with little decorations or displays on the walls. Students became easily distracted with the remaining staples left in the walls from previous displays, often fiddling with these rather than listening to the teacher. This room was set out as a traditional classroom, with tables in long rows facing the teacher and the whiteboard at the front of the classroom. Students had been previously put into a seating plan, with certain individuals separated to prevent disruptions, but the teacher did not enforce this during the observed lesson, leaving many students feeling frustrated that they were not sat in their usual seat. This class was also the final class of the school day, and the energy in the room was very low, with students eager to go home. This class is primarily made up of students whose first language is not English, and who struggle with aspects of reading and writing English. They had little enthusiasm to join in with the Welsh class, and several students were noted for asking the teacher ‘the point’ of learning Welsh. It should also be noted that some of the students have ALN and would normally be supported by a TA, but there are not enough TA’s across the schools, and so the students remain unsupported.</w:t>
                  </w:r>
                </w:p>
              </w:tc>
            </w:tr>
          </w:tbl>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highlight w:val="white"/>
              </w:rPr>
            </w:pPr>
            <w:r w:rsidDel="00000000" w:rsidR="00000000" w:rsidRPr="00000000">
              <w:rPr>
                <w:rtl w:val="0"/>
              </w:rPr>
            </w:r>
          </w:p>
        </w:tc>
      </w:tr>
    </w:tbl>
    <w:p w:rsidR="00000000" w:rsidDel="00000000" w:rsidP="00000000" w:rsidRDefault="00000000" w:rsidRPr="00000000" w14:paraId="00000088">
      <w:pPr>
        <w:jc w:val="cente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89">
      <w:pPr>
        <w:jc w:val="cente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8A">
      <w:pPr>
        <w:jc w:val="left"/>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Appendix 2</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B">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Date and time, year group:</w:t>
            </w:r>
          </w:p>
          <w:p w:rsidR="00000000" w:rsidDel="00000000" w:rsidP="00000000" w:rsidRDefault="00000000" w:rsidRPr="00000000" w14:paraId="0000008C">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26th September, Year 7.</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Where and When: Context of the observation – subject/AOLE, general classroom context. </w:t>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This was a year 7 project class, immediately after the form time and held in the same classroom. This is a unique class to the school, and incorporates many different subjects within the lesson. For example, in this class, students had been reading from a short story and were being asked questions on this. This is a low ability class, with several students having ALN. The teacher informed me that there are normally multiple TA's to support students, but there is currently only one.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F">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What happened: a detailed description of the critical incident(the more detail the better to refer to in your later work)</w:t>
            </w:r>
          </w:p>
          <w:p w:rsidR="00000000" w:rsidDel="00000000" w:rsidP="00000000" w:rsidRDefault="00000000" w:rsidRPr="00000000" w14:paraId="00000090">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91">
            <w:pPr>
              <w:widowControl w:val="0"/>
              <w:spacing w:after="0" w:before="0" w:line="240" w:lineRule="auto"/>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The students had just read a short story about a wolf pup as a class, with the teacher at the front of the class leading the reading. Each student has a printed out version of this book, as they have been using it for several lessons. The teacher then asks the students to complete a free-writing task. Students are required to put themselves in the role of the wolf cub who has lost his way and is in danger from a group of hunters, and to write a diary section based on how they would be feeling and thinking at the time. These instructions are displayed on a PowerPoint at the front of the classroom, with some example sentences to start students off. Student A, who the teacher has informed me at the start of the class has ADHD and would normally be supported by a TA, is a very off task. Student A's reading and writing ability is very low, and they are becoming frustrated with this task. They begin to distract others, and the teacher gives them a warning in an attempt to re-focus them. This does not work, and Student A shows little engagement in the task. The teacher gives them an alternative task, and asks them to verbally produce the task. The student engaged very well in this, and was quite imaginative. The teacher then gave Student A an additional task, to try and write some of the words from the story in bubble writing. The teacher suggested that the student may find this task easier as it looks more like drawing, rather than writing. The teacher highlighted the words they wanted in the text, and the student spent the next several minutes spelling these out.</w:t>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highlight w:val="white"/>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3">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Areas of possible exploration: what you think could be” under the hood” in these incidents? What avenues of research could you consider?</w:t>
            </w:r>
          </w:p>
          <w:p w:rsidR="00000000" w:rsidDel="00000000" w:rsidP="00000000" w:rsidRDefault="00000000" w:rsidRPr="00000000" w14:paraId="00000094">
            <w:pPr>
              <w:widowControl w:val="0"/>
              <w:spacing w:after="0" w:before="0" w:line="24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95">
            <w:pPr>
              <w:widowControl w:val="0"/>
              <w:spacing w:after="0" w:before="0" w:line="240" w:lineRule="auto"/>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It would be interesting to explore the usefulness of these personalised tasks for students, particularly for those with ALN. By giving students a task that doesn't necessarily fit the class objectives, but allows them to be engaged in some level, are we helping that student or not doing enough to push them in the 'traditional' sense of learning.</w:t>
            </w:r>
          </w:p>
          <w:p w:rsidR="00000000" w:rsidDel="00000000" w:rsidP="00000000" w:rsidRDefault="00000000" w:rsidRPr="00000000" w14:paraId="00000096">
            <w:pPr>
              <w:widowControl w:val="0"/>
              <w:spacing w:after="0" w:before="0" w:line="24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97">
            <w:pPr>
              <w:widowControl w:val="0"/>
              <w:spacing w:after="0" w:before="0" w:line="240" w:lineRule="auto"/>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It would also be interesting to explore how ALN can be supported more in the high school setting. Even without extra staff to support the student, could the classroom and the lesson be presented in a different way in order to better suit these students? Could an alternative way of presenting this diary be made explicit from the beginning of the class. For example, could students have formed groups and made a short play about how</w:t>
            </w:r>
            <w:r w:rsidDel="00000000" w:rsidR="00000000" w:rsidRPr="00000000">
              <w:rPr>
                <w:rFonts w:ascii="Times New Roman" w:cs="Times New Roman" w:eastAsia="Times New Roman" w:hAnsi="Times New Roman"/>
                <w:b w:val="1"/>
                <w:sz w:val="24"/>
                <w:szCs w:val="24"/>
                <w:highlight w:val="white"/>
                <w:rtl w:val="0"/>
              </w:rPr>
              <w:t xml:space="preserve"> </w:t>
            </w:r>
            <w:r w:rsidDel="00000000" w:rsidR="00000000" w:rsidRPr="00000000">
              <w:rPr>
                <w:rFonts w:ascii="Times New Roman" w:cs="Times New Roman" w:eastAsia="Times New Roman" w:hAnsi="Times New Roman"/>
                <w:highlight w:val="white"/>
                <w:rtl w:val="0"/>
              </w:rPr>
              <w:t xml:space="preserve">the pup may have been feeling? Was the pupil's voice heard enough in this lesson?</w:t>
            </w:r>
          </w:p>
          <w:p w:rsidR="00000000" w:rsidDel="00000000" w:rsidP="00000000" w:rsidRDefault="00000000" w:rsidRPr="00000000" w14:paraId="00000098">
            <w:pPr>
              <w:widowControl w:val="0"/>
              <w:spacing w:after="0" w:before="0" w:line="24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99">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Notes: 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9A">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9B">
            <w:pPr>
              <w:widowControl w:val="0"/>
              <w:spacing w:after="0" w:before="0" w:line="240" w:lineRule="auto"/>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This was a large classroom, and students were spaced out around the room. Normally, there would be several TA's present in order to support the students, but this was not the case. There was only one TA who was supporting a student with physical disabilities, and the teacher.</w:t>
            </w:r>
          </w:p>
          <w:p w:rsidR="00000000" w:rsidDel="00000000" w:rsidP="00000000" w:rsidRDefault="00000000" w:rsidRPr="00000000" w14:paraId="0000009C">
            <w:pPr>
              <w:widowControl w:val="0"/>
              <w:spacing w:after="0" w:before="0" w:line="24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9D">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The task was made very explicit to the students, and was displayed on a colourful PPT with lots of visual prompts. For example, during the writing task there were thought provoking sentences and sentence starters to help guide students in completing the writing task. </w:t>
            </w:r>
            <w:r w:rsidDel="00000000" w:rsidR="00000000" w:rsidRPr="00000000">
              <w:rPr>
                <w:rtl w:val="0"/>
              </w:rPr>
            </w:r>
          </w:p>
        </w:tc>
      </w:tr>
    </w:tbl>
    <w:p w:rsidR="00000000" w:rsidDel="00000000" w:rsidP="00000000" w:rsidRDefault="00000000" w:rsidRPr="00000000" w14:paraId="0000009E">
      <w:pPr>
        <w:jc w:val="left"/>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9F">
      <w:pPr>
        <w:jc w:val="left"/>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Appendix 3</w:t>
      </w:r>
    </w:p>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0">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Date and time, year group:</w:t>
            </w:r>
          </w:p>
          <w:p w:rsidR="00000000" w:rsidDel="00000000" w:rsidP="00000000" w:rsidRDefault="00000000" w:rsidRPr="00000000" w14:paraId="000000A1">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27th September 2022, Year 7.</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2">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Where and When: Context of the observation – subject/AOLE, general classroom context.</w:t>
            </w:r>
          </w:p>
          <w:p w:rsidR="00000000" w:rsidDel="00000000" w:rsidP="00000000" w:rsidRDefault="00000000" w:rsidRPr="00000000" w14:paraId="000000A3">
            <w:pPr>
              <w:widowControl w:val="0"/>
              <w:spacing w:after="0" w:before="0" w:line="24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A4">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This was a year 7 French class. This was the first lesson of the day, following the students' pastoral sessions in the morning. This observation took place towards the end of the class. The class is low ability, and several of the students have ALN that would normally be supported by a TA.</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5">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What happened: a detailed description of the critical incident(the more detail the better to refer to in your later work)</w:t>
            </w:r>
          </w:p>
          <w:p w:rsidR="00000000" w:rsidDel="00000000" w:rsidP="00000000" w:rsidRDefault="00000000" w:rsidRPr="00000000" w14:paraId="000000A6">
            <w:pPr>
              <w:widowControl w:val="0"/>
              <w:spacing w:after="0" w:before="0" w:line="24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A7">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Students were learning some new vocabulary relating to how they are feeling. These are displayed on the teacher's PowerPoint, and are accompanied by a picture to help students associate that word with an emotion. The teacher is drilling these sentences, with the students repeating it back. The teacher is using body language and changing their tone to make it clear exactly what this sentence refers to, and the students found it very exciting. Indeed, some of the students who have been observed to show little engagement in class, were standing up and copying the teachers sentences and actions. The students were then asked to look at just the picture prompt and see if they could identify the corresponding word. The teacher encouraged students to look in a booklet that they had been given previously, which contained the words needed. Although students were happy to be participating in this lesson, behaviour had begun to take a turn, and some students were not on-task, and started to throw these booklets around the class and talk with their friends. The teacher then gave the class a ‘yellow card’, the first step of a five step behavioural system in the school. It appeared to calm the students down and got them back on task. The teacher gave praise to the students for fixing their behaviour. The teacher had then created a game of Tic Tac Toe for the students to practice verbally producing these words in pairs. Students were very excited and engaged in this task, although it was difficult to identify if they were on-task in terms of using their French to complete it. The teacher then asked the students to copy down several new sentences in their books, but energy levels were still very high from this game and some students' behaviour became very disruptive. The teacher then asked one of these students to leave the classroom for several minutes to calm down, and that they would be out shortly to have a conversation together. This restorative conversation seemed to work very well, as they were able to re-enter the classroom and stay focused and on task for the remainder of the class. The teacher praised the student for altering their behaviour and their ability to return to class and get back on task. </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8">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Areas of possible exploration: what you think could be” under the hood” in these incidents? What avenues of research could you consider?</w:t>
            </w:r>
          </w:p>
          <w:p w:rsidR="00000000" w:rsidDel="00000000" w:rsidP="00000000" w:rsidRDefault="00000000" w:rsidRPr="00000000" w14:paraId="000000A9">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AA">
            <w:pPr>
              <w:widowControl w:val="0"/>
              <w:spacing w:after="0" w:before="0" w:line="240" w:lineRule="auto"/>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It would be interesting to explore the different theories related to classroom management, particularly discipline methods. The observed school follows an assertive discipline plan, involving a 5 step behaviour plan. The first step is a yellow card, a whole class warning, which is displayed clearly in the classroom. Next is a change of seats for any student who disregards this warning. If the behaviour continues, students will then be sent outside for a restorative conversation with the teacher. If this still does not work, students will be moved to another classroom. The final step involves an on-call teacher who will come and remove the student from the classroom. Conversations will then be had with parents and head of years. This behaviour system is implemented across the entire schools and students are very clear on how this works. In the observed class, the students reached the third step of this behaviour plan. It would be useful to consider the positive effect the restorative conversation had on refocusing the student to the task at hand.</w:t>
            </w:r>
          </w:p>
          <w:p w:rsidR="00000000" w:rsidDel="00000000" w:rsidP="00000000" w:rsidRDefault="00000000" w:rsidRPr="00000000" w14:paraId="000000AB">
            <w:pPr>
              <w:widowControl w:val="0"/>
              <w:spacing w:after="0" w:before="0" w:line="24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AC">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It could also be interesting to explore the cognitive science theories relating to how this new information was presented within the class, such as Paivio’s dual coding theory. The teacher made the PowerPoint very visual, with pictures used to support the new vocabulary. Research suggests that we disregard new information unless a strong connection is made. By including visual aids and presenting the sentence structures in a loud or engaging way, students could have perhaps stored this information far better than if they were just reading and repeating. </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D">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Notes: 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AE">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AF">
            <w:pPr>
              <w:widowControl w:val="0"/>
              <w:spacing w:after="0" w:before="0" w:line="24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highlight w:val="white"/>
                <w:rtl w:val="0"/>
              </w:rPr>
              <w:t xml:space="preserve">This class took place in the temporary classroom blocks. They are spacious and light, with plenty of colourful displays of other students' work on the walls, as well as vocabulary and sentence structures. The class size is fairly small, and students have space to spread out across the classroom. It should be noted that the teacher has a seating plan in place, which attempts to separate those students who easily distract one another. The teacher is using a colourful PowerPoint to deliver her lesson, which contains lots of pictures for the students to see.</w:t>
            </w:r>
            <w:r w:rsidDel="00000000" w:rsidR="00000000" w:rsidRPr="00000000">
              <w:rPr>
                <w:rtl w:val="0"/>
              </w:rPr>
            </w:r>
          </w:p>
        </w:tc>
      </w:tr>
    </w:tbl>
    <w:p w:rsidR="00000000" w:rsidDel="00000000" w:rsidP="00000000" w:rsidRDefault="00000000" w:rsidRPr="00000000" w14:paraId="000000B0">
      <w:pPr>
        <w:jc w:val="left"/>
        <w:rPr>
          <w:rFonts w:ascii="Times New Roman" w:cs="Times New Roman" w:eastAsia="Times New Roman" w:hAnsi="Times New Roman"/>
          <w:b w:val="1"/>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80/02643944.2018.1528625" TargetMode="External"/><Relationship Id="rId10" Type="http://schemas.openxmlformats.org/officeDocument/2006/relationships/hyperlink" Target="https://doi.org/10.1177/003172170508600504" TargetMode="External"/><Relationship Id="rId13" Type="http://schemas.openxmlformats.org/officeDocument/2006/relationships/hyperlink" Target="https://doi.org/10.1080/03004279985200191" TargetMode="External"/><Relationship Id="rId12" Type="http://schemas.openxmlformats.org/officeDocument/2006/relationships/hyperlink" Target="https://doi.org/10.1111/1467-8527.0024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77/0042085917741725" TargetMode="External"/><Relationship Id="rId5" Type="http://schemas.openxmlformats.org/officeDocument/2006/relationships/styles" Target="styles.xml"/><Relationship Id="rId6" Type="http://schemas.openxmlformats.org/officeDocument/2006/relationships/hyperlink" Target="https://doi.org/10.1080/03057240.2020.1793742" TargetMode="External"/><Relationship Id="rId7" Type="http://schemas.openxmlformats.org/officeDocument/2006/relationships/hyperlink" Target="https://doi.org/10.14746/n.2020.55.1.6" TargetMode="External"/><Relationship Id="rId8" Type="http://schemas.openxmlformats.org/officeDocument/2006/relationships/hyperlink" Target="https://doi.org/10.3390/ijerph190100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