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0D16B" w14:textId="66C5524F" w:rsidR="00861207" w:rsidRPr="00BC6F01" w:rsidRDefault="00861207" w:rsidP="004D152E">
      <w:r w:rsidRPr="00BC6F01">
        <w:t>Student Name</w:t>
      </w:r>
      <w:r w:rsidR="001B744E" w:rsidRPr="00BC6F01">
        <w:t>:</w:t>
      </w:r>
      <w:r w:rsidR="008040CF" w:rsidRPr="00BC6F01">
        <w:t xml:space="preserve"> Alezimar Dos Santos </w:t>
      </w:r>
    </w:p>
    <w:p w14:paraId="16A4ABED" w14:textId="407BDF05" w:rsidR="00861207" w:rsidRDefault="00861207" w:rsidP="004D152E">
      <w:r w:rsidRPr="00861207">
        <w:t>Student Number</w:t>
      </w:r>
      <w:r w:rsidR="001B744E">
        <w:t>:</w:t>
      </w:r>
      <w:r w:rsidR="008040CF">
        <w:t xml:space="preserve"> 2409190</w:t>
      </w:r>
    </w:p>
    <w:p w14:paraId="18233755" w14:textId="18EB5C01" w:rsidR="007A3931" w:rsidRDefault="00861207" w:rsidP="004D152E">
      <w:r w:rsidRPr="00861207">
        <w:t xml:space="preserve">Module </w:t>
      </w:r>
      <w:r w:rsidR="007A3931">
        <w:t>T</w:t>
      </w:r>
      <w:r w:rsidRPr="00861207">
        <w:t>itle</w:t>
      </w:r>
      <w:r w:rsidR="001B744E">
        <w:t>:</w:t>
      </w:r>
      <w:r w:rsidR="00E200BD" w:rsidRPr="00E200BD">
        <w:t xml:space="preserve"> Principles of Health and Social Care Practice</w:t>
      </w:r>
    </w:p>
    <w:p w14:paraId="57055DDB" w14:textId="7B0420BE" w:rsidR="007A3931" w:rsidRDefault="007A3931" w:rsidP="004D152E">
      <w:r>
        <w:t>Module C</w:t>
      </w:r>
      <w:r w:rsidRPr="00861207">
        <w:t>ode</w:t>
      </w:r>
      <w:r w:rsidR="001B744E">
        <w:t>:</w:t>
      </w:r>
      <w:r w:rsidR="00E200BD" w:rsidRPr="00E200BD">
        <w:t xml:space="preserve"> BMHP5016</w:t>
      </w:r>
    </w:p>
    <w:p w14:paraId="22C29E57" w14:textId="22CD85A7" w:rsidR="006202F4" w:rsidRPr="00B50121" w:rsidRDefault="00A901BB" w:rsidP="004D152E">
      <w:r w:rsidRPr="00B50121">
        <w:t>Lecturer’s Name:</w:t>
      </w:r>
      <w:r w:rsidR="00BC6F01">
        <w:rPr>
          <w:b/>
          <w:bCs/>
        </w:rPr>
        <w:t xml:space="preserve"> </w:t>
      </w:r>
      <w:r w:rsidR="00BC6F01" w:rsidRPr="002D2B9B">
        <w:t>Dr Mark</w:t>
      </w:r>
      <w:r w:rsidR="002D2B9B" w:rsidRPr="002D2B9B">
        <w:t xml:space="preserve"> Gallagher</w:t>
      </w:r>
    </w:p>
    <w:p w14:paraId="625427DC" w14:textId="4A9238B2" w:rsidR="001E3376" w:rsidRDefault="00861207" w:rsidP="004D152E">
      <w:r w:rsidRPr="00861207">
        <w:t xml:space="preserve">Assignment </w:t>
      </w:r>
      <w:r w:rsidR="00985E09" w:rsidRPr="00861207">
        <w:t>Title</w:t>
      </w:r>
      <w:r w:rsidR="007A3931">
        <w:t xml:space="preserve">: </w:t>
      </w:r>
      <w:r w:rsidR="00507383" w:rsidRPr="00507383">
        <w:t>Person-Centred Care and Partnership Working in Residential Dementia Care: The Gap Between Policy and Practice in the UK</w:t>
      </w:r>
    </w:p>
    <w:p w14:paraId="52488CBA" w14:textId="77777777" w:rsidR="00507383" w:rsidRDefault="00507383" w:rsidP="004D152E"/>
    <w:p w14:paraId="54203800" w14:textId="73113056" w:rsidR="00A378E0" w:rsidRDefault="00A378E0">
      <w:pPr>
        <w:spacing w:line="259" w:lineRule="auto"/>
        <w:jc w:val="left"/>
      </w:pPr>
      <w:r>
        <w:br w:type="page"/>
      </w:r>
    </w:p>
    <w:p w14:paraId="7578595C" w14:textId="543D3B11" w:rsidR="00A378E0" w:rsidRDefault="00D47DF8" w:rsidP="00A378E0">
      <w:pPr>
        <w:pStyle w:val="Heading1"/>
      </w:pPr>
      <w:r>
        <w:lastRenderedPageBreak/>
        <w:t>Abstract</w:t>
      </w:r>
    </w:p>
    <w:p w14:paraId="0C870B2A" w14:textId="4A1636AE" w:rsidR="000A527B" w:rsidRPr="000A527B" w:rsidRDefault="000A527B" w:rsidP="00F113F4">
      <w:r w:rsidRPr="000A527B">
        <w:t xml:space="preserve">This report </w:t>
      </w:r>
      <w:r w:rsidR="00AC4C28">
        <w:t xml:space="preserve">is a critical evaluation of how </w:t>
      </w:r>
      <w:r w:rsidRPr="000A527B">
        <w:t xml:space="preserve">Person-Centred Care (PCC) and Partnership Working (PW) </w:t>
      </w:r>
      <w:r w:rsidR="00AC4C28">
        <w:t xml:space="preserve">is being (and can be better) implemented </w:t>
      </w:r>
      <w:r w:rsidRPr="000A527B">
        <w:t xml:space="preserve">within the context of UK residential dementia care. </w:t>
      </w:r>
      <w:r w:rsidR="008E78BC">
        <w:t xml:space="preserve">It shows that even though the concepts are </w:t>
      </w:r>
      <w:r w:rsidRPr="000A527B">
        <w:t xml:space="preserve">enshrined in legislative frameworks such as the Care Act 2014 and the Social Services and Well-being (Wales) Act 2014, </w:t>
      </w:r>
      <w:r w:rsidR="007F3480">
        <w:t xml:space="preserve">there is a strong and series </w:t>
      </w:r>
      <w:r w:rsidRPr="000A527B">
        <w:t xml:space="preserve">dichotomy between </w:t>
      </w:r>
      <w:r w:rsidR="007F3480">
        <w:t xml:space="preserve">the aspirations of </w:t>
      </w:r>
      <w:r w:rsidRPr="000A527B">
        <w:t xml:space="preserve">policy </w:t>
      </w:r>
      <w:r w:rsidR="007F3480">
        <w:t xml:space="preserve">and </w:t>
      </w:r>
      <w:r w:rsidRPr="000A527B">
        <w:t xml:space="preserve">the reality of daily practice. </w:t>
      </w:r>
      <w:r w:rsidR="003B4F4F">
        <w:t xml:space="preserve">Using </w:t>
      </w:r>
      <w:r w:rsidRPr="000A527B">
        <w:t xml:space="preserve">Kitwood’s Enriched Model of Dementia and </w:t>
      </w:r>
      <w:r w:rsidR="003B4F4F">
        <w:t>the four</w:t>
      </w:r>
      <w:r w:rsidRPr="000A527B">
        <w:t xml:space="preserve"> ethical principles</w:t>
      </w:r>
      <w:r w:rsidR="00445C33">
        <w:t xml:space="preserve"> of </w:t>
      </w:r>
      <w:r w:rsidR="00445C33" w:rsidRPr="00445C33">
        <w:t>autonomy, beneficence, non-maleficence, and justice</w:t>
      </w:r>
      <w:r w:rsidRPr="000A527B">
        <w:t xml:space="preserve">, the </w:t>
      </w:r>
      <w:r w:rsidR="00445C33">
        <w:t xml:space="preserve">report </w:t>
      </w:r>
      <w:r w:rsidRPr="000A527B">
        <w:t>analyses how systemic barriers</w:t>
      </w:r>
      <w:r w:rsidR="00445C33">
        <w:t xml:space="preserve"> like </w:t>
      </w:r>
      <w:r w:rsidRPr="000A527B">
        <w:t>workforce shortages, underfunding, and fragmented digital systems</w:t>
      </w:r>
      <w:r w:rsidR="00445C33">
        <w:t xml:space="preserve"> </w:t>
      </w:r>
      <w:r w:rsidRPr="000A527B">
        <w:t xml:space="preserve">undermine the delivery of relational care and multidisciplinary collaboration. The findings suggest that </w:t>
      </w:r>
      <w:r w:rsidR="00445C33">
        <w:t>although</w:t>
      </w:r>
      <w:r w:rsidRPr="000A527B">
        <w:t xml:space="preserve"> legal duties regarding autonomy and co-production are </w:t>
      </w:r>
      <w:r w:rsidR="002564F8">
        <w:t>strong</w:t>
      </w:r>
      <w:r w:rsidRPr="000A527B">
        <w:t xml:space="preserve">, they are frequently compromised by </w:t>
      </w:r>
      <w:r w:rsidR="002564F8">
        <w:t xml:space="preserve">a culture that is </w:t>
      </w:r>
      <w:r w:rsidRPr="000A527B">
        <w:t>risk-averse</w:t>
      </w:r>
      <w:r w:rsidR="002564F8">
        <w:t xml:space="preserve"> and </w:t>
      </w:r>
      <w:r w:rsidRPr="000A527B">
        <w:t xml:space="preserve">task-oriented </w:t>
      </w:r>
      <w:r w:rsidR="00F113F4">
        <w:t xml:space="preserve">instead of one that is </w:t>
      </w:r>
      <w:r w:rsidR="0034099D" w:rsidRPr="0034099D">
        <w:t>relational, empowering, and genuinely person-centred.</w:t>
      </w:r>
      <w:r w:rsidR="00F113F4">
        <w:t xml:space="preserve"> </w:t>
      </w:r>
      <w:r w:rsidR="00F6515A">
        <w:t>Therefore, t</w:t>
      </w:r>
      <w:r w:rsidRPr="000A527B">
        <w:t>he report concludes with recommendations for workforce development in relational skills, integrated digital records, and co-produced outcome frameworks to bridge the gap between legislative intent and the lived experience of residents.</w:t>
      </w:r>
    </w:p>
    <w:p w14:paraId="07E42FA9" w14:textId="77777777" w:rsidR="000A527B" w:rsidRPr="00D47DF8" w:rsidRDefault="000A527B" w:rsidP="00D47DF8"/>
    <w:p w14:paraId="06B871D4" w14:textId="77777777" w:rsidR="00A378E0" w:rsidRDefault="00A378E0" w:rsidP="00A378E0"/>
    <w:p w14:paraId="532D1D46" w14:textId="77777777" w:rsidR="00A378E0" w:rsidRDefault="00A378E0" w:rsidP="00A378E0"/>
    <w:p w14:paraId="697AE4AB" w14:textId="77777777" w:rsidR="00A821AE" w:rsidRDefault="00A821AE" w:rsidP="00A378E0">
      <w:pPr>
        <w:sectPr w:rsidR="00A821AE" w:rsidSect="001B6B75">
          <w:footerReference w:type="default" r:id="rId8"/>
          <w:pgSz w:w="11906" w:h="16838"/>
          <w:pgMar w:top="1440" w:right="1440" w:bottom="1440" w:left="1440" w:header="708" w:footer="708" w:gutter="0"/>
          <w:pgNumType w:fmt="lowerRoman"/>
          <w:cols w:space="708"/>
          <w:docGrid w:linePitch="360"/>
        </w:sectPr>
      </w:pPr>
    </w:p>
    <w:p w14:paraId="42AFC9C2" w14:textId="70461918" w:rsidR="00A821AE" w:rsidRDefault="00A821AE" w:rsidP="007225D4">
      <w:pPr>
        <w:pStyle w:val="Heading1"/>
        <w:numPr>
          <w:ilvl w:val="0"/>
          <w:numId w:val="25"/>
        </w:numPr>
        <w:ind w:hanging="720"/>
      </w:pPr>
      <w:r w:rsidRPr="00A821AE">
        <w:lastRenderedPageBreak/>
        <w:t>Introduction</w:t>
      </w:r>
    </w:p>
    <w:p w14:paraId="07082426" w14:textId="67A4C6B4" w:rsidR="0099311F" w:rsidRPr="0099311F" w:rsidRDefault="0099311F" w:rsidP="0099311F">
      <w:r w:rsidRPr="0099311F">
        <w:t>Adult social care in the UK is under pressure</w:t>
      </w:r>
      <w:r w:rsidR="00C517D0">
        <w:t xml:space="preserve"> so much</w:t>
      </w:r>
      <w:r w:rsidR="002455D7">
        <w:t xml:space="preserve"> </w:t>
      </w:r>
      <w:r w:rsidR="00C517D0">
        <w:t xml:space="preserve">that in </w:t>
      </w:r>
      <w:r w:rsidRPr="0099311F">
        <w:t>2025, 135,000 people lived in residential care homes in England</w:t>
      </w:r>
      <w:r w:rsidR="00F6020C">
        <w:t>, largely because of dementia</w:t>
      </w:r>
      <w:r w:rsidRPr="0099311F">
        <w:t xml:space="preserve"> </w:t>
      </w:r>
      <w:r w:rsidR="008E6A03">
        <w:fldChar w:fldCharType="begin" w:fldLock="1"/>
      </w:r>
      <w:r w:rsidR="00FB53D1">
        <w:instrText>ADDIN CSL_CITATION {"citationItems":[{"id":"ITEM-1","itemData":{"author":[{"dropping-particle":"","family":"Department of Health and Social Care","given":"","non-dropping-particle":"","parse-names":false,"suffix":""}],"id":"ITEM-1","issued":{"date-parts":[["2025"]]},"publisher-place":"London","title":"Adult social care in England, monthly statistics: April 2025","type":"report"},"uris":["http://www.mendeley.com/documents/?uuid=3bd79e33-ceee-4e6e-a1e6-11383d6e0c59"]}],"mendeley":{"formattedCitation":"(Department of Health and Social Care, 2025)","plainTextFormattedCitation":"(Department of Health and Social Care, 2025)","previouslyFormattedCitation":"(Department of Health and Social Care, 2025)"},"properties":{"noteIndex":0},"schema":"https://github.com/citation-style-language/schema/raw/master/csl-citation.json"}</w:instrText>
      </w:r>
      <w:r w:rsidR="008E6A03">
        <w:fldChar w:fldCharType="separate"/>
      </w:r>
      <w:r w:rsidR="008E6A03" w:rsidRPr="008E6A03">
        <w:rPr>
          <w:noProof/>
        </w:rPr>
        <w:t>(Department of Health and Social Care, 2025)</w:t>
      </w:r>
      <w:r w:rsidR="008E6A03">
        <w:fldChar w:fldCharType="end"/>
      </w:r>
      <w:r w:rsidRPr="0099311F">
        <w:t>.</w:t>
      </w:r>
      <w:r w:rsidR="0032183A">
        <w:t xml:space="preserve"> As </w:t>
      </w:r>
      <w:r w:rsidR="008B3212">
        <w:t xml:space="preserve">recently </w:t>
      </w:r>
      <w:r w:rsidR="0032183A">
        <w:t xml:space="preserve">as </w:t>
      </w:r>
      <w:r w:rsidRPr="0099311F">
        <w:t xml:space="preserve">mid-2024, </w:t>
      </w:r>
      <w:r w:rsidR="00FB53D1" w:rsidRPr="00FB53D1">
        <w:rPr>
          <w:noProof/>
        </w:rPr>
        <w:t>Alzheimer’s Society</w:t>
      </w:r>
      <w:r w:rsidR="00FB53D1">
        <w:t xml:space="preserve"> </w:t>
      </w:r>
      <w:r w:rsidR="00FB53D1">
        <w:fldChar w:fldCharType="begin" w:fldLock="1"/>
      </w:r>
      <w:r w:rsidR="00455F82">
        <w:instrText>ADDIN CSL_CITATION {"citationItems":[{"id":"ITEM-1","itemData":{"author":[{"dropping-particle":"","family":"Alzheimer’s Society","given":"","non-dropping-particle":"","parse-names":false,"suffix":""}],"id":"ITEM-1","issued":{"date-parts":[["2024"]]},"publisher-place":"London","title":"Record number of people are receiving a dementia diagnosis in England","type":"report"},"suppress-author":1,"uris":["http://www.mendeley.com/documents/?uuid=280d88ba-5fdc-4839-ac60-e18adc4280fc"]}],"mendeley":{"formattedCitation":"(2024)","plainTextFormattedCitation":"(2024)","previouslyFormattedCitation":"(2024)"},"properties":{"noteIndex":0},"schema":"https://github.com/citation-style-language/schema/raw/master/csl-citation.json"}</w:instrText>
      </w:r>
      <w:r w:rsidR="00FB53D1">
        <w:fldChar w:fldCharType="separate"/>
      </w:r>
      <w:r w:rsidR="00FB53D1" w:rsidRPr="00FB53D1">
        <w:rPr>
          <w:noProof/>
        </w:rPr>
        <w:t>(2024)</w:t>
      </w:r>
      <w:r w:rsidR="00FB53D1">
        <w:fldChar w:fldCharType="end"/>
      </w:r>
      <w:r w:rsidR="00FB53D1">
        <w:t xml:space="preserve"> reported that </w:t>
      </w:r>
      <w:r w:rsidRPr="0099311F">
        <w:t>487,432 people in England had a recorded diagnosis.</w:t>
      </w:r>
      <w:r w:rsidR="009C5573">
        <w:t xml:space="preserve"> At the same time, </w:t>
      </w:r>
      <w:r w:rsidR="000863AB">
        <w:t>c</w:t>
      </w:r>
      <w:r w:rsidRPr="0099311F">
        <w:t xml:space="preserve">are homes </w:t>
      </w:r>
      <w:r w:rsidR="006D73F6">
        <w:t xml:space="preserve">are </w:t>
      </w:r>
      <w:r w:rsidRPr="0099311F">
        <w:t>fac</w:t>
      </w:r>
      <w:r w:rsidR="006D73F6">
        <w:t>ing</w:t>
      </w:r>
      <w:r w:rsidRPr="0099311F">
        <w:t xml:space="preserve"> a 7% workforce vacancy rate </w:t>
      </w:r>
      <w:r w:rsidR="00455F82">
        <w:fldChar w:fldCharType="begin" w:fldLock="1"/>
      </w:r>
      <w:r w:rsidR="000C7C4A">
        <w:instrText>ADDIN CSL_CITATION {"citationItems":[{"id":"ITEM-1","itemData":{"author":[{"dropping-particle":"","family":"Skills for Care","given":"","non-dropping-particle":"","parse-names":false,"suffix":""}],"id":"ITEM-1","issued":{"date-parts":[["2025"]]},"publisher-place":"Leeds, England","title":"The state of the adult social care sector and workforce in England","type":"report"},"uris":["http://www.mendeley.com/documents/?uuid=f66e1245-4884-4680-b713-b7ea0d3357aa"]}],"mendeley":{"formattedCitation":"(Skills for Care, 2025)","plainTextFormattedCitation":"(Skills for Care, 2025)","previouslyFormattedCitation":"(Skills for Care, 2025)"},"properties":{"noteIndex":0},"schema":"https://github.com/citation-style-language/schema/raw/master/csl-citation.json"}</w:instrText>
      </w:r>
      <w:r w:rsidR="00455F82">
        <w:fldChar w:fldCharType="separate"/>
      </w:r>
      <w:r w:rsidR="00455F82" w:rsidRPr="00455F82">
        <w:rPr>
          <w:noProof/>
        </w:rPr>
        <w:t>(Skills for Care, 2025)</w:t>
      </w:r>
      <w:r w:rsidR="00455F82">
        <w:fldChar w:fldCharType="end"/>
      </w:r>
      <w:r w:rsidRPr="0099311F">
        <w:t xml:space="preserve">. </w:t>
      </w:r>
      <w:r w:rsidR="006D73F6">
        <w:t>It is expected that w</w:t>
      </w:r>
      <w:r w:rsidRPr="0099311F">
        <w:t>hen demand rises and staff numbers fall, workers have less time to give the detailed support that dementia care requires.</w:t>
      </w:r>
    </w:p>
    <w:p w14:paraId="6204BEBA" w14:textId="5AB34EB3" w:rsidR="0099311F" w:rsidRPr="0099311F" w:rsidRDefault="00B619CD" w:rsidP="00C62228">
      <w:r>
        <w:t>N</w:t>
      </w:r>
      <w:r w:rsidR="0099311F" w:rsidRPr="0099311F">
        <w:t xml:space="preserve">ational policy </w:t>
      </w:r>
      <w:r w:rsidR="00C62228">
        <w:t xml:space="preserve">is </w:t>
      </w:r>
      <w:r w:rsidR="0099311F" w:rsidRPr="0099311F">
        <w:t>clear</w:t>
      </w:r>
      <w:r w:rsidR="0066498C">
        <w:t xml:space="preserve"> on how to respond</w:t>
      </w:r>
      <w:r>
        <w:t xml:space="preserve"> to such situations</w:t>
      </w:r>
      <w:r w:rsidR="00C62228">
        <w:t xml:space="preserve">. </w:t>
      </w:r>
      <w:r w:rsidR="0099311F" w:rsidRPr="0099311F">
        <w:t>Person-Centred Care (PCC) and Partnership Working (PW) are legal duties in the Social Services and Well-being (Wales) Act 2014, the Care Act 2014, and NICE dementia guidance. These policies expect staff to understand each resident as an individual and to work closely with families and other professionals. In many homes, this is hard to achieve</w:t>
      </w:r>
      <w:r w:rsidR="004B07DE">
        <w:t xml:space="preserve">, so there is usually a </w:t>
      </w:r>
      <w:r w:rsidR="0099311F" w:rsidRPr="0099311F">
        <w:t>gap between policy and daily practice</w:t>
      </w:r>
      <w:r w:rsidR="004B07DE">
        <w:t xml:space="preserve">, and this affects </w:t>
      </w:r>
      <w:r w:rsidR="0099311F" w:rsidRPr="0099311F">
        <w:t>the care that residents receive.</w:t>
      </w:r>
    </w:p>
    <w:p w14:paraId="28D3E844" w14:textId="2254C3B0" w:rsidR="0099311F" w:rsidRPr="00A821AE" w:rsidRDefault="00D5700A" w:rsidP="0099311F">
      <w:r>
        <w:t xml:space="preserve">The goal of this </w:t>
      </w:r>
      <w:r w:rsidR="0099311F" w:rsidRPr="0099311F">
        <w:t xml:space="preserve">report </w:t>
      </w:r>
      <w:r>
        <w:t xml:space="preserve">is to </w:t>
      </w:r>
      <w:r w:rsidR="0099311F" w:rsidRPr="0099311F">
        <w:t>examine that gap.</w:t>
      </w:r>
      <w:r w:rsidR="00742152">
        <w:t xml:space="preserve"> Therefore, the report </w:t>
      </w:r>
      <w:r w:rsidR="0099311F" w:rsidRPr="0099311F">
        <w:t>evaluates PCC and PW, explains their ethical basis, and uses examples from residential dementia care to show how these duties work in practice.</w:t>
      </w:r>
    </w:p>
    <w:p w14:paraId="1641E27C" w14:textId="44A31A53" w:rsidR="00A821AE" w:rsidRPr="00A821AE" w:rsidRDefault="00A821AE" w:rsidP="00FB1455">
      <w:pPr>
        <w:pStyle w:val="Heading1"/>
        <w:numPr>
          <w:ilvl w:val="0"/>
          <w:numId w:val="25"/>
        </w:numPr>
        <w:ind w:hanging="720"/>
        <w:rPr>
          <w:bCs/>
        </w:rPr>
      </w:pPr>
      <w:r w:rsidRPr="00A821AE">
        <w:rPr>
          <w:bCs/>
        </w:rPr>
        <w:t>Person-Centred Care (PCC)</w:t>
      </w:r>
    </w:p>
    <w:p w14:paraId="58B95E35" w14:textId="2DA33CA1" w:rsidR="00A821AE" w:rsidRDefault="00C36EB4" w:rsidP="003A73F8">
      <w:pPr>
        <w:pStyle w:val="Heading2"/>
        <w:numPr>
          <w:ilvl w:val="1"/>
          <w:numId w:val="25"/>
        </w:numPr>
        <w:ind w:hanging="720"/>
      </w:pPr>
      <w:r>
        <w:t xml:space="preserve">Meaning, </w:t>
      </w:r>
      <w:r w:rsidR="00A821AE" w:rsidRPr="00A821AE">
        <w:t>Benefits</w:t>
      </w:r>
      <w:r>
        <w:t>,</w:t>
      </w:r>
      <w:r w:rsidR="00A821AE" w:rsidRPr="00A821AE">
        <w:t xml:space="preserve"> and Limitations</w:t>
      </w:r>
    </w:p>
    <w:p w14:paraId="6C3676F2" w14:textId="0E9CED82" w:rsidR="002B6402" w:rsidRDefault="002B6402" w:rsidP="002B6402">
      <w:r w:rsidRPr="002B6402">
        <w:t>PCC</w:t>
      </w:r>
      <w:r w:rsidR="00E94A2D">
        <w:t xml:space="preserve"> </w:t>
      </w:r>
      <w:r w:rsidRPr="002B6402">
        <w:t xml:space="preserve">is a model of care that focuses on the values, preferences, identity and life history of each person. </w:t>
      </w:r>
      <w:r w:rsidR="000C7C4A">
        <w:t xml:space="preserve">According to </w:t>
      </w:r>
      <w:r w:rsidRPr="002B6402">
        <w:t xml:space="preserve">McCormack and McCance </w:t>
      </w:r>
      <w:r w:rsidR="000C7C4A">
        <w:fldChar w:fldCharType="begin" w:fldLock="1"/>
      </w:r>
      <w:r w:rsidR="009310EF">
        <w:instrText>ADDIN CSL_CITATION {"citationItems":[{"id":"ITEM-1","itemData":{"DOI":"10.1177/17449871241281428","ISSN":"1744988X","abstract":"Background: Person-centredness is a global movement in healthcare that prioritises the human experience. Person-centred care has a long association with nursing; however, the implementation of person-centredness as a philosophy of practice remains challenging and requires a sustained focus on the development of healthful workplace cultures. Aim: This is a discussion paper that focuses on the theoretical development of person-centred nursing, drawing out the uniqueness of the Person-centred Nursing Framework (PCNF) to the discipline of nursing and its relevance as a middle-range theory for nursing practice. Discussion: The PCNF highlights the complexity of person-centred nursing, and through the articulation of the key constructs, emphasises the contextual, attitudinal and moral dimensions of humanistic caring practices. The development of the framework as a means of operationalising person-centredness in practice has been integral to the establishment of a research programme spanning over two decades. The programme has privileged research that focuses on the implementation of person-centred nursing in a variety of healthcare contexts, illustrating outcomes that focus on enhanced care experience for both patients and nurses. Conclusions: The theoretical development of nursing through the lens of the PCNF highlights the uniqueness of person-centredness to the discipline of nursing.","author":[{"dropping-particle":"","family":"McCance","given":"Tanya","non-dropping-particle":"","parse-names":false,"suffix":""},{"dropping-particle":"","family":"McCormack","given":"Brendan","non-dropping-particle":"","parse-names":false,"suffix":""}],"container-title":"Journal of Research in Nursing","id":"ITEM-1","issue":"1","issued":{"date-parts":[["2025"]]},"page":"47-60","title":"The Person-centred Nursing Framework: a mid-range theory for nursing practice","type":"article-journal","volume":"30"},"suppress-author":1,"uris":["http://www.mendeley.com/documents/?uuid=ae6ae943-5b96-4661-8940-f72c402aa230"]}],"mendeley":{"formattedCitation":"(2025)","plainTextFormattedCitation":"(2025)","previouslyFormattedCitation":"(2025)"},"properties":{"noteIndex":0},"schema":"https://github.com/citation-style-language/schema/raw/master/csl-citation.json"}</w:instrText>
      </w:r>
      <w:r w:rsidR="000C7C4A">
        <w:fldChar w:fldCharType="separate"/>
      </w:r>
      <w:r w:rsidR="000C7C4A" w:rsidRPr="000C7C4A">
        <w:rPr>
          <w:noProof/>
        </w:rPr>
        <w:t>(2025)</w:t>
      </w:r>
      <w:r w:rsidR="000C7C4A">
        <w:fldChar w:fldCharType="end"/>
      </w:r>
      <w:r w:rsidR="000C7C4A">
        <w:t xml:space="preserve">, </w:t>
      </w:r>
      <w:r w:rsidRPr="002B6402">
        <w:t>PCC requires staff to understand what matters to the resident</w:t>
      </w:r>
      <w:r w:rsidR="00362513">
        <w:t xml:space="preserve">, then </w:t>
      </w:r>
      <w:r w:rsidRPr="002B6402">
        <w:t xml:space="preserve">use this information to plan care. NICE </w:t>
      </w:r>
      <w:r w:rsidR="009310EF">
        <w:fldChar w:fldCharType="begin" w:fldLock="1"/>
      </w:r>
      <w:r w:rsidR="00EB217C">
        <w:instrText>ADDIN CSL_CITATION {"citationItems":[{"id":"ITEM-1","itemData":{"author":[{"dropping-particle":"","family":"NICE","given":"","non-dropping-particle":"","parse-names":false,"suffix":""}],"id":"ITEM-1","issued":{"date-parts":[["2021"]]},"publisher":"National Institute for Health and Care Excellence (NICE)","publisher-place":"London","title":"Shared decision making","type":"article"},"suppress-author":1,"uris":["http://www.mendeley.com/documents/?uuid=27851613-dc75-4d4c-82ef-6843815fb20d"]}],"mendeley":{"formattedCitation":"(2021)","plainTextFormattedCitation":"(2021)","previouslyFormattedCitation":"(2021)"},"properties":{"noteIndex":0},"schema":"https://github.com/citation-style-language/schema/raw/master/csl-citation.json"}</w:instrText>
      </w:r>
      <w:r w:rsidR="009310EF">
        <w:fldChar w:fldCharType="separate"/>
      </w:r>
      <w:r w:rsidR="009310EF" w:rsidRPr="009310EF">
        <w:rPr>
          <w:noProof/>
        </w:rPr>
        <w:t>(2021)</w:t>
      </w:r>
      <w:r w:rsidR="009310EF">
        <w:fldChar w:fldCharType="end"/>
      </w:r>
      <w:r w:rsidRPr="002B6402">
        <w:t xml:space="preserve"> describes PCC as a duty to support choice, dignity</w:t>
      </w:r>
      <w:r w:rsidR="00303DBB">
        <w:t>,</w:t>
      </w:r>
      <w:r w:rsidRPr="002B6402">
        <w:t xml:space="preserve"> and emotional well-being. In residential dementia care, this approach is important because memory loss, confusion and communication changes can reduce a person’s ability to express their own needs. </w:t>
      </w:r>
      <w:r w:rsidR="00CE3B81">
        <w:t xml:space="preserve">Therefore, </w:t>
      </w:r>
      <w:r w:rsidRPr="002B6402">
        <w:t>PCC aims to protect the person’s sense of self when cognitive abilities decline.</w:t>
      </w:r>
    </w:p>
    <w:p w14:paraId="007E1F93" w14:textId="5F63E0DB" w:rsidR="002B6402" w:rsidRDefault="00C60EED" w:rsidP="00EB217C">
      <w:r>
        <w:t xml:space="preserve">In dementia care, PCC has many benefits, starting from how it </w:t>
      </w:r>
      <w:r w:rsidR="002B6402" w:rsidRPr="002B6402">
        <w:t xml:space="preserve">reduces </w:t>
      </w:r>
      <w:r w:rsidR="007F61C1">
        <w:t xml:space="preserve">patient </w:t>
      </w:r>
      <w:r w:rsidR="002B6402" w:rsidRPr="002B6402">
        <w:t>agitation</w:t>
      </w:r>
      <w:r w:rsidR="007F61C1">
        <w:t>, especially</w:t>
      </w:r>
      <w:r w:rsidR="002B6402" w:rsidRPr="002B6402">
        <w:t xml:space="preserve"> when routines reflect the resident’s habits and preferences. </w:t>
      </w:r>
      <w:r w:rsidR="00EB217C">
        <w:t xml:space="preserve">According to </w:t>
      </w:r>
      <w:r w:rsidR="00EB217C" w:rsidRPr="00EB217C">
        <w:rPr>
          <w:noProof/>
        </w:rPr>
        <w:t>Edberg and Backman</w:t>
      </w:r>
      <w:r w:rsidR="00EB217C">
        <w:t xml:space="preserve"> </w:t>
      </w:r>
      <w:r w:rsidR="00EB217C">
        <w:fldChar w:fldCharType="begin" w:fldLock="1"/>
      </w:r>
      <w:r w:rsidR="00A441B2">
        <w:instrText>ADDIN CSL_CITATION {"citationItems":[{"id":"ITEM-1","itemData":{"DOI":"10.2196/76185","ISSN":"19290748","abstract":"Background: Although the benefits of person-centered care (PCC) are widely recognized, there is a lack of empirical research on how PCC is best developed and implemented by the leaders responsible for driving such initiatives. To achieve meaningful change and ensure the sustainability of PCC practices, it is crucial to understand how leaders can foster care environments rooted in person-centered values while managing operational challenges. This knowledge gap highlights the need for an in-depth exploration of the conceptual foundations, experiences, mechanisms, strategies, and outcomes of person-centered leadership (PCL) to design an intervention for strengthening such leadership. Objective: The Person-Centered Care and Leadership in Residential Care Facilities (PERLE) study aims to (1) explore and develop tools to measure PCL; (2) develop, test, implement, and investigate the effects of an intervention to strengthen PCL in residential care facilities (RCFs) for older people; and (3) generate knowledge about the process of development and implementation of the intervention. Methods: The PERLE study builds on the Medical Research Council framework for the development of complex interventions. It includes several studies with exploratory, descriptive, correlational, and quasi-experimental designs and is based on the research group’s previous research on PCL. The project is composed of 5 work packages (WPs). Each WP includes research questions with different samples; data collection; and methodological approaches, such as qualitative, mixed methods, and quantitative studies. As this project involves sensitive issues, a high level of ethical awareness was maintained throughout. The primary challenge is the possible interference with participants’ work time, which could otherwise be devoted to supporting older people and staff. Nevertheless, the involvement of leaders and staff can lead to valuable knowledge that can improve the quality of PCC. Participants will be provided with both oral and written information about the study and assured of their right to withdraw at any time without providing a reason. Results: As of July 2025, 6 studies in WP I have been conducted, and one is in progress. The conducted studies address leaders’ understanding of PCC, the meaning of PCL in RCFs from the perspective of leaders, the ethical challenges in providing PCC during the COVID-19 pandemic, and the cultural adaptation of the aged care clinical leadership qualities fram…","author":[{"dropping-particle":"","family":"Edberg","given":"Anna Karin","non-dropping-particle":"","parse-names":false,"suffix":""},{"dropping-particle":"","family":"Backman","given":"Annica","non-dropping-particle":"","parse-names":false,"suffix":""}],"container-title":"JMIR Research Protocols","id":"ITEM-1","issued":{"date-parts":[["2025"]]},"page":"e76185","title":"A Complex Intervention to Strengthen Person-Centered Care and Leadership in Residential Care Facilities (the PERLE Study): Protocol for a Development and Implementation Study","type":"article-journal","volume":"14"},"suppress-author":1,"uris":["http://www.mendeley.com/documents/?uuid=7cb143b5-c870-460d-8b40-2edcc9362a6b"]}],"mendeley":{"formattedCitation":"(2025)","plainTextFormattedCitation":"(2025)","previouslyFormattedCitation":"(2025)"},"properties":{"noteIndex":0},"schema":"https://github.com/citation-style-language/schema/raw/master/csl-citation.json"}</w:instrText>
      </w:r>
      <w:r w:rsidR="00EB217C">
        <w:fldChar w:fldCharType="separate"/>
      </w:r>
      <w:r w:rsidR="00EB217C" w:rsidRPr="00EB217C">
        <w:rPr>
          <w:noProof/>
        </w:rPr>
        <w:t>(2025)</w:t>
      </w:r>
      <w:r w:rsidR="00EB217C">
        <w:fldChar w:fldCharType="end"/>
      </w:r>
      <w:r w:rsidR="00EB217C">
        <w:t xml:space="preserve">, it also </w:t>
      </w:r>
      <w:r w:rsidR="002B6402" w:rsidRPr="002B6402">
        <w:t>strengthens trust between staff and residents, which supports personal care tasks</w:t>
      </w:r>
      <w:r w:rsidR="00EB217C">
        <w:t xml:space="preserve">, and </w:t>
      </w:r>
      <w:r w:rsidR="002B6402" w:rsidRPr="002B6402">
        <w:t xml:space="preserve">helps families feel confident that the home understands their relative as a whole person rather than as a set of tasks. </w:t>
      </w:r>
      <w:r w:rsidR="007B544F">
        <w:t xml:space="preserve">PCC has also been shown to </w:t>
      </w:r>
      <w:r w:rsidR="002B6402" w:rsidRPr="002B6402">
        <w:t>improve residents’ emotional well-being by supporting identity and agency, even when the resident cannot recall events or make complex decisions</w:t>
      </w:r>
      <w:r w:rsidR="00A441B2">
        <w:t xml:space="preserve"> </w:t>
      </w:r>
      <w:r w:rsidR="00A441B2">
        <w:fldChar w:fldCharType="begin" w:fldLock="1"/>
      </w:r>
      <w:r w:rsidR="00F96869">
        <w:instrText>ADDIN CSL_CITATION {"citationItems":[{"id":"ITEM-1","itemData":{"DOI":"10.3390/healthcare13121379","ISSN":"22279032","abstract":"Background: As the global population ages, there is an increasing focus on enhancing the psychological well-being of older adults. A key strategy is person-centred care, which emphasises recognising each individual as unique, with their values, needs, and preferences. This study explored older adults’ perceptions of person-centred care and its relationship with their general health and psychological well-being. Methods: A cross-sectional study involving 632 participants aged 65 to 96 years (mean age = 73.4 ± 6.7) was conducted, comprising 435 (69%) female and 197 (31%) male participants. Of these, 57% lived in home environments, while 43% resided in retirement homes. Data were collected using a self-report questionnaire that included the General Health Questionnaire (GHQ-12), the Warwick–Edinburgh Mental Wellbeing Scale (WEMWBS), and the Person-Centred Practice Inventory for Service Users (PCPI-SU). Data analysis was performed using SPSS Statistics 28.0, and non-parametric tests such as the Kruskal–Wallis test, Mann–Whitney U test, and Spearman’s correlation were used. Results: Older adults who reported more frequent contact with relatives or loved ones (daily or several times per week) and those residing in home environments perceived significantly higher levels of person-centred care compared to those with less frequent contact and those living in retirement homes (p &lt; 0.001 for both variables). General health varied significantly according to gender (p = 0.009), level of education (p &lt; 0.001), and living environment (p = 0.004), while psychological well-being among older adults showed significant differences based solely on their level of education (p &lt; 0.001). Regression analysis revealed that person-centred care (p = 0.017) and monthly income (p &lt; 0.001) were significantly associated with the psychological well-being of older adults, independent of their living environment. Conclusions: The findings suggest that person-centred care and monthly income significantly predict psychological well-being among older adults. Differences in perceived care and health outcomes were also observed based on gender, education level, and living environment. These results underscore the importance of promoting person-centred care practices, particularly in retirement home settings, to enhance psychological well-being in older adult populations.","author":[{"dropping-particle":"","family":"Lorber","given":"Mateja","non-dropping-particle":"","parse-names":false,"suffix":""},{"dropping-particle":"","family":"Mlinar Reljić","given":"Nataša","non-dropping-particle":"","parse-names":false,"suffix":""},{"dropping-particle":"","family":"McCormack","given":"Brendan","non-dropping-particle":"","parse-names":false,"suffix":""},{"dropping-particle":"","family":"Kmetec","given":"Sergej","non-dropping-particle":"","parse-names":false,"suffix":""}],"container-title":"Healthcare (Switzerland)","id":"ITEM-1","issue":"12","issued":{"date-parts":[["2025"]]},"page":"1379","title":"Person-Centred Care in Association with Psychological Well-Being of Older Adults","type":"article-journal","volume":"13"},"uris":["http://www.mendeley.com/documents/?uuid=b6fddafb-e9eb-4621-a164-de2159dd3900"]}],"mendeley":{"formattedCitation":"(Lorber &lt;i&gt;et al.&lt;/i&gt;, 2025)","plainTextFormattedCitation":"(Lorber et al., 2025)","previouslyFormattedCitation":"(Lorber &lt;i&gt;et al.&lt;/i&gt;, 2025)"},"properties":{"noteIndex":0},"schema":"https://github.com/citation-style-language/schema/raw/master/csl-citation.json"}</w:instrText>
      </w:r>
      <w:r w:rsidR="00A441B2">
        <w:fldChar w:fldCharType="separate"/>
      </w:r>
      <w:r w:rsidR="00A441B2" w:rsidRPr="00A441B2">
        <w:rPr>
          <w:noProof/>
        </w:rPr>
        <w:t xml:space="preserve">(Lorber </w:t>
      </w:r>
      <w:r w:rsidR="00A441B2" w:rsidRPr="00A441B2">
        <w:rPr>
          <w:i/>
          <w:noProof/>
        </w:rPr>
        <w:t>et al.</w:t>
      </w:r>
      <w:r w:rsidR="00A441B2" w:rsidRPr="00A441B2">
        <w:rPr>
          <w:noProof/>
        </w:rPr>
        <w:t>, 2025)</w:t>
      </w:r>
      <w:r w:rsidR="00A441B2">
        <w:fldChar w:fldCharType="end"/>
      </w:r>
      <w:r w:rsidR="002B6402" w:rsidRPr="002B6402">
        <w:t>.</w:t>
      </w:r>
    </w:p>
    <w:p w14:paraId="7BB4B03F" w14:textId="6A3C8E3D" w:rsidR="0057649F" w:rsidRDefault="00A441B2" w:rsidP="002B6402">
      <w:r>
        <w:t xml:space="preserve">However, PCC also has limitations, like </w:t>
      </w:r>
      <w:r w:rsidR="00866A2C">
        <w:t xml:space="preserve">how it is </w:t>
      </w:r>
      <w:r w:rsidR="002B6402" w:rsidRPr="002B6402">
        <w:t>difficult to deliver in daily practice</w:t>
      </w:r>
      <w:r w:rsidR="00866A2C">
        <w:t xml:space="preserve"> because h</w:t>
      </w:r>
      <w:r w:rsidR="002B6402" w:rsidRPr="002B6402">
        <w:t>igh resident-to-staff ratios limit the time available for one-to-one interaction</w:t>
      </w:r>
      <w:r w:rsidR="00F96869">
        <w:t xml:space="preserve"> </w:t>
      </w:r>
      <w:r w:rsidR="00F96869">
        <w:fldChar w:fldCharType="begin" w:fldLock="1"/>
      </w:r>
      <w:r w:rsidR="002A5F85">
        <w:instrText>ADDIN CSL_CITATION {"citationItems":[{"id":"ITEM-1","itemData":{"DOI":"10.1093/geront/gnac027","ISSN":"17585341","PMID":"35176167","abstract":"Background and Objectives: Globally, a culture change in long-term residential care (LTRC) moving toward person-centered care (PCC) has occurred in an attempt to improve resident quality of life (QoL). However, a clear understanding of how different aspects contributing to a PCC approach are interrelated with resident QoL is still lacking. This review explores interrelating aspects between PCC and QoL in LTRC using qualitative synthesis. Research Design and Methods: Ten relevant primary studies were identified from a search of interdisciplinary research databases providing qualitative information. Studies were critically reviewed for key themes and concepts by the research team. We used a meta-ethnography approach to inductively interpret findings across multiple studies and reinterpreted the information using a constructivist approach. Results: We identified 5 second-order constructs sharing commonalities suggesting interrelations between PCC and QoL: (a) maintaining dignity, autonomy, and independence; (b) knowing the whole person; (c) creating a “homelike” environment; (d) establishing a caring culture; and (e) integrating families and nurturing internal and external relationships. Synthesis translation led to the following third-order constructs: (a) personalizing care within routines, (b) optimizing resident environments, and (c) giving residents a voice. Discussion and Implications: There are many interrelating aspects of PCC and QoL following a permanent transition into LTRC, but successful implementation of PCC, which enhances QoL, presents challenges due to organizational routines and constraints. However, by prioritizing resident voices to include their needs and preferences in care, QoL can be supported following a transition into LTRC.","author":[{"dropping-particle":"","family":"Davies","given":"Megan","non-dropping-particle":"","parse-names":false,"suffix":""},{"dropping-particle":"","family":"Zúñiga","given":"Franziska","non-dropping-particle":"","parse-names":false,"suffix":""},{"dropping-particle":"","family":"Verbeek","given":"Hilde","non-dropping-particle":"","parse-names":false,"suffix":""},{"dropping-particle":"","family":"Simon","given":"Michael","non-dropping-particle":"","parse-names":false,"suffix":""},{"dropping-particle":"","family":"Staudacher","given":"Sandra","non-dropping-particle":"","parse-names":false,"suffix":""}],"container-title":"Gerontologist","id":"ITEM-1","issue":"4","issued":{"date-parts":[["2023"]]},"page":"660-673","title":"Exploring Interrelations Between Person-Centered Care and Quality of Life Following a Transition Into Long-Term Residential Care: A Meta-Ethnography","type":"article-journal","volume":"63"},"uris":["http://www.mendeley.com/documents/?uuid=7c06d3c0-6a0a-4cda-a0dc-55f8b5635fb8"]}],"mendeley":{"formattedCitation":"(Davies &lt;i&gt;et al.&lt;/i&gt;, 2023)","plainTextFormattedCitation":"(Davies et al., 2023)","previouslyFormattedCitation":"(Davies &lt;i&gt;et al.&lt;/i&gt;, 2023)"},"properties":{"noteIndex":0},"schema":"https://github.com/citation-style-language/schema/raw/master/csl-citation.json"}</w:instrText>
      </w:r>
      <w:r w:rsidR="00F96869">
        <w:fldChar w:fldCharType="separate"/>
      </w:r>
      <w:r w:rsidR="00F96869" w:rsidRPr="00F96869">
        <w:rPr>
          <w:noProof/>
        </w:rPr>
        <w:t xml:space="preserve">(Davies </w:t>
      </w:r>
      <w:r w:rsidR="00F96869" w:rsidRPr="00F96869">
        <w:rPr>
          <w:i/>
          <w:noProof/>
        </w:rPr>
        <w:t>et al.</w:t>
      </w:r>
      <w:r w:rsidR="00F96869" w:rsidRPr="00F96869">
        <w:rPr>
          <w:noProof/>
        </w:rPr>
        <w:t>, 2023)</w:t>
      </w:r>
      <w:r w:rsidR="00F96869">
        <w:fldChar w:fldCharType="end"/>
      </w:r>
      <w:r w:rsidR="002B6402" w:rsidRPr="002B6402">
        <w:t>.</w:t>
      </w:r>
      <w:r w:rsidR="00F96869">
        <w:t xml:space="preserve"> Normally,</w:t>
      </w:r>
      <w:r w:rsidR="002B6402" w:rsidRPr="002B6402">
        <w:t xml:space="preserve"> </w:t>
      </w:r>
      <w:r w:rsidR="00F96869">
        <w:t>s</w:t>
      </w:r>
      <w:r w:rsidR="002B6402" w:rsidRPr="002B6402">
        <w:t xml:space="preserve">taff focus on essential tasks </w:t>
      </w:r>
      <w:r w:rsidR="007E0CE9">
        <w:t xml:space="preserve">like </w:t>
      </w:r>
      <w:r w:rsidR="002B6402" w:rsidRPr="002B6402">
        <w:t xml:space="preserve">washing, dressing and feeding because </w:t>
      </w:r>
      <w:r w:rsidR="002B6402" w:rsidRPr="002B6402">
        <w:lastRenderedPageBreak/>
        <w:t xml:space="preserve">these tasks must be completed within a set shift. </w:t>
      </w:r>
      <w:r w:rsidR="0057649F">
        <w:t>Thus</w:t>
      </w:r>
      <w:r w:rsidR="002B6402" w:rsidRPr="002B6402">
        <w:t xml:space="preserve">, PCC may appear in care plans but may not </w:t>
      </w:r>
      <w:r w:rsidR="0057649F">
        <w:t>affect</w:t>
      </w:r>
      <w:r w:rsidR="002B6402" w:rsidRPr="002B6402">
        <w:t xml:space="preserve"> daily routines.</w:t>
      </w:r>
    </w:p>
    <w:p w14:paraId="018DEF0C" w14:textId="397D758F" w:rsidR="002B6402" w:rsidRPr="002B6402" w:rsidRDefault="002B6402" w:rsidP="002B6402">
      <w:r w:rsidRPr="002B6402">
        <w:t xml:space="preserve">Risk management also affects PCC. </w:t>
      </w:r>
      <w:r w:rsidR="002A5F85">
        <w:t>It is common for s</w:t>
      </w:r>
      <w:r w:rsidRPr="002B6402">
        <w:t>taff avoid shared decision-making because they fear blame if a resident is harmed</w:t>
      </w:r>
      <w:r w:rsidR="002A5F85">
        <w:t xml:space="preserve"> </w:t>
      </w:r>
      <w:r w:rsidR="002A5F85">
        <w:fldChar w:fldCharType="begin" w:fldLock="1"/>
      </w:r>
      <w:r w:rsidR="00441B44">
        <w:instrText>ADDIN CSL_CITATION {"citationItems":[{"id":"ITEM-1","itemData":{"DOI":"10.1017/S0144686X21001215","ISSN":"14691779","abstract":"Person-centred care (PCC) in residential care facilities (RCFs) is valuable but creates challenges for care professionals balancing involvement and a partnership approach for residents while considering the health and safety outcomes of all residents. This review evaluates what is known about the substance use and misuse of residents living in RCFs and what is important to study in future research to enhance PCC, especially in cases in which residents wish to choose unhealthy behaviours. A scoping review was conducted and exclusion criteria were set. The included papers were assessed on methodological quality using the Mixed Methods Appraisal Tool and the results were qualitatively analysed. The included papers consisted of studies regarding alcohol, tobacco and illicit drugs. The results showed that care professionals are involved in facilitating and regulating alcohol and tobacco. The focus of the included papers is on alcohol and tobacco. Five of the 16 papers assessed the residents' perspective. This review highlights the importance of incorporating the perspectives of residents, care professionals and the organisation to enhance PCC and enable residents to make shared and well-informed decisions in dialogue with care professionals. Future research should also assess the distinction between substance use and misuse, and how this affects implementing PCC in RCFs.","author":[{"dropping-particle":"","family":"Graaf","given":"Lisette","non-dropping-particle":"De","parse-names":false,"suffix":""},{"dropping-particle":"","family":"Janssen","given":"Meriam","non-dropping-particle":"","parse-names":false,"suffix":""},{"dropping-particle":"","family":"Roelofs","given":"Tineke","non-dropping-particle":"","parse-names":false,"suffix":""},{"dropping-particle":"","family":"Luijkx","given":"Katrien","non-dropping-particle":"","parse-names":false,"suffix":""}],"container-title":"Ageing and Society","id":"ITEM-1","issue":"6","issued":{"date-parts":[["2023"]]},"page":"1457-1483","title":"Substance use and misuse of older adults living in residential care facilities: a scoping review from a person-centred care approach","type":"article-journal","volume":"43"},"uris":["http://www.mendeley.com/documents/?uuid=6940ebd9-a693-42f7-9ec5-8d0e7543ab23"]}],"mendeley":{"formattedCitation":"(De Graaf &lt;i&gt;et al.&lt;/i&gt;, 2023)","plainTextFormattedCitation":"(De Graaf et al., 2023)","previouslyFormattedCitation":"(De Graaf &lt;i&gt;et al.&lt;/i&gt;, 2023)"},"properties":{"noteIndex":0},"schema":"https://github.com/citation-style-language/schema/raw/master/csl-citation.json"}</w:instrText>
      </w:r>
      <w:r w:rsidR="002A5F85">
        <w:fldChar w:fldCharType="separate"/>
      </w:r>
      <w:r w:rsidR="002A5F85" w:rsidRPr="002A5F85">
        <w:rPr>
          <w:noProof/>
        </w:rPr>
        <w:t xml:space="preserve">(De Graaf </w:t>
      </w:r>
      <w:r w:rsidR="002A5F85" w:rsidRPr="002A5F85">
        <w:rPr>
          <w:i/>
          <w:noProof/>
        </w:rPr>
        <w:t>et al.</w:t>
      </w:r>
      <w:r w:rsidR="002A5F85" w:rsidRPr="002A5F85">
        <w:rPr>
          <w:noProof/>
        </w:rPr>
        <w:t>, 2023)</w:t>
      </w:r>
      <w:r w:rsidR="002A5F85">
        <w:fldChar w:fldCharType="end"/>
      </w:r>
      <w:r w:rsidRPr="002B6402">
        <w:t>. Advanced dementia creates further challenges because the resident may not use words to express pain, fear or preferences, and staff need specific skills to interpret behaviour</w:t>
      </w:r>
      <w:r w:rsidR="00441B44">
        <w:t xml:space="preserve"> </w:t>
      </w:r>
      <w:r w:rsidR="00441B44">
        <w:fldChar w:fldCharType="begin" w:fldLock="1"/>
      </w:r>
      <w:r w:rsidR="00441B44">
        <w:instrText>ADDIN CSL_CITATION {"citationItems":[{"id":"ITEM-1","itemData":{"DOI":"10.3310/hsdr09190","ISSN":"2050-4349","abstract":"Background Care home staff have a critical bearing on quality. The staff employed, the training they receive and how well they identify and manage residents’ needs are likely to influence outcomes. The Care Act 2014 (Great Britain. The Care Act 2014. London: The Stationery Office; 2014) requires services to improve ‘well-being’, but many residents cannot self-report and are at risk of exclusion from giving their views. The Adult Social Care Outcomes Toolkit enables social care-related quality of life to be measured using a mixed-methods approach. There is currently no equivalent way of measuring aspects of residents’ health-related quality of life. We developed new tools for measuring pain, anxiety and depression using a mixed-methods approach. We also explored the relationship between care home quality, residents’ outcomes, and the skill mix and employment conditions of the workforce who support them. Objectives The objectives were to develop and test measures of pain, anxiety and depression for residents unable to self-report; to assess the extent to which regulator quality ratings reflect residents’ care-related quality of life; and to assess the relationship between aspects of the staffing of care homes and the quality of care homes. Design This was a mixed-methods study. Setting The setting was care homes for older adults in England. Participants Care home residents participated. Results Three measures of pain, anxiety and low mood were developed and tested, using a mixed-methods approach, with 182 care home residents in 20 care homes (nursing and residential). Psychometric testing found that the measures had good construct validity. The mixed-methods approach was both feasible and necessary with this population, as the majority of residents could not self-report. Using a combined data set (n = 475 residents in 54 homes) from this study and the Measuring Outcomes in Care Homes study (Towers AM, Palmer S, Smith N, Collins G, Allan S. A cross-sectional study exploring the relationship between regulator quality ratings and care home residents’ quality of life in England. Health Qual Life Outcomes 2019;17:22) we found a significant positive association between residents’ social care-related quality of life and regulator (i.e. Care Quality Commission) quality ratings. Multivariate regression revealed that homes rated ‘good/outstanding’ are associated with a 12% improvement in mean current social care-related quality of life among residents who have high…","author":[{"dropping-particle":"","family":"Towers","given":"Ann-Marie","non-dropping-particle":"","parse-names":false,"suffix":""},{"dropping-particle":"","family":"Smith","given":"Nick","non-dropping-particle":"","parse-names":false,"suffix":""},{"dropping-particle":"","family":"Allan","given":"Stephen","non-dropping-particle":"","parse-names":false,"suffix":""},{"dropping-particle":"","family":"Vadean","given":"Florin","non-dropping-particle":"","parse-names":false,"suffix":""},{"dropping-particle":"","family":"Collins","given":"Grace","non-dropping-particle":"","parse-names":false,"suffix":""},{"dropping-particle":"","family":"Rand","given":"Stacey","non-dropping-particle":"","parse-names":false,"suffix":""},{"dropping-particle":"","family":"Bostock","given":"Jennifer","non-dropping-particle":"","parse-names":false,"suffix":""},{"dropping-particle":"","family":"Ramsbottom","given":"Helen","non-dropping-particle":"","parse-names":false,"suffix":""},{"dropping-particle":"","family":"Forder","given":"Julien","non-dropping-particle":"","parse-names":false,"suffix":""},{"dropping-particle":"","family":"Lanza","given":"Stefania","non-dropping-particle":"","parse-names":false,"suffix":""},{"dropping-particle":"","family":"Cassell","given":"Jackie","non-dropping-particle":"","parse-names":false,"suffix":""}],"container-title":"Health Services and Delivery Research","id":"ITEM-1","issue":"19","issued":{"date-parts":[["2021"]]},"title":"Care home residents’ quality of life and its association with CQC ratings and workforce issues: the MiCareHQ mixed-methods study","type":"article-journal","volume":"9"},"uris":["http://www.mendeley.com/documents/?uuid=60b2d40e-08c2-4a08-aac0-e2459d6168af"]}],"mendeley":{"formattedCitation":"(Towers &lt;i&gt;et al.&lt;/i&gt;, 2021)","plainTextFormattedCitation":"(Towers et al., 2021)","previouslyFormattedCitation":"(Towers &lt;i&gt;et al.&lt;/i&gt;, 2021)"},"properties":{"noteIndex":0},"schema":"https://github.com/citation-style-language/schema/raw/master/csl-citation.json"}</w:instrText>
      </w:r>
      <w:r w:rsidR="00441B44">
        <w:fldChar w:fldCharType="separate"/>
      </w:r>
      <w:r w:rsidR="00441B44" w:rsidRPr="00441B44">
        <w:rPr>
          <w:noProof/>
        </w:rPr>
        <w:t xml:space="preserve">(Towers </w:t>
      </w:r>
      <w:r w:rsidR="00441B44" w:rsidRPr="00441B44">
        <w:rPr>
          <w:i/>
          <w:noProof/>
        </w:rPr>
        <w:t>et al.</w:t>
      </w:r>
      <w:r w:rsidR="00441B44" w:rsidRPr="00441B44">
        <w:rPr>
          <w:noProof/>
        </w:rPr>
        <w:t>, 2021)</w:t>
      </w:r>
      <w:r w:rsidR="00441B44">
        <w:fldChar w:fldCharType="end"/>
      </w:r>
      <w:r w:rsidRPr="002B6402">
        <w:t xml:space="preserve">. Cultural and religious needs are not always addressed, and PCC sometimes assumes Western ideas of independence, which may not match all residents’ backgrounds </w:t>
      </w:r>
      <w:r w:rsidR="00441B44">
        <w:fldChar w:fldCharType="begin" w:fldLock="1"/>
      </w:r>
      <w:r w:rsidR="00B73FCB">
        <w:instrText>ADDIN CSL_CITATION {"citationItems":[{"id":"ITEM-1","itemData":{"author":[{"dropping-particle":"","family":"Equality Act","given":"","non-dropping-particle":"","parse-names":false,"suffix":""}],"id":"ITEM-1","issued":{"date-parts":[["2010"]]},"title":"Equality Act","type":"legal_case"},"uris":["http://www.mendeley.com/documents/?uuid=a4806eae-af79-4a76-8a2a-476eae78d60d"]}],"mendeley":{"formattedCitation":"(Equality Act, 2010)","plainTextFormattedCitation":"(Equality Act, 2010)","previouslyFormattedCitation":"(Equality Act, 2010)"},"properties":{"noteIndex":0},"schema":"https://github.com/citation-style-language/schema/raw/master/csl-citation.json"}</w:instrText>
      </w:r>
      <w:r w:rsidR="00441B44">
        <w:fldChar w:fldCharType="separate"/>
      </w:r>
      <w:r w:rsidR="00441B44" w:rsidRPr="00441B44">
        <w:rPr>
          <w:noProof/>
        </w:rPr>
        <w:t>(Equality Act, 2010)</w:t>
      </w:r>
      <w:r w:rsidR="00441B44">
        <w:fldChar w:fldCharType="end"/>
      </w:r>
      <w:r w:rsidRPr="002B6402">
        <w:t>. These limits show a clear gap between the policy expectation of PCC and the reality of care homes.</w:t>
      </w:r>
    </w:p>
    <w:p w14:paraId="627CE301" w14:textId="14E51BF4" w:rsidR="00A821AE" w:rsidRPr="00225576" w:rsidRDefault="00A821AE" w:rsidP="00225576">
      <w:pPr>
        <w:pStyle w:val="Heading2"/>
        <w:numPr>
          <w:ilvl w:val="1"/>
          <w:numId w:val="25"/>
        </w:numPr>
        <w:ind w:hanging="720"/>
      </w:pPr>
      <w:r w:rsidRPr="00A821AE">
        <w:t>Kitwood’s Enriched Model of Dementia</w:t>
      </w:r>
      <w:r w:rsidR="00A44AB6">
        <w:t xml:space="preserve"> as </w:t>
      </w:r>
      <w:r w:rsidR="00A44AB6" w:rsidRPr="00A44AB6">
        <w:t>Theoretical Foundation</w:t>
      </w:r>
    </w:p>
    <w:p w14:paraId="74AA72CB" w14:textId="1A91EFFB" w:rsidR="006304D9" w:rsidRPr="006304D9" w:rsidRDefault="006304D9" w:rsidP="006304D9">
      <w:r w:rsidRPr="006304D9">
        <w:t>Kitwood’s Enriched Model of Dementia explains dementia care through the person’s psychological needs</w:t>
      </w:r>
      <w:r w:rsidR="00DC0E4C">
        <w:t xml:space="preserve">, including </w:t>
      </w:r>
      <w:r w:rsidRPr="006304D9">
        <w:t xml:space="preserve">comfort, attachment, inclusion, identity and occupation </w:t>
      </w:r>
      <w:r w:rsidR="00B73FCB">
        <w:fldChar w:fldCharType="begin" w:fldLock="1"/>
      </w:r>
      <w:r w:rsidR="009D3555">
        <w:instrText>ADDIN CSL_CITATION {"citationItems":[{"id":"ITEM-1","itemData":{"author":[{"dropping-particle":"","family":"Kitwood","given":"T.","non-dropping-particle":"","parse-names":false,"suffix":""}],"id":"ITEM-1","issued":{"date-parts":[["1997"]]},"publisher":"Open University Press","publisher-place":"Buckingham","title":"Dementia reconsidered: The person comes first","type":"book"},"uris":["http://www.mendeley.com/documents/?uuid=00dfdf93-33eb-49d9-988f-ac0170cafd3c"]}],"mendeley":{"formattedCitation":"(Kitwood, 1997)","plainTextFormattedCitation":"(Kitwood, 1997)","previouslyFormattedCitation":"(Kitwood, 1997)"},"properties":{"noteIndex":0},"schema":"https://github.com/citation-style-language/schema/raw/master/csl-citation.json"}</w:instrText>
      </w:r>
      <w:r w:rsidR="00B73FCB">
        <w:fldChar w:fldCharType="separate"/>
      </w:r>
      <w:r w:rsidR="00B73FCB" w:rsidRPr="00B73FCB">
        <w:rPr>
          <w:noProof/>
        </w:rPr>
        <w:t>(Kitwood, 1997)</w:t>
      </w:r>
      <w:r w:rsidR="00B73FCB">
        <w:fldChar w:fldCharType="end"/>
      </w:r>
      <w:r w:rsidRPr="006304D9">
        <w:t xml:space="preserve">. </w:t>
      </w:r>
      <w:r w:rsidR="00D83C1D">
        <w:t xml:space="preserve">The argument is that </w:t>
      </w:r>
      <w:r w:rsidRPr="006304D9">
        <w:t>these needs remain important even when memory and communication decline. Staff should therefore support the person’s emotional world and protect their sense of identity. Kitwood also introduced the idea of “malignant social psychology</w:t>
      </w:r>
      <w:r w:rsidR="00200C69">
        <w:t>,</w:t>
      </w:r>
      <w:r w:rsidRPr="006304D9">
        <w:t>”</w:t>
      </w:r>
      <w:r w:rsidR="00200C69">
        <w:t xml:space="preserve"> which is </w:t>
      </w:r>
      <w:r w:rsidRPr="006304D9">
        <w:t xml:space="preserve">behaviour that harms a resident’s personhood, </w:t>
      </w:r>
      <w:r w:rsidR="00200C69">
        <w:t xml:space="preserve">like </w:t>
      </w:r>
      <w:r w:rsidRPr="006304D9">
        <w:t>rushing, ignoring, controlling choices or focusing only on tasks.</w:t>
      </w:r>
    </w:p>
    <w:p w14:paraId="4A02CA2F" w14:textId="445273E4" w:rsidR="006304D9" w:rsidRDefault="006304D9" w:rsidP="006304D9">
      <w:r w:rsidRPr="006304D9">
        <w:t>The model has clear strengths</w:t>
      </w:r>
      <w:r w:rsidR="00916E7B">
        <w:t>, like how i</w:t>
      </w:r>
      <w:r w:rsidRPr="006304D9">
        <w:t xml:space="preserve">t explains why relational care is essential in dementia settings. </w:t>
      </w:r>
      <w:r w:rsidR="009D3555">
        <w:t xml:space="preserve">According to </w:t>
      </w:r>
      <w:r w:rsidR="00E649A8" w:rsidRPr="00E649A8">
        <w:rPr>
          <w:noProof/>
        </w:rPr>
        <w:t xml:space="preserve">Kelly </w:t>
      </w:r>
      <w:r w:rsidR="00E649A8" w:rsidRPr="00E649A8">
        <w:rPr>
          <w:i/>
          <w:noProof/>
        </w:rPr>
        <w:t>et al.</w:t>
      </w:r>
      <w:r w:rsidR="00E649A8">
        <w:rPr>
          <w:i/>
          <w:noProof/>
        </w:rPr>
        <w:t xml:space="preserve"> </w:t>
      </w:r>
      <w:r w:rsidR="009D3555">
        <w:fldChar w:fldCharType="begin" w:fldLock="1"/>
      </w:r>
      <w:r w:rsidR="00571CBB">
        <w:instrText>ADDIN CSL_CITATION {"citationItems":[{"id":"ITEM-1","itemData":{"DOI":"10.1093/mtp/miad015","abstract":"Person-centered dementia care has been extensively integrated into music therapy practice; its central aim being to meet the core psychological needs of people with dementia, uphold personhood, and contribute to enhanced quality of life. Furthermore, Kitwood’s model has been widely referenced as the theoretical framework underpinning multiple studies with people with dementia. However, few studies explore it in more concrete terms, expand on how it is implemented in practice, or describe how “positive person work” can be facilitated in music therapy with this population. This paper aims to address these lacunae, by presenting a comprehensive overview of Kitwood’s model; identifying how it has informed music therapy practice, and highlighting current applications of “person-centered music therapy” in relation to meeting the core psychological needs of people with dementia. Furthermore, the authors present practical considerations on facilitating “positive person work” in music therapy, drawing on their experiences of providing music therapy in dementia care.","author":[{"dropping-particle":"","family":"Kelly","given":"Lisa","non-dropping-particle":"","parse-names":false,"suffix":""},{"dropping-particle":"","family":"Ahessy","given":"Bill","non-dropping-particle":"","parse-names":false,"suffix":""},{"dropping-particle":"","family":"Richardson","given":"Ita","non-dropping-particle":"","parse-names":false,"suffix":""},{"dropping-particle":"","family":"Moss","given":"Hilary","non-dropping-particle":"","parse-names":false,"suffix":""}],"container-title":"Music Therapy Perspectives","id":"ITEM-1","issue":"2","issued":{"date-parts":[["2023"]]},"page":"198-206","title":"Aligning Kitwood's Model of Person-Centered Dementia Care with Music Therapy Practice","type":"article-journal","volume":"41"},"suppress-author":1,"uris":["http://www.mendeley.com/documents/?uuid=373f5afb-9712-4c1b-80ac-683ca4986de9"]}],"mendeley":{"formattedCitation":"(2023)","plainTextFormattedCitation":"(2023)","previouslyFormattedCitation":"(2023)"},"properties":{"noteIndex":0},"schema":"https://github.com/citation-style-language/schema/raw/master/csl-citation.json"}</w:instrText>
      </w:r>
      <w:r w:rsidR="009D3555">
        <w:fldChar w:fldCharType="separate"/>
      </w:r>
      <w:r w:rsidR="00A34314" w:rsidRPr="00A34314">
        <w:rPr>
          <w:noProof/>
        </w:rPr>
        <w:t>(2023)</w:t>
      </w:r>
      <w:r w:rsidR="009D3555">
        <w:fldChar w:fldCharType="end"/>
      </w:r>
      <w:r w:rsidR="009D3555">
        <w:t xml:space="preserve">, </w:t>
      </w:r>
      <w:r w:rsidR="00A34314">
        <w:t>i</w:t>
      </w:r>
      <w:r w:rsidRPr="006304D9">
        <w:t>t shows that emotional needs are as important as physical needs</w:t>
      </w:r>
      <w:r w:rsidR="00A34314">
        <w:t xml:space="preserve">, thereby </w:t>
      </w:r>
      <w:r w:rsidRPr="006304D9">
        <w:t>form</w:t>
      </w:r>
      <w:r w:rsidR="000F4468">
        <w:t>ing</w:t>
      </w:r>
      <w:r w:rsidRPr="006304D9">
        <w:t xml:space="preserve"> the basis of many PCC frameworks used today, including NICE dementia guidance. The model helps staff understand why routines should be flexible and why each resident’s life story matters.</w:t>
      </w:r>
    </w:p>
    <w:p w14:paraId="68135167" w14:textId="226F14B1" w:rsidR="006304D9" w:rsidRPr="006304D9" w:rsidRDefault="002267BB" w:rsidP="002267BB">
      <w:r>
        <w:t xml:space="preserve">But the model is not perfect. At least, it </w:t>
      </w:r>
      <w:r w:rsidR="00243C5E">
        <w:t xml:space="preserve">seems to ignore the </w:t>
      </w:r>
      <w:r w:rsidR="006304D9" w:rsidRPr="006304D9">
        <w:t>wider system in which care takes place</w:t>
      </w:r>
      <w:r w:rsidR="002D1968">
        <w:t xml:space="preserve">, </w:t>
      </w:r>
      <w:r w:rsidR="006304D9" w:rsidRPr="006304D9">
        <w:t>not discuss</w:t>
      </w:r>
      <w:r w:rsidR="002D1968">
        <w:t>ing</w:t>
      </w:r>
      <w:r w:rsidR="006304D9" w:rsidRPr="006304D9">
        <w:t xml:space="preserve"> staffing levels, funding limits</w:t>
      </w:r>
      <w:r w:rsidR="002D1968">
        <w:t>,</w:t>
      </w:r>
      <w:r w:rsidR="006304D9" w:rsidRPr="006304D9">
        <w:t xml:space="preserve"> or commissioning pressures</w:t>
      </w:r>
      <w:r w:rsidR="00224FA6">
        <w:t xml:space="preserve"> </w:t>
      </w:r>
      <w:r w:rsidR="00571CBB">
        <w:fldChar w:fldCharType="begin" w:fldLock="1"/>
      </w:r>
      <w:r w:rsidR="000D6DBC">
        <w:instrText>ADDIN CSL_CITATION {"citationItems":[{"id":"ITEM-1","itemData":{"DOI":"10.7748/ns.30.7.46.s47","ISSN":"20479018","PMID":"26463810","abstract":"There is a plethora of literature on person-centred care and its importance in health care. The principles of person-centred care are especially important for people living with dementia because of the clinical manifestations of the disease. This article intends to provide nurses with an overview of the work of Tom Kitwood and how it pertains to providing best practice in dementia care. Various person-centred theories have been developed. However, Kitwood's work is by far the most widely referred to in dementia care. An understanding of Kitwood's ideas, in particular those of malignant social psychology and positive person work, enables nurses to develop competence in delivering optimum person-centred care to people with dementia in clinical practice.","author":[{"dropping-particle":"","family":"Mitchell","given":"Gary","non-dropping-particle":"","parse-names":false,"suffix":""},{"dropping-particle":"","family":"Agnelli","given":"Joanne","non-dropping-particle":"","parse-names":false,"suffix":""}],"container-title":"Nursing Standard","id":"ITEM-1","issue":"7","issued":{"date-parts":[["2015"]]},"page":"46-50","title":"Person-centred care for people with dementia: Kitwood reconsidered","type":"article-journal","volume":"30"},"uris":["http://www.mendeley.com/documents/?uuid=8358f3e6-ebeb-439c-a10a-2e9aac343665"]}],"mendeley":{"formattedCitation":"(Mitchell and Agnelli, 2015)","plainTextFormattedCitation":"(Mitchell and Agnelli, 2015)","previouslyFormattedCitation":"(Mitchell and Agnelli, 2015)"},"properties":{"noteIndex":0},"schema":"https://github.com/citation-style-language/schema/raw/master/csl-citation.json"}</w:instrText>
      </w:r>
      <w:r w:rsidR="00571CBB">
        <w:fldChar w:fldCharType="separate"/>
      </w:r>
      <w:r w:rsidR="00571CBB" w:rsidRPr="00571CBB">
        <w:rPr>
          <w:noProof/>
        </w:rPr>
        <w:t>(Mitchell and Agnelli, 2015)</w:t>
      </w:r>
      <w:r w:rsidR="00571CBB">
        <w:fldChar w:fldCharType="end"/>
      </w:r>
      <w:r w:rsidR="006304D9" w:rsidRPr="006304D9">
        <w:t>.</w:t>
      </w:r>
      <w:r w:rsidR="00571CBB">
        <w:t xml:space="preserve"> However, it is</w:t>
      </w:r>
      <w:r w:rsidR="006304D9" w:rsidRPr="006304D9">
        <w:t xml:space="preserve"> </w:t>
      </w:r>
      <w:r w:rsidR="00571CBB">
        <w:t>t</w:t>
      </w:r>
      <w:r w:rsidR="006304D9" w:rsidRPr="006304D9">
        <w:t xml:space="preserve">hese structural realities </w:t>
      </w:r>
      <w:r w:rsidR="00571CBB">
        <w:t xml:space="preserve">that influence </w:t>
      </w:r>
      <w:r w:rsidR="006304D9" w:rsidRPr="006304D9">
        <w:t>daily routines</w:t>
      </w:r>
      <w:r w:rsidR="00571CBB">
        <w:t xml:space="preserve">, sometimes even </w:t>
      </w:r>
      <w:r w:rsidR="006304D9" w:rsidRPr="006304D9">
        <w:t>forc</w:t>
      </w:r>
      <w:r w:rsidR="00571CBB">
        <w:t>ing</w:t>
      </w:r>
      <w:r w:rsidR="006304D9" w:rsidRPr="006304D9">
        <w:t xml:space="preserve"> staff to prioritise speed over relationship-building. As a result, the theory is strong, but its application is restricted. </w:t>
      </w:r>
      <w:r w:rsidR="00DA60ED">
        <w:t xml:space="preserve">However, </w:t>
      </w:r>
      <w:r w:rsidR="006E0E4A">
        <w:t>any</w:t>
      </w:r>
      <w:r w:rsidR="006304D9" w:rsidRPr="006304D9">
        <w:t xml:space="preserve"> model built on relationships </w:t>
      </w:r>
      <w:r w:rsidR="006E0E4A">
        <w:t xml:space="preserve">would </w:t>
      </w:r>
      <w:r w:rsidR="006304D9" w:rsidRPr="006304D9">
        <w:t xml:space="preserve">struggle to survive in environments </w:t>
      </w:r>
      <w:r w:rsidR="006E0E4A">
        <w:t xml:space="preserve">determined </w:t>
      </w:r>
      <w:r w:rsidR="006304D9" w:rsidRPr="006304D9">
        <w:t>by time pressure, risk management</w:t>
      </w:r>
      <w:r w:rsidR="006E0E4A">
        <w:t>,</w:t>
      </w:r>
      <w:r w:rsidR="006304D9" w:rsidRPr="006304D9">
        <w:t xml:space="preserve"> and limited resources.</w:t>
      </w:r>
      <w:r w:rsidR="006E0E4A">
        <w:t xml:space="preserve"> This is the source of the </w:t>
      </w:r>
      <w:r w:rsidR="006304D9" w:rsidRPr="006304D9">
        <w:t>gap between theoretical ideals and real practice.</w:t>
      </w:r>
    </w:p>
    <w:p w14:paraId="0B6C0F1E" w14:textId="6408B28B" w:rsidR="00A821AE" w:rsidRPr="00C808E1" w:rsidRDefault="00A821AE" w:rsidP="00C808E1">
      <w:pPr>
        <w:pStyle w:val="Heading2"/>
        <w:numPr>
          <w:ilvl w:val="1"/>
          <w:numId w:val="25"/>
        </w:numPr>
        <w:ind w:hanging="720"/>
      </w:pPr>
      <w:r w:rsidRPr="00A821AE">
        <w:t>Ethical Principles and Everyday Dilemmas in Dementia Care</w:t>
      </w:r>
    </w:p>
    <w:p w14:paraId="3613E8A9" w14:textId="2E875F7D" w:rsidR="004E21AA" w:rsidRDefault="004E21AA" w:rsidP="004E21AA">
      <w:r>
        <w:t>Ethical principles guide decisions in dementia care</w:t>
      </w:r>
      <w:r w:rsidR="000D6DBC">
        <w:t xml:space="preserve">, helping </w:t>
      </w:r>
      <w:r w:rsidR="000D6DBC" w:rsidRPr="000D6DBC">
        <w:t>staff decide how to act when a resident’s wishes conflict with safety or when time limits affect how much support each resident receives</w:t>
      </w:r>
      <w:r>
        <w:t>. The four main principles are autonomy, beneficence, non-maleficence and justice</w:t>
      </w:r>
      <w:r w:rsidR="000D6DBC">
        <w:t xml:space="preserve"> </w:t>
      </w:r>
      <w:r w:rsidR="000D6DBC">
        <w:fldChar w:fldCharType="begin" w:fldLock="1"/>
      </w:r>
      <w:r w:rsidR="00B03812">
        <w:instrText>ADDIN CSL_CITATION {"citationItems":[{"id":"ITEM-1","itemData":{"DOI":"10.1159/000509119","abstract":"An overview of ethics and clinical ethics is presented in this review. The 4 main ethical principles, that is beneficence, nonmaleficence, autonomy, and justice, are defined and explained. Informed consent, truth-telling, and confidentiality spring from the principle of autonomy, and each of them is discussed. In patient care situations, not infrequently, there are conflicts between ethical principles (especially between beneficence and autonomy). A four-pronged systematic approach to ethical problem-solving and several illustrative cases of conflicts are presented. Comments following the cases highlight the ethical principles involved and clarify the resolution of these conflicts. A model for patient care, with caring as its central element, that integrates ethical aspects (intertwined with professionalism) with clinical and technical expertise desired of a physician is illustrated.","author":[{"dropping-particle":"","family":"Varkey","given":"Basil","non-dropping-particle":"","parse-names":false,"suffix":""}],"container-title":"Medical Principles and Practice","id":"ITEM-1","issued":{"date-parts":[["2021"]]},"page":"17-28","title":"Principles of Clinical Ethics and Their Application to Practice","type":"article-journal","volume":"30"},"uris":["http://www.mendeley.com/documents/?uuid=62109636-46a0-4a91-b900-ef85c0a4df3c"]}],"mendeley":{"formattedCitation":"(Varkey, 2021)","plainTextFormattedCitation":"(Varkey, 2021)","previouslyFormattedCitation":"(Varkey, 2021)"},"properties":{"noteIndex":0},"schema":"https://github.com/citation-style-language/schema/raw/master/csl-citation.json"}</w:instrText>
      </w:r>
      <w:r w:rsidR="000D6DBC">
        <w:fldChar w:fldCharType="separate"/>
      </w:r>
      <w:r w:rsidR="000D6DBC" w:rsidRPr="000D6DBC">
        <w:rPr>
          <w:noProof/>
        </w:rPr>
        <w:t>(Varkey, 2021)</w:t>
      </w:r>
      <w:r w:rsidR="000D6DBC">
        <w:fldChar w:fldCharType="end"/>
      </w:r>
      <w:r w:rsidR="000D6DBC">
        <w:t>.</w:t>
      </w:r>
      <w:r w:rsidR="00D563F5">
        <w:t xml:space="preserve"> And they can be applied easily.</w:t>
      </w:r>
    </w:p>
    <w:p w14:paraId="10297043" w14:textId="4B0193B9" w:rsidR="004E21AA" w:rsidRDefault="00D60C8F" w:rsidP="004E21AA">
      <w:r>
        <w:lastRenderedPageBreak/>
        <w:t xml:space="preserve">Assuming a </w:t>
      </w:r>
      <w:r w:rsidR="004E21AA">
        <w:t>resident with dementia wants to walk independently</w:t>
      </w:r>
      <w:r w:rsidR="001F53CB">
        <w:t>:</w:t>
      </w:r>
      <w:r>
        <w:t xml:space="preserve"> </w:t>
      </w:r>
      <w:r w:rsidR="001F53CB">
        <w:t>h</w:t>
      </w:r>
      <w:r>
        <w:t xml:space="preserve">aving </w:t>
      </w:r>
      <w:r w:rsidR="004E21AA">
        <w:t>had several recent falls</w:t>
      </w:r>
      <w:r w:rsidR="000819D9">
        <w:t>, s</w:t>
      </w:r>
      <w:r w:rsidR="004E21AA">
        <w:t>taff must decide how to respond. Autonomy requires respect for the resident’s choice</w:t>
      </w:r>
      <w:r w:rsidR="00E5712E">
        <w:t>; b</w:t>
      </w:r>
      <w:r w:rsidR="004E21AA">
        <w:t>eneficence requires staff to support well-being</w:t>
      </w:r>
      <w:r w:rsidR="00E5712E">
        <w:t>; n</w:t>
      </w:r>
      <w:r w:rsidR="004E21AA">
        <w:t>on-maleficence requires staff to prevent harm</w:t>
      </w:r>
      <w:r w:rsidR="00E5712E">
        <w:t xml:space="preserve">; and </w:t>
      </w:r>
      <w:r w:rsidR="00D563F5">
        <w:t>j</w:t>
      </w:r>
      <w:r w:rsidR="004E21AA">
        <w:t>ustice requires fair use of time because long periods spent supporting one resident may reduce the time available for others.</w:t>
      </w:r>
      <w:r w:rsidR="00C265DE">
        <w:t xml:space="preserve"> </w:t>
      </w:r>
      <w:r w:rsidR="004E21AA">
        <w:t>The Mental Capacity Act (MCA) 2005 provides a legal process for these decisions. Staff must assess capacity for each specific decision and must not assume incapacity because the person has dementia</w:t>
      </w:r>
      <w:r w:rsidR="00B76C9A">
        <w:t xml:space="preserve"> </w:t>
      </w:r>
      <w:r w:rsidR="00DC0127">
        <w:fldChar w:fldCharType="begin" w:fldLock="1"/>
      </w:r>
      <w:r w:rsidR="000058C0">
        <w:instrText>ADDIN CSL_CITATION {"citationItems":[{"id":"ITEM-1","itemData":{"author":[{"dropping-particle":"","family":"Mental Capacity Act (MCA)","given":"","non-dropping-particle":"","parse-names":false,"suffix":""}],"id":"ITEM-1","issued":{"date-parts":[["2005"]]},"publisher":"The Stationery Office","publisher-place":"London","title":"Mental Capacity Act (MCA)","type":"legal_case"},"uris":["http://www.mendeley.com/documents/?uuid=062784fc-6394-4987-be82-e996ea624cd3"]}],"mendeley":{"formattedCitation":"(Mental Capacity Act (MCA), 2005)","plainTextFormattedCitation":"(Mental Capacity Act (MCA), 2005)","previouslyFormattedCitation":"(Mental Capacity Act (MCA), 2005)"},"properties":{"noteIndex":0},"schema":"https://github.com/citation-style-language/schema/raw/master/csl-citation.json"}</w:instrText>
      </w:r>
      <w:r w:rsidR="00DC0127">
        <w:fldChar w:fldCharType="separate"/>
      </w:r>
      <w:r w:rsidR="00DC0127" w:rsidRPr="00132792">
        <w:rPr>
          <w:noProof/>
        </w:rPr>
        <w:t>(Mental Capacity Act (MCA), 2005)</w:t>
      </w:r>
      <w:r w:rsidR="00DC0127">
        <w:fldChar w:fldCharType="end"/>
      </w:r>
      <w:r w:rsidR="004E21AA">
        <w:t>. If the resident lacks capacity, staff must choose the least restrictive option and act in the person’s best interests. Safeguarding duties under the Social Services and Well-being (Wales) Act 2014 add another requirement to prevent foreseeable harm</w:t>
      </w:r>
      <w:r w:rsidR="00B03812">
        <w:t xml:space="preserve"> </w:t>
      </w:r>
      <w:r w:rsidR="00B03812">
        <w:fldChar w:fldCharType="begin" w:fldLock="1"/>
      </w:r>
      <w:r w:rsidR="00D83040">
        <w:instrText>ADDIN CSL_CITATION {"citationItems":[{"id":"ITEM-1","itemData":{"author":[{"dropping-particle":"","family":"Social Services and Well-being (Wales) Act","given":"","non-dropping-particle":"","parse-names":false,"suffix":""}],"id":"ITEM-1","issued":{"date-parts":[["2014"]]},"publisher":"The Stationery Office","publisher-place":"London","title":"Social Services and Well-being (Wales) Act 2014","type":"legal_case"},"uris":["http://www.mendeley.com/documents/?uuid=15d73a7c-f345-4b37-ac7d-4fb9678942d0"]}],"mendeley":{"formattedCitation":"(Social Services and Well-being (Wales) Act, 2014)","plainTextFormattedCitation":"(Social Services and Well-being (Wales) Act, 2014)","previouslyFormattedCitation":"(Social Services and Well-being (Wales) Act, 2014)"},"properties":{"noteIndex":0},"schema":"https://github.com/citation-style-language/schema/raw/master/csl-citation.json"}</w:instrText>
      </w:r>
      <w:r w:rsidR="00B03812">
        <w:fldChar w:fldCharType="separate"/>
      </w:r>
      <w:r w:rsidR="000058C0" w:rsidRPr="000058C0">
        <w:rPr>
          <w:noProof/>
        </w:rPr>
        <w:t>(Social Services and Well-being (Wales) Act, 2014)</w:t>
      </w:r>
      <w:r w:rsidR="00B03812">
        <w:fldChar w:fldCharType="end"/>
      </w:r>
      <w:r w:rsidR="004E21AA">
        <w:t>.</w:t>
      </w:r>
    </w:p>
    <w:p w14:paraId="58F7C3DD" w14:textId="43CD903B" w:rsidR="006304D9" w:rsidRPr="00A821AE" w:rsidRDefault="004E21AA" w:rsidP="004E21AA">
      <w:r>
        <w:t>This situation shows that ethics in dementia care is part of everyday work. Staff must balance rights, safety and fairness under conditions of limited time and changing cognition.</w:t>
      </w:r>
    </w:p>
    <w:p w14:paraId="2D76B7A5" w14:textId="501F5680" w:rsidR="00A821AE" w:rsidRPr="00A821AE" w:rsidRDefault="00A821AE" w:rsidP="00FB1455">
      <w:pPr>
        <w:pStyle w:val="Heading1"/>
        <w:numPr>
          <w:ilvl w:val="0"/>
          <w:numId w:val="25"/>
        </w:numPr>
        <w:ind w:hanging="720"/>
        <w:rPr>
          <w:bCs/>
        </w:rPr>
      </w:pPr>
      <w:r w:rsidRPr="00A821AE">
        <w:rPr>
          <w:bCs/>
        </w:rPr>
        <w:t>Partnership Working (PW) in Residential Dementia Care</w:t>
      </w:r>
    </w:p>
    <w:p w14:paraId="684DAA5B" w14:textId="6D295CC5" w:rsidR="00A821AE" w:rsidRPr="00C808E1" w:rsidRDefault="00623F00" w:rsidP="00C808E1">
      <w:pPr>
        <w:pStyle w:val="Heading2"/>
        <w:numPr>
          <w:ilvl w:val="1"/>
          <w:numId w:val="25"/>
        </w:numPr>
        <w:ind w:hanging="720"/>
      </w:pPr>
      <w:r>
        <w:t>T</w:t>
      </w:r>
      <w:r w:rsidR="00A821AE" w:rsidRPr="00A821AE">
        <w:t xml:space="preserve">he Concept of </w:t>
      </w:r>
      <w:r w:rsidR="00621FC1">
        <w:t>PW</w:t>
      </w:r>
    </w:p>
    <w:p w14:paraId="2A1FDC99" w14:textId="56DD8262" w:rsidR="0075545F" w:rsidRPr="0075545F" w:rsidRDefault="0075545F" w:rsidP="0075545F">
      <w:r w:rsidRPr="0075545F">
        <w:t>PW</w:t>
      </w:r>
      <w:r w:rsidR="00A020C9">
        <w:t xml:space="preserve"> </w:t>
      </w:r>
      <w:r w:rsidRPr="0075545F">
        <w:t>means different professionals, agencies</w:t>
      </w:r>
      <w:r w:rsidR="000E78CA">
        <w:t>,</w:t>
      </w:r>
      <w:r w:rsidRPr="0075545F">
        <w:t xml:space="preserve"> and families working together to meet the needs of a resident</w:t>
      </w:r>
      <w:r w:rsidR="00862A1D">
        <w:t xml:space="preserve"> </w:t>
      </w:r>
      <w:r w:rsidR="00862A1D">
        <w:fldChar w:fldCharType="begin" w:fldLock="1"/>
      </w:r>
      <w:r w:rsidR="00976F2E">
        <w:instrText>ADDIN CSL_CITATION {"citationItems":[{"id":"ITEM-1","itemData":{"DOI":"10.1080/13561820.2022.2047015","ISSN":"14699567","PMID":"35403543","abstract":"Integrative local health delivery models in the UK, under the framework of Enhanced Health in Care Homes (EHICH), have been developed to improve joint working between health and social care to benefit the patient. Despite this drive toward health and social care integration, research on the barriers, facilitators, and impact of partnership working on role of care home staff is underdeveloped. This study set out to explore views on how closer working between health and social care can impact on the role of care home staff and any barriers to effective integration. Staff from 25 care homes and GPs from their partnered practices were interviewed to explore the impact of the partnership. Homes receiving regular visits from the same health professional found the relationship between the two sectors had benefitted both residents and staff. The development of trusting relationships, access to support and information, and recognition and respect were all seen as facilitating the partnership and enhancing patient care. Regular and effective interactions with health-care professionals were key and had the potential to empower and increase confidence of care home staff in their role around health care. Factors negatively impacting on strength of relationship such as visits by inconsistent professional and high turnover of care home staff were a barrier to successful partnerships. Experiences of poor interactions with those from health-care services where there was an absence of a trusting relationship were disempowering to care home staff and remain a barrier to effective wider health and social care collaboration.","author":[{"dropping-particle":"","family":"Woodward","given":"Amelia","non-dropping-particle":"","parse-names":false,"suffix":""},{"dropping-particle":"","family":"Ruston","given":"Annmarie","non-dropping-particle":"","parse-names":false,"suffix":""}],"container-title":"Journal of Interprofessional Care","id":"ITEM-1","issue":"1","issued":{"date-parts":[["2023"]]},"page":"109-117","title":"Empowerment of care home staff through effective collaboration with healthcare","type":"article-journal","volume":"37"},"uris":["http://www.mendeley.com/documents/?uuid=e4ab0718-242d-4876-821f-e4867bd9d26e"]}],"mendeley":{"formattedCitation":"(Woodward and Ruston, 2023)","plainTextFormattedCitation":"(Woodward and Ruston, 2023)","previouslyFormattedCitation":"(Woodward and Ruston, 2023)"},"properties":{"noteIndex":0},"schema":"https://github.com/citation-style-language/schema/raw/master/csl-citation.json"}</w:instrText>
      </w:r>
      <w:r w:rsidR="00862A1D">
        <w:fldChar w:fldCharType="separate"/>
      </w:r>
      <w:r w:rsidR="00862A1D" w:rsidRPr="00862A1D">
        <w:rPr>
          <w:noProof/>
        </w:rPr>
        <w:t>(Woodward and Ruston, 2023)</w:t>
      </w:r>
      <w:r w:rsidR="00862A1D">
        <w:fldChar w:fldCharType="end"/>
      </w:r>
      <w:r w:rsidRPr="0075545F">
        <w:t>.</w:t>
      </w:r>
      <w:r w:rsidR="00862A1D">
        <w:t xml:space="preserve"> This concept </w:t>
      </w:r>
      <w:r w:rsidRPr="0075545F">
        <w:t>operates at three levels</w:t>
      </w:r>
      <w:r w:rsidR="009B6706">
        <w:t xml:space="preserve">, starting with the </w:t>
      </w:r>
      <w:r w:rsidRPr="0075545F">
        <w:t>micro level</w:t>
      </w:r>
      <w:r w:rsidR="009B6706">
        <w:t xml:space="preserve"> which </w:t>
      </w:r>
      <w:r w:rsidRPr="0075545F">
        <w:t>includes residents, staff</w:t>
      </w:r>
      <w:r w:rsidR="009B6706">
        <w:t>,</w:t>
      </w:r>
      <w:r w:rsidRPr="0075545F">
        <w:t xml:space="preserve"> and families. </w:t>
      </w:r>
      <w:r w:rsidR="0082612A">
        <w:t>Then, a</w:t>
      </w:r>
      <w:r w:rsidRPr="0075545F">
        <w:t xml:space="preserve">t the meso level, </w:t>
      </w:r>
      <w:r w:rsidR="0082612A">
        <w:t xml:space="preserve">the collaboration covers </w:t>
      </w:r>
      <w:r w:rsidRPr="0075545F">
        <w:t xml:space="preserve">the multidisciplinary team (MDT), </w:t>
      </w:r>
      <w:r w:rsidR="0082612A">
        <w:t xml:space="preserve">like </w:t>
      </w:r>
      <w:r w:rsidRPr="0075545F">
        <w:t>GPs, Community Psychiatric Nurses (CPNs), physiotherapists, speech and language therapists (SALT) and social workers. At the macro level, it includes commissioners, safeguarding boards</w:t>
      </w:r>
      <w:r w:rsidR="00976F2E">
        <w:t>,</w:t>
      </w:r>
      <w:r w:rsidRPr="0075545F">
        <w:t xml:space="preserve"> and local authority structures</w:t>
      </w:r>
      <w:r w:rsidR="00774EF5">
        <w:t xml:space="preserve"> </w:t>
      </w:r>
      <w:r w:rsidR="00976F2E">
        <w:fldChar w:fldCharType="begin" w:fldLock="1"/>
      </w:r>
      <w:r w:rsidR="006B1B2F">
        <w:instrText>ADDIN CSL_CITATION {"citationItems":[{"id":"ITEM-1","itemData":{"DOI":"10.1007/s43151-024-00133-2","ISSN":"22049207","abstract":"Multi-agency working has long been advocated for within safeguarding (how we promote an individual’s welfare and keep them safe from harm) and is particularly advantageous when responding to risks of child criminal exploitation. In the United Kingdom (UK), despite a commitment from government policy and a consensus on the ground, there remain substantial challenges in implementing this policy into practice. This paper attempts to explore the relationship between policy and practice, with a focus on how certain factors facilitate effective multi-agency working. The study utilised data from 23 qualitative interviews from professionals and practitioners working with young people across local safeguarding partnerships, from different sectors, within one local authority area based in the UK. It sought to apply a theoretical analysis of how specific mechanisms enable the embedding of new practice. Findings suggest that a number of factors can support effective multi-agency working, including congruence in strategy to operational activity, proactive, passionate, and productive leaders, and effective partnerships, underpinned by a culture of inclusion and challenge. Normalisation Processing Theory highlighted these factors related to the process of cognitive participation, an essential component in initiating and enacting partnership working and embedding a multi-agency approach. These findings can be considered when seeking to implement existing and future multi-agency policy to safeguard young people, to ensure that the realities of the nuances involved in implementation are considered. Whilst there is a wealth of research surrounding multi-agency working, there is less specifically on embedding multi-agency working into practice and the theory underpinning this.","author":[{"dropping-particle":"","family":"Ball","given":"Emma","non-dropping-particle":"","parse-names":false,"suffix":""},{"dropping-particle":"","family":"McManus","given":"Michelle","non-dropping-particle":"","parse-names":false,"suffix":""},{"dropping-particle":"","family":"McCoy","given":"Ellie","non-dropping-particle":"","parse-names":false,"suffix":""},{"dropping-particle":"","family":"Quigg","given":"Zara","non-dropping-particle":"","parse-names":false,"suffix":""}],"container-title":"Journal of Applied Youth Studies","id":"ITEM-1","issued":{"date-parts":[["2024"]]},"page":"1-20","title":"Implementation of Multi-agency Safeguarding Arrangements Regarding Exploitation of Young People: Aligning Policy and Practice Using Normalisation Processing Theory","type":"article-journal"},"uris":["http://www.mendeley.com/documents/?uuid=2c246b73-ccc4-4ff7-b0b2-6cb86d66063c"]}],"mendeley":{"formattedCitation":"(Ball &lt;i&gt;et al.&lt;/i&gt;, 2024)","plainTextFormattedCitation":"(Ball et al., 2024)","previouslyFormattedCitation":"(Ball &lt;i&gt;et al.&lt;/i&gt;, 2024)"},"properties":{"noteIndex":0},"schema":"https://github.com/citation-style-language/schema/raw/master/csl-citation.json"}</w:instrText>
      </w:r>
      <w:r w:rsidR="00976F2E">
        <w:fldChar w:fldCharType="separate"/>
      </w:r>
      <w:r w:rsidR="00976F2E" w:rsidRPr="00976F2E">
        <w:rPr>
          <w:noProof/>
        </w:rPr>
        <w:t xml:space="preserve">(Ball </w:t>
      </w:r>
      <w:r w:rsidR="00976F2E" w:rsidRPr="00976F2E">
        <w:rPr>
          <w:i/>
          <w:noProof/>
        </w:rPr>
        <w:t>et al.</w:t>
      </w:r>
      <w:r w:rsidR="00976F2E" w:rsidRPr="00976F2E">
        <w:rPr>
          <w:noProof/>
        </w:rPr>
        <w:t>, 2024)</w:t>
      </w:r>
      <w:r w:rsidR="00976F2E">
        <w:fldChar w:fldCharType="end"/>
      </w:r>
      <w:r w:rsidRPr="0075545F">
        <w:t>.</w:t>
      </w:r>
    </w:p>
    <w:p w14:paraId="235EB54C" w14:textId="19D97524" w:rsidR="0075545F" w:rsidRDefault="00D46196" w:rsidP="0075545F">
      <w:r>
        <w:t xml:space="preserve">There are many benefits to </w:t>
      </w:r>
      <w:r w:rsidR="0075545F" w:rsidRPr="0075545F">
        <w:t>PW</w:t>
      </w:r>
      <w:r>
        <w:t>. The foremost is that i</w:t>
      </w:r>
      <w:r w:rsidR="0075545F" w:rsidRPr="0075545F">
        <w:t>t supports clear care plans</w:t>
      </w:r>
      <w:r w:rsidR="006B1B2F">
        <w:t xml:space="preserve"> </w:t>
      </w:r>
      <w:r w:rsidR="006B1B2F">
        <w:fldChar w:fldCharType="begin" w:fldLock="1"/>
      </w:r>
      <w:r w:rsidR="00B62CB0">
        <w:instrText>ADDIN CSL_CITATION {"citationItems":[{"id":"ITEM-1","itemData":{"DOI":"10.1093/ageing/afab007","ISSN":"14682834","PMID":"33596305","abstract":"Background: Quality improvement collaboratives (QICs) bring together multidisciplinary teams in a structured process to improve care quality. How QICs can be used to support healthcare improvement in care homes is not fully understood. Methods: A realist evaluation to develop and test a programme theory of how QICs work to improve healthcare in care homes. A multiple case study design considered implementation across 4 sites and 29 care homes. Observations, interviews and focus groups captured contexts and mechanisms operating within QICs. Data analysis classified emerging themes using context-mechanism-outcome configurations to explain howNHS and care home staff work together to design and implement improvement. Results: QICs will be able to implement and iterate improvements in care homes where they have a broad and easily understandable remit; recruit staff with established partnership working between the NHS and care homes; use strategies to build relationships and minimise hierarchy; protect and pay for staff time; enable staff to implement improvements aligned with existing work; help members develop plans in manageable chunks through QI coaching; encourage QIC members to recruit multidisciplinary support through existing networks; facilitate meetings in care homes and use shared learning events to build multidisciplinary interventions stepwise. Teams did not use measurement for change, citing difficulties integrating this into pre-existing and QI-related workload. Conclusions: These findings outline what needs to be in place for health and social care staff to work together to effect change. Further research needs to consider ways to work alongside staff to incorporate measurement for change into QI.","author":[{"dropping-particle":"","family":"Devi","given":"Reena","non-dropping-particle":"","parse-names":false,"suffix":""},{"dropping-particle":"","family":"Chadborn","given":"Neil H.","non-dropping-particle":"","parse-names":false,"suffix":""},{"dropping-particle":"","family":"Meyer","given":"Julienne","non-dropping-particle":"","parse-names":false,"suffix":""},{"dropping-particle":"","family":"Banerjee","given":"Jay","non-dropping-particle":"","parse-names":false,"suffix":""},{"dropping-particle":"","family":"Goodman","given":"Claire","non-dropping-particle":"","parse-names":false,"suffix":""},{"dropping-particle":"","family":"Dening","given":"Tom","non-dropping-particle":"","parse-names":false,"suffix":""},{"dropping-particle":"","family":"Gladman","given":"John R.F.","non-dropping-particle":"","parse-names":false,"suffix":""},{"dropping-particle":"","family":"Hinsliff-Smith","given":"Kathryn","non-dropping-particle":"","parse-names":false,"suffix":""},{"dropping-particle":"","family":"Long","given":"Annabelle","non-dropping-particle":"","parse-names":false,"suffix":""},{"dropping-particle":"","family":"Usman","given":"Adeela","non-dropping-particle":"","parse-names":false,"suffix":""},{"dropping-particle":"","family":"Housley","given":"Gemma","non-dropping-particle":"","parse-names":false,"suffix":""},{"dropping-particle":"","family":"Lewis","given":"Sarah","non-dropping-particle":"","parse-names":false,"suffix":""},{"dropping-particle":"","family":"Glover","given":"Matthew","non-dropping-particle":"","parse-names":false,"suffix":""},{"dropping-particle":"","family":"Gage","given":"Heather","non-dropping-particle":"","parse-names":false,"suffix":""},{"dropping-particle":"","family":"Logan","given":"Philippa A.","non-dropping-particle":"","parse-names":false,"suffix":""},{"dropping-particle":"","family":"Martin","given":"Finbarr C.","non-dropping-particle":"","parse-names":false,"suffix":""},{"dropping-particle":"","family":"Gordon","given":"Adam L.","non-dropping-particle":"","parse-names":false,"suffix":""}],"container-title":"Age and Ageing","id":"ITEM-1","issue":"4","issued":{"date-parts":[["2021"]]},"page":"1371-1381","title":"How quality improvement collaboratives work to improve healthcare in care homes: A realist evaluation","type":"article-journal","volume":"50"},"uris":["http://www.mendeley.com/documents/?uuid=e8f3fc39-b566-470f-86f4-22af405bf4ad"]}],"mendeley":{"formattedCitation":"(Devi &lt;i&gt;et al.&lt;/i&gt;, 2021)","plainTextFormattedCitation":"(Devi et al., 2021)","previouslyFormattedCitation":"(Devi &lt;i&gt;et al.&lt;/i&gt;, 2021)"},"properties":{"noteIndex":0},"schema":"https://github.com/citation-style-language/schema/raw/master/csl-citation.json"}</w:instrText>
      </w:r>
      <w:r w:rsidR="006B1B2F">
        <w:fldChar w:fldCharType="separate"/>
      </w:r>
      <w:r w:rsidR="006B1B2F" w:rsidRPr="006B1B2F">
        <w:rPr>
          <w:noProof/>
        </w:rPr>
        <w:t xml:space="preserve">(Devi </w:t>
      </w:r>
      <w:r w:rsidR="006B1B2F" w:rsidRPr="006B1B2F">
        <w:rPr>
          <w:i/>
          <w:noProof/>
        </w:rPr>
        <w:t>et al.</w:t>
      </w:r>
      <w:r w:rsidR="006B1B2F" w:rsidRPr="006B1B2F">
        <w:rPr>
          <w:noProof/>
        </w:rPr>
        <w:t>, 2021)</w:t>
      </w:r>
      <w:r w:rsidR="006B1B2F">
        <w:fldChar w:fldCharType="end"/>
      </w:r>
      <w:r w:rsidR="0075545F" w:rsidRPr="0075545F">
        <w:t>.</w:t>
      </w:r>
      <w:r w:rsidR="00004F94">
        <w:t xml:space="preserve"> Also,</w:t>
      </w:r>
      <w:r w:rsidR="0075545F" w:rsidRPr="0075545F">
        <w:t xml:space="preserve"> </w:t>
      </w:r>
      <w:r w:rsidR="00004F94">
        <w:t>i</w:t>
      </w:r>
      <w:r w:rsidR="0075545F" w:rsidRPr="0075545F">
        <w:t>t reduces avoidable hospital admissions</w:t>
      </w:r>
      <w:r w:rsidR="00004F94">
        <w:t xml:space="preserve"> and </w:t>
      </w:r>
      <w:r w:rsidR="0075545F" w:rsidRPr="0075545F">
        <w:t xml:space="preserve">improves medication management through shared information. </w:t>
      </w:r>
      <w:r w:rsidR="00004F94">
        <w:t>Furthermore, i</w:t>
      </w:r>
      <w:r w:rsidR="0075545F" w:rsidRPr="0075545F">
        <w:t>t also gives families confidence that professionals communicate with each other.</w:t>
      </w:r>
    </w:p>
    <w:p w14:paraId="657D7D6B" w14:textId="35BA56D0" w:rsidR="00A821AE" w:rsidRPr="00A821AE" w:rsidRDefault="00004F94" w:rsidP="00B62CB0">
      <w:r>
        <w:t>However, it also has barriers</w:t>
      </w:r>
      <w:r w:rsidR="00B62CB0">
        <w:t>, the main one coming from p</w:t>
      </w:r>
      <w:r w:rsidR="0075545F" w:rsidRPr="0075545F">
        <w:t xml:space="preserve">rofessional groups </w:t>
      </w:r>
      <w:r w:rsidR="00B62CB0">
        <w:t xml:space="preserve">normally </w:t>
      </w:r>
      <w:r w:rsidR="0075545F" w:rsidRPr="0075545F">
        <w:t>work</w:t>
      </w:r>
      <w:r w:rsidR="00B62CB0">
        <w:t>ing</w:t>
      </w:r>
      <w:r w:rsidR="0075545F" w:rsidRPr="0075545F">
        <w:t xml:space="preserve"> in silos, which restricts communication</w:t>
      </w:r>
      <w:r w:rsidR="00B62CB0">
        <w:t xml:space="preserve"> </w:t>
      </w:r>
      <w:r w:rsidR="00B62CB0">
        <w:fldChar w:fldCharType="begin" w:fldLock="1"/>
      </w:r>
      <w:r w:rsidR="000005E2">
        <w:instrText>ADDIN CSL_CITATION {"citationItems":[{"id":"ITEM-1","itemData":{"DOI":"10.1111/cch.13303","ISSN":"13652214","PMID":"38991712","abstract":"Background: Children and young people (CYP) with complex neurodisability experience multiple physical, communication, educational and social challenges, which require complex packages of multidisciplinary care. Part of the holistic care required includes supporting the families and parents/caregivers. The aim of the wider study was to introduce a new programme (‘Ubuntu’) to parents/caregivers and healthcare professionals (HCPs) in order to test the feasibility and acceptability of the concept and content, with the goal of potential adaptation for the UK in mind. Data collection and analysis uncovered rich data on caregiving journeys, navigation of health services, and perceived service gaps. This paper focuses solely on these topics. Further papers will report on the feasibility and adaptation data. Methods: Two rounds of semi-structured interviews were conducted with 12 caregivers of CYP with complex neurodisability and six HCPs from a variety of disciplines, recruited from a community child health service in London Borough of Newham, UK in 2020. The interviews included open-ended questions to explore caregiving journeys, experiences of navigating health services and perceived service gaps. Transcripts were analysed using a data-driven inductive thematic analysis. Results: Three themes were identified that related to the aim of understanding caregivers' experiences and unmet needs relating to current service provision. These were (1) Caregiver Mental Health, (2) The Information Gap and (3) The Need for Holistic Support. Mental health difficulties were reported, particularly around the period of diagnosis. Priority needs included the provision of clear information about the diagnosis and services offered, opportunities to forge peer support networks and for services across the community to collaborate. Conclusions: The delivery of health services for CYP with neurodisability should encompass the broad needs of the family as well as meeting the clinical needs of the CYP.","author":[{"dropping-particle":"","family":"Prest","given":"Kirsten","non-dropping-particle":"","parse-names":false,"suffix":""},{"dropping-particle":"","family":"Wilson","given":"Emma","non-dropping-particle":"","parse-names":false,"suffix":""},{"dropping-particle":"","family":"Vassiliadou","given":"Io","non-dropping-particle":"","parse-names":false,"suffix":""},{"dropping-particle":"","family":"Ali","given":"Sayeeda","non-dropping-particle":"","parse-names":false,"suffix":""},{"dropping-particle":"","family":"Lakhanpaul","given":"Monica","non-dropping-particle":"","parse-names":false,"suffix":""},{"dropping-particle":"","family":"Morris","given":"Christopher","non-dropping-particle":"","parse-names":false,"suffix":""},{"dropping-particle":"","family":"Tann","given":"Cally","non-dropping-particle":"","parse-names":false,"suffix":""},{"dropping-particle":"","family":"Harniess","given":"Phillip","non-dropping-particle":"","parse-names":false,"suffix":""},{"dropping-particle":"","family":"Lewis-Jackson","given":"Sasha","non-dropping-particle":"","parse-names":false,"suffix":""},{"dropping-particle":"","family":"Kuper","given":"Hannah","non-dropping-particle":"","parse-names":false,"suffix":""},{"dropping-particle":"","family":"Heys","given":"Michelle","non-dropping-particle":"","parse-names":false,"suffix":""}],"container-title":"Child: Care, Health and Development","id":"ITEM-1","issue":"4","issued":{"date-parts":[["2024"]]},"page":"e13303","title":"‘There was nothing, just absolute darkness’: Understanding the needs of those caring for children and young people with complex neurodisability in a diverse UK context: A qualitative exploration in the ENCOMPASS study","type":"article-journal","volume":"50"},"uris":["http://www.mendeley.com/documents/?uuid=d7d668b9-28fb-4faa-b48b-cd705fa883e7"]}],"mendeley":{"formattedCitation":"(Prest &lt;i&gt;et al.&lt;/i&gt;, 2024)","plainTextFormattedCitation":"(Prest et al., 2024)","previouslyFormattedCitation":"(Prest &lt;i&gt;et al.&lt;/i&gt;, 2024)"},"properties":{"noteIndex":0},"schema":"https://github.com/citation-style-language/schema/raw/master/csl-citation.json"}</w:instrText>
      </w:r>
      <w:r w:rsidR="00B62CB0">
        <w:fldChar w:fldCharType="separate"/>
      </w:r>
      <w:r w:rsidR="00B62CB0" w:rsidRPr="00B62CB0">
        <w:rPr>
          <w:noProof/>
        </w:rPr>
        <w:t xml:space="preserve">(Prest </w:t>
      </w:r>
      <w:r w:rsidR="00B62CB0" w:rsidRPr="00B62CB0">
        <w:rPr>
          <w:i/>
          <w:noProof/>
        </w:rPr>
        <w:t>et al.</w:t>
      </w:r>
      <w:r w:rsidR="00B62CB0" w:rsidRPr="00B62CB0">
        <w:rPr>
          <w:noProof/>
        </w:rPr>
        <w:t>, 2024)</w:t>
      </w:r>
      <w:r w:rsidR="00B62CB0">
        <w:fldChar w:fldCharType="end"/>
      </w:r>
      <w:r w:rsidR="0075545F" w:rsidRPr="0075545F">
        <w:t>. GP decisions may override the assessments of care home staff</w:t>
      </w:r>
      <w:r w:rsidR="00B62CB0">
        <w:t>, whereas p</w:t>
      </w:r>
      <w:r w:rsidR="0075545F" w:rsidRPr="0075545F">
        <w:t xml:space="preserve">ower differences can appear when families want a specific action and professionals must follow legal duties. </w:t>
      </w:r>
      <w:r w:rsidR="00B57FE5">
        <w:t>Another barrier is in the area of c</w:t>
      </w:r>
      <w:r w:rsidR="0075545F" w:rsidRPr="0075545F">
        <w:t xml:space="preserve">ommunication systems </w:t>
      </w:r>
      <w:r w:rsidR="00B57FE5">
        <w:t xml:space="preserve">being sometimes </w:t>
      </w:r>
      <w:r w:rsidR="0075545F" w:rsidRPr="0075545F">
        <w:t>fragmented</w:t>
      </w:r>
      <w:r w:rsidR="000005E2">
        <w:t xml:space="preserve"> so that there are </w:t>
      </w:r>
      <w:r w:rsidR="0075545F" w:rsidRPr="0075545F">
        <w:t>separate digital records and delays in referrals</w:t>
      </w:r>
      <w:r w:rsidR="000005E2">
        <w:t xml:space="preserve"> </w:t>
      </w:r>
      <w:r w:rsidR="000005E2">
        <w:fldChar w:fldCharType="begin" w:fldLock="1"/>
      </w:r>
      <w:r w:rsidR="008813C1">
        <w:instrText>ADDIN CSL_CITATION {"citationItems":[{"id":"ITEM-1","itemData":{"DOI":"10.1016/j.chc.2021.05.003","ISSN":"15580490","PMID":"34538441","abstract":"Promoting integrated care initiatives is an important approach to addressing growing gaps in access to mental health. This article presents a multidisciplinary review of essential team elements and how to optimize team performance. Fostering a collaborative team approach can produce more effective and efficient mental health care.","author":[{"dropping-particle":"","family":"Clark","given":"William","non-dropping-particle":"","parse-names":false,"suffix":""}],"container-title":"Child and Adolescent Psychiatric Clinics of North America","id":"ITEM-1","issue":"4","issued":{"date-parts":[["2021"]]},"page":"685-695","title":"Teamwork: A Multidisciplinary Review","type":"article-journal","volume":"30"},"uris":["http://www.mendeley.com/documents/?uuid=39ef1a81-c988-4599-8851-b5879de251e9"]}],"mendeley":{"formattedCitation":"(Clark, 2021)","plainTextFormattedCitation":"(Clark, 2021)","previouslyFormattedCitation":"(Clark, 2021)"},"properties":{"noteIndex":0},"schema":"https://github.com/citation-style-language/schema/raw/master/csl-citation.json"}</w:instrText>
      </w:r>
      <w:r w:rsidR="000005E2">
        <w:fldChar w:fldCharType="separate"/>
      </w:r>
      <w:r w:rsidR="000005E2" w:rsidRPr="000005E2">
        <w:rPr>
          <w:noProof/>
        </w:rPr>
        <w:t>(Clark, 2021)</w:t>
      </w:r>
      <w:r w:rsidR="000005E2">
        <w:fldChar w:fldCharType="end"/>
      </w:r>
      <w:r w:rsidR="0075545F" w:rsidRPr="0075545F">
        <w:t>.</w:t>
      </w:r>
      <w:r w:rsidR="000005E2">
        <w:t xml:space="preserve"> </w:t>
      </w:r>
      <w:r w:rsidR="00DE237E">
        <w:t>Furthermore, as is a trend in the UK now,</w:t>
      </w:r>
      <w:r w:rsidR="0075545F" w:rsidRPr="0075545F">
        <w:t xml:space="preserve"> </w:t>
      </w:r>
      <w:r w:rsidR="00DE237E">
        <w:t>w</w:t>
      </w:r>
      <w:r w:rsidR="0075545F" w:rsidRPr="0075545F">
        <w:t>orkforce shortages reduce the time available for joint working</w:t>
      </w:r>
      <w:r w:rsidR="00DE237E">
        <w:t>, and because of a</w:t>
      </w:r>
      <w:r w:rsidR="0075545F" w:rsidRPr="0075545F">
        <w:t xml:space="preserve"> culture of risk and blame</w:t>
      </w:r>
      <w:r w:rsidR="00DE237E">
        <w:t xml:space="preserve">, </w:t>
      </w:r>
      <w:r w:rsidR="0075545F" w:rsidRPr="0075545F">
        <w:t xml:space="preserve">professionals </w:t>
      </w:r>
      <w:r w:rsidR="00DE237E">
        <w:t xml:space="preserve">are </w:t>
      </w:r>
      <w:r w:rsidR="0075545F" w:rsidRPr="0075545F">
        <w:t xml:space="preserve">cautious, </w:t>
      </w:r>
      <w:r w:rsidR="00DE237E">
        <w:t xml:space="preserve">and this </w:t>
      </w:r>
      <w:r w:rsidR="0075545F" w:rsidRPr="0075545F">
        <w:t>reduces open discussion and shared decision-making</w:t>
      </w:r>
      <w:r w:rsidR="00DE237E">
        <w:t xml:space="preserve"> </w:t>
      </w:r>
      <w:r w:rsidR="008813C1">
        <w:fldChar w:fldCharType="begin" w:fldLock="1"/>
      </w:r>
      <w:r w:rsidR="00F823AA">
        <w:instrText>ADDIN CSL_CITATION {"citationItems":[{"id":"ITEM-1","itemData":{"DOI":"10.21315/mjms2024.31.6.10","ISSN":"21804303","abstract":"When a medical error occurs, the instinct to blame healthcare professionals may seems like a way to ensure they learn from their mistakes. However, in today’s healthcare landscape, the blame culture, coupled with the fear of litigation, proves detrimental to improving patient care. This culture fosters a reluctance among healthcare professionals to openly disclose mistakes, depriving them of valuable learning opportunities. These professionals, often referred to as second victims, deserve as much attention and support as the patients who are affected by the errors. Given that medical errors are inevitable, it becomes imperative to effectively manage the aftermath to ensure all parties involved are adequately supported and shielded from adverse consequences. This article delves into the ethical complexities of medical errors, advocating for a shift from a blame-centric culture to one that prioritises support for second victims. The aim of this article is to underscore the crucial importance of addressing medical errors within the healthcare sector by fostering an environment that promotes learning and growth post-error.","author":[{"dropping-particle":"","family":"Yusof","given":"Aimi Nadia Mohd","non-dropping-particle":"","parse-names":false,"suffix":""},{"dropping-particle":"","family":"Razali","given":"Hazdalila Yais Haji","non-dropping-particle":"","parse-names":false,"suffix":""}],"container-title":"Malaysian Journal of Medical Sciences","id":"ITEM-1","issue":"6","issued":{"date-parts":[["2024"]]},"page":"126-132","title":"Moving Away from the Blame Culture: The Way Forward to Manage Medical Errors","type":"article-journal","volume":"31"},"uris":["http://www.mendeley.com/documents/?uuid=1ec0c044-4b83-4d3d-8f33-9a0f5682e37d"]}],"mendeley":{"formattedCitation":"(Yusof and Razali, 2024)","plainTextFormattedCitation":"(Yusof and Razali, 2024)","previouslyFormattedCitation":"(Yusof and Razali, 2024)"},"properties":{"noteIndex":0},"schema":"https://github.com/citation-style-language/schema/raw/master/csl-citation.json"}</w:instrText>
      </w:r>
      <w:r w:rsidR="008813C1">
        <w:fldChar w:fldCharType="separate"/>
      </w:r>
      <w:r w:rsidR="008813C1" w:rsidRPr="008813C1">
        <w:rPr>
          <w:noProof/>
        </w:rPr>
        <w:t>(Yusof and Razali, 2024)</w:t>
      </w:r>
      <w:r w:rsidR="008813C1">
        <w:fldChar w:fldCharType="end"/>
      </w:r>
      <w:r w:rsidR="0075545F" w:rsidRPr="0075545F">
        <w:t>.</w:t>
      </w:r>
    </w:p>
    <w:p w14:paraId="1A41626A" w14:textId="6E58FC8B" w:rsidR="00A821AE" w:rsidRPr="00C808E1" w:rsidRDefault="00A821AE" w:rsidP="00C808E1">
      <w:pPr>
        <w:pStyle w:val="Heading2"/>
        <w:numPr>
          <w:ilvl w:val="1"/>
          <w:numId w:val="25"/>
        </w:numPr>
        <w:ind w:hanging="720"/>
      </w:pPr>
      <w:r w:rsidRPr="00A821AE">
        <w:lastRenderedPageBreak/>
        <w:t xml:space="preserve">Application of </w:t>
      </w:r>
      <w:r w:rsidR="00433582">
        <w:t xml:space="preserve">PW </w:t>
      </w:r>
      <w:r w:rsidRPr="00A821AE">
        <w:t>in Residential Dementia Care</w:t>
      </w:r>
    </w:p>
    <w:p w14:paraId="17320959" w14:textId="058791C8" w:rsidR="00B153CE" w:rsidRPr="00B153CE" w:rsidRDefault="00F823AA" w:rsidP="00B153CE">
      <w:r>
        <w:t xml:space="preserve">According to </w:t>
      </w:r>
      <w:r w:rsidR="00B153CE" w:rsidRPr="00B153CE">
        <w:t>NICE dementia guidelines</w:t>
      </w:r>
      <w:r>
        <w:t xml:space="preserve">, </w:t>
      </w:r>
      <w:r w:rsidR="00B153CE" w:rsidRPr="00B153CE">
        <w:t>all professionals should work from a single, shared care plan. They also require regular MDT reviews and active involvement of families and residents</w:t>
      </w:r>
      <w:r w:rsidR="00F83C37">
        <w:t xml:space="preserve"> </w:t>
      </w:r>
      <w:r w:rsidR="00F83C37">
        <w:fldChar w:fldCharType="begin" w:fldLock="1"/>
      </w:r>
      <w:r w:rsidR="0033405C">
        <w:instrText>ADDIN CSL_CITATION {"citationItems":[{"id":"ITEM-1","itemData":{"author":[{"dropping-particle":"","family":"NICE","given":"","non-dropping-particle":"","parse-names":false,"suffix":""}],"id":"ITEM-1","issued":{"date-parts":[["2021"]]},"publisher":"National Institute for Health and Care Excellence (NICE)","publisher-place":"London","title":"Shared decision making","type":"article"},"uris":["http://www.mendeley.com/documents/?uuid=27851613-dc75-4d4c-82ef-6843815fb20d"]}],"mendeley":{"formattedCitation":"(NICE, 2021)","plainTextFormattedCitation":"(NICE, 2021)","previouslyFormattedCitation":"(NICE, 2021)"},"properties":{"noteIndex":0},"schema":"https://github.com/citation-style-language/schema/raw/master/csl-citation.json"}</w:instrText>
      </w:r>
      <w:r w:rsidR="00F83C37">
        <w:fldChar w:fldCharType="separate"/>
      </w:r>
      <w:r w:rsidR="00F83C37" w:rsidRPr="00F823AA">
        <w:rPr>
          <w:noProof/>
        </w:rPr>
        <w:t>(NICE, 2021)</w:t>
      </w:r>
      <w:r w:rsidR="00F83C37">
        <w:fldChar w:fldCharType="end"/>
      </w:r>
      <w:r w:rsidR="00B153CE" w:rsidRPr="00B153CE">
        <w:t>. These guidelines describe an ideal model in which professionals communicate clearly, share information promptly</w:t>
      </w:r>
      <w:r w:rsidR="004E7D0B">
        <w:t>,</w:t>
      </w:r>
      <w:r w:rsidR="00B153CE" w:rsidRPr="00B153CE">
        <w:t xml:space="preserve"> and make decisions together. The model assumes enough staff, enough time and compatible systems.</w:t>
      </w:r>
    </w:p>
    <w:p w14:paraId="759D5300" w14:textId="2A534FFA" w:rsidR="00B153CE" w:rsidRPr="00B153CE" w:rsidRDefault="00B153CE" w:rsidP="00B153CE">
      <w:r w:rsidRPr="00B153CE">
        <w:t xml:space="preserve">Daily practice in residential dementia care </w:t>
      </w:r>
      <w:r w:rsidR="00DE735F">
        <w:t xml:space="preserve">is different </w:t>
      </w:r>
      <w:r w:rsidRPr="00B153CE">
        <w:t>from this ideal</w:t>
      </w:r>
      <w:r w:rsidR="005970AA">
        <w:t xml:space="preserve">. </w:t>
      </w:r>
      <w:r w:rsidR="00485EA9">
        <w:t xml:space="preserve">For example, </w:t>
      </w:r>
      <w:r w:rsidR="00485EA9" w:rsidRPr="00485EA9">
        <w:t>because agencies do not share information well</w:t>
      </w:r>
      <w:r w:rsidR="00485EA9">
        <w:t>,</w:t>
      </w:r>
      <w:r w:rsidR="00485EA9" w:rsidRPr="00485EA9">
        <w:t xml:space="preserve"> </w:t>
      </w:r>
      <w:r w:rsidR="00485EA9">
        <w:t>r</w:t>
      </w:r>
      <w:r w:rsidRPr="00B153CE">
        <w:t xml:space="preserve">esidents </w:t>
      </w:r>
      <w:r w:rsidR="00485EA9">
        <w:t xml:space="preserve">can </w:t>
      </w:r>
      <w:r w:rsidRPr="00B153CE">
        <w:t>repeat their life story to different professionals.</w:t>
      </w:r>
      <w:r w:rsidR="00485EA9">
        <w:t xml:space="preserve"> Or,</w:t>
      </w:r>
      <w:r w:rsidRPr="00B153CE">
        <w:t xml:space="preserve"> </w:t>
      </w:r>
      <w:r w:rsidR="00485EA9">
        <w:t>d</w:t>
      </w:r>
      <w:r w:rsidRPr="00B153CE">
        <w:t xml:space="preserve">ischarge notes from hospitals may arrive late or may not include details about mobility, medication changes or behaviour. </w:t>
      </w:r>
      <w:r w:rsidR="00485EA9">
        <w:t xml:space="preserve">Or, </w:t>
      </w:r>
      <w:r w:rsidR="00B102F3">
        <w:t>u</w:t>
      </w:r>
      <w:r w:rsidRPr="00B153CE">
        <w:t xml:space="preserve">pdates from GPs or CPNs may be delayed, which leaves staff without guidance when behaviour changes. </w:t>
      </w:r>
      <w:r w:rsidR="00B102F3">
        <w:t>Or, c</w:t>
      </w:r>
      <w:r w:rsidRPr="00B153CE">
        <w:t>onflicts may arise between families and staff when deciding on bed rails, medication changes or walking support. These conflicts show the tension between family expectations and professional duties.</w:t>
      </w:r>
    </w:p>
    <w:p w14:paraId="2F8625A1" w14:textId="4AB41460" w:rsidR="00B153CE" w:rsidRPr="00B153CE" w:rsidRDefault="002652FD" w:rsidP="00B153CE">
      <w:r>
        <w:t xml:space="preserve">Furthermore, </w:t>
      </w:r>
      <w:r w:rsidR="00B153CE" w:rsidRPr="00B153CE">
        <w:t xml:space="preserve">MDT meetings may be short because staff are needed on the floor. Meetings may also be infrequent when teams face high workloads. </w:t>
      </w:r>
      <w:r w:rsidR="00345895">
        <w:t>It could also be that c</w:t>
      </w:r>
      <w:r w:rsidR="00B153CE" w:rsidRPr="00B153CE">
        <w:t>ommunication between services is limited by incompatible digital systems</w:t>
      </w:r>
      <w:r w:rsidR="00D34B0C">
        <w:t>, so</w:t>
      </w:r>
      <w:r w:rsidR="00B153CE" w:rsidRPr="00B153CE">
        <w:t xml:space="preserve"> </w:t>
      </w:r>
      <w:r w:rsidR="00D34B0C">
        <w:t>m</w:t>
      </w:r>
      <w:r w:rsidR="00B153CE" w:rsidRPr="00B153CE">
        <w:t xml:space="preserve">any care homes </w:t>
      </w:r>
      <w:r w:rsidR="00D34B0C">
        <w:t xml:space="preserve">would </w:t>
      </w:r>
      <w:r w:rsidR="00B153CE" w:rsidRPr="00B153CE">
        <w:t>rely on paper notes, while health services use digital systems that do not link with the home</w:t>
      </w:r>
      <w:r w:rsidR="0033405C">
        <w:t xml:space="preserve"> </w:t>
      </w:r>
      <w:r w:rsidR="0033405C">
        <w:fldChar w:fldCharType="begin" w:fldLock="1"/>
      </w:r>
      <w:r w:rsidR="001E579A">
        <w:instrText>ADDIN CSL_CITATION {"citationItems":[{"id":"ITEM-1","itemData":{"DOI":"10.3390/ijerph19127407","ISSN":"16604601","PMID":"35742667","abstract":"The care home sector has great potential to benefit from technological innovations and to be at the forefront of developing novel digital solutions to improve the experiences of care home residents, their families, and the staff caring for them. The COVID-19 pandemic exposed variability in digital capabilities and longstanding data challenges within the care home sector. Paradoxically, however, it also increased the use of digital tools and services to support residents and staff. There are, however, a number of barriers to sustained and widespread adoption of digital solutions by care homes. Here, the focus is on foundation-level barriers and the groundwork required to overcome them. Using data from three Scottish-based studies, foundation-level barriers to the adoption of digital tools and services faced by care homes are discussed. These main barriers are the need for robust basic internet connectivity; capabilities for digital data collection; access to data to inform and drive digital solutions; the need for trust in the use of resident data by commercial companies; and the danger that poorly coordinated strategies undermine efforts to build a care home data platform and the digital solutions it can support. Sustained and widespread adoption of digital solutions by care homes will require these foundation-level barriers to be addressed. Strong and stable data and digital foundations supported by sector-specific scaffolding are major prerequisites to the widespread adoption of digital solutions by care homes.","author":[{"dropping-particle":"","family":"Johnston","given":"Lucy","non-dropping-particle":"","parse-names":false,"suffix":""},{"dropping-particle":"","family":"Koikkalainen","given":"Heidi","non-dropping-particle":"","parse-names":false,"suffix":""},{"dropping-particle":"","family":"Anderson","given":"Lynda","non-dropping-particle":"","parse-names":false,"suffix":""},{"dropping-particle":"","family":"Lapok","given":"Paul","non-dropping-particle":"","parse-names":false,"suffix":""},{"dropping-particle":"","family":"Lawson","given":"Alistair","non-dropping-particle":"","parse-names":false,"suffix":""},{"dropping-particle":"","family":"Shenkin","given":"Susan D.","non-dropping-particle":"","parse-names":false,"suffix":""}],"container-title":"International Journal of Environmental Research and Public Health","id":"ITEM-1","issue":"12","issued":{"date-parts":[["2022"]]},"page":"7407","title":"Foundation Level Barriers to the Widespread Adoption of Digital Solutions by Care Homes: Insights from Three Scottish Studies","type":"article-journal","volume":"19"},"uris":["http://www.mendeley.com/documents/?uuid=430819b0-2838-48ba-a44b-5483baa1e914"]}],"mendeley":{"formattedCitation":"(Johnston &lt;i&gt;et al.&lt;/i&gt;, 2022)","plainTextFormattedCitation":"(Johnston et al., 2022)","previouslyFormattedCitation":"(Johnston &lt;i&gt;et al.&lt;/i&gt;, 2022)"},"properties":{"noteIndex":0},"schema":"https://github.com/citation-style-language/schema/raw/master/csl-citation.json"}</w:instrText>
      </w:r>
      <w:r w:rsidR="0033405C">
        <w:fldChar w:fldCharType="separate"/>
      </w:r>
      <w:r w:rsidR="0033405C" w:rsidRPr="0033405C">
        <w:rPr>
          <w:noProof/>
        </w:rPr>
        <w:t xml:space="preserve">(Johnston </w:t>
      </w:r>
      <w:r w:rsidR="0033405C" w:rsidRPr="0033405C">
        <w:rPr>
          <w:i/>
          <w:noProof/>
        </w:rPr>
        <w:t>et al.</w:t>
      </w:r>
      <w:r w:rsidR="0033405C" w:rsidRPr="0033405C">
        <w:rPr>
          <w:noProof/>
        </w:rPr>
        <w:t>, 2022)</w:t>
      </w:r>
      <w:r w:rsidR="0033405C">
        <w:fldChar w:fldCharType="end"/>
      </w:r>
      <w:r w:rsidR="00B153CE" w:rsidRPr="00B153CE">
        <w:t>. This increases the risk of missing information.</w:t>
      </w:r>
    </w:p>
    <w:p w14:paraId="485E6A6E" w14:textId="39232965" w:rsidR="00B153CE" w:rsidRPr="00B153CE" w:rsidRDefault="00B153CE" w:rsidP="00B153CE">
      <w:r w:rsidRPr="00B153CE">
        <w:t xml:space="preserve">These barriers affect residents and staff. Residents may feel confused when professionals do not share information. Missing or delayed updates may increase safeguarding risks, especially for residents with complex needs. Staff may feel stressed when they must chase information or manage family concerns without support. These issues show that PW does not </w:t>
      </w:r>
      <w:r w:rsidR="00294787">
        <w:t xml:space="preserve">only </w:t>
      </w:r>
      <w:r w:rsidRPr="00B153CE">
        <w:t>fail because staff are unwilling to work together</w:t>
      </w:r>
      <w:r w:rsidR="00761507">
        <w:t xml:space="preserve"> but </w:t>
      </w:r>
      <w:r w:rsidR="00E62D22">
        <w:t xml:space="preserve">also </w:t>
      </w:r>
      <w:r w:rsidR="00761507">
        <w:t xml:space="preserve">because </w:t>
      </w:r>
      <w:r w:rsidRPr="00B153CE">
        <w:t>systems, staffing levels</w:t>
      </w:r>
      <w:r w:rsidR="00761507">
        <w:t>,</w:t>
      </w:r>
      <w:r w:rsidRPr="00B153CE">
        <w:t xml:space="preserve"> and communication pathways restrict effective collaboration.</w:t>
      </w:r>
    </w:p>
    <w:p w14:paraId="3683ADAB" w14:textId="59D4A395" w:rsidR="00A821AE" w:rsidRPr="00A821AE" w:rsidRDefault="00BC2DF9" w:rsidP="00FB1455">
      <w:pPr>
        <w:pStyle w:val="Heading1"/>
        <w:numPr>
          <w:ilvl w:val="0"/>
          <w:numId w:val="25"/>
        </w:numPr>
        <w:ind w:hanging="720"/>
        <w:rPr>
          <w:bCs/>
        </w:rPr>
      </w:pPr>
      <w:r w:rsidRPr="00BC2DF9">
        <w:rPr>
          <w:bCs/>
        </w:rPr>
        <w:t>PCC and PW in Law and Policy</w:t>
      </w:r>
    </w:p>
    <w:p w14:paraId="1121CF6B" w14:textId="6DC08576" w:rsidR="003A75BC" w:rsidRPr="003A75BC" w:rsidRDefault="003A75BC" w:rsidP="003A75BC">
      <w:r w:rsidRPr="003A75BC">
        <w:t>The Social Services and Well-being (Wales) Act 2014 places a legal duty on professionals to support well-being.</w:t>
      </w:r>
      <w:r w:rsidR="009A7A29">
        <w:t xml:space="preserve"> </w:t>
      </w:r>
      <w:r w:rsidRPr="003A75BC">
        <w:t>It requires that people have voice and control in decisions about their care.</w:t>
      </w:r>
      <w:r w:rsidR="009A7A29">
        <w:t xml:space="preserve"> </w:t>
      </w:r>
      <w:r w:rsidRPr="003A75BC">
        <w:t>It promotes co-production, which means that people take part in planning their support.</w:t>
      </w:r>
      <w:r w:rsidR="009A7A29">
        <w:t xml:space="preserve"> </w:t>
      </w:r>
      <w:r w:rsidRPr="003A75BC">
        <w:t>It requires outcomes-based assessments that link care to the person’s goals.</w:t>
      </w:r>
      <w:r w:rsidR="00B61C03">
        <w:t xml:space="preserve"> The only issue is that </w:t>
      </w:r>
      <w:r w:rsidRPr="003A75BC">
        <w:t>stronger duties do not always lead to stronger practice.</w:t>
      </w:r>
    </w:p>
    <w:p w14:paraId="12FEF8F0" w14:textId="1F1FD143" w:rsidR="003A75BC" w:rsidRPr="003A75BC" w:rsidRDefault="003A75BC" w:rsidP="003A75BC">
      <w:r w:rsidRPr="003A75BC">
        <w:t>The Care Act 2014 in England includes a similar duty to promote well-being.</w:t>
      </w:r>
      <w:r w:rsidR="009A7A29">
        <w:t xml:space="preserve"> </w:t>
      </w:r>
      <w:r w:rsidRPr="003A75BC">
        <w:t>It also includes a duty for agencies to cooperate</w:t>
      </w:r>
      <w:r w:rsidR="001E579A">
        <w:t xml:space="preserve">, and also </w:t>
      </w:r>
      <w:r w:rsidRPr="003A75BC">
        <w:t>operates within a more market-driven system of commissioning</w:t>
      </w:r>
      <w:r w:rsidR="001E579A">
        <w:t xml:space="preserve">, which </w:t>
      </w:r>
      <w:r w:rsidRPr="003A75BC">
        <w:t>creates variation in service quality, funding and access</w:t>
      </w:r>
      <w:r w:rsidR="001E579A">
        <w:t xml:space="preserve"> </w:t>
      </w:r>
      <w:r w:rsidR="001E579A">
        <w:fldChar w:fldCharType="begin" w:fldLock="1"/>
      </w:r>
      <w:r w:rsidR="00B67659">
        <w:instrText>ADDIN CSL_CITATION {"citationItems":[{"id":"ITEM-1","itemData":{"author":[{"dropping-particle":"","family":"The Care Act","given":"","non-dropping-particle":"","parse-names":false,"suffix":""}],"id":"ITEM-1","issued":{"date-parts":[["2014"]]},"title":"The Care Act 2014","type":"legal_case"},"uris":["http://www.mendeley.com/documents/?uuid=ccdbea12-515d-44a0-9ea8-96f0baa4f373"]}],"mendeley":{"formattedCitation":"(The Care Act, 2014)","plainTextFormattedCitation":"(The Care Act, 2014)","previouslyFormattedCitation":"(The Care Act, 2014)"},"properties":{"noteIndex":0},"schema":"https://github.com/citation-style-language/schema/raw/master/csl-citation.json"}</w:instrText>
      </w:r>
      <w:r w:rsidR="001E579A">
        <w:fldChar w:fldCharType="separate"/>
      </w:r>
      <w:r w:rsidR="001E579A" w:rsidRPr="001E579A">
        <w:rPr>
          <w:noProof/>
        </w:rPr>
        <w:t>(The Care Act, 2014)</w:t>
      </w:r>
      <w:r w:rsidR="001E579A">
        <w:fldChar w:fldCharType="end"/>
      </w:r>
      <w:r w:rsidRPr="003A75BC">
        <w:t>.</w:t>
      </w:r>
      <w:r w:rsidR="000058C0">
        <w:t xml:space="preserve"> </w:t>
      </w:r>
      <w:r w:rsidR="00711910">
        <w:t xml:space="preserve">Another </w:t>
      </w:r>
      <w:r w:rsidR="0035649A">
        <w:t xml:space="preserve">policy </w:t>
      </w:r>
      <w:r w:rsidR="0035649A" w:rsidRPr="003A75BC">
        <w:t>central in dementia care</w:t>
      </w:r>
      <w:r w:rsidR="0035649A">
        <w:t xml:space="preserve"> is t</w:t>
      </w:r>
      <w:r w:rsidRPr="003A75BC">
        <w:t>he Mental Capacity Act (MCA) 2005</w:t>
      </w:r>
      <w:r w:rsidR="0035649A">
        <w:t xml:space="preserve"> which </w:t>
      </w:r>
      <w:r w:rsidRPr="003A75BC">
        <w:t>requires a clear process for assessing capacity</w:t>
      </w:r>
      <w:r w:rsidR="008C61D8">
        <w:t xml:space="preserve">, and </w:t>
      </w:r>
      <w:r w:rsidRPr="003A75BC">
        <w:t xml:space="preserve">that professionals choose the least </w:t>
      </w:r>
      <w:r w:rsidRPr="003A75BC">
        <w:lastRenderedPageBreak/>
        <w:t>restrictive option</w:t>
      </w:r>
      <w:r w:rsidR="0040319F">
        <w:t xml:space="preserve"> and </w:t>
      </w:r>
      <w:r w:rsidRPr="003A75BC">
        <w:t>that decisions follow the person’s best interests.</w:t>
      </w:r>
      <w:r w:rsidR="009A7A29">
        <w:t xml:space="preserve"> </w:t>
      </w:r>
      <w:r w:rsidR="0089386B">
        <w:t xml:space="preserve">According to </w:t>
      </w:r>
      <w:r w:rsidR="00D83040" w:rsidRPr="00D83040">
        <w:rPr>
          <w:noProof/>
        </w:rPr>
        <w:t xml:space="preserve">Stokes </w:t>
      </w:r>
      <w:r w:rsidR="00D83040" w:rsidRPr="00D83040">
        <w:rPr>
          <w:i/>
          <w:noProof/>
        </w:rPr>
        <w:t>et al.</w:t>
      </w:r>
      <w:r w:rsidR="00D83040">
        <w:rPr>
          <w:i/>
          <w:noProof/>
        </w:rPr>
        <w:t xml:space="preserve"> </w:t>
      </w:r>
      <w:r w:rsidR="00D83040">
        <w:fldChar w:fldCharType="begin" w:fldLock="1"/>
      </w:r>
      <w:r w:rsidR="00902743">
        <w:instrText>ADDIN CSL_CITATION {"citationItems":[{"id":"ITEM-1","itemData":{"DOI":"10.1093/ageing/afaf119","ISSN":"14682834","PMID":"40370080","abstract":"Objective: Mental Capacity legislation defines when a person lacks capacity and subsequently supports individuals to make as many decisions as possible for themselves. Whilst frameworks exist, care home staff often feel unsupported with insufficient knowledge and training. This review aimed to understand barriers and facilitators of implementing mental capacity legislation in care homes for older adults in the United Kingdom. Methods: A systematic review was conducted and 3041 potentially relevant studies identified, with 13 studies eligible for inclusion. 11 focused on the Mental Capacity Act (2005) and two on the Adults with Incapacity (Scotland) Act 2000. Barriers and/or facilitators were extracted and subsequently mapped to the Capability, Opportunity and Motivation model and Theoretical Domains Framework. Results: Barriers included poor access to training, low staff confidence and a lack of understanding about using legislation in context. Conversely, staff reported in-person training using real-life examples, robust organisational policies and processes and respecting person-centred care were key facilitators. Sense-checking conversations were conducted with care home staff (n = 18) to interpret findings in the context of current practice. Conclusions: This review presents complex and multi-faceted barriers preventing the implementation of mental capacity legislation in care homes for older adults. Whilst care home staff have now started to appreciate the importance of such legislation, insufficient time, resources and an inability to track staff knowledge prevents effective implementation of the law. Future research should explore how staff are trained about legislation and identify best practices.","author":[{"dropping-particle":"","family":"Stokes","given":"Louis","non-dropping-particle":"","parse-names":false,"suffix":""},{"dropping-particle":"","family":"Maden","given":"Michelle","non-dropping-particle":"","parse-names":false,"suffix":""},{"dropping-particle":"","family":"Williams","given":"Nefyn","non-dropping-particle":"","parse-names":false,"suffix":""},{"dropping-particle":"","family":"Jacob","given":"Nina","non-dropping-particle":"","parse-names":false,"suffix":""},{"dropping-particle":"","family":"Scott","given":"Sion","non-dropping-particle":"","parse-names":false,"suffix":""},{"dropping-particle":"","family":"Shepherd","given":"Victoria","non-dropping-particle":"","parse-names":false,"suffix":""},{"dropping-particle":"","family":"Gates","given":"Cara","non-dropping-particle":"","parse-names":false,"suffix":""},{"dropping-particle":"","family":"Jones","given":"Liz","non-dropping-particle":"","parse-names":false,"suffix":""},{"dropping-particle":"","family":"Barker","given":"Sandra","non-dropping-particle":"","parse-names":false,"suffix":""},{"dropping-particle":"","family":"Hunter","given":"Marie Clare","non-dropping-particle":"","parse-names":false,"suffix":""},{"dropping-particle":"","family":"Smith","given":"Grahame","non-dropping-particle":"","parse-names":false,"suffix":""},{"dropping-particle":"","family":"Prout","given":"Hayley","non-dropping-particle":"","parse-names":false,"suffix":""},{"dropping-particle":"","family":"Ingle","given":"Mishel","non-dropping-particle":"","parse-names":false,"suffix":""},{"dropping-particle":"","family":"Curtis","given":"Ffion","non-dropping-particle":"","parse-names":false,"suffix":""},{"dropping-particle":"","family":"Hill","given":"Ruaraidh","non-dropping-particle":"","parse-names":false,"suffix":""},{"dropping-particle":"","family":"Griffiths","given":"Alys Wyn","non-dropping-particle":"","parse-names":false,"suffix":""}],"container-title":"Age and Ageing","id":"ITEM-1","issue":"5","issued":{"date-parts":[["2025"]]},"page":"afaf119","title":"Barriers and facilitators to implementation of mental capacity legislation in care homes for older adults in the United Kingdom: a mixed-methods systematic review","type":"article-journal","volume":"54"},"suppress-author":1,"uris":["http://www.mendeley.com/documents/?uuid=6601d0d8-62e0-402a-9979-4d87c3eea8e2"]}],"mendeley":{"formattedCitation":"(2025)","plainTextFormattedCitation":"(2025)","previouslyFormattedCitation":"(2025)"},"properties":{"noteIndex":0},"schema":"https://github.com/citation-style-language/schema/raw/master/csl-citation.json"}</w:instrText>
      </w:r>
      <w:r w:rsidR="00D83040">
        <w:fldChar w:fldCharType="separate"/>
      </w:r>
      <w:r w:rsidR="00D83040" w:rsidRPr="00D83040">
        <w:rPr>
          <w:noProof/>
        </w:rPr>
        <w:t>(2025)</w:t>
      </w:r>
      <w:r w:rsidR="00D83040">
        <w:fldChar w:fldCharType="end"/>
      </w:r>
      <w:r w:rsidR="00D83040">
        <w:t xml:space="preserve">, </w:t>
      </w:r>
      <w:r w:rsidR="009D757D">
        <w:t xml:space="preserve">MCA’s </w:t>
      </w:r>
      <w:r w:rsidR="00D83040">
        <w:t>i</w:t>
      </w:r>
      <w:r w:rsidRPr="003A75BC">
        <w:t xml:space="preserve">mplementation </w:t>
      </w:r>
      <w:r w:rsidR="009D757D">
        <w:t xml:space="preserve">in the UK </w:t>
      </w:r>
      <w:r w:rsidRPr="003A75BC">
        <w:t xml:space="preserve">is uneven because staff </w:t>
      </w:r>
      <w:r w:rsidR="00F661C4">
        <w:t xml:space="preserve">usually </w:t>
      </w:r>
      <w:r w:rsidRPr="003A75BC">
        <w:t>have limited time</w:t>
      </w:r>
      <w:r w:rsidR="00790634">
        <w:t xml:space="preserve"> and </w:t>
      </w:r>
      <w:r w:rsidRPr="003A75BC">
        <w:t>training and confidence differ between settings.</w:t>
      </w:r>
    </w:p>
    <w:p w14:paraId="65E57395" w14:textId="0CA3866E" w:rsidR="003A75BC" w:rsidRPr="003A75BC" w:rsidRDefault="0078489A" w:rsidP="007D09CC">
      <w:r>
        <w:t>Meanwhile, t</w:t>
      </w:r>
      <w:r w:rsidR="003A75BC" w:rsidRPr="003A75BC">
        <w:t>he Equality Act 2010 requires services to make reasonable adjustments.</w:t>
      </w:r>
      <w:r w:rsidR="009A7A29">
        <w:t xml:space="preserve"> </w:t>
      </w:r>
      <w:r w:rsidR="003A75BC" w:rsidRPr="003A75BC">
        <w:t>This is important in dementia care, where people may need communication support.</w:t>
      </w:r>
      <w:r w:rsidR="009A7A29">
        <w:t xml:space="preserve"> </w:t>
      </w:r>
      <w:r w:rsidR="003A75BC" w:rsidRPr="003A75BC">
        <w:t>It also includes duties linked to cultural and religious needs.</w:t>
      </w:r>
      <w:r w:rsidR="00484B4B">
        <w:t xml:space="preserve"> However,</w:t>
      </w:r>
      <w:r w:rsidR="009A7A29">
        <w:t xml:space="preserve"> </w:t>
      </w:r>
      <w:r w:rsidR="00484B4B">
        <w:t>t</w:t>
      </w:r>
      <w:r w:rsidR="003A75BC" w:rsidRPr="003A75BC">
        <w:t xml:space="preserve">hese adjustments </w:t>
      </w:r>
      <w:r w:rsidR="00484B4B">
        <w:t xml:space="preserve">can be </w:t>
      </w:r>
      <w:r w:rsidR="003A75BC" w:rsidRPr="003A75BC">
        <w:t>inconsistent because services lack time, resources</w:t>
      </w:r>
      <w:r w:rsidR="00484B4B">
        <w:t>,</w:t>
      </w:r>
      <w:r w:rsidR="003A75BC" w:rsidRPr="003A75BC">
        <w:t xml:space="preserve"> or guidance.</w:t>
      </w:r>
      <w:r w:rsidR="00484B4B">
        <w:t xml:space="preserve"> </w:t>
      </w:r>
      <w:r w:rsidR="007D09CC">
        <w:t>Moreover, s</w:t>
      </w:r>
      <w:r w:rsidR="003A75BC" w:rsidRPr="003A75BC">
        <w:t>afeguarding frameworks provide protection for adults at risk</w:t>
      </w:r>
      <w:r w:rsidR="00627E92">
        <w:t xml:space="preserve">, being </w:t>
      </w:r>
      <w:r w:rsidR="003A75BC" w:rsidRPr="003A75BC">
        <w:t>essential for preventing harm</w:t>
      </w:r>
      <w:r w:rsidR="00627E92">
        <w:t xml:space="preserve">, and creating </w:t>
      </w:r>
      <w:r w:rsidR="003A75BC" w:rsidRPr="003A75BC">
        <w:t>a risk-averse culture</w:t>
      </w:r>
      <w:r w:rsidR="00902743">
        <w:t xml:space="preserve"> </w:t>
      </w:r>
      <w:r w:rsidR="00902743">
        <w:fldChar w:fldCharType="begin" w:fldLock="1"/>
      </w:r>
      <w:r w:rsidR="008D362F">
        <w:instrText>ADDIN CSL_CITATION {"citationItems":[{"id":"ITEM-1","itemData":{"DOI":"10.1111/jan.16306","ISSN":"13652648","abstract":"Aims: This article aimed to examine the concept of safeguarding adults and establish an operational definition for application to practice, research and policy. Design: Rodgers' evolutionary and inductive method of concept analysis was used. Data Sources: A systematic search was conducted across four electronic databases, CINAHL, PsycINFO, Scopus and PubMed, covering the period from January 2014 to May 2023. This systematic database search aimed to gather a broad spectrum of research and scholarly literature to inform and support the concept analysis. A total of 10 peer-reviewed articles were reviewed using a data chart to identify the context, definitions, antecedents, attributes and consequences of safeguarding adults. Results: The analysis of the included articles helped to develop a better understanding of safeguarding adults by offering a practical operational definition tailored to the specific needs of practising nurses. The implications for practice, research and policy are discussed, highlighting the potential for improving the quality of care and ensuring the well-being of adults at risk of abuse. Conclusion: By employing Rogers' evolutionary concept analysis method, we developed a deeper insight into safeguarding adults in health care. A synthesis of literature revealed the intricate layers and adaptations within safeguarding practices. This concept analysis lays the groundwork for future research, policy development and educational initiatives, enhancing the well-being and safety of adults at risk of abuse within care. Impact: By undertaking a concept analysis of the term safeguarding adults' nurses can be more prepared to engage in and reinforce the key principles of safeguarding adults, providing guidance to ensure the protection and well-being of adults at risk of abuse. Patient or Public Contribution: Not applicable. What this Paper Contributes to the Wider Body of Knowledge: This concept analysis helps to define and clarify the conceptual term ‘safeguarding adults’ promoting a shared understanding of the key components of adult protection and providing a comprehensive framework for assessment and management of adults at risk of abuse in this field of practice.","author":[{"dropping-particle":"","family":"Duffy","given":"Anita","non-dropping-particle":"","parse-names":false,"suffix":""},{"dropping-particle":"","family":"Browne","given":"Freda","non-dropping-particle":"","parse-names":false,"suffix":""},{"dropping-particle":"","family":"Connolly","given":"Michael","non-dropping-particle":"","parse-names":false,"suffix":""}],"container-title":"Journal of Advanced Nursing","id":"ITEM-1","issue":"1","issued":{"date-parts":[["2024"]]},"page":"181-197","title":"Safeguarding adults: A concept analysis","type":"article-journal","volume":"81"},"uris":["http://www.mendeley.com/documents/?uuid=e7b7c30e-1214-419e-88a2-4f3836914974"]}],"mendeley":{"formattedCitation":"(Duffy, Browne and Connolly, 2024)","plainTextFormattedCitation":"(Duffy, Browne and Connolly, 2024)","previouslyFormattedCitation":"(Duffy, Browne and Connolly, 2024)"},"properties":{"noteIndex":0},"schema":"https://github.com/citation-style-language/schema/raw/master/csl-citation.json"}</w:instrText>
      </w:r>
      <w:r w:rsidR="00902743">
        <w:fldChar w:fldCharType="separate"/>
      </w:r>
      <w:r w:rsidR="00902743" w:rsidRPr="00902743">
        <w:rPr>
          <w:noProof/>
        </w:rPr>
        <w:t>(Duffy, Browne and Connolly, 2024)</w:t>
      </w:r>
      <w:r w:rsidR="00902743">
        <w:fldChar w:fldCharType="end"/>
      </w:r>
      <w:r w:rsidR="003A75BC" w:rsidRPr="003A75BC">
        <w:t>.</w:t>
      </w:r>
      <w:r w:rsidR="009A7A29">
        <w:t xml:space="preserve"> </w:t>
      </w:r>
      <w:r w:rsidR="003A75BC" w:rsidRPr="003A75BC">
        <w:t>This culture can limit autonomy and reduce shared decision-making</w:t>
      </w:r>
      <w:r w:rsidR="00902743">
        <w:t>, and t</w:t>
      </w:r>
      <w:r w:rsidR="003A75BC" w:rsidRPr="003A75BC">
        <w:t xml:space="preserve">his </w:t>
      </w:r>
      <w:r w:rsidR="00C109D3">
        <w:t xml:space="preserve">normally </w:t>
      </w:r>
      <w:r w:rsidR="003A75BC" w:rsidRPr="003A75BC">
        <w:t>creates conflict with PCC aims, which emphasise choice and control.</w:t>
      </w:r>
    </w:p>
    <w:p w14:paraId="2E8FFB43" w14:textId="04EEF36A" w:rsidR="003A75BC" w:rsidRPr="003A75BC" w:rsidRDefault="007828A7" w:rsidP="003A75BC">
      <w:r>
        <w:t>Ultimately, t</w:t>
      </w:r>
      <w:r w:rsidR="003A75BC" w:rsidRPr="003A75BC">
        <w:t xml:space="preserve">hese laws </w:t>
      </w:r>
      <w:r w:rsidR="00687E59">
        <w:t xml:space="preserve">all </w:t>
      </w:r>
      <w:r w:rsidR="003A75BC" w:rsidRPr="003A75BC">
        <w:t>provide strong support for PCC and PW on paper.</w:t>
      </w:r>
      <w:r w:rsidR="003442AA">
        <w:t xml:space="preserve"> </w:t>
      </w:r>
      <w:r w:rsidR="00687E59">
        <w:t>However, i</w:t>
      </w:r>
      <w:r w:rsidR="003A75BC" w:rsidRPr="003A75BC">
        <w:t>n practice, limited funding, workforce shortages</w:t>
      </w:r>
      <w:r w:rsidR="007F5A92">
        <w:t>,</w:t>
      </w:r>
      <w:r w:rsidR="003A75BC" w:rsidRPr="003A75BC">
        <w:t xml:space="preserve"> and fragmented systems restrict implementation.</w:t>
      </w:r>
      <w:r w:rsidR="003442AA">
        <w:t xml:space="preserve"> </w:t>
      </w:r>
      <w:r w:rsidR="007F5A92">
        <w:t>Therefore, t</w:t>
      </w:r>
      <w:r w:rsidR="003A75BC" w:rsidRPr="003A75BC">
        <w:t>raining varies between services, which reduces consistency</w:t>
      </w:r>
      <w:r w:rsidR="007F5A92">
        <w:t>;</w:t>
      </w:r>
      <w:r w:rsidR="003442AA" w:rsidRPr="003A75BC">
        <w:t xml:space="preserve"> </w:t>
      </w:r>
      <w:r w:rsidR="007F5A92">
        <w:t>and h</w:t>
      </w:r>
      <w:r w:rsidR="003A75BC" w:rsidRPr="003A75BC">
        <w:t>igh turnover weakens continuity and confidence.</w:t>
      </w:r>
      <w:r w:rsidR="003442AA" w:rsidRPr="003A75BC">
        <w:t xml:space="preserve"> </w:t>
      </w:r>
      <w:r w:rsidR="00226F72">
        <w:t>Essentially, t</w:t>
      </w:r>
      <w:r w:rsidR="003A75BC" w:rsidRPr="003A75BC">
        <w:t>he law sets clear duties, but the system limits delivery.</w:t>
      </w:r>
    </w:p>
    <w:p w14:paraId="7F15B2D2" w14:textId="3517381B" w:rsidR="00A821AE" w:rsidRPr="00A821AE" w:rsidRDefault="00A821AE" w:rsidP="00FB1455">
      <w:pPr>
        <w:pStyle w:val="Heading1"/>
        <w:numPr>
          <w:ilvl w:val="0"/>
          <w:numId w:val="25"/>
        </w:numPr>
        <w:ind w:hanging="720"/>
        <w:rPr>
          <w:bCs/>
        </w:rPr>
      </w:pPr>
      <w:r w:rsidRPr="00A821AE">
        <w:rPr>
          <w:bCs/>
        </w:rPr>
        <w:t>Recommendations for Future Development</w:t>
      </w:r>
    </w:p>
    <w:p w14:paraId="2F814266" w14:textId="4E815CB5" w:rsidR="00A821AE" w:rsidRPr="00BC2DF9" w:rsidRDefault="00A821AE" w:rsidP="00BC2DF9">
      <w:pPr>
        <w:pStyle w:val="Heading2"/>
        <w:numPr>
          <w:ilvl w:val="1"/>
          <w:numId w:val="25"/>
        </w:numPr>
        <w:ind w:hanging="720"/>
      </w:pPr>
      <w:r w:rsidRPr="00A821AE">
        <w:t>Workforce Development</w:t>
      </w:r>
    </w:p>
    <w:p w14:paraId="26F348A9" w14:textId="011E0A8E" w:rsidR="003A75BC" w:rsidRPr="00A821AE" w:rsidRDefault="00B55AAE" w:rsidP="00B55AAE">
      <w:r>
        <w:t>Staff need more training in relational care</w:t>
      </w:r>
      <w:r w:rsidR="00187425">
        <w:t xml:space="preserve"> and also </w:t>
      </w:r>
      <w:r>
        <w:t>better skills in dementia communication.</w:t>
      </w:r>
      <w:r w:rsidR="003442AA">
        <w:t xml:space="preserve"> </w:t>
      </w:r>
      <w:r w:rsidR="00B4042C">
        <w:t xml:space="preserve">They </w:t>
      </w:r>
      <w:r>
        <w:t>also need training in cultural competence and trauma-informed practice</w:t>
      </w:r>
      <w:r w:rsidR="003C01D9">
        <w:t xml:space="preserve">, all of which </w:t>
      </w:r>
      <w:r>
        <w:t>support PCC and reduce distress.</w:t>
      </w:r>
      <w:r w:rsidR="003442AA">
        <w:t xml:space="preserve"> </w:t>
      </w:r>
      <w:r w:rsidR="00DB518A">
        <w:t xml:space="preserve">The problem is that </w:t>
      </w:r>
      <w:r>
        <w:t>services have limited money</w:t>
      </w:r>
      <w:r w:rsidR="00435996">
        <w:t>, while s</w:t>
      </w:r>
      <w:r>
        <w:t>taff have limited time</w:t>
      </w:r>
      <w:r w:rsidR="00A64F05">
        <w:t>, so b</w:t>
      </w:r>
      <w:r>
        <w:t>urnout reduces the ability to attend training.</w:t>
      </w:r>
    </w:p>
    <w:p w14:paraId="10463D65" w14:textId="598EDD19" w:rsidR="00A821AE" w:rsidRPr="00BC2DF9" w:rsidRDefault="00A821AE" w:rsidP="00BC2DF9">
      <w:pPr>
        <w:pStyle w:val="Heading2"/>
        <w:numPr>
          <w:ilvl w:val="1"/>
          <w:numId w:val="25"/>
        </w:numPr>
        <w:ind w:hanging="720"/>
      </w:pPr>
      <w:r w:rsidRPr="00A821AE">
        <w:t>Digital Integration</w:t>
      </w:r>
    </w:p>
    <w:p w14:paraId="01FAE93E" w14:textId="20B51A9C" w:rsidR="00B55AAE" w:rsidRPr="00A821AE" w:rsidRDefault="00B55AAE" w:rsidP="00B55AAE">
      <w:r>
        <w:t>Services need shared digital records between hospitals, GPs</w:t>
      </w:r>
      <w:r w:rsidR="008973D4">
        <w:t>,</w:t>
      </w:r>
      <w:r>
        <w:t xml:space="preserve"> and care homes.</w:t>
      </w:r>
      <w:r w:rsidR="008973D4">
        <w:t xml:space="preserve"> Because s</w:t>
      </w:r>
      <w:r>
        <w:t>hared records reduce mistakes and delays</w:t>
      </w:r>
      <w:r w:rsidR="008973D4">
        <w:t>,</w:t>
      </w:r>
      <w:r w:rsidR="003442AA">
        <w:t xml:space="preserve"> </w:t>
      </w:r>
      <w:r w:rsidR="008973D4">
        <w:t>d</w:t>
      </w:r>
      <w:r>
        <w:t>igital tools should be co-designed with families and residents.</w:t>
      </w:r>
      <w:r w:rsidR="003442AA">
        <w:t xml:space="preserve"> </w:t>
      </w:r>
      <w:r>
        <w:t xml:space="preserve">This </w:t>
      </w:r>
      <w:r w:rsidR="008973D4">
        <w:t xml:space="preserve">can </w:t>
      </w:r>
      <w:r>
        <w:t>reduce digital exclusion</w:t>
      </w:r>
      <w:r w:rsidR="008973D4">
        <w:t xml:space="preserve">, with </w:t>
      </w:r>
      <w:r w:rsidR="00DB68E2">
        <w:t xml:space="preserve">the only causes for concern being </w:t>
      </w:r>
      <w:r>
        <w:t>high costs, digital skills gaps</w:t>
      </w:r>
      <w:r w:rsidR="00DB68E2">
        <w:t>,</w:t>
      </w:r>
      <w:r>
        <w:t xml:space="preserve"> and GDPR risks.</w:t>
      </w:r>
    </w:p>
    <w:p w14:paraId="3B1F453B" w14:textId="211F7F33" w:rsidR="00A821AE" w:rsidRPr="00BC2DF9" w:rsidRDefault="00A821AE" w:rsidP="00BC2DF9">
      <w:pPr>
        <w:pStyle w:val="Heading2"/>
        <w:numPr>
          <w:ilvl w:val="1"/>
          <w:numId w:val="25"/>
        </w:numPr>
        <w:ind w:hanging="720"/>
      </w:pPr>
      <w:r w:rsidRPr="00A821AE">
        <w:t>Co-produced Outcome Frameworks</w:t>
      </w:r>
    </w:p>
    <w:p w14:paraId="367C31B7" w14:textId="4CFCC237" w:rsidR="00B55AAE" w:rsidRPr="00A821AE" w:rsidRDefault="00B55AAE" w:rsidP="001044CB">
      <w:r>
        <w:t xml:space="preserve">Agencies </w:t>
      </w:r>
      <w:r w:rsidR="004E32BE">
        <w:t>need to</w:t>
      </w:r>
      <w:r>
        <w:t xml:space="preserve"> use shared measures of success</w:t>
      </w:r>
      <w:r w:rsidR="004E32BE">
        <w:t xml:space="preserve">, including </w:t>
      </w:r>
      <w:r>
        <w:t>resident well-being, family satisfaction</w:t>
      </w:r>
      <w:r w:rsidR="004E32BE">
        <w:t>,</w:t>
      </w:r>
      <w:r>
        <w:t xml:space="preserve"> and reduced distress.</w:t>
      </w:r>
      <w:r w:rsidR="003442AA">
        <w:t xml:space="preserve"> </w:t>
      </w:r>
      <w:r w:rsidR="001044CB">
        <w:t xml:space="preserve">And even though this means worrying about </w:t>
      </w:r>
      <w:r w:rsidR="001044CB" w:rsidRPr="001044CB">
        <w:t>difficulty measuring well-being</w:t>
      </w:r>
      <w:r w:rsidR="001044CB">
        <w:t xml:space="preserve"> and progress </w:t>
      </w:r>
      <w:r w:rsidR="001044CB" w:rsidRPr="001044CB">
        <w:t>depend</w:t>
      </w:r>
      <w:r w:rsidR="001044CB">
        <w:t>ing</w:t>
      </w:r>
      <w:r w:rsidR="001044CB" w:rsidRPr="001044CB">
        <w:t xml:space="preserve"> on political commitment</w:t>
      </w:r>
      <w:r w:rsidR="001044CB">
        <w:t>, these s</w:t>
      </w:r>
      <w:r>
        <w:t>hared measures improve accountability and clarity</w:t>
      </w:r>
      <w:r w:rsidR="001044CB">
        <w:t>.</w:t>
      </w:r>
    </w:p>
    <w:p w14:paraId="744DF475" w14:textId="112C069C" w:rsidR="00A821AE" w:rsidRPr="00FB1455" w:rsidRDefault="00A821AE" w:rsidP="00FB1455">
      <w:pPr>
        <w:pStyle w:val="Heading1"/>
        <w:numPr>
          <w:ilvl w:val="0"/>
          <w:numId w:val="25"/>
        </w:numPr>
        <w:ind w:hanging="720"/>
      </w:pPr>
      <w:r w:rsidRPr="00A821AE">
        <w:lastRenderedPageBreak/>
        <w:t>Conclusion</w:t>
      </w:r>
    </w:p>
    <w:p w14:paraId="56238908" w14:textId="6FF2DC4E" w:rsidR="00B10FFD" w:rsidRDefault="00E06A79" w:rsidP="00551E87">
      <w:r>
        <w:t xml:space="preserve">There is a </w:t>
      </w:r>
      <w:r w:rsidR="00B10FFD" w:rsidRPr="00B10FFD">
        <w:t>gap between legal duties and daily practice</w:t>
      </w:r>
      <w:r>
        <w:t xml:space="preserve">, especially with </w:t>
      </w:r>
      <w:r w:rsidR="00B10FFD" w:rsidRPr="00B10FFD">
        <w:t xml:space="preserve">PCC and PW </w:t>
      </w:r>
      <w:r>
        <w:t xml:space="preserve">being </w:t>
      </w:r>
      <w:r w:rsidR="00B10FFD" w:rsidRPr="00B10FFD">
        <w:t>central expectations in UK law and guidance.</w:t>
      </w:r>
      <w:r w:rsidR="003442AA">
        <w:t xml:space="preserve"> </w:t>
      </w:r>
      <w:r w:rsidR="00B10FFD" w:rsidRPr="00B10FFD">
        <w:t>Residential dementia care shows how these expectations are restricted by funding, staffing</w:t>
      </w:r>
      <w:r w:rsidR="004A04E2">
        <w:t>,</w:t>
      </w:r>
      <w:r w:rsidR="00B10FFD" w:rsidRPr="00B10FFD">
        <w:t xml:space="preserve"> and divided systems.</w:t>
      </w:r>
      <w:r w:rsidR="003442AA" w:rsidRPr="00B10FFD">
        <w:t xml:space="preserve"> </w:t>
      </w:r>
      <w:r w:rsidR="00551E87">
        <w:t>It is true that l</w:t>
      </w:r>
      <w:r w:rsidR="00B10FFD" w:rsidRPr="00B10FFD">
        <w:t xml:space="preserve">aws provide clear duties, but </w:t>
      </w:r>
      <w:r w:rsidR="00551E87">
        <w:t xml:space="preserve">it is just as true that </w:t>
      </w:r>
      <w:r w:rsidR="00B10FFD" w:rsidRPr="00B10FFD">
        <w:t xml:space="preserve">services </w:t>
      </w:r>
      <w:r w:rsidR="00551E87">
        <w:t xml:space="preserve">are </w:t>
      </w:r>
      <w:r w:rsidR="00B10FFD" w:rsidRPr="00B10FFD">
        <w:t>struggl</w:t>
      </w:r>
      <w:r w:rsidR="00551E87">
        <w:t>ing</w:t>
      </w:r>
      <w:r w:rsidR="00B10FFD" w:rsidRPr="00B10FFD">
        <w:t xml:space="preserve"> to meet them.</w:t>
      </w:r>
      <w:r w:rsidR="003442AA">
        <w:t xml:space="preserve"> </w:t>
      </w:r>
      <w:r w:rsidR="00B10FFD" w:rsidRPr="00B10FFD">
        <w:t xml:space="preserve">Without long-term investment and better systems, PCC and PW </w:t>
      </w:r>
      <w:r w:rsidR="00551E87">
        <w:t xml:space="preserve">will not become lived experiences but </w:t>
      </w:r>
      <w:r w:rsidR="00B10FFD" w:rsidRPr="00B10FFD">
        <w:t>remain aims</w:t>
      </w:r>
      <w:r w:rsidR="00551E87">
        <w:t>.</w:t>
      </w:r>
    </w:p>
    <w:p w14:paraId="721BF96D" w14:textId="77777777" w:rsidR="009C6D4F" w:rsidRPr="00B10FFD" w:rsidRDefault="009C6D4F" w:rsidP="00551E87"/>
    <w:p w14:paraId="51407A0E" w14:textId="77777777" w:rsidR="009C6D4F" w:rsidRDefault="009C6D4F">
      <w:pPr>
        <w:spacing w:line="259" w:lineRule="auto"/>
        <w:jc w:val="left"/>
        <w:rPr>
          <w:b/>
        </w:rPr>
      </w:pPr>
      <w:r>
        <w:br w:type="page"/>
      </w:r>
    </w:p>
    <w:p w14:paraId="40614EDB" w14:textId="363CB034" w:rsidR="00A821AE" w:rsidRPr="00A821AE" w:rsidRDefault="00A821AE" w:rsidP="00402A05">
      <w:pPr>
        <w:pStyle w:val="Heading1"/>
      </w:pPr>
      <w:r w:rsidRPr="00A821AE">
        <w:lastRenderedPageBreak/>
        <w:t>Reference List</w:t>
      </w:r>
    </w:p>
    <w:p w14:paraId="1E24B9E0"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Alzheimer’s Society (2024) </w:t>
      </w:r>
      <w:r w:rsidRPr="008D362F">
        <w:rPr>
          <w:i/>
          <w:iCs/>
          <w:noProof/>
        </w:rPr>
        <w:t>Record number of people are receiving a dementia diagnosis in England</w:t>
      </w:r>
      <w:r w:rsidRPr="008D362F">
        <w:rPr>
          <w:noProof/>
        </w:rPr>
        <w:t>. London. Available at: https://www.alzheimers.org.uk/news/2025-10-08/record-number-people-are-receiving-dementia-diagnosis-england.</w:t>
      </w:r>
    </w:p>
    <w:p w14:paraId="01FB81CC"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Ball, E. </w:t>
      </w:r>
      <w:r w:rsidRPr="008D362F">
        <w:rPr>
          <w:i/>
          <w:iCs/>
          <w:noProof/>
        </w:rPr>
        <w:t>et al.</w:t>
      </w:r>
      <w:r w:rsidRPr="008D362F">
        <w:rPr>
          <w:noProof/>
        </w:rPr>
        <w:t xml:space="preserve"> (2024) ‘Implementation of Multi-agency Safeguarding Arrangements Regarding Exploitation of Young People: Aligning Policy and Practice Using Normalisation Processing Theory’, </w:t>
      </w:r>
      <w:r w:rsidRPr="008D362F">
        <w:rPr>
          <w:i/>
          <w:iCs/>
          <w:noProof/>
        </w:rPr>
        <w:t>Journal of Applied Youth Studies</w:t>
      </w:r>
      <w:r w:rsidRPr="008D362F">
        <w:rPr>
          <w:noProof/>
        </w:rPr>
        <w:t>, pp. 1–20. Available at: https://doi.org/10.1007/s43151-024-00133-2.</w:t>
      </w:r>
    </w:p>
    <w:p w14:paraId="28AF2429"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Clark, W. (2021) ‘Teamwork: A Multidisciplinary Review’, </w:t>
      </w:r>
      <w:r w:rsidRPr="008D362F">
        <w:rPr>
          <w:i/>
          <w:iCs/>
          <w:noProof/>
        </w:rPr>
        <w:t>Child and Adolescent Psychiatric Clinics of North America</w:t>
      </w:r>
      <w:r w:rsidRPr="008D362F">
        <w:rPr>
          <w:noProof/>
        </w:rPr>
        <w:t>, 30(4), pp. 685–695. Available at: https://doi.org/10.1016/j.chc.2021.05.003.</w:t>
      </w:r>
    </w:p>
    <w:p w14:paraId="620B0373"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Davies, M. </w:t>
      </w:r>
      <w:r w:rsidRPr="008D362F">
        <w:rPr>
          <w:i/>
          <w:iCs/>
          <w:noProof/>
        </w:rPr>
        <w:t>et al.</w:t>
      </w:r>
      <w:r w:rsidRPr="008D362F">
        <w:rPr>
          <w:noProof/>
        </w:rPr>
        <w:t xml:space="preserve"> (2023) ‘Exploring Interrelations Between Person-Centered Care and Quality of Life Following a Transition Into Long-Term Residential Care: A Meta-Ethnography’, </w:t>
      </w:r>
      <w:r w:rsidRPr="008D362F">
        <w:rPr>
          <w:i/>
          <w:iCs/>
          <w:noProof/>
        </w:rPr>
        <w:t>Gerontologist</w:t>
      </w:r>
      <w:r w:rsidRPr="008D362F">
        <w:rPr>
          <w:noProof/>
        </w:rPr>
        <w:t>, 63(4), pp. 660–673. Available at: https://doi.org/10.1093/geront/gnac027.</w:t>
      </w:r>
    </w:p>
    <w:p w14:paraId="5B90395A"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Department of Health and Social Care (2025) </w:t>
      </w:r>
      <w:r w:rsidRPr="008D362F">
        <w:rPr>
          <w:i/>
          <w:iCs/>
          <w:noProof/>
        </w:rPr>
        <w:t>Adult social care in England, monthly statistics: April 2025</w:t>
      </w:r>
      <w:r w:rsidRPr="008D362F">
        <w:rPr>
          <w:noProof/>
        </w:rPr>
        <w:t>. London. Available at: https://www.gov.uk/government/statistics/adult-social-care-in-england-monthly-statistics-april-2025/adult-social-care-in-england-monthly-statistics-april-2025.</w:t>
      </w:r>
    </w:p>
    <w:p w14:paraId="46F52516"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Devi, R. </w:t>
      </w:r>
      <w:r w:rsidRPr="008D362F">
        <w:rPr>
          <w:i/>
          <w:iCs/>
          <w:noProof/>
        </w:rPr>
        <w:t>et al.</w:t>
      </w:r>
      <w:r w:rsidRPr="008D362F">
        <w:rPr>
          <w:noProof/>
        </w:rPr>
        <w:t xml:space="preserve"> (2021) ‘How quality improvement collaboratives work to improve healthcare in care homes: A realist evaluation’, </w:t>
      </w:r>
      <w:r w:rsidRPr="008D362F">
        <w:rPr>
          <w:i/>
          <w:iCs/>
          <w:noProof/>
        </w:rPr>
        <w:t>Age and Ageing</w:t>
      </w:r>
      <w:r w:rsidRPr="008D362F">
        <w:rPr>
          <w:noProof/>
        </w:rPr>
        <w:t>, 50(4), pp. 1371–1381. Available at: https://doi.org/10.1093/ageing/afab007.</w:t>
      </w:r>
    </w:p>
    <w:p w14:paraId="459C8C57"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Duffy, A., Browne, F. and Connolly, M. (2024) ‘Safeguarding adults: A concept analysis’, </w:t>
      </w:r>
      <w:r w:rsidRPr="008D362F">
        <w:rPr>
          <w:i/>
          <w:iCs/>
          <w:noProof/>
        </w:rPr>
        <w:t>Journal of Advanced Nursing</w:t>
      </w:r>
      <w:r w:rsidRPr="008D362F">
        <w:rPr>
          <w:noProof/>
        </w:rPr>
        <w:t>, 81(1), pp. 181–197. Available at: https://doi.org/10.1111/jan.16306.</w:t>
      </w:r>
    </w:p>
    <w:p w14:paraId="21C0CD29"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Edberg, A.K. and Backman, A. (2025) ‘A Complex Intervention to Strengthen Person-Centered Care and Leadership in Residential Care Facilities (the PERLE Study): Protocol for a Development and Implementation Study’, </w:t>
      </w:r>
      <w:r w:rsidRPr="008D362F">
        <w:rPr>
          <w:i/>
          <w:iCs/>
          <w:noProof/>
        </w:rPr>
        <w:t>JMIR Research Protocols</w:t>
      </w:r>
      <w:r w:rsidRPr="008D362F">
        <w:rPr>
          <w:noProof/>
        </w:rPr>
        <w:t>, 14, p. e76185. Available at: https://doi.org/10.2196/76185.</w:t>
      </w:r>
    </w:p>
    <w:p w14:paraId="7C8B526A"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Equality Act (2010) </w:t>
      </w:r>
      <w:r w:rsidRPr="008D362F">
        <w:rPr>
          <w:i/>
          <w:iCs/>
          <w:noProof/>
        </w:rPr>
        <w:t>Equality Act</w:t>
      </w:r>
      <w:r w:rsidRPr="008D362F">
        <w:rPr>
          <w:noProof/>
        </w:rPr>
        <w:t>.</w:t>
      </w:r>
    </w:p>
    <w:p w14:paraId="07E5B960"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De Graaf, L. </w:t>
      </w:r>
      <w:r w:rsidRPr="008D362F">
        <w:rPr>
          <w:i/>
          <w:iCs/>
          <w:noProof/>
        </w:rPr>
        <w:t>et al.</w:t>
      </w:r>
      <w:r w:rsidRPr="008D362F">
        <w:rPr>
          <w:noProof/>
        </w:rPr>
        <w:t xml:space="preserve"> (2023) ‘Substance use and misuse of older adults living in residential care facilities: a scoping review from a person-centred care approach’, </w:t>
      </w:r>
      <w:r w:rsidRPr="008D362F">
        <w:rPr>
          <w:i/>
          <w:iCs/>
          <w:noProof/>
        </w:rPr>
        <w:t>Ageing and Society</w:t>
      </w:r>
      <w:r w:rsidRPr="008D362F">
        <w:rPr>
          <w:noProof/>
        </w:rPr>
        <w:t>, 43(6), pp. 1457–1483. Available at: https://doi.org/10.1017/S0144686X21001215.</w:t>
      </w:r>
    </w:p>
    <w:p w14:paraId="13055DF0"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Johnston, L. </w:t>
      </w:r>
      <w:r w:rsidRPr="008D362F">
        <w:rPr>
          <w:i/>
          <w:iCs/>
          <w:noProof/>
        </w:rPr>
        <w:t>et al.</w:t>
      </w:r>
      <w:r w:rsidRPr="008D362F">
        <w:rPr>
          <w:noProof/>
        </w:rPr>
        <w:t xml:space="preserve"> (2022) ‘Foundation Level Barriers to the Widespread Adoption of Digital Solutions by Care Homes: Insights from Three Scottish Studies’, </w:t>
      </w:r>
      <w:r w:rsidRPr="008D362F">
        <w:rPr>
          <w:i/>
          <w:iCs/>
          <w:noProof/>
        </w:rPr>
        <w:t>International Journal of Environmental Research and Public Health</w:t>
      </w:r>
      <w:r w:rsidRPr="008D362F">
        <w:rPr>
          <w:noProof/>
        </w:rPr>
        <w:t>, 19(12), p. 7407. Available at: https://doi.org/10.3390/ijerph19127407.</w:t>
      </w:r>
    </w:p>
    <w:p w14:paraId="4FF16D4B"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Kelly, L. </w:t>
      </w:r>
      <w:r w:rsidRPr="008D362F">
        <w:rPr>
          <w:i/>
          <w:iCs/>
          <w:noProof/>
        </w:rPr>
        <w:t>et al.</w:t>
      </w:r>
      <w:r w:rsidRPr="008D362F">
        <w:rPr>
          <w:noProof/>
        </w:rPr>
        <w:t xml:space="preserve"> (2023) ‘Aligning Kitwood’s Model of Person-Centered Dementia Care with Music Therapy Practice’, </w:t>
      </w:r>
      <w:r w:rsidRPr="008D362F">
        <w:rPr>
          <w:i/>
          <w:iCs/>
          <w:noProof/>
        </w:rPr>
        <w:t>Music Therapy Perspectives</w:t>
      </w:r>
      <w:r w:rsidRPr="008D362F">
        <w:rPr>
          <w:noProof/>
        </w:rPr>
        <w:t>, 41(2), pp. 198–206. Available at: https://doi.org/10.1093/mtp/miad015.</w:t>
      </w:r>
    </w:p>
    <w:p w14:paraId="7BFABD6B"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Kitwood, T. (1997) </w:t>
      </w:r>
      <w:r w:rsidRPr="008D362F">
        <w:rPr>
          <w:i/>
          <w:iCs/>
          <w:noProof/>
        </w:rPr>
        <w:t>Dementia reconsidered: The person comes first</w:t>
      </w:r>
      <w:r w:rsidRPr="008D362F">
        <w:rPr>
          <w:noProof/>
        </w:rPr>
        <w:t>. Buckingham: Open University Press.</w:t>
      </w:r>
    </w:p>
    <w:p w14:paraId="5D41B6A4"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Lorber, M. </w:t>
      </w:r>
      <w:r w:rsidRPr="008D362F">
        <w:rPr>
          <w:i/>
          <w:iCs/>
          <w:noProof/>
        </w:rPr>
        <w:t>et al.</w:t>
      </w:r>
      <w:r w:rsidRPr="008D362F">
        <w:rPr>
          <w:noProof/>
        </w:rPr>
        <w:t xml:space="preserve"> (2025) ‘Person-Centred Care in Association with Psychological Well-Being of Older Adults’, </w:t>
      </w:r>
      <w:r w:rsidRPr="008D362F">
        <w:rPr>
          <w:i/>
          <w:iCs/>
          <w:noProof/>
        </w:rPr>
        <w:t>Healthcare (Switzerland)</w:t>
      </w:r>
      <w:r w:rsidRPr="008D362F">
        <w:rPr>
          <w:noProof/>
        </w:rPr>
        <w:t>, 13(12), p. 1379. Available at: https://doi.org/10.3390/healthcare13121379.</w:t>
      </w:r>
    </w:p>
    <w:p w14:paraId="3D08ACB0"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McCance, T. and McCormack, B. (2025) ‘The Person-centred Nursing Framework: a mid-</w:t>
      </w:r>
      <w:r w:rsidRPr="008D362F">
        <w:rPr>
          <w:noProof/>
        </w:rPr>
        <w:lastRenderedPageBreak/>
        <w:t xml:space="preserve">range theory for nursing practice’, </w:t>
      </w:r>
      <w:r w:rsidRPr="008D362F">
        <w:rPr>
          <w:i/>
          <w:iCs/>
          <w:noProof/>
        </w:rPr>
        <w:t>Journal of Research in Nursing</w:t>
      </w:r>
      <w:r w:rsidRPr="008D362F">
        <w:rPr>
          <w:noProof/>
        </w:rPr>
        <w:t>, 30(1), pp. 47–60. Available at: https://doi.org/10.1177/17449871241281428.</w:t>
      </w:r>
    </w:p>
    <w:p w14:paraId="10D5A020"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Mental Capacity Act (MCA) (2005) </w:t>
      </w:r>
      <w:r w:rsidRPr="008D362F">
        <w:rPr>
          <w:i/>
          <w:iCs/>
          <w:noProof/>
        </w:rPr>
        <w:t>Mental Capacity Act (MCA)</w:t>
      </w:r>
      <w:r w:rsidRPr="008D362F">
        <w:rPr>
          <w:noProof/>
        </w:rPr>
        <w:t>. London: The Stationery Office. Available at: https://www.legislation.gov.uk/ukpga/2005/9/contents.</w:t>
      </w:r>
    </w:p>
    <w:p w14:paraId="6E6CAA56"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Mitchell, G. and Agnelli, J. (2015) ‘Person-centred care for people with dementia: Kitwood reconsidered’, </w:t>
      </w:r>
      <w:r w:rsidRPr="008D362F">
        <w:rPr>
          <w:i/>
          <w:iCs/>
          <w:noProof/>
        </w:rPr>
        <w:t>Nursing Standard</w:t>
      </w:r>
      <w:r w:rsidRPr="008D362F">
        <w:rPr>
          <w:noProof/>
        </w:rPr>
        <w:t>, 30(7), pp. 46–50. Available at: https://doi.org/10.7748/ns.30.7.46.s47.</w:t>
      </w:r>
    </w:p>
    <w:p w14:paraId="59CFA6B8"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NICE (2021) ‘Shared decision making’. London: National Institute for Health and Care Excellence (NICE). Available at: https://www.nice.org.uk/guidance/ng197.</w:t>
      </w:r>
    </w:p>
    <w:p w14:paraId="0E3BB5E4"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Prest, K. </w:t>
      </w:r>
      <w:r w:rsidRPr="008D362F">
        <w:rPr>
          <w:i/>
          <w:iCs/>
          <w:noProof/>
        </w:rPr>
        <w:t>et al.</w:t>
      </w:r>
      <w:r w:rsidRPr="008D362F">
        <w:rPr>
          <w:noProof/>
        </w:rPr>
        <w:t xml:space="preserve"> (2024) ‘“There was nothing, just absolute darkness”: Understanding the needs of those caring for children and young people with complex neurodisability in a diverse UK context: A qualitative exploration in the ENCOMPASS study’, </w:t>
      </w:r>
      <w:r w:rsidRPr="008D362F">
        <w:rPr>
          <w:i/>
          <w:iCs/>
          <w:noProof/>
        </w:rPr>
        <w:t>Child: Care, Health and Development</w:t>
      </w:r>
      <w:r w:rsidRPr="008D362F">
        <w:rPr>
          <w:noProof/>
        </w:rPr>
        <w:t>, 50(4), p. e13303. Available at: https://doi.org/10.1111/cch.13303.</w:t>
      </w:r>
    </w:p>
    <w:p w14:paraId="23BDA586"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Skills for Care (2025) </w:t>
      </w:r>
      <w:r w:rsidRPr="008D362F">
        <w:rPr>
          <w:i/>
          <w:iCs/>
          <w:noProof/>
        </w:rPr>
        <w:t>The state of the adult social care sector and workforce in England</w:t>
      </w:r>
      <w:r w:rsidRPr="008D362F">
        <w:rPr>
          <w:noProof/>
        </w:rPr>
        <w:t>. Leeds, England.</w:t>
      </w:r>
    </w:p>
    <w:p w14:paraId="3D83DA46"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Social Services and Well-being (Wales) Act (2014) </w:t>
      </w:r>
      <w:r w:rsidRPr="008D362F">
        <w:rPr>
          <w:i/>
          <w:iCs/>
          <w:noProof/>
        </w:rPr>
        <w:t>Social Services and Well-being (Wales) Act 2014</w:t>
      </w:r>
      <w:r w:rsidRPr="008D362F">
        <w:rPr>
          <w:noProof/>
        </w:rPr>
        <w:t>. London: The Stationery Office. Available at: https://www.legislation.gov.uk/anaw/2014/4/contents.</w:t>
      </w:r>
    </w:p>
    <w:p w14:paraId="06598C0B"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Stokes, L. </w:t>
      </w:r>
      <w:r w:rsidRPr="008D362F">
        <w:rPr>
          <w:i/>
          <w:iCs/>
          <w:noProof/>
        </w:rPr>
        <w:t>et al.</w:t>
      </w:r>
      <w:r w:rsidRPr="008D362F">
        <w:rPr>
          <w:noProof/>
        </w:rPr>
        <w:t xml:space="preserve"> (2025) ‘Barriers and facilitators to implementation of mental capacity legislation in care homes for older adults in the United Kingdom: a mixed-methods systematic review’, </w:t>
      </w:r>
      <w:r w:rsidRPr="008D362F">
        <w:rPr>
          <w:i/>
          <w:iCs/>
          <w:noProof/>
        </w:rPr>
        <w:t>Age and Ageing</w:t>
      </w:r>
      <w:r w:rsidRPr="008D362F">
        <w:rPr>
          <w:noProof/>
        </w:rPr>
        <w:t>, 54(5), p. afaf119. Available at: https://doi.org/10.1093/ageing/afaf119.</w:t>
      </w:r>
    </w:p>
    <w:p w14:paraId="345E48F4"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The Care Act (2014) </w:t>
      </w:r>
      <w:r w:rsidRPr="008D362F">
        <w:rPr>
          <w:i/>
          <w:iCs/>
          <w:noProof/>
        </w:rPr>
        <w:t>The Care Act 2014</w:t>
      </w:r>
      <w:r w:rsidRPr="008D362F">
        <w:rPr>
          <w:noProof/>
        </w:rPr>
        <w:t>.</w:t>
      </w:r>
    </w:p>
    <w:p w14:paraId="20219302"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Towers, A.-M. </w:t>
      </w:r>
      <w:r w:rsidRPr="008D362F">
        <w:rPr>
          <w:i/>
          <w:iCs/>
          <w:noProof/>
        </w:rPr>
        <w:t>et al.</w:t>
      </w:r>
      <w:r w:rsidRPr="008D362F">
        <w:rPr>
          <w:noProof/>
        </w:rPr>
        <w:t xml:space="preserve"> (2021) ‘Care home residents’ quality of life and its association with CQC ratings and workforce issues: the MiCareHQ mixed-methods study’, </w:t>
      </w:r>
      <w:r w:rsidRPr="008D362F">
        <w:rPr>
          <w:i/>
          <w:iCs/>
          <w:noProof/>
        </w:rPr>
        <w:t>Health Services and Delivery Research</w:t>
      </w:r>
      <w:r w:rsidRPr="008D362F">
        <w:rPr>
          <w:noProof/>
        </w:rPr>
        <w:t>, 9(19). Available at: https://doi.org/10.3310/hsdr09190.</w:t>
      </w:r>
    </w:p>
    <w:p w14:paraId="43116973"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Varkey, B. (2021) ‘Principles of Clinical Ethics and Their Application to Practice’, </w:t>
      </w:r>
      <w:r w:rsidRPr="008D362F">
        <w:rPr>
          <w:i/>
          <w:iCs/>
          <w:noProof/>
        </w:rPr>
        <w:t>Medical Principles and Practice</w:t>
      </w:r>
      <w:r w:rsidRPr="008D362F">
        <w:rPr>
          <w:noProof/>
        </w:rPr>
        <w:t>, 30, pp. 17–28. Available at: https://doi.org/10.1159/000509119.</w:t>
      </w:r>
    </w:p>
    <w:p w14:paraId="0E0743B0" w14:textId="77777777" w:rsidR="008D362F" w:rsidRPr="008D362F" w:rsidRDefault="008D362F" w:rsidP="008D362F">
      <w:pPr>
        <w:widowControl w:val="0"/>
        <w:autoSpaceDE w:val="0"/>
        <w:autoSpaceDN w:val="0"/>
        <w:adjustRightInd w:val="0"/>
        <w:spacing w:line="240" w:lineRule="auto"/>
        <w:ind w:left="450" w:hanging="450"/>
        <w:rPr>
          <w:noProof/>
        </w:rPr>
      </w:pPr>
      <w:r w:rsidRPr="008D362F">
        <w:rPr>
          <w:noProof/>
        </w:rPr>
        <w:t xml:space="preserve">Woodward, A. and Ruston, A. (2023) ‘Empowerment of care home staff through effective collaboration with healthcare’, </w:t>
      </w:r>
      <w:r w:rsidRPr="008D362F">
        <w:rPr>
          <w:i/>
          <w:iCs/>
          <w:noProof/>
        </w:rPr>
        <w:t>Journal of Interprofessional Care</w:t>
      </w:r>
      <w:r w:rsidRPr="008D362F">
        <w:rPr>
          <w:noProof/>
        </w:rPr>
        <w:t>, 37(1), pp. 109–117. Available at: https://doi.org/10.1080/13561820.2022.2047015.</w:t>
      </w:r>
    </w:p>
    <w:p w14:paraId="5B01A745" w14:textId="47BC616C" w:rsidR="00A821AE" w:rsidRPr="00A378E0" w:rsidRDefault="008D362F" w:rsidP="008D362F">
      <w:pPr>
        <w:spacing w:line="240" w:lineRule="auto"/>
        <w:ind w:left="450" w:hanging="450"/>
      </w:pPr>
      <w:r w:rsidRPr="008D362F">
        <w:rPr>
          <w:noProof/>
        </w:rPr>
        <w:t xml:space="preserve">Yusof, A.N.M. and Razali, H.Y.H. (2024) ‘Moving Away from the Blame Culture: The Way Forward to Manage Medical Errors’, </w:t>
      </w:r>
      <w:r w:rsidRPr="008D362F">
        <w:rPr>
          <w:i/>
          <w:iCs/>
          <w:noProof/>
        </w:rPr>
        <w:t>Malaysian Journal of Medical Sciences</w:t>
      </w:r>
      <w:r w:rsidRPr="008D362F">
        <w:rPr>
          <w:noProof/>
        </w:rPr>
        <w:t>, 31(6), pp. 126–132. Available at: https://doi.org/10.21315/mjms2024.31.6.10.</w:t>
      </w:r>
    </w:p>
    <w:sectPr w:rsidR="00A821AE" w:rsidRPr="00A378E0" w:rsidSect="001B6B7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14ADD" w14:textId="77777777" w:rsidR="006D5446" w:rsidRDefault="006D5446" w:rsidP="001B6B75">
      <w:pPr>
        <w:spacing w:after="0" w:line="240" w:lineRule="auto"/>
      </w:pPr>
      <w:r>
        <w:separator/>
      </w:r>
    </w:p>
  </w:endnote>
  <w:endnote w:type="continuationSeparator" w:id="0">
    <w:p w14:paraId="3BBF7A3C" w14:textId="77777777" w:rsidR="006D5446" w:rsidRDefault="006D5446" w:rsidP="001B6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834971"/>
      <w:docPartObj>
        <w:docPartGallery w:val="Page Numbers (Bottom of Page)"/>
        <w:docPartUnique/>
      </w:docPartObj>
    </w:sdtPr>
    <w:sdtContent>
      <w:p w14:paraId="6AE42FB4" w14:textId="2BB52031" w:rsidR="001B6B75" w:rsidRDefault="001B6B75">
        <w:pPr>
          <w:pStyle w:val="Footer"/>
          <w:jc w:val="center"/>
        </w:pPr>
        <w:r>
          <w:fldChar w:fldCharType="begin"/>
        </w:r>
        <w:r>
          <w:instrText>PAGE   \* MERGEFORMAT</w:instrText>
        </w:r>
        <w:r>
          <w:fldChar w:fldCharType="separate"/>
        </w:r>
        <w:r>
          <w:t>2</w:t>
        </w:r>
        <w:r>
          <w:fldChar w:fldCharType="end"/>
        </w:r>
      </w:p>
    </w:sdtContent>
  </w:sdt>
  <w:p w14:paraId="0941549B" w14:textId="77777777" w:rsidR="001B6B75" w:rsidRDefault="001B6B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91A3A" w14:textId="77777777" w:rsidR="006D5446" w:rsidRDefault="006D5446" w:rsidP="001B6B75">
      <w:pPr>
        <w:spacing w:after="0" w:line="240" w:lineRule="auto"/>
      </w:pPr>
      <w:r>
        <w:separator/>
      </w:r>
    </w:p>
  </w:footnote>
  <w:footnote w:type="continuationSeparator" w:id="0">
    <w:p w14:paraId="2B6839D5" w14:textId="77777777" w:rsidR="006D5446" w:rsidRDefault="006D5446" w:rsidP="001B6B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C78"/>
    <w:multiLevelType w:val="multilevel"/>
    <w:tmpl w:val="FB2E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11C90"/>
    <w:multiLevelType w:val="multilevel"/>
    <w:tmpl w:val="BEDEDD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27785A"/>
    <w:multiLevelType w:val="multilevel"/>
    <w:tmpl w:val="C93A6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41A6D"/>
    <w:multiLevelType w:val="multilevel"/>
    <w:tmpl w:val="DBA4B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6A72A0"/>
    <w:multiLevelType w:val="multilevel"/>
    <w:tmpl w:val="7EC0F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51B81"/>
    <w:multiLevelType w:val="multilevel"/>
    <w:tmpl w:val="B6EAA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6078F"/>
    <w:multiLevelType w:val="hybridMultilevel"/>
    <w:tmpl w:val="AEFEE1F4"/>
    <w:lvl w:ilvl="0" w:tplc="13F647C0">
      <w:start w:val="1"/>
      <w:numFmt w:val="decimal"/>
      <w:pStyle w:val="ListParagrap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6665A1"/>
    <w:multiLevelType w:val="multilevel"/>
    <w:tmpl w:val="3A44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AD6E28"/>
    <w:multiLevelType w:val="multilevel"/>
    <w:tmpl w:val="9562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371814"/>
    <w:multiLevelType w:val="multilevel"/>
    <w:tmpl w:val="C0A6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2F620C"/>
    <w:multiLevelType w:val="multilevel"/>
    <w:tmpl w:val="4384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821166"/>
    <w:multiLevelType w:val="multilevel"/>
    <w:tmpl w:val="71C4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EC1ED9"/>
    <w:multiLevelType w:val="multilevel"/>
    <w:tmpl w:val="4516C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A13373"/>
    <w:multiLevelType w:val="multilevel"/>
    <w:tmpl w:val="0554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17706E"/>
    <w:multiLevelType w:val="multilevel"/>
    <w:tmpl w:val="E58AA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226AD8"/>
    <w:multiLevelType w:val="multilevel"/>
    <w:tmpl w:val="3E52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4B1953"/>
    <w:multiLevelType w:val="multilevel"/>
    <w:tmpl w:val="7300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46752F"/>
    <w:multiLevelType w:val="multilevel"/>
    <w:tmpl w:val="C8029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AA6416"/>
    <w:multiLevelType w:val="multilevel"/>
    <w:tmpl w:val="B3B2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E00477"/>
    <w:multiLevelType w:val="hybridMultilevel"/>
    <w:tmpl w:val="9A3EBB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49794B"/>
    <w:multiLevelType w:val="multilevel"/>
    <w:tmpl w:val="27228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224C10"/>
    <w:multiLevelType w:val="multilevel"/>
    <w:tmpl w:val="A560D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4B32F0"/>
    <w:multiLevelType w:val="multilevel"/>
    <w:tmpl w:val="CDBC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360F89"/>
    <w:multiLevelType w:val="multilevel"/>
    <w:tmpl w:val="395E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5861155">
    <w:abstractNumId w:val="6"/>
  </w:num>
  <w:num w:numId="2" w16cid:durableId="906454998">
    <w:abstractNumId w:val="6"/>
  </w:num>
  <w:num w:numId="3" w16cid:durableId="513688145">
    <w:abstractNumId w:val="6"/>
  </w:num>
  <w:num w:numId="4" w16cid:durableId="1056929046">
    <w:abstractNumId w:val="10"/>
  </w:num>
  <w:num w:numId="5" w16cid:durableId="979457137">
    <w:abstractNumId w:val="11"/>
  </w:num>
  <w:num w:numId="6" w16cid:durableId="724378110">
    <w:abstractNumId w:val="14"/>
  </w:num>
  <w:num w:numId="7" w16cid:durableId="222102859">
    <w:abstractNumId w:val="17"/>
  </w:num>
  <w:num w:numId="8" w16cid:durableId="1629630349">
    <w:abstractNumId w:val="16"/>
  </w:num>
  <w:num w:numId="9" w16cid:durableId="1203252667">
    <w:abstractNumId w:val="23"/>
  </w:num>
  <w:num w:numId="10" w16cid:durableId="118114630">
    <w:abstractNumId w:val="2"/>
  </w:num>
  <w:num w:numId="11" w16cid:durableId="1889999084">
    <w:abstractNumId w:val="12"/>
  </w:num>
  <w:num w:numId="12" w16cid:durableId="18629183">
    <w:abstractNumId w:val="13"/>
  </w:num>
  <w:num w:numId="13" w16cid:durableId="655183431">
    <w:abstractNumId w:val="9"/>
  </w:num>
  <w:num w:numId="14" w16cid:durableId="256838106">
    <w:abstractNumId w:val="18"/>
  </w:num>
  <w:num w:numId="15" w16cid:durableId="154297190">
    <w:abstractNumId w:val="4"/>
  </w:num>
  <w:num w:numId="16" w16cid:durableId="365571119">
    <w:abstractNumId w:val="7"/>
  </w:num>
  <w:num w:numId="17" w16cid:durableId="175507706">
    <w:abstractNumId w:val="15"/>
  </w:num>
  <w:num w:numId="18" w16cid:durableId="2024891095">
    <w:abstractNumId w:val="5"/>
  </w:num>
  <w:num w:numId="19" w16cid:durableId="1963684838">
    <w:abstractNumId w:val="3"/>
  </w:num>
  <w:num w:numId="20" w16cid:durableId="410008896">
    <w:abstractNumId w:val="8"/>
  </w:num>
  <w:num w:numId="21" w16cid:durableId="949239344">
    <w:abstractNumId w:val="22"/>
  </w:num>
  <w:num w:numId="22" w16cid:durableId="1576011451">
    <w:abstractNumId w:val="0"/>
  </w:num>
  <w:num w:numId="23" w16cid:durableId="607736415">
    <w:abstractNumId w:val="21"/>
  </w:num>
  <w:num w:numId="24" w16cid:durableId="207910737">
    <w:abstractNumId w:val="20"/>
  </w:num>
  <w:num w:numId="25" w16cid:durableId="898368036">
    <w:abstractNumId w:val="1"/>
  </w:num>
  <w:num w:numId="26" w16cid:durableId="12427321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52E"/>
    <w:rsid w:val="000005E2"/>
    <w:rsid w:val="00004007"/>
    <w:rsid w:val="00004F94"/>
    <w:rsid w:val="000058C0"/>
    <w:rsid w:val="000629F6"/>
    <w:rsid w:val="0007405A"/>
    <w:rsid w:val="000819D9"/>
    <w:rsid w:val="000863AB"/>
    <w:rsid w:val="000A527B"/>
    <w:rsid w:val="000C7C4A"/>
    <w:rsid w:val="000D6DBC"/>
    <w:rsid w:val="000E78CA"/>
    <w:rsid w:val="000F4468"/>
    <w:rsid w:val="001044CB"/>
    <w:rsid w:val="001271B7"/>
    <w:rsid w:val="00132792"/>
    <w:rsid w:val="00164E92"/>
    <w:rsid w:val="00175123"/>
    <w:rsid w:val="00187425"/>
    <w:rsid w:val="001A47FA"/>
    <w:rsid w:val="001B2393"/>
    <w:rsid w:val="001B6B75"/>
    <w:rsid w:val="001B744E"/>
    <w:rsid w:val="001E3376"/>
    <w:rsid w:val="001E579A"/>
    <w:rsid w:val="001F53CB"/>
    <w:rsid w:val="00200C69"/>
    <w:rsid w:val="0020640D"/>
    <w:rsid w:val="00221776"/>
    <w:rsid w:val="00224FA6"/>
    <w:rsid w:val="00225576"/>
    <w:rsid w:val="00226724"/>
    <w:rsid w:val="002267BB"/>
    <w:rsid w:val="00226F72"/>
    <w:rsid w:val="00232C0A"/>
    <w:rsid w:val="00243C5E"/>
    <w:rsid w:val="002455D7"/>
    <w:rsid w:val="002564F8"/>
    <w:rsid w:val="00261B3C"/>
    <w:rsid w:val="002652FD"/>
    <w:rsid w:val="00294787"/>
    <w:rsid w:val="002A1698"/>
    <w:rsid w:val="002A1EC7"/>
    <w:rsid w:val="002A5F85"/>
    <w:rsid w:val="002B6402"/>
    <w:rsid w:val="002D1968"/>
    <w:rsid w:val="002D2B9B"/>
    <w:rsid w:val="002E3AAC"/>
    <w:rsid w:val="00303DBB"/>
    <w:rsid w:val="0032183A"/>
    <w:rsid w:val="0033405C"/>
    <w:rsid w:val="0034099D"/>
    <w:rsid w:val="003442AA"/>
    <w:rsid w:val="00345895"/>
    <w:rsid w:val="0035649A"/>
    <w:rsid w:val="00362513"/>
    <w:rsid w:val="0036445D"/>
    <w:rsid w:val="003A22BE"/>
    <w:rsid w:val="003A73F8"/>
    <w:rsid w:val="003A75BC"/>
    <w:rsid w:val="003B4F4F"/>
    <w:rsid w:val="003C01D9"/>
    <w:rsid w:val="003D0942"/>
    <w:rsid w:val="00402A05"/>
    <w:rsid w:val="0040319F"/>
    <w:rsid w:val="00433444"/>
    <w:rsid w:val="00433582"/>
    <w:rsid w:val="00435996"/>
    <w:rsid w:val="00441B44"/>
    <w:rsid w:val="00445C33"/>
    <w:rsid w:val="00455F82"/>
    <w:rsid w:val="00466AA3"/>
    <w:rsid w:val="00484B4B"/>
    <w:rsid w:val="00485EA9"/>
    <w:rsid w:val="004A04E2"/>
    <w:rsid w:val="004B07DE"/>
    <w:rsid w:val="004D152E"/>
    <w:rsid w:val="004E21AA"/>
    <w:rsid w:val="004E23BB"/>
    <w:rsid w:val="004E32BE"/>
    <w:rsid w:val="004E7D0B"/>
    <w:rsid w:val="00507383"/>
    <w:rsid w:val="00514149"/>
    <w:rsid w:val="00551E87"/>
    <w:rsid w:val="00571CBB"/>
    <w:rsid w:val="0057649F"/>
    <w:rsid w:val="005932B1"/>
    <w:rsid w:val="005970AA"/>
    <w:rsid w:val="005F61E8"/>
    <w:rsid w:val="006202F4"/>
    <w:rsid w:val="00621FC1"/>
    <w:rsid w:val="00623F00"/>
    <w:rsid w:val="00627E92"/>
    <w:rsid w:val="006304D9"/>
    <w:rsid w:val="00657816"/>
    <w:rsid w:val="0066498C"/>
    <w:rsid w:val="006850A5"/>
    <w:rsid w:val="00687E59"/>
    <w:rsid w:val="006975C9"/>
    <w:rsid w:val="006B1B2F"/>
    <w:rsid w:val="006B6CEF"/>
    <w:rsid w:val="006D5446"/>
    <w:rsid w:val="006D73F6"/>
    <w:rsid w:val="006E0E4A"/>
    <w:rsid w:val="00711910"/>
    <w:rsid w:val="007225D4"/>
    <w:rsid w:val="007275E9"/>
    <w:rsid w:val="00742152"/>
    <w:rsid w:val="0075545F"/>
    <w:rsid w:val="00761507"/>
    <w:rsid w:val="007720C9"/>
    <w:rsid w:val="00774EF5"/>
    <w:rsid w:val="007828A7"/>
    <w:rsid w:val="0078489A"/>
    <w:rsid w:val="00790634"/>
    <w:rsid w:val="007A3931"/>
    <w:rsid w:val="007B544F"/>
    <w:rsid w:val="007D09CC"/>
    <w:rsid w:val="007E0CE9"/>
    <w:rsid w:val="007F3480"/>
    <w:rsid w:val="007F5A92"/>
    <w:rsid w:val="007F61C1"/>
    <w:rsid w:val="008040CF"/>
    <w:rsid w:val="0082612A"/>
    <w:rsid w:val="00861207"/>
    <w:rsid w:val="00862A1D"/>
    <w:rsid w:val="008648E2"/>
    <w:rsid w:val="00866A2C"/>
    <w:rsid w:val="008813C1"/>
    <w:rsid w:val="0089386B"/>
    <w:rsid w:val="00893D4C"/>
    <w:rsid w:val="008945A4"/>
    <w:rsid w:val="008973D4"/>
    <w:rsid w:val="008B3212"/>
    <w:rsid w:val="008C61D8"/>
    <w:rsid w:val="008D362F"/>
    <w:rsid w:val="008E6A03"/>
    <w:rsid w:val="008E78BC"/>
    <w:rsid w:val="008F0AB3"/>
    <w:rsid w:val="00902743"/>
    <w:rsid w:val="009167A2"/>
    <w:rsid w:val="00916E7B"/>
    <w:rsid w:val="009310EF"/>
    <w:rsid w:val="00954C59"/>
    <w:rsid w:val="00976F2E"/>
    <w:rsid w:val="00982C00"/>
    <w:rsid w:val="00985E09"/>
    <w:rsid w:val="0099311F"/>
    <w:rsid w:val="009A7A29"/>
    <w:rsid w:val="009B00CC"/>
    <w:rsid w:val="009B1F4E"/>
    <w:rsid w:val="009B6706"/>
    <w:rsid w:val="009C5573"/>
    <w:rsid w:val="009C6D4F"/>
    <w:rsid w:val="009D3555"/>
    <w:rsid w:val="009D757D"/>
    <w:rsid w:val="00A020C9"/>
    <w:rsid w:val="00A32361"/>
    <w:rsid w:val="00A34314"/>
    <w:rsid w:val="00A378E0"/>
    <w:rsid w:val="00A441B2"/>
    <w:rsid w:val="00A44AB6"/>
    <w:rsid w:val="00A51ADC"/>
    <w:rsid w:val="00A566C8"/>
    <w:rsid w:val="00A64F05"/>
    <w:rsid w:val="00A71E28"/>
    <w:rsid w:val="00A821AE"/>
    <w:rsid w:val="00A901BB"/>
    <w:rsid w:val="00A9713D"/>
    <w:rsid w:val="00AB1109"/>
    <w:rsid w:val="00AC4C28"/>
    <w:rsid w:val="00AD0B2F"/>
    <w:rsid w:val="00B03812"/>
    <w:rsid w:val="00B06BCE"/>
    <w:rsid w:val="00B102F3"/>
    <w:rsid w:val="00B10FFD"/>
    <w:rsid w:val="00B153CE"/>
    <w:rsid w:val="00B4042C"/>
    <w:rsid w:val="00B46B23"/>
    <w:rsid w:val="00B50121"/>
    <w:rsid w:val="00B55AAE"/>
    <w:rsid w:val="00B57FE5"/>
    <w:rsid w:val="00B60144"/>
    <w:rsid w:val="00B619CD"/>
    <w:rsid w:val="00B61C03"/>
    <w:rsid w:val="00B62CB0"/>
    <w:rsid w:val="00B66E44"/>
    <w:rsid w:val="00B67659"/>
    <w:rsid w:val="00B73FCB"/>
    <w:rsid w:val="00B76C9A"/>
    <w:rsid w:val="00B84D02"/>
    <w:rsid w:val="00BC27DE"/>
    <w:rsid w:val="00BC2DF9"/>
    <w:rsid w:val="00BC6F01"/>
    <w:rsid w:val="00BF7034"/>
    <w:rsid w:val="00C078CA"/>
    <w:rsid w:val="00C109D3"/>
    <w:rsid w:val="00C25CA1"/>
    <w:rsid w:val="00C265DE"/>
    <w:rsid w:val="00C36EB4"/>
    <w:rsid w:val="00C44EB7"/>
    <w:rsid w:val="00C517D0"/>
    <w:rsid w:val="00C55F98"/>
    <w:rsid w:val="00C56A46"/>
    <w:rsid w:val="00C60EED"/>
    <w:rsid w:val="00C62063"/>
    <w:rsid w:val="00C62228"/>
    <w:rsid w:val="00C76941"/>
    <w:rsid w:val="00C808E1"/>
    <w:rsid w:val="00C84EDE"/>
    <w:rsid w:val="00C8611F"/>
    <w:rsid w:val="00CA1240"/>
    <w:rsid w:val="00CD5DFD"/>
    <w:rsid w:val="00CE3B81"/>
    <w:rsid w:val="00D22503"/>
    <w:rsid w:val="00D33246"/>
    <w:rsid w:val="00D34B0C"/>
    <w:rsid w:val="00D46196"/>
    <w:rsid w:val="00D47DF8"/>
    <w:rsid w:val="00D563F5"/>
    <w:rsid w:val="00D5700A"/>
    <w:rsid w:val="00D60C8F"/>
    <w:rsid w:val="00D83040"/>
    <w:rsid w:val="00D83C1D"/>
    <w:rsid w:val="00DA60ED"/>
    <w:rsid w:val="00DB518A"/>
    <w:rsid w:val="00DB68E2"/>
    <w:rsid w:val="00DC0127"/>
    <w:rsid w:val="00DC0E4C"/>
    <w:rsid w:val="00DE237E"/>
    <w:rsid w:val="00DE735F"/>
    <w:rsid w:val="00DF4006"/>
    <w:rsid w:val="00E06A3F"/>
    <w:rsid w:val="00E06A79"/>
    <w:rsid w:val="00E200BD"/>
    <w:rsid w:val="00E5712E"/>
    <w:rsid w:val="00E62D22"/>
    <w:rsid w:val="00E649A8"/>
    <w:rsid w:val="00E719F7"/>
    <w:rsid w:val="00E92158"/>
    <w:rsid w:val="00E94A2D"/>
    <w:rsid w:val="00EB217C"/>
    <w:rsid w:val="00EB6D1B"/>
    <w:rsid w:val="00F0201C"/>
    <w:rsid w:val="00F113F4"/>
    <w:rsid w:val="00F1349D"/>
    <w:rsid w:val="00F27997"/>
    <w:rsid w:val="00F6020C"/>
    <w:rsid w:val="00F6515A"/>
    <w:rsid w:val="00F661C4"/>
    <w:rsid w:val="00F72341"/>
    <w:rsid w:val="00F823AA"/>
    <w:rsid w:val="00F83C37"/>
    <w:rsid w:val="00F95A80"/>
    <w:rsid w:val="00F9680A"/>
    <w:rsid w:val="00F96869"/>
    <w:rsid w:val="00FA4D1A"/>
    <w:rsid w:val="00FA5B1C"/>
    <w:rsid w:val="00FB1455"/>
    <w:rsid w:val="00FB2B1C"/>
    <w:rsid w:val="00FB53D1"/>
    <w:rsid w:val="00FE1E0B"/>
    <w:rsid w:val="00FE2E6D"/>
    <w:rsid w:val="00FE66F9"/>
    <w:rsid w:val="00FF6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EA28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3" w:unhideWhenUsed="1" w:qFormat="1"/>
    <w:lsdException w:name="heading 4" w:semiHidden="1" w:uiPriority="4" w:unhideWhenUsed="1" w:qFormat="1"/>
    <w:lsdException w:name="heading 5" w:semiHidden="1" w:uiPriority="5"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52E"/>
    <w:pPr>
      <w:spacing w:line="360" w:lineRule="auto"/>
      <w:jc w:val="both"/>
    </w:pPr>
    <w:rPr>
      <w:rFonts w:ascii="Arial" w:hAnsi="Arial" w:cs="Arial"/>
    </w:rPr>
  </w:style>
  <w:style w:type="paragraph" w:styleId="Heading1">
    <w:name w:val="heading 1"/>
    <w:basedOn w:val="Normal"/>
    <w:next w:val="Normal"/>
    <w:link w:val="Heading1Char"/>
    <w:autoRedefine/>
    <w:uiPriority w:val="1"/>
    <w:qFormat/>
    <w:rsid w:val="00A566C8"/>
    <w:pPr>
      <w:keepNext/>
      <w:spacing w:after="0"/>
      <w:outlineLvl w:val="0"/>
    </w:pPr>
    <w:rPr>
      <w:b/>
    </w:rPr>
  </w:style>
  <w:style w:type="paragraph" w:styleId="Heading2">
    <w:name w:val="heading 2"/>
    <w:basedOn w:val="Normal"/>
    <w:next w:val="Normal"/>
    <w:link w:val="Heading2Char"/>
    <w:autoRedefine/>
    <w:uiPriority w:val="2"/>
    <w:unhideWhenUsed/>
    <w:qFormat/>
    <w:rsid w:val="002A1698"/>
    <w:pPr>
      <w:keepNext/>
      <w:keepLines/>
      <w:spacing w:after="0"/>
      <w:outlineLvl w:val="1"/>
    </w:pPr>
    <w:rPr>
      <w:rFonts w:eastAsiaTheme="majorEastAsia" w:cstheme="majorBidi"/>
      <w:b/>
      <w:szCs w:val="26"/>
    </w:rPr>
  </w:style>
  <w:style w:type="paragraph" w:styleId="Heading3">
    <w:name w:val="heading 3"/>
    <w:basedOn w:val="Normal"/>
    <w:next w:val="Normal"/>
    <w:link w:val="Heading3Char"/>
    <w:autoRedefine/>
    <w:uiPriority w:val="3"/>
    <w:unhideWhenUsed/>
    <w:qFormat/>
    <w:rsid w:val="002A1698"/>
    <w:pPr>
      <w:keepNext/>
      <w:keepLines/>
      <w:spacing w:after="0"/>
      <w:outlineLvl w:val="2"/>
    </w:pPr>
    <w:rPr>
      <w:rFonts w:eastAsiaTheme="majorEastAsia" w:cstheme="majorBidi"/>
      <w:b/>
      <w:szCs w:val="24"/>
      <w:lang w:eastAsia="zh-CN"/>
    </w:rPr>
  </w:style>
  <w:style w:type="paragraph" w:styleId="Heading4">
    <w:name w:val="heading 4"/>
    <w:basedOn w:val="Heading3"/>
    <w:next w:val="Normal"/>
    <w:link w:val="Heading4Char"/>
    <w:autoRedefine/>
    <w:uiPriority w:val="4"/>
    <w:unhideWhenUsed/>
    <w:qFormat/>
    <w:rsid w:val="0036445D"/>
    <w:pPr>
      <w:outlineLvl w:val="3"/>
    </w:pPr>
    <w:rPr>
      <w:rFonts w:eastAsiaTheme="minorHAnsi" w:cs="Times New Roman"/>
      <w:lang w:eastAsia="en-US"/>
    </w:rPr>
  </w:style>
  <w:style w:type="paragraph" w:styleId="Heading5">
    <w:name w:val="heading 5"/>
    <w:basedOn w:val="Heading4"/>
    <w:next w:val="Normal"/>
    <w:link w:val="Heading5Char"/>
    <w:autoRedefine/>
    <w:uiPriority w:val="5"/>
    <w:unhideWhenUsed/>
    <w:qFormat/>
    <w:rsid w:val="0036445D"/>
    <w:pPr>
      <w:outlineLvl w:val="4"/>
    </w:pPr>
  </w:style>
  <w:style w:type="paragraph" w:styleId="Heading6">
    <w:name w:val="heading 6"/>
    <w:basedOn w:val="Normal"/>
    <w:next w:val="Normal"/>
    <w:link w:val="Heading6Char"/>
    <w:uiPriority w:val="9"/>
    <w:semiHidden/>
    <w:unhideWhenUsed/>
    <w:qFormat/>
    <w:rsid w:val="004D152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D152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D152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D152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566C8"/>
    <w:rPr>
      <w:rFonts w:ascii="Arial" w:hAnsi="Arial" w:cs="Arial"/>
      <w:b/>
      <w:sz w:val="24"/>
    </w:rPr>
  </w:style>
  <w:style w:type="character" w:customStyle="1" w:styleId="Heading2Char">
    <w:name w:val="Heading 2 Char"/>
    <w:basedOn w:val="DefaultParagraphFont"/>
    <w:link w:val="Heading2"/>
    <w:uiPriority w:val="2"/>
    <w:rsid w:val="002A1698"/>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3"/>
    <w:rsid w:val="002A1698"/>
    <w:rPr>
      <w:rFonts w:ascii="Times New Roman" w:eastAsiaTheme="majorEastAsia" w:hAnsi="Times New Roman" w:cstheme="majorBidi"/>
      <w:b/>
      <w:sz w:val="24"/>
      <w:szCs w:val="24"/>
      <w:lang w:eastAsia="zh-CN"/>
    </w:rPr>
  </w:style>
  <w:style w:type="character" w:customStyle="1" w:styleId="Heading4Char">
    <w:name w:val="Heading 4 Char"/>
    <w:basedOn w:val="DefaultParagraphFont"/>
    <w:link w:val="Heading4"/>
    <w:uiPriority w:val="4"/>
    <w:rsid w:val="0036445D"/>
    <w:rPr>
      <w:rFonts w:ascii="Times New Roman" w:hAnsi="Times New Roman" w:cs="Times New Roman"/>
      <w:b/>
      <w:sz w:val="24"/>
      <w:szCs w:val="24"/>
    </w:rPr>
  </w:style>
  <w:style w:type="paragraph" w:styleId="Title">
    <w:name w:val="Title"/>
    <w:basedOn w:val="Normal"/>
    <w:next w:val="Normal"/>
    <w:link w:val="TitleChar"/>
    <w:autoRedefine/>
    <w:uiPriority w:val="6"/>
    <w:qFormat/>
    <w:rsid w:val="0036445D"/>
    <w:pPr>
      <w:spacing w:after="0" w:line="240" w:lineRule="auto"/>
      <w:contextualSpacing/>
    </w:pPr>
    <w:rPr>
      <w:rFonts w:eastAsiaTheme="majorEastAsia" w:cstheme="majorBidi"/>
      <w:b/>
      <w:caps/>
      <w:spacing w:val="-10"/>
      <w:kern w:val="28"/>
      <w:sz w:val="40"/>
      <w:szCs w:val="56"/>
    </w:rPr>
  </w:style>
  <w:style w:type="character" w:customStyle="1" w:styleId="TitleChar">
    <w:name w:val="Title Char"/>
    <w:basedOn w:val="DefaultParagraphFont"/>
    <w:link w:val="Title"/>
    <w:uiPriority w:val="6"/>
    <w:rsid w:val="0036445D"/>
    <w:rPr>
      <w:rFonts w:ascii="Times New Roman" w:eastAsiaTheme="majorEastAsia" w:hAnsi="Times New Roman" w:cstheme="majorBidi"/>
      <w:b/>
      <w:caps/>
      <w:spacing w:val="-10"/>
      <w:kern w:val="28"/>
      <w:sz w:val="40"/>
      <w:szCs w:val="56"/>
    </w:rPr>
  </w:style>
  <w:style w:type="character" w:customStyle="1" w:styleId="Heading5Char">
    <w:name w:val="Heading 5 Char"/>
    <w:basedOn w:val="DefaultParagraphFont"/>
    <w:link w:val="Heading5"/>
    <w:uiPriority w:val="5"/>
    <w:rsid w:val="0036445D"/>
    <w:rPr>
      <w:rFonts w:ascii="Times New Roman" w:hAnsi="Times New Roman" w:cs="Times New Roman"/>
      <w:b/>
      <w:sz w:val="24"/>
      <w:szCs w:val="24"/>
    </w:rPr>
  </w:style>
  <w:style w:type="paragraph" w:styleId="ListParagraph">
    <w:name w:val="List Paragraph"/>
    <w:basedOn w:val="Normal"/>
    <w:autoRedefine/>
    <w:uiPriority w:val="34"/>
    <w:qFormat/>
    <w:rsid w:val="00DF4006"/>
    <w:pPr>
      <w:numPr>
        <w:numId w:val="3"/>
      </w:numPr>
      <w:spacing w:after="0"/>
      <w:contextualSpacing/>
    </w:pPr>
    <w:rPr>
      <w:rFonts w:eastAsiaTheme="minorEastAsia"/>
    </w:rPr>
  </w:style>
  <w:style w:type="character" w:customStyle="1" w:styleId="Heading6Char">
    <w:name w:val="Heading 6 Char"/>
    <w:basedOn w:val="DefaultParagraphFont"/>
    <w:link w:val="Heading6"/>
    <w:uiPriority w:val="9"/>
    <w:semiHidden/>
    <w:rsid w:val="004D152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4D152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4D152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4D152E"/>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4D152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5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52E"/>
    <w:pPr>
      <w:spacing w:before="160"/>
      <w:jc w:val="center"/>
    </w:pPr>
    <w:rPr>
      <w:i/>
      <w:iCs/>
      <w:color w:val="404040" w:themeColor="text1" w:themeTint="BF"/>
    </w:rPr>
  </w:style>
  <w:style w:type="character" w:customStyle="1" w:styleId="QuoteChar">
    <w:name w:val="Quote Char"/>
    <w:basedOn w:val="DefaultParagraphFont"/>
    <w:link w:val="Quote"/>
    <w:uiPriority w:val="29"/>
    <w:rsid w:val="004D152E"/>
    <w:rPr>
      <w:rFonts w:ascii="Arial" w:hAnsi="Arial" w:cs="Arial"/>
      <w:i/>
      <w:iCs/>
      <w:color w:val="404040" w:themeColor="text1" w:themeTint="BF"/>
      <w:sz w:val="24"/>
    </w:rPr>
  </w:style>
  <w:style w:type="character" w:styleId="IntenseEmphasis">
    <w:name w:val="Intense Emphasis"/>
    <w:basedOn w:val="DefaultParagraphFont"/>
    <w:uiPriority w:val="21"/>
    <w:qFormat/>
    <w:rsid w:val="004D152E"/>
    <w:rPr>
      <w:i/>
      <w:iCs/>
      <w:color w:val="2F5496" w:themeColor="accent1" w:themeShade="BF"/>
    </w:rPr>
  </w:style>
  <w:style w:type="paragraph" w:styleId="IntenseQuote">
    <w:name w:val="Intense Quote"/>
    <w:basedOn w:val="Normal"/>
    <w:next w:val="Normal"/>
    <w:link w:val="IntenseQuoteChar"/>
    <w:uiPriority w:val="30"/>
    <w:qFormat/>
    <w:rsid w:val="004D15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152E"/>
    <w:rPr>
      <w:rFonts w:ascii="Arial" w:hAnsi="Arial" w:cs="Arial"/>
      <w:i/>
      <w:iCs/>
      <w:color w:val="2F5496" w:themeColor="accent1" w:themeShade="BF"/>
      <w:sz w:val="24"/>
    </w:rPr>
  </w:style>
  <w:style w:type="character" w:styleId="IntenseReference">
    <w:name w:val="Intense Reference"/>
    <w:basedOn w:val="DefaultParagraphFont"/>
    <w:uiPriority w:val="32"/>
    <w:qFormat/>
    <w:rsid w:val="004D152E"/>
    <w:rPr>
      <w:b/>
      <w:bCs/>
      <w:smallCaps/>
      <w:color w:val="2F5496" w:themeColor="accent1" w:themeShade="BF"/>
      <w:spacing w:val="5"/>
    </w:rPr>
  </w:style>
  <w:style w:type="paragraph" w:styleId="Header">
    <w:name w:val="header"/>
    <w:basedOn w:val="Normal"/>
    <w:link w:val="HeaderChar"/>
    <w:uiPriority w:val="99"/>
    <w:unhideWhenUsed/>
    <w:rsid w:val="001B6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B75"/>
    <w:rPr>
      <w:rFonts w:ascii="Arial" w:hAnsi="Arial" w:cs="Arial"/>
    </w:rPr>
  </w:style>
  <w:style w:type="paragraph" w:styleId="Footer">
    <w:name w:val="footer"/>
    <w:basedOn w:val="Normal"/>
    <w:link w:val="FooterChar"/>
    <w:uiPriority w:val="99"/>
    <w:unhideWhenUsed/>
    <w:rsid w:val="001B6B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B75"/>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8661">
      <w:bodyDiv w:val="1"/>
      <w:marLeft w:val="0"/>
      <w:marRight w:val="0"/>
      <w:marTop w:val="0"/>
      <w:marBottom w:val="0"/>
      <w:divBdr>
        <w:top w:val="none" w:sz="0" w:space="0" w:color="auto"/>
        <w:left w:val="none" w:sz="0" w:space="0" w:color="auto"/>
        <w:bottom w:val="none" w:sz="0" w:space="0" w:color="auto"/>
        <w:right w:val="none" w:sz="0" w:space="0" w:color="auto"/>
      </w:divBdr>
    </w:div>
    <w:div w:id="35355029">
      <w:bodyDiv w:val="1"/>
      <w:marLeft w:val="0"/>
      <w:marRight w:val="0"/>
      <w:marTop w:val="0"/>
      <w:marBottom w:val="0"/>
      <w:divBdr>
        <w:top w:val="none" w:sz="0" w:space="0" w:color="auto"/>
        <w:left w:val="none" w:sz="0" w:space="0" w:color="auto"/>
        <w:bottom w:val="none" w:sz="0" w:space="0" w:color="auto"/>
        <w:right w:val="none" w:sz="0" w:space="0" w:color="auto"/>
      </w:divBdr>
    </w:div>
    <w:div w:id="297422226">
      <w:bodyDiv w:val="1"/>
      <w:marLeft w:val="0"/>
      <w:marRight w:val="0"/>
      <w:marTop w:val="0"/>
      <w:marBottom w:val="0"/>
      <w:divBdr>
        <w:top w:val="none" w:sz="0" w:space="0" w:color="auto"/>
        <w:left w:val="none" w:sz="0" w:space="0" w:color="auto"/>
        <w:bottom w:val="none" w:sz="0" w:space="0" w:color="auto"/>
        <w:right w:val="none" w:sz="0" w:space="0" w:color="auto"/>
      </w:divBdr>
    </w:div>
    <w:div w:id="422798104">
      <w:bodyDiv w:val="1"/>
      <w:marLeft w:val="0"/>
      <w:marRight w:val="0"/>
      <w:marTop w:val="0"/>
      <w:marBottom w:val="0"/>
      <w:divBdr>
        <w:top w:val="none" w:sz="0" w:space="0" w:color="auto"/>
        <w:left w:val="none" w:sz="0" w:space="0" w:color="auto"/>
        <w:bottom w:val="none" w:sz="0" w:space="0" w:color="auto"/>
        <w:right w:val="none" w:sz="0" w:space="0" w:color="auto"/>
      </w:divBdr>
    </w:div>
    <w:div w:id="470296645">
      <w:bodyDiv w:val="1"/>
      <w:marLeft w:val="0"/>
      <w:marRight w:val="0"/>
      <w:marTop w:val="0"/>
      <w:marBottom w:val="0"/>
      <w:divBdr>
        <w:top w:val="none" w:sz="0" w:space="0" w:color="auto"/>
        <w:left w:val="none" w:sz="0" w:space="0" w:color="auto"/>
        <w:bottom w:val="none" w:sz="0" w:space="0" w:color="auto"/>
        <w:right w:val="none" w:sz="0" w:space="0" w:color="auto"/>
      </w:divBdr>
    </w:div>
    <w:div w:id="514537567">
      <w:bodyDiv w:val="1"/>
      <w:marLeft w:val="0"/>
      <w:marRight w:val="0"/>
      <w:marTop w:val="0"/>
      <w:marBottom w:val="0"/>
      <w:divBdr>
        <w:top w:val="none" w:sz="0" w:space="0" w:color="auto"/>
        <w:left w:val="none" w:sz="0" w:space="0" w:color="auto"/>
        <w:bottom w:val="none" w:sz="0" w:space="0" w:color="auto"/>
        <w:right w:val="none" w:sz="0" w:space="0" w:color="auto"/>
      </w:divBdr>
    </w:div>
    <w:div w:id="528834872">
      <w:bodyDiv w:val="1"/>
      <w:marLeft w:val="0"/>
      <w:marRight w:val="0"/>
      <w:marTop w:val="0"/>
      <w:marBottom w:val="0"/>
      <w:divBdr>
        <w:top w:val="none" w:sz="0" w:space="0" w:color="auto"/>
        <w:left w:val="none" w:sz="0" w:space="0" w:color="auto"/>
        <w:bottom w:val="none" w:sz="0" w:space="0" w:color="auto"/>
        <w:right w:val="none" w:sz="0" w:space="0" w:color="auto"/>
      </w:divBdr>
    </w:div>
    <w:div w:id="539977089">
      <w:bodyDiv w:val="1"/>
      <w:marLeft w:val="0"/>
      <w:marRight w:val="0"/>
      <w:marTop w:val="0"/>
      <w:marBottom w:val="0"/>
      <w:divBdr>
        <w:top w:val="none" w:sz="0" w:space="0" w:color="auto"/>
        <w:left w:val="none" w:sz="0" w:space="0" w:color="auto"/>
        <w:bottom w:val="none" w:sz="0" w:space="0" w:color="auto"/>
        <w:right w:val="none" w:sz="0" w:space="0" w:color="auto"/>
      </w:divBdr>
    </w:div>
    <w:div w:id="654189158">
      <w:bodyDiv w:val="1"/>
      <w:marLeft w:val="0"/>
      <w:marRight w:val="0"/>
      <w:marTop w:val="0"/>
      <w:marBottom w:val="0"/>
      <w:divBdr>
        <w:top w:val="none" w:sz="0" w:space="0" w:color="auto"/>
        <w:left w:val="none" w:sz="0" w:space="0" w:color="auto"/>
        <w:bottom w:val="none" w:sz="0" w:space="0" w:color="auto"/>
        <w:right w:val="none" w:sz="0" w:space="0" w:color="auto"/>
      </w:divBdr>
      <w:divsChild>
        <w:div w:id="800265959">
          <w:marLeft w:val="0"/>
          <w:marRight w:val="0"/>
          <w:marTop w:val="0"/>
          <w:marBottom w:val="0"/>
          <w:divBdr>
            <w:top w:val="none" w:sz="0" w:space="0" w:color="auto"/>
            <w:left w:val="none" w:sz="0" w:space="0" w:color="auto"/>
            <w:bottom w:val="none" w:sz="0" w:space="0" w:color="auto"/>
            <w:right w:val="none" w:sz="0" w:space="0" w:color="auto"/>
          </w:divBdr>
          <w:divsChild>
            <w:div w:id="347757429">
              <w:marLeft w:val="0"/>
              <w:marRight w:val="0"/>
              <w:marTop w:val="0"/>
              <w:marBottom w:val="0"/>
              <w:divBdr>
                <w:top w:val="none" w:sz="0" w:space="0" w:color="auto"/>
                <w:left w:val="none" w:sz="0" w:space="0" w:color="auto"/>
                <w:bottom w:val="none" w:sz="0" w:space="0" w:color="auto"/>
                <w:right w:val="none" w:sz="0" w:space="0" w:color="auto"/>
              </w:divBdr>
              <w:divsChild>
                <w:div w:id="1763069895">
                  <w:marLeft w:val="0"/>
                  <w:marRight w:val="0"/>
                  <w:marTop w:val="0"/>
                  <w:marBottom w:val="0"/>
                  <w:divBdr>
                    <w:top w:val="none" w:sz="0" w:space="0" w:color="auto"/>
                    <w:left w:val="none" w:sz="0" w:space="0" w:color="auto"/>
                    <w:bottom w:val="none" w:sz="0" w:space="0" w:color="auto"/>
                    <w:right w:val="none" w:sz="0" w:space="0" w:color="auto"/>
                  </w:divBdr>
                  <w:divsChild>
                    <w:div w:id="756170182">
                      <w:marLeft w:val="0"/>
                      <w:marRight w:val="0"/>
                      <w:marTop w:val="0"/>
                      <w:marBottom w:val="0"/>
                      <w:divBdr>
                        <w:top w:val="none" w:sz="0" w:space="0" w:color="auto"/>
                        <w:left w:val="none" w:sz="0" w:space="0" w:color="auto"/>
                        <w:bottom w:val="none" w:sz="0" w:space="0" w:color="auto"/>
                        <w:right w:val="none" w:sz="0" w:space="0" w:color="auto"/>
                      </w:divBdr>
                      <w:divsChild>
                        <w:div w:id="1829590557">
                          <w:marLeft w:val="0"/>
                          <w:marRight w:val="0"/>
                          <w:marTop w:val="0"/>
                          <w:marBottom w:val="0"/>
                          <w:divBdr>
                            <w:top w:val="none" w:sz="0" w:space="0" w:color="auto"/>
                            <w:left w:val="none" w:sz="0" w:space="0" w:color="auto"/>
                            <w:bottom w:val="none" w:sz="0" w:space="0" w:color="auto"/>
                            <w:right w:val="none" w:sz="0" w:space="0" w:color="auto"/>
                          </w:divBdr>
                          <w:divsChild>
                            <w:div w:id="191804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131804">
      <w:bodyDiv w:val="1"/>
      <w:marLeft w:val="0"/>
      <w:marRight w:val="0"/>
      <w:marTop w:val="0"/>
      <w:marBottom w:val="0"/>
      <w:divBdr>
        <w:top w:val="none" w:sz="0" w:space="0" w:color="auto"/>
        <w:left w:val="none" w:sz="0" w:space="0" w:color="auto"/>
        <w:bottom w:val="none" w:sz="0" w:space="0" w:color="auto"/>
        <w:right w:val="none" w:sz="0" w:space="0" w:color="auto"/>
      </w:divBdr>
    </w:div>
    <w:div w:id="688140687">
      <w:bodyDiv w:val="1"/>
      <w:marLeft w:val="0"/>
      <w:marRight w:val="0"/>
      <w:marTop w:val="0"/>
      <w:marBottom w:val="0"/>
      <w:divBdr>
        <w:top w:val="none" w:sz="0" w:space="0" w:color="auto"/>
        <w:left w:val="none" w:sz="0" w:space="0" w:color="auto"/>
        <w:bottom w:val="none" w:sz="0" w:space="0" w:color="auto"/>
        <w:right w:val="none" w:sz="0" w:space="0" w:color="auto"/>
      </w:divBdr>
    </w:div>
    <w:div w:id="735779441">
      <w:bodyDiv w:val="1"/>
      <w:marLeft w:val="0"/>
      <w:marRight w:val="0"/>
      <w:marTop w:val="0"/>
      <w:marBottom w:val="0"/>
      <w:divBdr>
        <w:top w:val="none" w:sz="0" w:space="0" w:color="auto"/>
        <w:left w:val="none" w:sz="0" w:space="0" w:color="auto"/>
        <w:bottom w:val="none" w:sz="0" w:space="0" w:color="auto"/>
        <w:right w:val="none" w:sz="0" w:space="0" w:color="auto"/>
      </w:divBdr>
    </w:div>
    <w:div w:id="829717832">
      <w:bodyDiv w:val="1"/>
      <w:marLeft w:val="0"/>
      <w:marRight w:val="0"/>
      <w:marTop w:val="0"/>
      <w:marBottom w:val="0"/>
      <w:divBdr>
        <w:top w:val="none" w:sz="0" w:space="0" w:color="auto"/>
        <w:left w:val="none" w:sz="0" w:space="0" w:color="auto"/>
        <w:bottom w:val="none" w:sz="0" w:space="0" w:color="auto"/>
        <w:right w:val="none" w:sz="0" w:space="0" w:color="auto"/>
      </w:divBdr>
    </w:div>
    <w:div w:id="917983180">
      <w:bodyDiv w:val="1"/>
      <w:marLeft w:val="0"/>
      <w:marRight w:val="0"/>
      <w:marTop w:val="0"/>
      <w:marBottom w:val="0"/>
      <w:divBdr>
        <w:top w:val="none" w:sz="0" w:space="0" w:color="auto"/>
        <w:left w:val="none" w:sz="0" w:space="0" w:color="auto"/>
        <w:bottom w:val="none" w:sz="0" w:space="0" w:color="auto"/>
        <w:right w:val="none" w:sz="0" w:space="0" w:color="auto"/>
      </w:divBdr>
    </w:div>
    <w:div w:id="1400396024">
      <w:bodyDiv w:val="1"/>
      <w:marLeft w:val="0"/>
      <w:marRight w:val="0"/>
      <w:marTop w:val="0"/>
      <w:marBottom w:val="0"/>
      <w:divBdr>
        <w:top w:val="none" w:sz="0" w:space="0" w:color="auto"/>
        <w:left w:val="none" w:sz="0" w:space="0" w:color="auto"/>
        <w:bottom w:val="none" w:sz="0" w:space="0" w:color="auto"/>
        <w:right w:val="none" w:sz="0" w:space="0" w:color="auto"/>
      </w:divBdr>
    </w:div>
    <w:div w:id="1501434237">
      <w:bodyDiv w:val="1"/>
      <w:marLeft w:val="0"/>
      <w:marRight w:val="0"/>
      <w:marTop w:val="0"/>
      <w:marBottom w:val="0"/>
      <w:divBdr>
        <w:top w:val="none" w:sz="0" w:space="0" w:color="auto"/>
        <w:left w:val="none" w:sz="0" w:space="0" w:color="auto"/>
        <w:bottom w:val="none" w:sz="0" w:space="0" w:color="auto"/>
        <w:right w:val="none" w:sz="0" w:space="0" w:color="auto"/>
      </w:divBdr>
    </w:div>
    <w:div w:id="1778216296">
      <w:bodyDiv w:val="1"/>
      <w:marLeft w:val="0"/>
      <w:marRight w:val="0"/>
      <w:marTop w:val="0"/>
      <w:marBottom w:val="0"/>
      <w:divBdr>
        <w:top w:val="none" w:sz="0" w:space="0" w:color="auto"/>
        <w:left w:val="none" w:sz="0" w:space="0" w:color="auto"/>
        <w:bottom w:val="none" w:sz="0" w:space="0" w:color="auto"/>
        <w:right w:val="none" w:sz="0" w:space="0" w:color="auto"/>
      </w:divBdr>
      <w:divsChild>
        <w:div w:id="648703727">
          <w:marLeft w:val="0"/>
          <w:marRight w:val="0"/>
          <w:marTop w:val="0"/>
          <w:marBottom w:val="0"/>
          <w:divBdr>
            <w:top w:val="none" w:sz="0" w:space="0" w:color="auto"/>
            <w:left w:val="none" w:sz="0" w:space="0" w:color="auto"/>
            <w:bottom w:val="none" w:sz="0" w:space="0" w:color="auto"/>
            <w:right w:val="none" w:sz="0" w:space="0" w:color="auto"/>
          </w:divBdr>
          <w:divsChild>
            <w:div w:id="1903984036">
              <w:marLeft w:val="0"/>
              <w:marRight w:val="0"/>
              <w:marTop w:val="0"/>
              <w:marBottom w:val="0"/>
              <w:divBdr>
                <w:top w:val="none" w:sz="0" w:space="0" w:color="auto"/>
                <w:left w:val="none" w:sz="0" w:space="0" w:color="auto"/>
                <w:bottom w:val="none" w:sz="0" w:space="0" w:color="auto"/>
                <w:right w:val="none" w:sz="0" w:space="0" w:color="auto"/>
              </w:divBdr>
              <w:divsChild>
                <w:div w:id="1456365327">
                  <w:marLeft w:val="0"/>
                  <w:marRight w:val="0"/>
                  <w:marTop w:val="0"/>
                  <w:marBottom w:val="0"/>
                  <w:divBdr>
                    <w:top w:val="none" w:sz="0" w:space="0" w:color="auto"/>
                    <w:left w:val="none" w:sz="0" w:space="0" w:color="auto"/>
                    <w:bottom w:val="none" w:sz="0" w:space="0" w:color="auto"/>
                    <w:right w:val="none" w:sz="0" w:space="0" w:color="auto"/>
                  </w:divBdr>
                  <w:divsChild>
                    <w:div w:id="211037987">
                      <w:marLeft w:val="0"/>
                      <w:marRight w:val="0"/>
                      <w:marTop w:val="0"/>
                      <w:marBottom w:val="0"/>
                      <w:divBdr>
                        <w:top w:val="none" w:sz="0" w:space="0" w:color="auto"/>
                        <w:left w:val="none" w:sz="0" w:space="0" w:color="auto"/>
                        <w:bottom w:val="none" w:sz="0" w:space="0" w:color="auto"/>
                        <w:right w:val="none" w:sz="0" w:space="0" w:color="auto"/>
                      </w:divBdr>
                      <w:divsChild>
                        <w:div w:id="1733389780">
                          <w:marLeft w:val="0"/>
                          <w:marRight w:val="0"/>
                          <w:marTop w:val="0"/>
                          <w:marBottom w:val="0"/>
                          <w:divBdr>
                            <w:top w:val="none" w:sz="0" w:space="0" w:color="auto"/>
                            <w:left w:val="none" w:sz="0" w:space="0" w:color="auto"/>
                            <w:bottom w:val="none" w:sz="0" w:space="0" w:color="auto"/>
                            <w:right w:val="none" w:sz="0" w:space="0" w:color="auto"/>
                          </w:divBdr>
                          <w:divsChild>
                            <w:div w:id="103731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82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EA887-BFD2-4308-B3FE-A82D4F884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11949</Words>
  <Characters>72177</Characters>
  <Application>Microsoft Office Word</Application>
  <DocSecurity>0</DocSecurity>
  <Lines>1127</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2025-11-16T22:18:00Z</dcterms:created>
  <dcterms:modified xsi:type="dcterms:W3CDTF">2025-11-16T22:40:00Z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d2b56a6f-01e1-4efb-abe9-6e9344a06d77</vt:lpwstr>
  </property>
</Properties>
</file>