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19"/>
        <w:tblW w:w="0" w:type="auto"/>
        <w:tblLook w:val="04A0" w:firstRow="1" w:lastRow="0" w:firstColumn="1" w:lastColumn="0" w:noHBand="0" w:noVBand="1"/>
      </w:tblPr>
      <w:tblGrid>
        <w:gridCol w:w="4621"/>
        <w:gridCol w:w="4621"/>
      </w:tblGrid>
      <w:tr w:rsidR="000611AE" w:rsidRPr="00FC3E0C" w14:paraId="07232321" w14:textId="77777777" w:rsidTr="000611AE">
        <w:tc>
          <w:tcPr>
            <w:tcW w:w="4621" w:type="dxa"/>
          </w:tcPr>
          <w:p w14:paraId="70369895" w14:textId="77777777" w:rsidR="000611AE" w:rsidRPr="00FC3E0C" w:rsidRDefault="000611AE" w:rsidP="0068287A">
            <w:pPr>
              <w:tabs>
                <w:tab w:val="left" w:pos="2340"/>
              </w:tabs>
              <w:spacing w:line="360" w:lineRule="auto"/>
              <w:rPr>
                <w:rFonts w:ascii="Arial" w:hAnsi="Arial" w:cs="Arial"/>
                <w:sz w:val="28"/>
                <w:szCs w:val="28"/>
              </w:rPr>
            </w:pPr>
            <w:r w:rsidRPr="00FC3E0C">
              <w:rPr>
                <w:rFonts w:ascii="Arial" w:hAnsi="Arial" w:cs="Arial"/>
                <w:sz w:val="28"/>
                <w:szCs w:val="28"/>
              </w:rPr>
              <w:t>Targedau</w:t>
            </w:r>
          </w:p>
        </w:tc>
        <w:tc>
          <w:tcPr>
            <w:tcW w:w="4621" w:type="dxa"/>
          </w:tcPr>
          <w:p w14:paraId="798890AD" w14:textId="77777777" w:rsidR="000611AE" w:rsidRPr="00FC3E0C" w:rsidRDefault="000611AE" w:rsidP="0068287A">
            <w:pPr>
              <w:tabs>
                <w:tab w:val="left" w:pos="2340"/>
              </w:tabs>
              <w:spacing w:line="360" w:lineRule="auto"/>
              <w:rPr>
                <w:rFonts w:ascii="Arial" w:hAnsi="Arial" w:cs="Arial"/>
                <w:sz w:val="28"/>
                <w:szCs w:val="28"/>
              </w:rPr>
            </w:pPr>
            <w:r w:rsidRPr="00FC3E0C">
              <w:rPr>
                <w:rFonts w:ascii="Arial" w:hAnsi="Arial" w:cs="Arial"/>
                <w:sz w:val="28"/>
                <w:szCs w:val="28"/>
              </w:rPr>
              <w:t>Sut yr ymatebwyd i’r targedau</w:t>
            </w:r>
          </w:p>
        </w:tc>
      </w:tr>
      <w:tr w:rsidR="000611AE" w:rsidRPr="00FC3E0C" w14:paraId="68689896" w14:textId="77777777" w:rsidTr="000611AE">
        <w:tc>
          <w:tcPr>
            <w:tcW w:w="4621" w:type="dxa"/>
          </w:tcPr>
          <w:p w14:paraId="6A075A37" w14:textId="77777777" w:rsidR="000611AE" w:rsidRPr="00FC3E0C" w:rsidRDefault="000611AE" w:rsidP="0068287A">
            <w:pPr>
              <w:tabs>
                <w:tab w:val="left" w:pos="2340"/>
              </w:tabs>
              <w:spacing w:line="360" w:lineRule="auto"/>
              <w:rPr>
                <w:rFonts w:ascii="Arial" w:hAnsi="Arial" w:cs="Arial"/>
              </w:rPr>
            </w:pPr>
            <w:r w:rsidRPr="00FC3E0C">
              <w:rPr>
                <w:rFonts w:ascii="Arial" w:hAnsi="Arial" w:cs="Arial"/>
              </w:rPr>
              <w:t>Cynnwys targedau o'r aseiniad blaenorol ar frig pob aseiniad yn ogystal a nodi sut yr ymatebwyd i'r targedau hyn yn y darn hwn o waith.</w:t>
            </w:r>
          </w:p>
        </w:tc>
        <w:tc>
          <w:tcPr>
            <w:tcW w:w="4621" w:type="dxa"/>
          </w:tcPr>
          <w:p w14:paraId="371CD6C8" w14:textId="77777777" w:rsidR="000611AE" w:rsidRPr="00FC3E0C" w:rsidRDefault="000611AE" w:rsidP="0068287A">
            <w:pPr>
              <w:tabs>
                <w:tab w:val="left" w:pos="2340"/>
              </w:tabs>
              <w:spacing w:line="360" w:lineRule="auto"/>
              <w:rPr>
                <w:rFonts w:ascii="Arial" w:hAnsi="Arial" w:cs="Arial"/>
              </w:rPr>
            </w:pPr>
            <w:r w:rsidRPr="00FC3E0C">
              <w:rPr>
                <w:rFonts w:ascii="Arial" w:hAnsi="Arial" w:cs="Arial"/>
              </w:rPr>
              <w:t>Sicrhau fy mod wedi cynnwys tabl o fy nhargedau blaenorol a chynnwys sut yr ymatebais i’r targedau.</w:t>
            </w:r>
          </w:p>
        </w:tc>
      </w:tr>
      <w:tr w:rsidR="000611AE" w:rsidRPr="00FC3E0C" w14:paraId="01FA1BFC" w14:textId="77777777" w:rsidTr="000611AE">
        <w:tc>
          <w:tcPr>
            <w:tcW w:w="4621" w:type="dxa"/>
          </w:tcPr>
          <w:p w14:paraId="0FB29BD8" w14:textId="77777777" w:rsidR="000611AE" w:rsidRPr="00FC3E0C" w:rsidRDefault="000611AE" w:rsidP="0068287A">
            <w:pPr>
              <w:tabs>
                <w:tab w:val="left" w:pos="2340"/>
              </w:tabs>
              <w:spacing w:line="360" w:lineRule="auto"/>
              <w:rPr>
                <w:rFonts w:ascii="Arial" w:hAnsi="Arial" w:cs="Arial"/>
              </w:rPr>
            </w:pPr>
            <w:r w:rsidRPr="00FC3E0C">
              <w:rPr>
                <w:rFonts w:ascii="Arial" w:hAnsi="Arial" w:cs="Arial"/>
              </w:rPr>
              <w:t>Mireinio sgiliau cyfeirnodi e.e. defnyddio cromfachau crwn ac nid sgwâr ar gyfer dyddiadau cyrchu - gweler tud. 11 o'r Llawlyfr Cyfeirnodi.</w:t>
            </w:r>
          </w:p>
        </w:tc>
        <w:tc>
          <w:tcPr>
            <w:tcW w:w="4621" w:type="dxa"/>
          </w:tcPr>
          <w:p w14:paraId="52116FC8" w14:textId="0F9F97D9" w:rsidR="000611AE" w:rsidRPr="00FC3E0C" w:rsidRDefault="000611AE" w:rsidP="0068287A">
            <w:pPr>
              <w:tabs>
                <w:tab w:val="left" w:pos="2340"/>
              </w:tabs>
              <w:spacing w:line="360" w:lineRule="auto"/>
              <w:rPr>
                <w:rFonts w:ascii="Arial" w:hAnsi="Arial" w:cs="Arial"/>
              </w:rPr>
            </w:pPr>
            <w:r w:rsidRPr="00FC3E0C">
              <w:rPr>
                <w:rFonts w:ascii="Arial" w:hAnsi="Arial" w:cs="Arial"/>
              </w:rPr>
              <w:t>Adolygais lawlyfr cyfeirnodi’r Brifysgol er mwyn sicrhau fy mod i’n cyfeirnodi’n gywir.</w:t>
            </w:r>
          </w:p>
        </w:tc>
      </w:tr>
      <w:tr w:rsidR="000611AE" w:rsidRPr="00FC3E0C" w14:paraId="062C7C69" w14:textId="77777777" w:rsidTr="000611AE">
        <w:tc>
          <w:tcPr>
            <w:tcW w:w="4621" w:type="dxa"/>
          </w:tcPr>
          <w:p w14:paraId="73103B3B" w14:textId="77777777" w:rsidR="000611AE" w:rsidRPr="00FC3E0C" w:rsidRDefault="000611AE" w:rsidP="0068287A">
            <w:pPr>
              <w:tabs>
                <w:tab w:val="left" w:pos="2340"/>
              </w:tabs>
              <w:spacing w:line="360" w:lineRule="auto"/>
              <w:rPr>
                <w:rFonts w:ascii="Arial" w:hAnsi="Arial" w:cs="Arial"/>
              </w:rPr>
            </w:pPr>
            <w:r w:rsidRPr="00FC3E0C">
              <w:rPr>
                <w:rFonts w:ascii="Arial" w:hAnsi="Arial" w:cs="Arial"/>
              </w:rPr>
              <w:t>Gwneud cysylltiadau pellach rhwng theori ac ymarfer e.e. wrth esbonio strategaethau a ddefnyddir i ymgysylltu rhanddeiliaid yn y dysgu. </w:t>
            </w:r>
          </w:p>
        </w:tc>
        <w:tc>
          <w:tcPr>
            <w:tcW w:w="4621" w:type="dxa"/>
          </w:tcPr>
          <w:p w14:paraId="50BD387A" w14:textId="627CEEAE" w:rsidR="000611AE" w:rsidRPr="00FC3E0C" w:rsidRDefault="000611AE" w:rsidP="0068287A">
            <w:pPr>
              <w:tabs>
                <w:tab w:val="left" w:pos="2340"/>
              </w:tabs>
              <w:spacing w:line="360" w:lineRule="auto"/>
              <w:rPr>
                <w:rFonts w:ascii="Arial" w:hAnsi="Arial" w:cs="Arial"/>
              </w:rPr>
            </w:pPr>
            <w:r w:rsidRPr="00FC3E0C">
              <w:rPr>
                <w:rFonts w:ascii="Arial" w:hAnsi="Arial" w:cs="Arial"/>
              </w:rPr>
              <w:t>Sicrhau fy mod i’n gwneud mwy o ymchwil er mwyn atgyfnerthu a ch</w:t>
            </w:r>
            <w:r w:rsidR="00A71B2C" w:rsidRPr="00FC3E0C">
              <w:rPr>
                <w:rFonts w:ascii="Arial" w:hAnsi="Arial" w:cs="Arial"/>
              </w:rPr>
              <w:t>efnogi</w:t>
            </w:r>
            <w:r w:rsidRPr="00FC3E0C">
              <w:rPr>
                <w:rFonts w:ascii="Arial" w:hAnsi="Arial" w:cs="Arial"/>
              </w:rPr>
              <w:t xml:space="preserve"> pwyntiau.</w:t>
            </w:r>
          </w:p>
        </w:tc>
      </w:tr>
    </w:tbl>
    <w:p w14:paraId="33380C8F" w14:textId="77777777" w:rsidR="000611AE" w:rsidRPr="00FC3E0C" w:rsidRDefault="004946A1" w:rsidP="0068287A">
      <w:pPr>
        <w:tabs>
          <w:tab w:val="left" w:pos="2340"/>
        </w:tabs>
        <w:spacing w:line="360" w:lineRule="auto"/>
        <w:rPr>
          <w:rFonts w:ascii="Arial" w:hAnsi="Arial" w:cs="Arial"/>
          <w:sz w:val="28"/>
          <w:szCs w:val="28"/>
        </w:rPr>
      </w:pPr>
      <w:r w:rsidRPr="00FC3E0C">
        <w:rPr>
          <w:rFonts w:ascii="Arial" w:hAnsi="Arial" w:cs="Arial"/>
          <w:sz w:val="28"/>
          <w:szCs w:val="28"/>
        </w:rPr>
        <w:tab/>
      </w:r>
    </w:p>
    <w:p w14:paraId="3F4E1EAF" w14:textId="62C824C9" w:rsidR="00E753AC" w:rsidRPr="00FC3E0C" w:rsidRDefault="004946A1" w:rsidP="00D602F1">
      <w:pPr>
        <w:tabs>
          <w:tab w:val="left" w:pos="2340"/>
        </w:tabs>
        <w:spacing w:line="360" w:lineRule="auto"/>
        <w:rPr>
          <w:rFonts w:ascii="Arial" w:hAnsi="Arial" w:cs="Arial"/>
          <w:b/>
          <w:bCs/>
          <w:sz w:val="36"/>
          <w:szCs w:val="36"/>
          <w:u w:val="single"/>
        </w:rPr>
      </w:pPr>
      <w:r w:rsidRPr="00FC3E0C">
        <w:rPr>
          <w:rFonts w:ascii="Arial" w:hAnsi="Arial" w:cs="Arial"/>
          <w:b/>
          <w:bCs/>
          <w:sz w:val="36"/>
          <w:szCs w:val="36"/>
          <w:u w:val="single"/>
        </w:rPr>
        <w:t>Prosiect Ymchwil: Astudiaeth achos archwiliadol yn seiliedig ar y Profiad Dewisol Astudiaeth achos archwiliadol yn deillio o ymarfer (sylwi) ac a ymchwiliwyd ymhellach trwy offer ymchwil a nodwyd. Daw’r aseiniad i ben drwy nodi ymyrraeth y gellir ei dreialu drwy gydol y Profiad Addysgu Proffesiynol a chael tystiolaeth ohono drwy fyfyrio yn y Safonau Dysgu Proffesiynol.</w:t>
      </w:r>
    </w:p>
    <w:p w14:paraId="4BC622D4" w14:textId="64B60ED3" w:rsidR="008C34AB" w:rsidRPr="00FC3E0C" w:rsidRDefault="0064147C" w:rsidP="00D602F1">
      <w:pPr>
        <w:tabs>
          <w:tab w:val="left" w:pos="2340"/>
        </w:tabs>
        <w:spacing w:line="360" w:lineRule="auto"/>
        <w:rPr>
          <w:rFonts w:ascii="Arial" w:hAnsi="Arial" w:cs="Arial"/>
          <w:sz w:val="28"/>
          <w:szCs w:val="28"/>
        </w:rPr>
      </w:pPr>
      <w:r w:rsidRPr="00FC3E0C">
        <w:rPr>
          <w:rFonts w:ascii="Arial" w:hAnsi="Arial" w:cs="Arial"/>
          <w:sz w:val="28"/>
          <w:szCs w:val="28"/>
        </w:rPr>
        <w:t>Nod, ffocws a phwrpas yr ymchwil / Cyd-destun Ymchwil</w:t>
      </w:r>
    </w:p>
    <w:p w14:paraId="12A3F9F7" w14:textId="10393AEE" w:rsidR="003D534E" w:rsidRPr="00FC3E0C" w:rsidRDefault="00D602F1" w:rsidP="00D602F1">
      <w:pPr>
        <w:spacing w:line="360" w:lineRule="auto"/>
        <w:rPr>
          <w:rFonts w:ascii="Arial" w:hAnsi="Arial" w:cs="Arial"/>
        </w:rPr>
      </w:pPr>
      <w:r w:rsidRPr="00FC3E0C">
        <w:rPr>
          <w:rFonts w:ascii="Arial" w:hAnsi="Arial" w:cs="Arial"/>
        </w:rPr>
        <w:t xml:space="preserve">Fy nghwestiwn ymchwil oedd “beth yw’r berthynas rhwng sesiynau iechyd a lles corfforol a llesiant dysgwyr?”. Mae’r astudiaeth hon yn ceisio canfod dealltwriaeth ddyfnach o sut mae gweithgareddau corfforol yn dylanwadu ar les meddyliol, emosiynol a chorfforol y dysgwyr. Prif nod yr ymchwil oedd archwilio’r berthynas rhwng sesiynau iechyd a lles (IaLl) corfforol a lles cyffredinol dysgwyr. Yn ôl y datganiadau o’r hyn sy’n bwysig am y maes dysgu a phrofiad (MdaPh) IaLl, esbonia Llywodraeth Cymru (2019) bod “datblygu iechyd a lles y corff yn arwain at fuddiannau gydol oes”. Wrth ystyried y safbwynt hwn, nid oes amheuaeth dros </w:t>
      </w:r>
      <w:r w:rsidRPr="00FC3E0C">
        <w:rPr>
          <w:rFonts w:ascii="Arial" w:hAnsi="Arial" w:cs="Arial"/>
        </w:rPr>
        <w:lastRenderedPageBreak/>
        <w:t>bwysigrwydd sicrhau addysg a’r ddarpariaeth o wybodaeth hynod o bwysig IaLl i ddysgwyr. Nid yw traean o oedolion y byd yn cyrraedd y lefelau o weithgaredd corfforol a argymhellir gan arbenigwyr ac o ganlyniad i hyn, yn fwy tebygol o roi unigolion mewn peryg o gael clefydau cardiofasgwlaidd fel trawiad ar y galon</w:t>
      </w:r>
      <w:r w:rsidR="007C4A7B">
        <w:rPr>
          <w:rFonts w:ascii="Arial" w:hAnsi="Arial" w:cs="Arial"/>
        </w:rPr>
        <w:t>,</w:t>
      </w:r>
      <w:r w:rsidRPr="00FC3E0C">
        <w:rPr>
          <w:rFonts w:ascii="Arial" w:hAnsi="Arial" w:cs="Arial"/>
        </w:rPr>
        <w:t xml:space="preserve"> strôc, diabetes a chanserau (World Health Organization, 2024a).</w:t>
      </w:r>
      <w:r w:rsidR="003D534E" w:rsidRPr="00FC3E0C">
        <w:rPr>
          <w:rFonts w:ascii="Arial" w:hAnsi="Arial" w:cs="Arial"/>
        </w:rPr>
        <w:t xml:space="preserve"> </w:t>
      </w:r>
      <w:r w:rsidRPr="00FC3E0C">
        <w:rPr>
          <w:rFonts w:ascii="Arial" w:hAnsi="Arial" w:cs="Arial"/>
        </w:rPr>
        <w:t xml:space="preserve">Mae gen i ddiddordeb mawr yn y maes addysg gorfforol ac roeddwn yn bwriadu archwilio’r cysylltiad rhwng addysg gorfforol a llesiant dysgwyr. Gan edrych ar yr ystadegau, nid oes amheuaeth dros bwysigrwydd a rôl athrawon i geisio sicrhau agweddau positif y dysgwyr at ymarfer corff a IaLl. I gefnogi hyn, mae ymchwil Saxena et al. (2005) yn </w:t>
      </w:r>
      <w:r w:rsidR="007C4A7B">
        <w:rPr>
          <w:rFonts w:ascii="Arial" w:hAnsi="Arial" w:cs="Arial"/>
        </w:rPr>
        <w:t>datgan bod</w:t>
      </w:r>
      <w:r w:rsidRPr="00FC3E0C">
        <w:rPr>
          <w:rFonts w:ascii="Arial" w:hAnsi="Arial" w:cs="Arial"/>
        </w:rPr>
        <w:t xml:space="preserve"> </w:t>
      </w:r>
      <w:r w:rsidR="007C4A7B">
        <w:rPr>
          <w:rFonts w:ascii="Arial" w:hAnsi="Arial" w:cs="Arial"/>
        </w:rPr>
        <w:t>p</w:t>
      </w:r>
      <w:r w:rsidRPr="00FC3E0C">
        <w:rPr>
          <w:rFonts w:ascii="Arial" w:hAnsi="Arial" w:cs="Arial"/>
        </w:rPr>
        <w:t>obl a oedd wedi cymryd rhan mewn ymarfer corff parhaol wedi profi newidiadau cadarnhaol yn eu llesiant emosiynol. Er mwyn cyflawni’r prosiect ymchwil, treuliais wythnos yn ysgol uwchradd er mwyn casglu data.</w:t>
      </w:r>
      <w:r w:rsidRPr="00FC3E0C">
        <w:rPr>
          <w:rFonts w:ascii="Arial" w:hAnsi="Arial" w:cs="Arial"/>
        </w:rPr>
        <w:t xml:space="preserve"> </w:t>
      </w:r>
      <w:r w:rsidRPr="00FC3E0C">
        <w:rPr>
          <w:rFonts w:ascii="Arial" w:hAnsi="Arial" w:cs="Arial"/>
        </w:rPr>
        <w:t>Cefais gyfle i arsylwi ambell wers ymarfer corff, a gwers iechyd a lles, yn ogystal â chyfle i gyfweld a staff gyda phrofiad yn y maes. Roedd arsylwi’r gwersi yn effeithiol gan roi cyfle i mi weld ymagweddau’r dysgwyr a sut oedden yn ymateb i’r gweithgaredd corfforol. Ymhellach, roedd cyfweld ag athrawon yn rhoi’r cyfle i mi glywed safbwyntiau aelodau o staff profiadol ac arbenigol drwy ehangu ac addasu fy nghanfyddiadau personol. Roedd hi’n hynod effeithiol cymharu â chlywed barnau gwahanol drwy gyfoethogi’r astudiaeth trwy ymgorffori mewnwelediadau personol gan hefyd rhoi cyfle i mi gynhwyso’r data a gasglwyd.</w:t>
      </w:r>
    </w:p>
    <w:p w14:paraId="0204665D" w14:textId="095CB27C" w:rsidR="009B1472" w:rsidRPr="00FC3E0C" w:rsidRDefault="0068287A" w:rsidP="00D602F1">
      <w:pPr>
        <w:spacing w:line="360" w:lineRule="auto"/>
        <w:rPr>
          <w:rFonts w:ascii="Arial" w:hAnsi="Arial" w:cs="Arial"/>
          <w:sz w:val="28"/>
          <w:szCs w:val="28"/>
        </w:rPr>
      </w:pPr>
      <w:r w:rsidRPr="00FC3E0C">
        <w:rPr>
          <w:rFonts w:ascii="Arial" w:hAnsi="Arial" w:cs="Arial"/>
          <w:sz w:val="28"/>
          <w:szCs w:val="28"/>
        </w:rPr>
        <w:t>Trosolwg o lenyddiaeth berthnasol</w:t>
      </w:r>
    </w:p>
    <w:p w14:paraId="0152DC17" w14:textId="56A235B5" w:rsidR="00D602F1" w:rsidRPr="00FC3E0C" w:rsidRDefault="00D602F1" w:rsidP="00D602F1">
      <w:pPr>
        <w:spacing w:line="360" w:lineRule="auto"/>
        <w:rPr>
          <w:rFonts w:ascii="Arial" w:hAnsi="Arial" w:cs="Arial"/>
        </w:rPr>
      </w:pPr>
      <w:r w:rsidRPr="00FC3E0C">
        <w:rPr>
          <w:rFonts w:ascii="Arial" w:hAnsi="Arial" w:cs="Arial"/>
        </w:rPr>
        <w:t>Yn ôl Department for Education (2021) mae ysgolion sy’n blaenoriaethu iechyd meddwl a lles yn sicrhau cymorth i ddysgwyr yn eu datblygiad personol, presenoldeb, cydlyniant i’r dysgu a chyflawniad pellach. Awgryment y dylai ysgolion geisio sicrhau amgylchedd dysgu diogel a chefnogol i’r dysgwyr a gwneud yn siŵr bod yr ysgolion yn bresennol ar bob adeg i estyn cymorth i unrhyw blant a phobl ifanc er mwyn cynorthwyo lles y dysgwyr. Yn y Deyrnas Unedig (DU), mae ymchwil yn canfod mai problemau emosiynol fel iselder a gorbryder yw’r materion mwyaf cyffredin a brofir gan bobl ifanc. Yn ôl y cyfrifiad yn y DU, roedd bron i dr</w:t>
      </w:r>
      <w:r w:rsidR="007C4A7B">
        <w:rPr>
          <w:rFonts w:ascii="Arial" w:hAnsi="Arial" w:cs="Arial"/>
        </w:rPr>
        <w:t>ae</w:t>
      </w:r>
      <w:r w:rsidRPr="00FC3E0C">
        <w:rPr>
          <w:rFonts w:ascii="Arial" w:hAnsi="Arial" w:cs="Arial"/>
        </w:rPr>
        <w:t>an o bobl ifanc yn profi rywfaint o iselder neu orbryder (Office for National Statistics, 2020). Wrth ystyried yr holl anawsterau cyffredin hyn a wynebir ieuenctid y DU, gall hyn gael effaith negyddol iawn ar gyrhaeddiad addysgol ac iechyd corfforol unigolion.</w:t>
      </w:r>
      <w:r w:rsidRPr="00FC3E0C">
        <w:rPr>
          <w:rFonts w:ascii="Arial" w:hAnsi="Arial" w:cs="Arial"/>
        </w:rPr>
        <w:t xml:space="preserve"> </w:t>
      </w:r>
      <w:r w:rsidRPr="00FC3E0C">
        <w:rPr>
          <w:rFonts w:ascii="Arial" w:hAnsi="Arial" w:cs="Arial"/>
        </w:rPr>
        <w:t>Rhaid ystyried gall hyn achosi diffyg parodrwydd wrth symud o’r ysgol at fywyd gwaith gan brofi llai o gyfleoedd cyflogaeth a phroblemau ariannol yn deillio o’r problemau iechyd meddwl a lles (Moore et al., 2022). Wrth gydnabod yr holl broblemau all ddilyn o anawsterau iechyd meddwl i bobl ifanc, gellir dadlau y dylai sesiynau IaLl ac ymarfer corff o fewn ysgolion helpu dysgwyr i ddeall, helpu a gwella eu hiechyd meddyliol, corfforol ac emosiynol. Os bydd ysgolion yn effeithiol wrth ddarparu’r wybodaeth hyn i ddysgwyr, gallent fod yn effeithiol i’r bobl ifanc a chael effaith gadarnhaol ar eu cyrrhaeddiant a</w:t>
      </w:r>
      <w:r w:rsidR="007C4A7B">
        <w:rPr>
          <w:rFonts w:ascii="Arial" w:hAnsi="Arial" w:cs="Arial"/>
        </w:rPr>
        <w:t>c</w:t>
      </w:r>
      <w:r w:rsidRPr="00FC3E0C">
        <w:rPr>
          <w:rFonts w:ascii="Arial" w:hAnsi="Arial" w:cs="Arial"/>
        </w:rPr>
        <w:t xml:space="preserve"> iechyd cyffredinol.</w:t>
      </w:r>
    </w:p>
    <w:p w14:paraId="27AA63B9" w14:textId="54776568" w:rsidR="0007284B" w:rsidRPr="00FC3E0C" w:rsidRDefault="00D602F1" w:rsidP="00D602F1">
      <w:pPr>
        <w:spacing w:line="360" w:lineRule="auto"/>
        <w:rPr>
          <w:rFonts w:ascii="Arial" w:hAnsi="Arial" w:cs="Arial"/>
        </w:rPr>
      </w:pPr>
      <w:r w:rsidRPr="00FC3E0C">
        <w:rPr>
          <w:rFonts w:ascii="Arial" w:hAnsi="Arial" w:cs="Arial"/>
        </w:rPr>
        <w:lastRenderedPageBreak/>
        <w:t>Fodd bynnag, mae rhai yn dadlau y gall rhaglenni IaLl ac ymyriadau meithrin lles fod yn broblem i ysgolion a dysgwyr. Dadleua Bethune (2020) bod dulliau addysgol modern yn gallu rhoi gormod o ffocws ar iechyd meddwl a lles yn gallu cael ei weld yn wrth-addysgol a’n hyrwyddo lles dros addysg sef prif fwriad ysgolion yn gyffredinol.</w:t>
      </w:r>
      <w:r w:rsidRPr="00FC3E0C">
        <w:rPr>
          <w:rFonts w:ascii="Arial" w:hAnsi="Arial" w:cs="Arial"/>
        </w:rPr>
        <w:t xml:space="preserve"> </w:t>
      </w:r>
      <w:r w:rsidRPr="00FC3E0C">
        <w:rPr>
          <w:rFonts w:ascii="Arial" w:hAnsi="Arial" w:cs="Arial"/>
        </w:rPr>
        <w:t xml:space="preserve">Er hyn, dadleua The British Psychological Society (2024) y bod plant iachach a hapusach yn tueddu i ganolbwyntio a rhyngweithio’n well o fewn gwersi ac i gyfathrebu a </w:t>
      </w:r>
      <w:r w:rsidR="007C4A7B">
        <w:rPr>
          <w:rFonts w:ascii="Arial" w:hAnsi="Arial" w:cs="Arial"/>
        </w:rPr>
        <w:t>ffurfio</w:t>
      </w:r>
      <w:r w:rsidRPr="00FC3E0C">
        <w:rPr>
          <w:rFonts w:ascii="Arial" w:hAnsi="Arial" w:cs="Arial"/>
        </w:rPr>
        <w:t xml:space="preserve"> perthnasau gyda’u cyfoedion yn haws. I gefnogi hyn, wrth ystyried y pedwar diben i ddysgwyr yn rhan o’r </w:t>
      </w:r>
      <w:r w:rsidR="007C4A7B">
        <w:rPr>
          <w:rFonts w:ascii="Arial" w:hAnsi="Arial" w:cs="Arial"/>
        </w:rPr>
        <w:t>C</w:t>
      </w:r>
      <w:r w:rsidRPr="00FC3E0C">
        <w:rPr>
          <w:rFonts w:ascii="Arial" w:hAnsi="Arial" w:cs="Arial"/>
        </w:rPr>
        <w:t>wricwlwm i Gymru, mae’n flaenoriaeth i addysgwyr yng Nghymru sicrhau cyfleoedd i ddysgwyr ddod yn “unigolion iach, hyderus sy’n ffurfio cydberthnasau cadarnhaol wedi’u seilio ar ymddiriedaeth a pharch at ei gilydd” (Llywodraeth Cymru, 2020). Pwysleisia hyn y pwysigrwydd i sicrhau llesiant i unigolion y dosbarth a rhoi’r cyfle i’r dysgwyr adeiladu o’r sail gadarn a osodwyd o fewn y dosbarth. Er hyn, cynhelir dros bumdeg cyfweliad gydag athrawon, gan gynnwys arbenigwyr lles gan Connolly et al (2024), a darganfyddant fod thema gyffredin i’r ymatebion a bod llawer o addysgwyr yn teimlo dan straen ar adegau</w:t>
      </w:r>
      <w:r w:rsidR="007C4A7B">
        <w:rPr>
          <w:rFonts w:ascii="Arial" w:hAnsi="Arial" w:cs="Arial"/>
        </w:rPr>
        <w:t>,</w:t>
      </w:r>
      <w:r w:rsidRPr="00FC3E0C">
        <w:rPr>
          <w:rFonts w:ascii="Arial" w:hAnsi="Arial" w:cs="Arial"/>
        </w:rPr>
        <w:t xml:space="preserve"> ac nad oes gyda nhw’r sgiliau, yr hyder na’r adnoddau i gefnogi plant ag anawsterau iechyd meddwl. </w:t>
      </w:r>
      <w:r w:rsidR="00895674" w:rsidRPr="00FC3E0C">
        <w:rPr>
          <w:rFonts w:ascii="Arial" w:hAnsi="Arial" w:cs="Arial"/>
        </w:rPr>
        <w:t xml:space="preserve">Gall hyn </w:t>
      </w:r>
      <w:r w:rsidR="007C4A7B">
        <w:rPr>
          <w:rFonts w:ascii="Arial" w:hAnsi="Arial" w:cs="Arial"/>
        </w:rPr>
        <w:t>d</w:t>
      </w:r>
      <w:r w:rsidR="00895674" w:rsidRPr="00FC3E0C">
        <w:rPr>
          <w:rFonts w:ascii="Arial" w:hAnsi="Arial" w:cs="Arial"/>
        </w:rPr>
        <w:t xml:space="preserve">deillio o ddiffyg cyllid i dderbyn yr hyfforddiant ond hefyd gall hyn gysylltu eto taw dim rôl athrawon yw bod yn therapydd i ddysgwyr. I ategu at hyn, noda Korbey (2022) bod disgwyl i athrawon allu darparu cefnogaeth emosiynol ychydig yn annheg gan fod ganddyn nhw cymaint o ddisgwyliadau a chyfrifoldebau yn barod. Mae modd dadlau bod disgwyl hyn yn bygwth ehangu disgwyliad athrawon a rhoi pwysau arnynt i gyflawni rôl o therapydd lle dylai </w:t>
      </w:r>
      <w:r w:rsidR="007C4A7B">
        <w:rPr>
          <w:rFonts w:ascii="Arial" w:hAnsi="Arial" w:cs="Arial"/>
        </w:rPr>
        <w:t xml:space="preserve">hyn </w:t>
      </w:r>
      <w:r w:rsidR="00895674" w:rsidRPr="00FC3E0C">
        <w:rPr>
          <w:rFonts w:ascii="Arial" w:hAnsi="Arial" w:cs="Arial"/>
        </w:rPr>
        <w:t xml:space="preserve">gael ei gyflawni rhywle arall (Korbey 2022).  </w:t>
      </w:r>
    </w:p>
    <w:p w14:paraId="616C2485" w14:textId="2E98F782" w:rsidR="00871302" w:rsidRPr="00FC3E0C" w:rsidRDefault="00895674" w:rsidP="00D602F1">
      <w:pPr>
        <w:spacing w:line="360" w:lineRule="auto"/>
        <w:rPr>
          <w:rFonts w:ascii="Arial" w:hAnsi="Arial" w:cs="Arial"/>
        </w:rPr>
      </w:pPr>
      <w:r w:rsidRPr="00FC3E0C">
        <w:rPr>
          <w:rFonts w:ascii="Arial" w:hAnsi="Arial" w:cs="Arial"/>
        </w:rPr>
        <w:t xml:space="preserve">Hollbwysig yw hi hefyd i ystyried iechyd corfforol y dysgwyr, yn </w:t>
      </w:r>
      <w:r w:rsidRPr="008970E2">
        <w:rPr>
          <w:rFonts w:ascii="Arial" w:hAnsi="Arial" w:cs="Arial"/>
        </w:rPr>
        <w:t xml:space="preserve">ogystal </w:t>
      </w:r>
      <w:r w:rsidR="008970E2" w:rsidRPr="008970E2">
        <w:rPr>
          <w:rFonts w:ascii="Arial" w:hAnsi="Arial" w:cs="Arial"/>
        </w:rPr>
        <w:t>ȃ</w:t>
      </w:r>
      <w:r w:rsidRPr="008970E2">
        <w:rPr>
          <w:rFonts w:ascii="Arial" w:hAnsi="Arial" w:cs="Arial"/>
        </w:rPr>
        <w:t xml:space="preserve"> iechyd</w:t>
      </w:r>
      <w:r w:rsidRPr="00FC3E0C">
        <w:rPr>
          <w:rFonts w:ascii="Arial" w:hAnsi="Arial" w:cs="Arial"/>
        </w:rPr>
        <w:t xml:space="preserve"> meddyliol ac emosiynol. Yn ôl ymchwil Reiner er al. 2013 roedd cyfranogwyr oedd yn cynnal neu gynyddu lefelau o weithgaredd corfforol yn osgoi rhoi pwysau ymlaen neu’n colli pwysau. Ymhellach, darganfyddant fod cerdded dim ond hanner awr bob dydd yn dangos cysylltiadau gyda cholli pwysau yn enwedig i’r unigolion dros bwysau neu ordew. Wrth ddarganfod y data hwn mae’n fy atgoffa o draddodiad sy’n boblogaidd a welais yn ystod fy mhrofiad addysgu proffesiynol, sef milltir y dydd. Roedd hi’n cael ei ddefnyddio ar ddiwedd gwers am bymtheg munud er mwyn sicrhau bod y plant yn cael saib o’r ystafell ddosbarth a chyfle i wneud ychydig o ymarfer corff syml. Yn ôl Llywodraeth Cymru (2017) mae milltir y dydd yn syml i weithredu</w:t>
      </w:r>
      <w:r w:rsidR="008970E2">
        <w:rPr>
          <w:rFonts w:ascii="Arial" w:hAnsi="Arial" w:cs="Arial"/>
        </w:rPr>
        <w:t>,</w:t>
      </w:r>
      <w:r w:rsidRPr="00FC3E0C">
        <w:rPr>
          <w:rFonts w:ascii="Arial" w:hAnsi="Arial" w:cs="Arial"/>
        </w:rPr>
        <w:t xml:space="preserve"> ond yn hynod effeithiol wrth annog dysgwyr i gerdded, loncian neu redeg milltir bob dydd. Rhaid canmol ei fod yn gynhwysol, gan fod modd i bawb gymryd rhan ac addasu’r her i bob unigolyn yn bersonol. Yn ogystal, credaf ei fod yn hwyliog a bydd llawer o blant yn hoff o gael y cyfle i gael saib o waith traddodiadol dosbarth. Yn ogystal gall y cyfle hwn helpu dysgwyr i ganolbwyntio’n well a sicrhau parodrwydd i ddysgu. Yn ôl ymchwil Chesham et al. (2018) mae ymyrraeth o filltir y dydd mewn ysgolion cynradd yn effeithiol gan leihau amser y </w:t>
      </w:r>
      <w:r w:rsidRPr="00FC3E0C">
        <w:rPr>
          <w:rFonts w:ascii="Arial" w:hAnsi="Arial" w:cs="Arial"/>
        </w:rPr>
        <w:lastRenderedPageBreak/>
        <w:t>dysgwyr yn eistedd gan hefyd gynyddu ffitrwydd corfforol. Mae bod dros bwysau yn ystod plentyndod yn rhoi unigolion mewn risg uwch o ddatblygu clefydau fel diabetes math dau a chlefyd cardiofasgwlaidd. Mae gordewdra o fewn plant a phobl ifanc hefyd yn gallu effeithio ar berfformiad addysgol dysgwyr ac ansawdd bywyd gan roi’r unigolion dros bwysau mewn risg o gael eu gwahaniaethu a’u bwlio hyd yn oed (World Health Organization, 2024b). Ysgolhaig sy’n pwysleisio’r pwysigrwydd o ddysgu trwy brofiad ac addysg gyfannol yw John Dewey. Mae’n rhaid ystyried gweithgaredd corfforol fel rhan o ddatblygiad hollbwysig i bobl ifanc. Wrth ystyried pa mor bwysig yw sicrhau bod plant a phobl ifanc yn deall pwysigrwydd ceisio cadw’n heini a byw bywyd iachach er mwyn osgoi afiechydon a phroblemau hunan hyder. Yn syml, disgrifia NHS (2013) bod plant anactif yn fwy tebygol o dyfu mewn i oedolion sy’n anactif a rhoi pobl ifanc mewn perygl o ddatblygu cyflyrau peryg bywyd. Dadleuodd Dewey fod addysg gorfforol yn cyfrannu at ddatblygiad dysgwyr a phobl ifanc mewn sawl ffordd, yn ddeallusol, yn gymdeithasol ac yn gorfforol. Creda Dewey y dylai ysgolion gynrychioli amgylchedd cymdeithasol a bod dysgwyr yn dysgu yn effeithiol mewn amgylcheddau cymdeithasol naturiol (Williams, 2017). Roedd gwaith Dewey yn hybu defnydd o fyfyrio gyda dysgwyr a’u cymell i ddeall eu lles a sut i wella llesiant meddyliol ac emosiynol. Nid yn unig myfyrio traddodiadol mae Dewey yn argymell, gan nad yw hyn yn addas i lawer o ddysgwyr yn enwedig y dysgwyr sydd ddim yn cael digon o gyfleoedd yn yr awyr agored yn archwilio’r bywyd naturiol.</w:t>
      </w:r>
      <w:r w:rsidR="006836E9" w:rsidRPr="00FC3E0C">
        <w:rPr>
          <w:rFonts w:ascii="Arial" w:hAnsi="Arial" w:cs="Arial"/>
        </w:rPr>
        <w:t xml:space="preserve"> </w:t>
      </w:r>
      <w:r w:rsidR="008970E2">
        <w:rPr>
          <w:rFonts w:ascii="Arial" w:hAnsi="Arial" w:cs="Arial"/>
        </w:rPr>
        <w:t>Awgryma y dylai addysgwyr geisio cyfuno myfyrio a’r ardal allanol.</w:t>
      </w:r>
    </w:p>
    <w:p w14:paraId="603B6B40" w14:textId="7A8E1537" w:rsidR="00871302" w:rsidRPr="00FC3E0C" w:rsidRDefault="00895674" w:rsidP="00D602F1">
      <w:pPr>
        <w:spacing w:line="360" w:lineRule="auto"/>
        <w:rPr>
          <w:rFonts w:ascii="Arial" w:hAnsi="Arial" w:cs="Arial"/>
        </w:rPr>
      </w:pPr>
      <w:r w:rsidRPr="00FC3E0C">
        <w:rPr>
          <w:rFonts w:ascii="Arial" w:hAnsi="Arial" w:cs="Arial"/>
        </w:rPr>
        <w:t>Pwysleisia Dewey bod angen ystyried diddordebau ac anghenion y dysgwyr wrth gynllunio sesiynau IaLl gan gynnwys myfyrdodau a gwersi ymarfer corff fel addysgwyr (Lowery a Jenlink, 2019, tud.52). Hyrwyddodd Dewey y syniad o addysg flaengar a hybu dysgu drwy brofi. Mae damcaniaeth Dewey yn dadlau mai hyn yw’r ffordd fwyaf effeithiol o ddysgu fel dysgwyr (Main, 2023). Fodd bynnag ceir gwaith Dewey ei feirniadu gan rhai gyda’i ddamcaniaeth yn cael ei labeli’n afrealistig ac yn annefnyddiol wrth gael ei weithredu o fewn amgylchedd ddosbarth. Yn ogystal gellir barnu ei theori gan ei fod ddim yn cynnig strwythur clir (Cloke, 2023). Er hyn, prin yw’r rhai sy’n anghytuno gyda’i ddamcaniaeth o effeithlonrwydd dysgu drwy brofiad gan ei fod yn hynod effeithiol.</w:t>
      </w:r>
    </w:p>
    <w:p w14:paraId="087774EE" w14:textId="2CAE329A" w:rsidR="004F1B4A" w:rsidRPr="00FC3E0C" w:rsidRDefault="0008262A" w:rsidP="00D602F1">
      <w:pPr>
        <w:spacing w:line="360" w:lineRule="auto"/>
        <w:rPr>
          <w:rFonts w:ascii="Arial" w:hAnsi="Arial" w:cs="Arial"/>
          <w:sz w:val="28"/>
          <w:szCs w:val="28"/>
        </w:rPr>
      </w:pPr>
      <w:r w:rsidRPr="00FC3E0C">
        <w:rPr>
          <w:rFonts w:ascii="Arial" w:hAnsi="Arial" w:cs="Arial"/>
          <w:sz w:val="28"/>
          <w:szCs w:val="28"/>
        </w:rPr>
        <w:t>Trafodaeth y dyluniad ymchwil: Astudiaeth Achos</w:t>
      </w:r>
    </w:p>
    <w:p w14:paraId="3224AE67" w14:textId="5F1D0430" w:rsidR="00D72800" w:rsidRPr="00FC3E0C" w:rsidRDefault="00895674" w:rsidP="00D602F1">
      <w:pPr>
        <w:spacing w:line="360" w:lineRule="auto"/>
        <w:rPr>
          <w:rFonts w:ascii="Arial" w:hAnsi="Arial" w:cs="Arial"/>
        </w:rPr>
      </w:pPr>
      <w:r w:rsidRPr="00FC3E0C">
        <w:rPr>
          <w:rFonts w:ascii="Arial" w:hAnsi="Arial" w:cs="Arial"/>
        </w:rPr>
        <w:t xml:space="preserve">Diffinia Crowe et al. (2011) astudiaeth achos fel dull archwiliadol sy’n cael ei ddefnyddio i greu data gan ddangos dealltwriaeth fanwl, amlochrog o faterion cymhleth yng nghyd-destun bywyd go iawn. Yn ôl Alex (2024), trwy ddadansoddi achosion yn systematig gall ymchwilwyr nodi patrymau a pherthnasoedd yn y data a gasglwyd, roedd hyn yn hynod effeithiol i mi wrth arsylwi gwersi IaLl ac addysg gorfforol. Roedd modd i mi gymharu fy narganfyddiadau a </w:t>
      </w:r>
      <w:r w:rsidRPr="00FC3E0C">
        <w:rPr>
          <w:rFonts w:ascii="Arial" w:hAnsi="Arial" w:cs="Arial"/>
        </w:rPr>
        <w:lastRenderedPageBreak/>
        <w:t>chymharu gwahaniaethau mewn ymatebion y dysgwyr i’r ymarfer corff. Disgrifia Hollweck (2016) astudiaeth achos fel “an empirical inquiry that investigates a contemporary phenomenon in depth and within its real-world context”. Mae Robert Yin yn pwysleisio'r pwysigrwydd o archwilio pethau yn eu hamgylchedd naturiol (Daughtery, 2016).</w:t>
      </w:r>
      <w:r w:rsidRPr="00FC3E0C">
        <w:rPr>
          <w:rFonts w:ascii="Arial" w:hAnsi="Arial" w:cs="Arial"/>
        </w:rPr>
        <w:t xml:space="preserve"> </w:t>
      </w:r>
      <w:r w:rsidRPr="00FC3E0C">
        <w:rPr>
          <w:rFonts w:ascii="Arial" w:hAnsi="Arial" w:cs="Arial"/>
        </w:rPr>
        <w:t>Roedd arsylwi gwersi addysg gorfforol, sesiynau IaLl a chynnal cyfweliadau gyda staff arbenigol yn fy ngalluogi i ddeall yn ddwys y cysylltiad rhwng agweddau, ymddygiadau a llesiant cyffredinol dysgwyr a’r cysylltiad gyda’r MDaPh IaLl o fewn awyrgylch ysgol. Yn ogystal mae dull Yin o astudiaeth achos yn gefnogol o ddefnydd o amrywiaeth o ddulliau casglu data gan gynnwys arsylwadau a chyfweliadau gan gynnig hyblygrwydd i’r ymchwilydd. Galluoga hyn i mi gysylltu data yn effeithiol gan gryfhau dilysrwydd y data a fy nghanfyddiadau (Hancock, Algozzine a Lim, 2021, tud.74–75).</w:t>
      </w:r>
      <w:r w:rsidR="004135DE" w:rsidRPr="00FC3E0C">
        <w:rPr>
          <w:rFonts w:ascii="Arial" w:hAnsi="Arial" w:cs="Arial"/>
        </w:rPr>
        <w:t xml:space="preserve"> </w:t>
      </w:r>
    </w:p>
    <w:p w14:paraId="717B60BC" w14:textId="77777777" w:rsidR="00895674" w:rsidRPr="00FC3E0C" w:rsidRDefault="00895674" w:rsidP="00D602F1">
      <w:pPr>
        <w:spacing w:line="360" w:lineRule="auto"/>
        <w:rPr>
          <w:rFonts w:ascii="Arial" w:hAnsi="Arial" w:cs="Arial"/>
        </w:rPr>
      </w:pPr>
      <w:r w:rsidRPr="00FC3E0C">
        <w:rPr>
          <w:rFonts w:ascii="Arial" w:hAnsi="Arial" w:cs="Arial"/>
        </w:rPr>
        <w:t xml:space="preserve">Rhaid cydnabod bod ambell rwystr wrth geisio gweithredu dull astudiaeth achos o gasglu data. Gellir dadlau ei bod hi’n annheg cyffredinoli’r data a gasglwyd. Efallai bysai ysgol arall, neu grŵp sampl gwahanol yn ffurfio data hollol wahanol i’r ysgol cynhaliwyd yr ymchwil, gall hyn rhwystro cymhwysedd ehangach fy nghasgliadau (Polit a Beck, 2010). I ychwanegu at hyn awgryma Šimundić (2013) y gall defnydd o gyfweliadau ac arsylwadau gynyddu’r potensial o gynnwys tuedd ymchwilydd. Roedd hi’n hollbwysig i mi geisio peidio dylanwadu gormod ar y cyfweliadau gan fydd hyn o bosib yn gwneud y data a gasglwyd yn annibynadwy gan nad ei fod yn rhoi darlun cyfiawn o farn y cyfranogwyr. Er hyn, sicrheais fy mod i’n ofalus wrth gynnal y cyfweliadau gan geisio clywed gwir farn a mewnwelediadau’r cyfranogwyr. Yn fy achos i, y cyfranogwyr oedd yr athrawon pwnc a oedd yn cynnig arbenigedd o fewn y maes, a grŵp o bump o ddysgwyr dewisais ar hap o fewn gwers addysg gorfforol. Dewisais i arsylwi tri dysgwr yn unig gan fydd hi’n anodd sicrhau cyfle teg i nodi pob mewnwelediad o bob disgybl o fewn y wers. </w:t>
      </w:r>
    </w:p>
    <w:p w14:paraId="69B13FB7" w14:textId="4F971131" w:rsidR="00573B05" w:rsidRPr="00FC3E0C" w:rsidRDefault="00573B05" w:rsidP="00D602F1">
      <w:pPr>
        <w:spacing w:line="360" w:lineRule="auto"/>
        <w:rPr>
          <w:rFonts w:ascii="Arial" w:hAnsi="Arial" w:cs="Arial"/>
          <w:sz w:val="28"/>
          <w:szCs w:val="28"/>
        </w:rPr>
      </w:pPr>
      <w:r w:rsidRPr="00FC3E0C">
        <w:rPr>
          <w:rFonts w:ascii="Arial" w:hAnsi="Arial" w:cs="Arial"/>
          <w:sz w:val="28"/>
          <w:szCs w:val="28"/>
        </w:rPr>
        <w:t>Dulliau ymchwil</w:t>
      </w:r>
    </w:p>
    <w:p w14:paraId="11167917" w14:textId="4C3AA3A6" w:rsidR="008902D8" w:rsidRPr="00FC3E0C" w:rsidRDefault="00895674" w:rsidP="00D602F1">
      <w:pPr>
        <w:spacing w:line="360" w:lineRule="auto"/>
        <w:rPr>
          <w:rFonts w:ascii="Arial" w:hAnsi="Arial" w:cs="Arial"/>
        </w:rPr>
      </w:pPr>
      <w:r w:rsidRPr="00FC3E0C">
        <w:rPr>
          <w:rFonts w:ascii="Arial" w:hAnsi="Arial" w:cs="Arial"/>
        </w:rPr>
        <w:t xml:space="preserve">Wrth gynnal fy ymchwil ar y berthynas rhwng sesiynau IaLl corfforol a llesiant dysgwyr, dewisais i ddefnyddio dau offeryn ymchwil sylfaenol sef arsylwadau gwersi a chyfweld staff sy’n cynnig arbenigedd yn y pwnc. Penderfynais i ddewis yr offer hwn oherwydd ei fod yn cynnig ffordd syml, ond effeithiol o gasglu data cynhwysfawr. Cefais gyfle i arsylwi dwy wers IaLl, un traddodiadol ymarfer corff gyda blwyddyn saith, a’r llall sesiwn IaLl mewn dosbarth gyda blwyddyn naw. Roedd yr arsylwadau wedi rhoi cyfle i mi allu casglu data amserol ac uniongyrchol ar ymgysylltiad dysgwyr, y rhyngweithiad rhwng yr athrawon a’r dysgwyr ac awyrgylch cyffredinol y sesiynau (Cohen, Manion a Morrison, 2018, tud.596–660). Defnyddiais y raddfa Leuven er mwyn asesu ymlyniad y dysgwyr i’r gwersi, mae hi’n ddull i fesur lefelau ymgysylltiad a lles emosiynol y dysgwyr o raddfa o un (ymgysylltiad isel iawn) i </w:t>
      </w:r>
      <w:r w:rsidRPr="00FC3E0C">
        <w:rPr>
          <w:rFonts w:ascii="Arial" w:hAnsi="Arial" w:cs="Arial"/>
        </w:rPr>
        <w:lastRenderedPageBreak/>
        <w:t>bump.</w:t>
      </w:r>
      <w:r w:rsidRPr="00FC3E0C">
        <w:rPr>
          <w:rFonts w:ascii="Arial" w:hAnsi="Arial" w:cs="Arial"/>
        </w:rPr>
        <w:t xml:space="preserve"> </w:t>
      </w:r>
      <w:r w:rsidRPr="00FC3E0C">
        <w:rPr>
          <w:rFonts w:ascii="Arial" w:hAnsi="Arial" w:cs="Arial"/>
        </w:rPr>
        <w:t>Roedd hyn yn cynnig ffordd strwythuredig i asesu ymagweddau ac ymddygiad y dysgwyr a deinameg y dosbarth (MacRae a Jones, 2020). Er mwyn symleiddio’r broses o arsylwi dosbarth dewisais dri dysgwr i arsylwi ar hap o fewn y gwersi er mwyn sicrhau nad oeddwn yn ceisio casglu data allan o ormod o blant. Pe bawn i wedi ceisio arsylwi’r dosbarth cyfan bysai hi wedi bod yn anodd cael gwir ddarlun o ymatebion y dysgwyr i’r wers. Gwelais arsylwi ar dri dysgwr yn fwy trylwyr yn effeithiol gan roi darlun tri dysgwr gwahanol yn fanwl ar eu lefelau o ymgysylltiad a rhyngweithiad o fewn y gwersi.</w:t>
      </w:r>
    </w:p>
    <w:p w14:paraId="31B0BD60" w14:textId="77777777" w:rsidR="00895674" w:rsidRPr="00FC3E0C" w:rsidRDefault="00895674" w:rsidP="00D602F1">
      <w:pPr>
        <w:spacing w:line="360" w:lineRule="auto"/>
        <w:rPr>
          <w:rFonts w:ascii="Arial" w:hAnsi="Arial" w:cs="Arial"/>
        </w:rPr>
      </w:pPr>
      <w:r w:rsidRPr="00FC3E0C">
        <w:rPr>
          <w:rFonts w:ascii="Arial" w:hAnsi="Arial" w:cs="Arial"/>
        </w:rPr>
        <w:t>Mae arsylwadau yn cael eu defnyddio yn aml iawn o fewn ymchwilwyr, mae’n ddull poblogaidd am ystod o resymau. Gellir cymharu arsylwadau gyda chyfweliadau gan fod modd gweld ymddygiad naturiol mewn lleoliad niwtral yn hytrach na lleoliad a ddynodwyd ar gyfer cynnal cyfweliadau (Merriam a Tisdell, 2016, tud.137). Rhoddir pwyslais ar arsylwi ymddygiadau yn eu hamgylchedd naturiol a pha mor werthfawr yw hyn i gynhyrchu data dibynadwy a difyr. Pwysleisia Cohen, Manion a Morrison (2018) pa mor bwysig yw ceisio peidio amharu ar y wers neu dynnu sylw at eich hun fel yr ymchwilydd gan fod hi mor werthfawr gallu arsylwi rhyngweithiadau ac ymddygiadau dilys, naturiol yn enwedig mewn gwersi fel addysg gorfforol. Os caiff arsylwadau eu cynnal yn effeithiol ac yn gywir, gall arsylwadau cael eu hintegreiddio heb amharu gyda llif y wers, gan annog dysgwyr i ymddwyn yn naturiol. I gymharu gyda chyfweliadau neu holiaduron, mae modd dadlau taw arsylwi sy’n rhoi’r darlun mwyaf realistig i ymchwilwyr o ymddygiadau yn y fan a’r lle.</w:t>
      </w:r>
    </w:p>
    <w:p w14:paraId="07863A87" w14:textId="77777777" w:rsidR="00895674" w:rsidRPr="00FC3E0C" w:rsidRDefault="00895674" w:rsidP="00D602F1">
      <w:pPr>
        <w:spacing w:line="360" w:lineRule="auto"/>
        <w:rPr>
          <w:rFonts w:ascii="Arial" w:hAnsi="Arial" w:cs="Arial"/>
        </w:rPr>
      </w:pPr>
      <w:r w:rsidRPr="00FC3E0C">
        <w:rPr>
          <w:rFonts w:ascii="Arial" w:hAnsi="Arial" w:cs="Arial"/>
        </w:rPr>
        <w:t>Er hyn, mae sawl rhwystr i gynnal arsylwad fel ymchwilydd gan gynnwys yr “Hawthorne effect”. Gellir dadlau bod fy mhresenoldeb wedi dylanwadu ar ymddygiadau neu ymgysylltiad y dysgwyr i’r gwersi. Mae gan bobl tueddiad weithiau i newid neu wella eu hymddygiad wrth iddyn nhw gael eu harsylwi (Kenton, 2022). Er hyn, yn ôl Azarova (2023) mae modd i ymchwilwyr osgoi hyn trwy feithrin cydberthynas, ymddwyn yn fwy naturiol a threulio mwy o amser gyda chyfranogwyr eraill yr astudiaeth, er nad oedd eraill yn cyfrannu i’m mhrosiect i. Yn ogystal, gellir dadlau nad yw arsylwadau yn rhoi mewnwelediadau clir i ni o feddyliau neu farn y cyfranogwyr tra bod cyfweliadau yn rhoi cyfle i ni gael sgwrs i glywed gwir farn neu deimladau unigolyn yn hytrach na dyfalu o arsylwadau ar eu hymddygiadau.</w:t>
      </w:r>
    </w:p>
    <w:p w14:paraId="585C17BE" w14:textId="2D0028BE" w:rsidR="005349FF" w:rsidRPr="00FC3E0C" w:rsidRDefault="00895674" w:rsidP="00D602F1">
      <w:pPr>
        <w:spacing w:line="360" w:lineRule="auto"/>
        <w:rPr>
          <w:rFonts w:ascii="Arial" w:hAnsi="Arial" w:cs="Arial"/>
        </w:rPr>
      </w:pPr>
      <w:r w:rsidRPr="00FC3E0C">
        <w:rPr>
          <w:rFonts w:ascii="Arial" w:hAnsi="Arial" w:cs="Arial"/>
        </w:rPr>
        <w:t xml:space="preserve">Yn ogystal ȃ arsylwadau, dewisais i gynnal ambell gyfweliad lled-strwythuredig gyda staff addysgu IaLl a oedd yn cynnig arbenigedd mewn addysg gorfforol a IaLl. Penderfynais ofyn grŵp o gwestiynau penagored gan eu bod yn ddefnyddiol wrth archwilio pynciau’n fanwl. Gellir eu defnyddio er mwyn deall prosesau neu nodi achosion posib o unrhyw ymddygiadau a arsylwais. Gall gwestiynau penagored hybu cyfranogwyr i restru, atebion byr neu ymhelaethu ar eu hymatebion yn ddwys gan gynnig llwyth o ddata a barnau (Weller et al., 2018). Dewisais gwestiynau penagored fel “Pa newidiadau ydych chi wedi sylwi arnynt yn </w:t>
      </w:r>
      <w:r w:rsidRPr="00FC3E0C">
        <w:rPr>
          <w:rFonts w:ascii="Arial" w:hAnsi="Arial" w:cs="Arial"/>
        </w:rPr>
        <w:lastRenderedPageBreak/>
        <w:t xml:space="preserve">ymddygiad neu agwedd myfyrwyr ar ôl cymryd rhan mewn sesiynau addysg gorfforol reolaidd?” ac eraill (gweler atodiad un). Dewisais y rhain yn fwriadol gan eu bod yn annog cyfranwyr i ymateb yn fanwl gan gynnig profiadau personol efallai sydd yn ddata hynod o fuddiol i’m hymchwil. Dewiswyd cynnal cyfweliadau lled-strwythuredig ar gyfer yr ymchwil gan eu bod yn cynnig cydbwysedd rhwng cwestiynu dan arweiniad a hefyd yn hyblyg wrth alluogi i’r cyfranogwyr rannu barnau, mewnwelediadau neu brofiadau personol (Mashuri et al., 2022). I ategu i hyn, rhaid canmol hyblygrwydd y cyfweliadau gan eu bod wedi galluogi i ofyn ymhellach mewn i bwynt penodol a godwyd neu i egluro ymatebion ymhellach gan wella dyfnder fy nealltwriaeth.   </w:t>
      </w:r>
    </w:p>
    <w:p w14:paraId="1F2ED319" w14:textId="77777777" w:rsidR="00E92D61" w:rsidRPr="00FC3E0C" w:rsidRDefault="00E92D61" w:rsidP="00D602F1">
      <w:pPr>
        <w:spacing w:line="360" w:lineRule="auto"/>
        <w:rPr>
          <w:rFonts w:ascii="Arial" w:hAnsi="Arial" w:cs="Arial"/>
        </w:rPr>
      </w:pPr>
      <w:r w:rsidRPr="00FC3E0C">
        <w:rPr>
          <w:rFonts w:ascii="Arial" w:hAnsi="Arial" w:cs="Arial"/>
        </w:rPr>
        <w:t>Er bod cyfweliadau lled-strwythuredig wedi bod yn hynod effeithiol wrth gasglu data, rhaid ystyried y gwendidau o gynnal cyfweliadau hefyd fel rhan o’r prosiect ymchwil. Roedd gen i wyth cwestiwn ymchwil ac felly cymrodd y cyfweliadau llawer o amser, ac ar un adeg roedd angen i mi orffen y cyfweliad ychydig yn gynnar gan nad oedd digon o amser gyda’r cyfranogwr i barhau. Yn ogystal, gellir nodi y bysai cyfranogwyr yn darparu atebion y maen nhw’n credu sy’n ddymunol neu ganolbwyntio ar elfennau cadarnhaol yn unig er mwyn ymddangos yn athro neu athrawes bositif (Hobson a Townsend, 2010). Er bod clywed barn gadarnhaol yn wych, gall gyfranogwyr dewis osgoi trafod unrhyw farn ddadleuol sydd ganddyn nhw er mwyn amddiffyn eu hun. Er hyn, wrth asesu’r ymatebion dwi o’r farn nad oedd un o’r cyfranogwyr yn ceisio gor ffocysu ar yr elfennau positif a dwi’n teimlo fel roedd data a barnau amrywiol a phersonol wedi’i rhannu.</w:t>
      </w:r>
    </w:p>
    <w:p w14:paraId="7A254B8D" w14:textId="5DE7C2F3" w:rsidR="000F7FE4" w:rsidRPr="00FC3E0C" w:rsidRDefault="000F7FE4" w:rsidP="00D602F1">
      <w:pPr>
        <w:spacing w:line="360" w:lineRule="auto"/>
        <w:rPr>
          <w:rFonts w:ascii="Arial" w:hAnsi="Arial" w:cs="Arial"/>
          <w:sz w:val="28"/>
          <w:szCs w:val="28"/>
        </w:rPr>
      </w:pPr>
      <w:r w:rsidRPr="00FC3E0C">
        <w:rPr>
          <w:rFonts w:ascii="Arial" w:hAnsi="Arial" w:cs="Arial"/>
          <w:sz w:val="28"/>
          <w:szCs w:val="28"/>
        </w:rPr>
        <w:t>Dull(iau) Cyflwyno a Dadansoddi Data</w:t>
      </w:r>
    </w:p>
    <w:p w14:paraId="393F18DD" w14:textId="77777777" w:rsidR="00E92D61" w:rsidRPr="00FC3E0C" w:rsidRDefault="00E92D61" w:rsidP="00D602F1">
      <w:pPr>
        <w:spacing w:line="360" w:lineRule="auto"/>
        <w:rPr>
          <w:rFonts w:ascii="Arial" w:hAnsi="Arial" w:cs="Arial"/>
        </w:rPr>
      </w:pPr>
      <w:r w:rsidRPr="00FC3E0C">
        <w:rPr>
          <w:rFonts w:ascii="Arial" w:hAnsi="Arial" w:cs="Arial"/>
        </w:rPr>
        <w:t>Er mwyn dadansoddi’r data a gasglwyd o’r arsylwadau a’r cyfweliadau lled-strwythuredig, sicrhaf fy mod i wedi dilyn ymagwedd systematig er mwyn sicrhau dibynadwyedd a dilysrwydd. Yn ôl Education Scotland (2024) mae’n hollbwysig i ymchwilwyr ddadansoddi’r data er mwyn gallu creu a chanfod cysylltiadau a sylwi ar unrhyw batrymau neu dueddiadau tebygol. Wrth gynnal cyfweliadau, sicrheais fy mod yn recordio’r sgwrs er mwyn gallu trawsgrifio unrhyw wybodaeth neu ddata dilys. Os na chaiff cyfweliadau eu trawsgrifio, mae hi lawer yn anoddach cofnodi’r holl ddata yn y fan a’r lle tra cheisio cynnal sgwrs naturiol. Mae’n debygol y bydd ymchwilwyr yn colli manylion pwysig os nad ydynt yn trawsgrifio’r cyfweliadau (UK Data Service, 2021).</w:t>
      </w:r>
      <w:r w:rsidRPr="00FC3E0C">
        <w:rPr>
          <w:rFonts w:ascii="Arial" w:hAnsi="Arial" w:cs="Arial"/>
        </w:rPr>
        <w:t xml:space="preserve"> </w:t>
      </w:r>
    </w:p>
    <w:p w14:paraId="77BFC720" w14:textId="77777777" w:rsidR="00E92D61" w:rsidRPr="00FC3E0C" w:rsidRDefault="00E92D61" w:rsidP="00D602F1">
      <w:pPr>
        <w:spacing w:line="360" w:lineRule="auto"/>
        <w:rPr>
          <w:rFonts w:ascii="Arial" w:hAnsi="Arial" w:cs="Arial"/>
        </w:rPr>
      </w:pPr>
      <w:r w:rsidRPr="00FC3E0C">
        <w:rPr>
          <w:rFonts w:ascii="Arial" w:hAnsi="Arial" w:cs="Arial"/>
        </w:rPr>
        <w:t xml:space="preserve">Un o’r prif fframweithiau ar gyfer dadansoddi data yw model chwe cham o ddadansoddi thematig Clarke a Braun. Yn ôl Yardley (2024) “Braun and Clarke's thematic analysis is essentially a process for identifying patterns or themes within qualitative data.” Mae dull Clarke a Braun o ddadansoddi thematig yn ddeniadol i ymchwilwyr gan ei fod yn hyblyg, bod ystod eang o ffyrdd o’i ddefnyddio a’i fod yn hygyrch (Clarke a Braun, 2017). Mae’r camau </w:t>
      </w:r>
      <w:r w:rsidRPr="00FC3E0C">
        <w:rPr>
          <w:rFonts w:ascii="Arial" w:hAnsi="Arial" w:cs="Arial"/>
        </w:rPr>
        <w:lastRenderedPageBreak/>
        <w:t>yn datgan bod angen, cyfarwyddo gyda’r data a ffiltro’n data i sicrhau bod y data yn addas i’r ymchwil i gychwyn. Yna mae’n rhaid dadansoddi themâu a phatrymau a sylwir arnynt, ac yna adolygu’r themâu a gwneud cysylltiadau a dim ond wedyn y gall ymchwilwyr ddechrau ysgrifennu am eu canfyddiadau (Naeem et al., 2023).</w:t>
      </w:r>
      <w:r w:rsidR="00CA2C20" w:rsidRPr="00FC3E0C">
        <w:rPr>
          <w:rFonts w:ascii="Arial" w:hAnsi="Arial" w:cs="Arial"/>
        </w:rPr>
        <w:t xml:space="preserve"> </w:t>
      </w:r>
      <w:r w:rsidRPr="00FC3E0C">
        <w:rPr>
          <w:rFonts w:ascii="Arial" w:hAnsi="Arial" w:cs="Arial"/>
        </w:rPr>
        <w:t>Drwy gymhwyso’r model hwn, roeddwn yn gallu adnabod patrymau a mewnwelediadau ystyrlon o’r data a gasglwyd, gan sicrhau dull strwythuredig o ddadansoddi. Yn ymarferol, darllenais fy nhrawsgrifiadau a nodiadau arsylwad drwy geisio dehongli unrhyw syniadau neu fewnwelediadau a phwyntiau allweddol a godwyd yn aml. Mae sicrhau dadansoddiad data dibynadwy yn hollbwysig er mwyn sicrhau bod dim camsyniadau yn y data. Yn ôl Kowieski (2023) un o’r ffyrdd o sicrhau dibynadwyedd wrth ddadansoddi data yw dilyn proses o sicrhau ansawdd data. Awgryma bod angen i ymchwilwyr gymharu data a gasglwyd i unrhyw ffynonellau gwybodaeth ddibynadwy eraill.</w:t>
      </w:r>
    </w:p>
    <w:p w14:paraId="4A6C15CB" w14:textId="00A291CB" w:rsidR="006418FE" w:rsidRPr="00FC3E0C" w:rsidRDefault="006474F9" w:rsidP="00D602F1">
      <w:pPr>
        <w:spacing w:line="360" w:lineRule="auto"/>
        <w:rPr>
          <w:rFonts w:ascii="Arial" w:hAnsi="Arial" w:cs="Arial"/>
          <w:sz w:val="28"/>
          <w:szCs w:val="28"/>
        </w:rPr>
      </w:pPr>
      <w:r w:rsidRPr="00FC3E0C">
        <w:rPr>
          <w:rFonts w:ascii="Arial" w:hAnsi="Arial" w:cs="Arial"/>
          <w:sz w:val="28"/>
          <w:szCs w:val="28"/>
        </w:rPr>
        <w:t>Bod yn foesegol</w:t>
      </w:r>
    </w:p>
    <w:p w14:paraId="60F3AA14" w14:textId="3DCB8A0F" w:rsidR="00222E98" w:rsidRPr="00FC3E0C" w:rsidRDefault="00E92D61" w:rsidP="00D602F1">
      <w:pPr>
        <w:spacing w:line="360" w:lineRule="auto"/>
        <w:rPr>
          <w:rFonts w:ascii="Arial" w:hAnsi="Arial" w:cs="Arial"/>
        </w:rPr>
      </w:pPr>
      <w:r w:rsidRPr="00FC3E0C">
        <w:rPr>
          <w:rFonts w:ascii="Arial" w:hAnsi="Arial" w:cs="Arial"/>
        </w:rPr>
        <w:t>Cyn dechrau cynnal unrhyw ymchwil addysgiadol, mae’n angenrheidiol i ymchwilwyr rhoi ystyriaeth gofalus i’r canllawiau BERA. Mae’r canllawiau BERA yn pwysleisio pa mor bwysig yw hi i ymchwilwyr barchu preifatrwydd, cyfrinachedd ac anhysbysrwydd y cyfranogwyr. Awgryment y dylai “educational researchers should operate within an ethic of respect for all persons – including themselves – involved in or affected by the research they are undertaking.” (BERA, 2024). Blaenoriaeth i’r ymchwil oedd cynnal a chadw cyfrinachedd ac anhysbysrwydd cyfranogwyr. Sicrheais fod yr athrawon a gymrodd rhan yn y cyfweliadau a’r dysgwyr arsylwais yn ystod gwersi wedi aros yn ddienw wrth ysgrifennu nodiadau, neu drawsgrifiadau.</w:t>
      </w:r>
      <w:r w:rsidRPr="00FC3E0C">
        <w:rPr>
          <w:rFonts w:ascii="Arial" w:hAnsi="Arial" w:cs="Arial"/>
        </w:rPr>
        <w:t xml:space="preserve"> </w:t>
      </w:r>
      <w:r w:rsidRPr="00FC3E0C">
        <w:rPr>
          <w:rFonts w:ascii="Arial" w:hAnsi="Arial" w:cs="Arial"/>
        </w:rPr>
        <w:t>Yn ôl Llywodraeth y DU (2018) mae’n hollbwysig bod pawb yn cael rheolaeth dros sut y defnyddir eu gwybodaeth bersonol. Er mwyn dilyn canllawiau’r llywodraeth a dilyn rheolau’r GDPR, ni nodwyd enw unrhyw gyfrannwr fel rhan o’r ymchwil. Fel ymchwilydd y prosiect, roedd angen i mi gydnabod fy safleoldeb a thueddiadau posib. Mae safleoldeb yn gallu cael dylanwad ar bob agwedd o’r broses o ymchwilio, gan gynnwys y dyluniad, y cwestiynau, y casgliad data a’r dadansoddi (Yip, 2023). Sicrheais fy mod i’n cydnabod taw fy rôl i oedd arsylwi a helpodd hyn i mi sicrhau bod y canfyddiadau a’r mewnwelediadau a gasglwyd wedi’u selio ar brofiad y cyfranogwyr yn hytrach na fy rhagdybiaethau personol</w:t>
      </w:r>
      <w:r w:rsidR="00222E98" w:rsidRPr="00FC3E0C">
        <w:rPr>
          <w:rFonts w:ascii="Arial" w:hAnsi="Arial" w:cs="Arial"/>
        </w:rPr>
        <w:t>.</w:t>
      </w:r>
    </w:p>
    <w:p w14:paraId="7D17C8DF" w14:textId="2077FA14" w:rsidR="000D5408" w:rsidRPr="00FC3E0C" w:rsidRDefault="000D5408" w:rsidP="00D602F1">
      <w:pPr>
        <w:spacing w:line="360" w:lineRule="auto"/>
        <w:rPr>
          <w:rFonts w:ascii="Arial" w:hAnsi="Arial" w:cs="Arial"/>
          <w:sz w:val="28"/>
          <w:szCs w:val="28"/>
        </w:rPr>
      </w:pPr>
      <w:r w:rsidRPr="00FC3E0C">
        <w:rPr>
          <w:rFonts w:ascii="Arial" w:hAnsi="Arial" w:cs="Arial"/>
          <w:sz w:val="28"/>
          <w:szCs w:val="28"/>
        </w:rPr>
        <w:t>Canlyniadau / Dadansoddiad o ganlyniadau / Trafodaeth</w:t>
      </w:r>
    </w:p>
    <w:p w14:paraId="5FBF2348" w14:textId="4591CF35" w:rsidR="00A97AC7" w:rsidRPr="00FC3E0C" w:rsidRDefault="00E92D61" w:rsidP="00D602F1">
      <w:pPr>
        <w:spacing w:line="360" w:lineRule="auto"/>
        <w:rPr>
          <w:rFonts w:ascii="Arial" w:hAnsi="Arial" w:cs="Arial"/>
        </w:rPr>
      </w:pPr>
      <w:r w:rsidRPr="00FC3E0C">
        <w:rPr>
          <w:rFonts w:ascii="Arial" w:hAnsi="Arial" w:cs="Arial"/>
        </w:rPr>
        <w:t xml:space="preserve">Wrth arsylwi gwers addysg gorfforol gyda blwyddyn saith, cefais gyfle i arsylwi hwyliau, teimladau ac ymddygiadau’r dysgwyr cyn y wers, yn ystod y wers ac ar ôl y wers. Cafodd y gweithgaredd corfforol effaith gadarnhaol ar y dysgwyr gyda’r dysgwyr i weld yn cydlynu’n </w:t>
      </w:r>
      <w:r w:rsidRPr="00FC3E0C">
        <w:rPr>
          <w:rFonts w:ascii="Arial" w:hAnsi="Arial" w:cs="Arial"/>
        </w:rPr>
        <w:lastRenderedPageBreak/>
        <w:t>dda i gynnwys y wers a’n gweld budd o gymryd rhan. Mae tystiolaeth yn cefnogi hyn ac yn datgan y gall ymyriadau corfforol yn yr ysgol fod yn effeithiol wrth wella ffitrwydd cardiofasgwlaidd a chyhyrol, a chanlyniadau o fwynhad sy’n gysylltiedig â gweithgaredd corfforol (Kliziene et al., 2021). Yn ogystal ȃ arsylwi gwers addysg gorfforol, cefais gyfle i arsylwi gwers IaLl gyda blwyddyn wyth a phwnc y wers oedd bwlio. Yn groes i lesiant corfforol roedd hyn yn ffocysu ar les cyffredinol y dysgwyr gan gynnwys yn emosiynol ac yn gymdeithasol. Roedd ymgysylltiad y dysgwyr yn hynod o wahanol i’r wers hon ac roedd ymddygiad y dysgwyr llawer yn fwy heriol.</w:t>
      </w:r>
      <w:r w:rsidR="004557C6" w:rsidRPr="00FC3E0C">
        <w:rPr>
          <w:rFonts w:ascii="Arial" w:hAnsi="Arial" w:cs="Arial"/>
        </w:rPr>
        <w:t xml:space="preserve"> </w:t>
      </w:r>
      <w:r w:rsidRPr="00FC3E0C">
        <w:rPr>
          <w:rFonts w:ascii="Arial" w:hAnsi="Arial" w:cs="Arial"/>
        </w:rPr>
        <w:t>Efallai taw’r Hawthorne effect oedd ar waith ac roedd ymddygiadau’r dysgwyr yn groes i’r arfer, a bod nhw’n newid y ffordd oeddent yn ymateb ac yn rhyngweithio gyda’r wers gan fy mod yn wyneb anghyfarwydd yn yr ystafell ddosbarth. Yn ôl Azarova (2023) mae hi’n berffaith bosib i bobl addasu eu cyfranogiad er gwaethaf am ystod o resymau. Gall fod rhai wedi cael profiadau blaenorol negyddol gydag ymchwilwyr ac yn llai tueddol o eisiau cyfrannu. Rhaid cyfaddef nid oedd gan y wers IaLl effeithiau lawer o effeithiau positif ar les y dysgwyr, ond roedd cynnwys y wers yn wers bwysig i’r dysgwyr er mwyn helpu iddynt warchod eu lles a’u hatal rhag cael eu bwlio.</w:t>
      </w:r>
    </w:p>
    <w:p w14:paraId="7F4E469A" w14:textId="77777777" w:rsidR="00E92D61" w:rsidRPr="00FC3E0C" w:rsidRDefault="00E92D61" w:rsidP="00D602F1">
      <w:pPr>
        <w:spacing w:line="360" w:lineRule="auto"/>
        <w:rPr>
          <w:rFonts w:ascii="Arial" w:hAnsi="Arial" w:cs="Arial"/>
        </w:rPr>
      </w:pPr>
      <w:r w:rsidRPr="00FC3E0C">
        <w:rPr>
          <w:rFonts w:ascii="Arial" w:hAnsi="Arial" w:cs="Arial"/>
        </w:rPr>
        <w:t>Roedd ystod eang o fewnwelediadau a barnau wedi’u rhannu gyda fi yn ystod y cyfweliadau ac roedd llawer o farnau a syniadau yn cydfynd ond hefyd rhai yn gwrthwynebu’i gilydd. Un farn gyson a glywaist oedd y ffaith bod cymryd rhan yn y sesiynau IaLl ac ymarfer corff yn effeithiol wrth godi hyder unigolion a hefyd gwella’i sgiliau cymdeithasol. I gefnogi hyn, noda Eime et al. (2013) bod addysg gorfforol o fewn ysgolion yn effeithiol wrth wella iechyd corfforol ac i wrthwynebu’r broblem gordewdra, ond hefyd yn gyfle i’r dysgwyr ehangu eu sgiliau cymdeithasol a gwella lles cymdeithasol. Nid oes amheuaeth dros fuddion iechyd corfforol cymryd rhan mewn gweithgaredd corfforol.</w:t>
      </w:r>
    </w:p>
    <w:p w14:paraId="427F0741" w14:textId="515FAE7E" w:rsidR="00BD4D33" w:rsidRPr="00FC3E0C" w:rsidRDefault="00E92D61" w:rsidP="00D602F1">
      <w:pPr>
        <w:spacing w:line="360" w:lineRule="auto"/>
        <w:rPr>
          <w:rFonts w:ascii="Arial" w:hAnsi="Arial" w:cs="Arial"/>
        </w:rPr>
      </w:pPr>
      <w:r w:rsidRPr="00FC3E0C">
        <w:rPr>
          <w:rFonts w:ascii="Arial" w:hAnsi="Arial" w:cs="Arial"/>
        </w:rPr>
        <w:t>Credaf fod rôl ar addysgwyr i sicrhau dealltwriaeth ac angerdd dros geisio cadw’n heini a byw bywyd iach. Cysyllta hyn gydag ymateb gan un o’r cyfranogwyr a oedd yn datgan bod rôl ar wersi IaLl i ddarparu’r wybodaeth a chyngor ar sut i fyw bywyd iach ac i gadw’n heini, ond mai dewis personol y dysgwyr yw sut i gymryd y wybodaeth. I gefnogi hyn, creda Robson-Kelly (2022) bod iechyd meddwl a lles da yn hanfodol i ddysgwyr. Wrth i athrawon sicrhau addysg yn y maes, gall hyn helpu dysgwyr i ymdopi ȃ heriau o ddydd i ddydd gan ddatblygu oedolion ifanc sy’n wydn. Wrth gyfweld rhai o’r addysgwyr profiadol, roedd hi’n hynod o ddiddorol clywed sawl rhwystr oedd gweithredu IaLl o fewn ysgol. Un pwynt diddorol oedd ymagweddau’r dysgwyr i ymarfer corff, noda’r cyfranogwyr bod ymagweddau’r dysgwyr negyddol tuag at ymarfer corff yn aml yn deillio o’r rhieni.</w:t>
      </w:r>
      <w:r w:rsidR="00217178" w:rsidRPr="00FC3E0C">
        <w:rPr>
          <w:rFonts w:ascii="Arial" w:hAnsi="Arial" w:cs="Arial"/>
        </w:rPr>
        <w:t xml:space="preserve"> </w:t>
      </w:r>
      <w:r w:rsidRPr="00FC3E0C">
        <w:rPr>
          <w:rFonts w:ascii="Arial" w:hAnsi="Arial" w:cs="Arial"/>
        </w:rPr>
        <w:t xml:space="preserve">Yn ôl Batch (2022) teimla ugain y cant o rieni fod addysg gorfforol yn amhwysig i gymharu â’r pynciau academaidd, ac nad oedd chwe deg y cant o’r rhain yn hoffi addysg gorfforol eu hun yn yr ysgol a bod nhw wedi cael profiadau gwael. Roedd hi’n ddiddorol clywed bod yr addysgwyr yn gweld ymagweddau </w:t>
      </w:r>
      <w:r w:rsidRPr="00FC3E0C">
        <w:rPr>
          <w:rFonts w:ascii="Arial" w:hAnsi="Arial" w:cs="Arial"/>
        </w:rPr>
        <w:lastRenderedPageBreak/>
        <w:t>negyddol yn nysgwyr a bod nhw’n clywed yn aml fod y rhieni’n nodi nad oedd addysg gorfforol yn bwysig.</w:t>
      </w:r>
    </w:p>
    <w:p w14:paraId="2426D174" w14:textId="51E477C8" w:rsidR="000D5408" w:rsidRPr="00FC3E0C" w:rsidRDefault="000C452A" w:rsidP="00D602F1">
      <w:pPr>
        <w:spacing w:line="360" w:lineRule="auto"/>
        <w:rPr>
          <w:rFonts w:ascii="Arial" w:hAnsi="Arial" w:cs="Arial"/>
          <w:sz w:val="28"/>
          <w:szCs w:val="28"/>
        </w:rPr>
      </w:pPr>
      <w:r w:rsidRPr="00FC3E0C">
        <w:rPr>
          <w:rFonts w:ascii="Arial" w:hAnsi="Arial" w:cs="Arial"/>
          <w:sz w:val="28"/>
          <w:szCs w:val="28"/>
        </w:rPr>
        <w:t>Casgliadau</w:t>
      </w:r>
      <w:r w:rsidRPr="00FC3E0C">
        <w:rPr>
          <w:rFonts w:ascii="Arial" w:hAnsi="Arial" w:cs="Arial"/>
          <w:sz w:val="28"/>
          <w:szCs w:val="28"/>
        </w:rPr>
        <w:t xml:space="preserve"> ac argymhellion</w:t>
      </w:r>
    </w:p>
    <w:p w14:paraId="4570FB9E" w14:textId="7D36BE44" w:rsidR="0006474B" w:rsidRPr="00FC3E0C" w:rsidRDefault="00E92D61" w:rsidP="005B2578">
      <w:pPr>
        <w:spacing w:line="360" w:lineRule="auto"/>
        <w:rPr>
          <w:rFonts w:ascii="Arial" w:hAnsi="Arial" w:cs="Arial"/>
        </w:rPr>
      </w:pPr>
      <w:r w:rsidRPr="00FC3E0C">
        <w:rPr>
          <w:rFonts w:ascii="Arial" w:hAnsi="Arial" w:cs="Arial"/>
        </w:rPr>
        <w:t>Ar gyfer casglu data ynglŷn ȃ’r berthynas rhwng IaLl corfforol a llesiant,  dwi o’r farn bod y dulliau ymchwil a ddewisais yn addas ac effeithiol. Roedd y cwestiwn ymchwil yn gofyn am farn felly roedd y cyfweliadau lled-stwythuredig yn effeithiol wrth gasglu barn, mewnwelediadau a phrofiadau blaenorol y cyfranogwyr. Yn ogystal, roedd arsylwi wedi rhoi cyfle i mi weld sut effaith gafodd addysg gorfforol ar lesiant y dysgwyr yn y fan a’r lle. Ar y cyfan roedd y dulliau ymchwil yn ddilys ond roedd pwyslais ar eu defnyddio yn ofalus ac yn effeithiol. Ar ôl cynnal y prosiect ymchwil hwn, dwi wedi sylweddoli rôl yr addysgwr wrth geisio hybu addysg gorfforol, IaLl a sicrhau blaenoriaeth i lesiant y dysgwyr.</w:t>
      </w:r>
      <w:r w:rsidRPr="00FC3E0C">
        <w:rPr>
          <w:rFonts w:ascii="Arial" w:hAnsi="Arial" w:cs="Arial"/>
        </w:rPr>
        <w:t xml:space="preserve"> </w:t>
      </w:r>
      <w:r w:rsidRPr="00FC3E0C">
        <w:rPr>
          <w:rFonts w:ascii="Arial" w:hAnsi="Arial" w:cs="Arial"/>
        </w:rPr>
        <w:t>Yn fy marn i, nid yw hi’n bosib dysgu’n effeithiol os nad ydych yn hapus na’n iachus. O ganlyniad i hyn, dylai rhoi ystyriaeth agos i IaLl y dysgwyr ar unrhyw adeg posib. Cytuna Woolf a Digby (2023) am bwysigrwydd IaLl yn y cwricwlwm wrth iddyn nhw ddatgan bod angen ffocws clir ar ddatblygu sgiliau byd-eang drwy hyrwyddo llawenydd a thwf personol academaidd a llwyddiant yn eu gyrfaoedd. Mae modd dadlau heb lesiant na chyflwr meddylion cadarnhaol, mae’n anodd iawn llwyddo neu fod yn y meddylfryd i eisiau llwyddo a gwneud cynnydd.</w:t>
      </w:r>
    </w:p>
    <w:p w14:paraId="5CE3D7B8" w14:textId="77777777" w:rsidR="00E92D61" w:rsidRPr="00FC3E0C" w:rsidRDefault="00E92D61" w:rsidP="005B2578">
      <w:pPr>
        <w:spacing w:line="360" w:lineRule="auto"/>
        <w:rPr>
          <w:rFonts w:ascii="Arial" w:hAnsi="Arial" w:cs="Arial"/>
        </w:rPr>
      </w:pPr>
    </w:p>
    <w:p w14:paraId="0B318010" w14:textId="77777777" w:rsidR="00E92D61" w:rsidRPr="00FC3E0C" w:rsidRDefault="00E92D61" w:rsidP="005B2578">
      <w:pPr>
        <w:spacing w:line="360" w:lineRule="auto"/>
        <w:rPr>
          <w:rFonts w:ascii="Arial" w:hAnsi="Arial" w:cs="Arial"/>
        </w:rPr>
      </w:pPr>
    </w:p>
    <w:p w14:paraId="0287DEFB" w14:textId="77777777" w:rsidR="00E92D61" w:rsidRPr="00FC3E0C" w:rsidRDefault="00E92D61" w:rsidP="005B2578">
      <w:pPr>
        <w:spacing w:line="360" w:lineRule="auto"/>
        <w:rPr>
          <w:rFonts w:ascii="Arial" w:hAnsi="Arial" w:cs="Arial"/>
        </w:rPr>
      </w:pPr>
    </w:p>
    <w:p w14:paraId="62DA97D1" w14:textId="77777777" w:rsidR="00E92D61" w:rsidRPr="00FC3E0C" w:rsidRDefault="00E92D61" w:rsidP="005B2578">
      <w:pPr>
        <w:spacing w:line="360" w:lineRule="auto"/>
        <w:rPr>
          <w:rFonts w:ascii="Arial" w:hAnsi="Arial" w:cs="Arial"/>
        </w:rPr>
      </w:pPr>
    </w:p>
    <w:p w14:paraId="3217CED7" w14:textId="77777777" w:rsidR="00E92D61" w:rsidRPr="00FC3E0C" w:rsidRDefault="00E92D61" w:rsidP="005B2578">
      <w:pPr>
        <w:spacing w:line="360" w:lineRule="auto"/>
        <w:rPr>
          <w:rFonts w:ascii="Arial" w:hAnsi="Arial" w:cs="Arial"/>
        </w:rPr>
      </w:pPr>
    </w:p>
    <w:p w14:paraId="42FA1650" w14:textId="77777777" w:rsidR="00E92D61" w:rsidRPr="00FC3E0C" w:rsidRDefault="00E92D61" w:rsidP="005B2578">
      <w:pPr>
        <w:spacing w:line="360" w:lineRule="auto"/>
        <w:rPr>
          <w:rFonts w:ascii="Arial" w:hAnsi="Arial" w:cs="Arial"/>
        </w:rPr>
      </w:pPr>
    </w:p>
    <w:p w14:paraId="45C63143" w14:textId="77777777" w:rsidR="00E92D61" w:rsidRPr="00FC3E0C" w:rsidRDefault="00E92D61" w:rsidP="005B2578">
      <w:pPr>
        <w:spacing w:line="360" w:lineRule="auto"/>
        <w:rPr>
          <w:rFonts w:ascii="Arial" w:hAnsi="Arial" w:cs="Arial"/>
        </w:rPr>
      </w:pPr>
    </w:p>
    <w:p w14:paraId="02567FC4" w14:textId="77777777" w:rsidR="00E92D61" w:rsidRPr="00FC3E0C" w:rsidRDefault="00E92D61" w:rsidP="005B2578">
      <w:pPr>
        <w:spacing w:line="360" w:lineRule="auto"/>
        <w:rPr>
          <w:rFonts w:ascii="Arial" w:hAnsi="Arial" w:cs="Arial"/>
        </w:rPr>
      </w:pPr>
    </w:p>
    <w:p w14:paraId="2AAB672E" w14:textId="77777777" w:rsidR="00E92D61" w:rsidRPr="00FC3E0C" w:rsidRDefault="00E92D61" w:rsidP="005B2578">
      <w:pPr>
        <w:spacing w:line="360" w:lineRule="auto"/>
        <w:rPr>
          <w:rFonts w:ascii="Arial" w:hAnsi="Arial" w:cs="Arial"/>
        </w:rPr>
      </w:pPr>
    </w:p>
    <w:p w14:paraId="422F8E45" w14:textId="77777777" w:rsidR="00E92D61" w:rsidRPr="00FC3E0C" w:rsidRDefault="00E92D61" w:rsidP="005B2578">
      <w:pPr>
        <w:spacing w:line="360" w:lineRule="auto"/>
        <w:rPr>
          <w:rFonts w:ascii="Arial" w:hAnsi="Arial" w:cs="Arial"/>
        </w:rPr>
      </w:pPr>
    </w:p>
    <w:p w14:paraId="66730046" w14:textId="77777777" w:rsidR="00E92D61" w:rsidRPr="00FC3E0C" w:rsidRDefault="00E92D61" w:rsidP="005B2578">
      <w:pPr>
        <w:spacing w:line="360" w:lineRule="auto"/>
        <w:rPr>
          <w:rFonts w:ascii="Arial" w:hAnsi="Arial" w:cs="Arial"/>
        </w:rPr>
      </w:pPr>
    </w:p>
    <w:p w14:paraId="43BAC1BA" w14:textId="77777777" w:rsidR="00E92D61" w:rsidRPr="00FC3E0C" w:rsidRDefault="00E92D61" w:rsidP="005B2578">
      <w:pPr>
        <w:spacing w:line="360" w:lineRule="auto"/>
        <w:rPr>
          <w:rFonts w:ascii="Arial" w:hAnsi="Arial" w:cs="Arial"/>
        </w:rPr>
      </w:pPr>
    </w:p>
    <w:p w14:paraId="0FF83D47" w14:textId="77777777" w:rsidR="00E92D61" w:rsidRPr="00FC3E0C" w:rsidRDefault="00E92D61" w:rsidP="005B2578">
      <w:pPr>
        <w:spacing w:line="360" w:lineRule="auto"/>
        <w:rPr>
          <w:rFonts w:ascii="Arial" w:hAnsi="Arial" w:cs="Arial"/>
        </w:rPr>
      </w:pPr>
    </w:p>
    <w:p w14:paraId="3E410826" w14:textId="2C662BB9" w:rsidR="00E92D61" w:rsidRPr="00FC3E0C" w:rsidRDefault="00E92D61" w:rsidP="00E92D61">
      <w:pPr>
        <w:spacing w:line="360" w:lineRule="auto"/>
        <w:rPr>
          <w:rFonts w:ascii="Arial" w:hAnsi="Arial" w:cs="Arial"/>
          <w:sz w:val="28"/>
          <w:szCs w:val="28"/>
        </w:rPr>
      </w:pPr>
      <w:r w:rsidRPr="00FC3E0C">
        <w:rPr>
          <w:rFonts w:ascii="Arial" w:hAnsi="Arial" w:cs="Arial"/>
          <w:sz w:val="28"/>
          <w:szCs w:val="28"/>
        </w:rPr>
        <w:lastRenderedPageBreak/>
        <w:t>Rhestr cyfeirnodi</w:t>
      </w:r>
    </w:p>
    <w:p w14:paraId="45FF099A" w14:textId="0D5CFDB5" w:rsidR="00FC3E0C" w:rsidRPr="00FC3E0C" w:rsidRDefault="00FC3E0C" w:rsidP="00FC3E0C">
      <w:pPr>
        <w:spacing w:line="360" w:lineRule="auto"/>
        <w:rPr>
          <w:rFonts w:ascii="Arial" w:hAnsi="Arial" w:cs="Arial"/>
        </w:rPr>
      </w:pPr>
      <w:r w:rsidRPr="00FC3E0C">
        <w:rPr>
          <w:rFonts w:ascii="Arial" w:hAnsi="Arial" w:cs="Arial"/>
        </w:rPr>
        <w:t xml:space="preserve">Alex, D. (2024). </w:t>
      </w:r>
      <w:r w:rsidRPr="00FC3E0C">
        <w:rPr>
          <w:rFonts w:ascii="Arial" w:hAnsi="Arial" w:cs="Arial"/>
          <w:i/>
          <w:iCs/>
        </w:rPr>
        <w:t>What is a Case Study in Research? Definition, Methods &amp; Examples | Researcher.Life</w:t>
      </w:r>
      <w:r w:rsidRPr="00FC3E0C">
        <w:rPr>
          <w:rFonts w:ascii="Arial" w:hAnsi="Arial" w:cs="Arial"/>
        </w:rPr>
        <w:t>. Researcher.life</w:t>
      </w:r>
      <w:r w:rsidRPr="00FC3E0C">
        <w:rPr>
          <w:rFonts w:ascii="Arial" w:hAnsi="Arial" w:cs="Arial"/>
        </w:rPr>
        <w:t xml:space="preserve"> </w:t>
      </w:r>
      <w:r w:rsidRPr="00FC3E0C">
        <w:rPr>
          <w:rFonts w:ascii="Arial" w:hAnsi="Arial" w:cs="Arial"/>
        </w:rPr>
        <w:t xml:space="preserve">https://researcher.life/blog/article/what-is-a-case-study-in-research-definition-methods-and-examples/#What_is_a_Case_Study </w:t>
      </w:r>
      <w:r>
        <w:rPr>
          <w:rFonts w:ascii="Arial" w:hAnsi="Arial" w:cs="Arial"/>
        </w:rPr>
        <w:t>(</w:t>
      </w:r>
      <w:r w:rsidRPr="00FC3E0C">
        <w:rPr>
          <w:rFonts w:ascii="Arial" w:hAnsi="Arial" w:cs="Arial"/>
        </w:rPr>
        <w:t>Cyrchwyd 5 Ionawr 2025</w:t>
      </w:r>
      <w:r>
        <w:rPr>
          <w:rFonts w:ascii="Arial" w:hAnsi="Arial" w:cs="Arial"/>
        </w:rPr>
        <w:t>)</w:t>
      </w:r>
      <w:r w:rsidRPr="00FC3E0C">
        <w:rPr>
          <w:rFonts w:ascii="Arial" w:hAnsi="Arial" w:cs="Arial"/>
        </w:rPr>
        <w:t>.</w:t>
      </w:r>
    </w:p>
    <w:p w14:paraId="642043A4" w14:textId="48BCF113" w:rsidR="00FC3E0C" w:rsidRPr="00FC3E0C" w:rsidRDefault="00FC3E0C" w:rsidP="00FC3E0C">
      <w:pPr>
        <w:spacing w:line="360" w:lineRule="auto"/>
        <w:rPr>
          <w:rFonts w:ascii="Arial" w:hAnsi="Arial" w:cs="Arial"/>
        </w:rPr>
      </w:pPr>
      <w:r w:rsidRPr="00FC3E0C">
        <w:rPr>
          <w:rFonts w:ascii="Arial" w:hAnsi="Arial" w:cs="Arial"/>
        </w:rPr>
        <w:t xml:space="preserve">Azarova, M. (2023). </w:t>
      </w:r>
      <w:r w:rsidRPr="00FC3E0C">
        <w:rPr>
          <w:rFonts w:ascii="Arial" w:hAnsi="Arial" w:cs="Arial"/>
          <w:i/>
          <w:iCs/>
        </w:rPr>
        <w:t>The Hawthorne Effect or Observer Bias in User Research</w:t>
      </w:r>
      <w:r w:rsidRPr="00FC3E0C">
        <w:rPr>
          <w:rFonts w:ascii="Arial" w:hAnsi="Arial" w:cs="Arial"/>
        </w:rPr>
        <w:t>. Nielsen Norman Group.</w:t>
      </w:r>
      <w:r>
        <w:rPr>
          <w:rFonts w:ascii="Arial" w:hAnsi="Arial" w:cs="Arial"/>
        </w:rPr>
        <w:t xml:space="preserve"> </w:t>
      </w:r>
      <w:r w:rsidRPr="00FC3E0C">
        <w:rPr>
          <w:rFonts w:ascii="Arial" w:hAnsi="Arial" w:cs="Arial"/>
        </w:rPr>
        <w:t xml:space="preserve">://www.nngroup.com/articles/hawthorne-effect-observer-bias-user-research/ </w:t>
      </w:r>
      <w:r>
        <w:rPr>
          <w:rFonts w:ascii="Arial" w:hAnsi="Arial" w:cs="Arial"/>
        </w:rPr>
        <w:t>(</w:t>
      </w:r>
      <w:r w:rsidRPr="00FC3E0C">
        <w:rPr>
          <w:rFonts w:ascii="Arial" w:hAnsi="Arial" w:cs="Arial"/>
        </w:rPr>
        <w:t>Cyrchwyd 5 Ionawr 2025</w:t>
      </w:r>
      <w:r>
        <w:rPr>
          <w:rFonts w:ascii="Arial" w:hAnsi="Arial" w:cs="Arial"/>
        </w:rPr>
        <w:t>)</w:t>
      </w:r>
      <w:r w:rsidRPr="00FC3E0C">
        <w:rPr>
          <w:rFonts w:ascii="Arial" w:hAnsi="Arial" w:cs="Arial"/>
        </w:rPr>
        <w:t>.</w:t>
      </w:r>
    </w:p>
    <w:p w14:paraId="44CFDD98" w14:textId="48F5BA53" w:rsidR="00FC3E0C" w:rsidRPr="00FC3E0C" w:rsidRDefault="00FC3E0C" w:rsidP="00FC3E0C">
      <w:pPr>
        <w:spacing w:line="360" w:lineRule="auto"/>
        <w:rPr>
          <w:rFonts w:ascii="Arial" w:hAnsi="Arial" w:cs="Arial"/>
        </w:rPr>
      </w:pPr>
      <w:r w:rsidRPr="00FC3E0C">
        <w:rPr>
          <w:rFonts w:ascii="Arial" w:hAnsi="Arial" w:cs="Arial"/>
        </w:rPr>
        <w:t xml:space="preserve">Batch, D. (2022). </w:t>
      </w:r>
      <w:r w:rsidRPr="00FC3E0C">
        <w:rPr>
          <w:rFonts w:ascii="Arial" w:hAnsi="Arial" w:cs="Arial"/>
          <w:i/>
          <w:iCs/>
        </w:rPr>
        <w:t>Can a negative relationship with PE be handed down from parent to child?</w:t>
      </w:r>
      <w:r w:rsidRPr="00FC3E0C">
        <w:rPr>
          <w:rFonts w:ascii="Arial" w:hAnsi="Arial" w:cs="Arial"/>
        </w:rPr>
        <w:t xml:space="preserve">  ukactive. https://www.ukactive.com/blog/can-a-negative-relationship-with-pe-be-handed-down-from-parent-to-child/ </w:t>
      </w:r>
      <w:r>
        <w:rPr>
          <w:rFonts w:ascii="Arial" w:hAnsi="Arial" w:cs="Arial"/>
        </w:rPr>
        <w:t>(</w:t>
      </w:r>
      <w:r w:rsidRPr="00FC3E0C">
        <w:rPr>
          <w:rFonts w:ascii="Arial" w:hAnsi="Arial" w:cs="Arial"/>
        </w:rPr>
        <w:t xml:space="preserve">Cyrchwyd </w:t>
      </w:r>
      <w:r>
        <w:rPr>
          <w:rFonts w:ascii="Arial" w:hAnsi="Arial" w:cs="Arial"/>
        </w:rPr>
        <w:t>7</w:t>
      </w:r>
      <w:r w:rsidRPr="00FC3E0C">
        <w:rPr>
          <w:rFonts w:ascii="Arial" w:hAnsi="Arial" w:cs="Arial"/>
        </w:rPr>
        <w:t xml:space="preserve"> Ionawr 2025</w:t>
      </w:r>
      <w:r>
        <w:rPr>
          <w:rFonts w:ascii="Arial" w:hAnsi="Arial" w:cs="Arial"/>
        </w:rPr>
        <w:t>)</w:t>
      </w:r>
      <w:r w:rsidRPr="00FC3E0C">
        <w:rPr>
          <w:rFonts w:ascii="Arial" w:hAnsi="Arial" w:cs="Arial"/>
        </w:rPr>
        <w:t>.</w:t>
      </w:r>
    </w:p>
    <w:p w14:paraId="7574E316" w14:textId="2C83EF53" w:rsidR="00FC3E0C" w:rsidRPr="00FC3E0C" w:rsidRDefault="00FC3E0C" w:rsidP="00FC3E0C">
      <w:pPr>
        <w:spacing w:line="360" w:lineRule="auto"/>
        <w:rPr>
          <w:rFonts w:ascii="Arial" w:hAnsi="Arial" w:cs="Arial"/>
        </w:rPr>
      </w:pPr>
      <w:r w:rsidRPr="00FC3E0C">
        <w:rPr>
          <w:rFonts w:ascii="Arial" w:hAnsi="Arial" w:cs="Arial"/>
        </w:rPr>
        <w:t xml:space="preserve">BERA (2024). </w:t>
      </w:r>
      <w:r w:rsidRPr="00FC3E0C">
        <w:rPr>
          <w:rFonts w:ascii="Arial" w:hAnsi="Arial" w:cs="Arial"/>
          <w:i/>
          <w:iCs/>
        </w:rPr>
        <w:t>Ethical Guidelines for Educational Research, Fifth Edition (2024)</w:t>
      </w:r>
      <w:r w:rsidRPr="00FC3E0C">
        <w:rPr>
          <w:rFonts w:ascii="Arial" w:hAnsi="Arial" w:cs="Arial"/>
        </w:rPr>
        <w:t xml:space="preserve">. www.bera.ac.uk. https://www.bera.ac.uk/publication/ethical-guidelines-for-educational-research-fifth-edition-2024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464A0675" w14:textId="77777777" w:rsidR="00FC3E0C" w:rsidRDefault="00FC3E0C" w:rsidP="00FC3E0C">
      <w:pPr>
        <w:spacing w:line="360" w:lineRule="auto"/>
        <w:rPr>
          <w:rFonts w:ascii="Arial" w:hAnsi="Arial" w:cs="Arial"/>
        </w:rPr>
      </w:pPr>
      <w:r w:rsidRPr="00FC3E0C">
        <w:rPr>
          <w:rFonts w:ascii="Arial" w:hAnsi="Arial" w:cs="Arial"/>
        </w:rPr>
        <w:t xml:space="preserve">Bethune, A. (2020). </w:t>
      </w:r>
      <w:r w:rsidRPr="00FC3E0C">
        <w:rPr>
          <w:rFonts w:ascii="Arial" w:hAnsi="Arial" w:cs="Arial"/>
          <w:i/>
          <w:iCs/>
        </w:rPr>
        <w:t>Promoting positive mental health and wellbeing in primary schools</w:t>
      </w:r>
      <w:r w:rsidRPr="00FC3E0C">
        <w:rPr>
          <w:rFonts w:ascii="Arial" w:hAnsi="Arial" w:cs="Arial"/>
        </w:rPr>
        <w:t xml:space="preserve">. My College. https://my.chartered.college/impact_article/promoting-positive-mental-health-and-wellbeing-in-primary-schools/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3C09EDE5" w14:textId="4ADA1382" w:rsidR="00FC3E0C" w:rsidRPr="00FC3E0C" w:rsidRDefault="00FC3E0C" w:rsidP="00FC3E0C">
      <w:pPr>
        <w:spacing w:line="360" w:lineRule="auto"/>
        <w:rPr>
          <w:rFonts w:ascii="Arial" w:hAnsi="Arial" w:cs="Arial"/>
        </w:rPr>
      </w:pPr>
      <w:r w:rsidRPr="00FC3E0C">
        <w:rPr>
          <w:rFonts w:ascii="Arial" w:hAnsi="Arial" w:cs="Arial"/>
        </w:rPr>
        <w:t xml:space="preserve">Chesham, R.A., Booth, J.N., Sweeney, E.L., Ryde, G.C., Gorely, T., Brooks, N.E. and Moran, C.N. (2018). The Daily Mile makes primary school children more active, less sedentary and improves their fitness and body composition: a quasi-experimental pilot study. </w:t>
      </w:r>
      <w:r w:rsidRPr="00FC3E0C">
        <w:rPr>
          <w:rFonts w:ascii="Arial" w:hAnsi="Arial" w:cs="Arial"/>
          <w:i/>
          <w:iCs/>
        </w:rPr>
        <w:t>BMC Medicine</w:t>
      </w:r>
      <w:r w:rsidRPr="00FC3E0C">
        <w:rPr>
          <w:rFonts w:ascii="Arial" w:hAnsi="Arial" w:cs="Arial"/>
        </w:rPr>
        <w:t xml:space="preserve">, 16(1). </w:t>
      </w:r>
    </w:p>
    <w:p w14:paraId="63F842E8" w14:textId="2C00B268" w:rsidR="00FC3E0C" w:rsidRPr="00FC3E0C" w:rsidRDefault="00FC3E0C" w:rsidP="00FC3E0C">
      <w:pPr>
        <w:spacing w:line="360" w:lineRule="auto"/>
        <w:rPr>
          <w:rFonts w:ascii="Arial" w:hAnsi="Arial" w:cs="Arial"/>
        </w:rPr>
      </w:pPr>
      <w:r w:rsidRPr="00FC3E0C">
        <w:rPr>
          <w:rFonts w:ascii="Arial" w:hAnsi="Arial" w:cs="Arial"/>
        </w:rPr>
        <w:t xml:space="preserve">Clarke, V. a Braun, V. (2017). Thematic analysis. </w:t>
      </w:r>
      <w:r w:rsidRPr="00FC3E0C">
        <w:rPr>
          <w:rFonts w:ascii="Arial" w:hAnsi="Arial" w:cs="Arial"/>
          <w:i/>
          <w:iCs/>
        </w:rPr>
        <w:t>The Journal of Positive Psychology</w:t>
      </w:r>
      <w:r w:rsidRPr="00FC3E0C">
        <w:rPr>
          <w:rFonts w:ascii="Arial" w:hAnsi="Arial" w:cs="Arial"/>
        </w:rPr>
        <w:t xml:space="preserve">, 12(3), </w:t>
      </w:r>
      <w:r>
        <w:rPr>
          <w:rFonts w:ascii="Arial" w:hAnsi="Arial" w:cs="Arial"/>
        </w:rPr>
        <w:t>tud</w:t>
      </w:r>
      <w:r w:rsidRPr="00FC3E0C">
        <w:rPr>
          <w:rFonts w:ascii="Arial" w:hAnsi="Arial" w:cs="Arial"/>
        </w:rPr>
        <w:t>.297–298.</w:t>
      </w:r>
    </w:p>
    <w:p w14:paraId="462B9A85" w14:textId="7B06BEFF" w:rsidR="00FC3E0C" w:rsidRPr="00FC3E0C" w:rsidRDefault="00FC3E0C" w:rsidP="00FC3E0C">
      <w:pPr>
        <w:spacing w:line="360" w:lineRule="auto"/>
        <w:rPr>
          <w:rFonts w:ascii="Arial" w:hAnsi="Arial" w:cs="Arial"/>
        </w:rPr>
      </w:pPr>
      <w:r w:rsidRPr="00FC3E0C">
        <w:rPr>
          <w:rFonts w:ascii="Arial" w:hAnsi="Arial" w:cs="Arial"/>
        </w:rPr>
        <w:t xml:space="preserve">Cloke, H. (2023). </w:t>
      </w:r>
      <w:r w:rsidRPr="00FC3E0C">
        <w:rPr>
          <w:rFonts w:ascii="Arial" w:hAnsi="Arial" w:cs="Arial"/>
          <w:i/>
          <w:iCs/>
        </w:rPr>
        <w:t>John Dewey’s Learning Theory: How We Learn Through Experience</w:t>
      </w:r>
      <w:r w:rsidRPr="00FC3E0C">
        <w:rPr>
          <w:rFonts w:ascii="Arial" w:hAnsi="Arial" w:cs="Arial"/>
        </w:rPr>
        <w:t xml:space="preserve">. Growth Engineering. https://www.growthengineering.co.uk/john-dewey/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11D3AACC" w14:textId="691117A2" w:rsidR="00FC3E0C" w:rsidRPr="00FC3E0C" w:rsidRDefault="00FC3E0C" w:rsidP="00FC3E0C">
      <w:pPr>
        <w:spacing w:line="360" w:lineRule="auto"/>
        <w:rPr>
          <w:rFonts w:ascii="Arial" w:hAnsi="Arial" w:cs="Arial"/>
        </w:rPr>
      </w:pPr>
      <w:r w:rsidRPr="00FC3E0C">
        <w:rPr>
          <w:rFonts w:ascii="Arial" w:hAnsi="Arial" w:cs="Arial"/>
        </w:rPr>
        <w:t xml:space="preserve">Cohen, L., Manion, L. a Morrison, K. (2018). </w:t>
      </w:r>
      <w:r w:rsidRPr="00FC3E0C">
        <w:rPr>
          <w:rFonts w:ascii="Arial" w:hAnsi="Arial" w:cs="Arial"/>
          <w:i/>
          <w:iCs/>
        </w:rPr>
        <w:t>Research methods in education</w:t>
      </w:r>
      <w:r w:rsidRPr="00FC3E0C">
        <w:rPr>
          <w:rFonts w:ascii="Arial" w:hAnsi="Arial" w:cs="Arial"/>
        </w:rPr>
        <w:t xml:space="preserve">. 8th ed. New York: Routledge, </w:t>
      </w:r>
      <w:r>
        <w:rPr>
          <w:rFonts w:ascii="Arial" w:hAnsi="Arial" w:cs="Arial"/>
        </w:rPr>
        <w:t>tud</w:t>
      </w:r>
      <w:r w:rsidRPr="00FC3E0C">
        <w:rPr>
          <w:rFonts w:ascii="Arial" w:hAnsi="Arial" w:cs="Arial"/>
        </w:rPr>
        <w:t>.596–660.</w:t>
      </w:r>
    </w:p>
    <w:p w14:paraId="004C1CB8" w14:textId="443C53C2" w:rsidR="00FC3E0C" w:rsidRPr="00FC3E0C" w:rsidRDefault="00FC3E0C" w:rsidP="00FC3E0C">
      <w:pPr>
        <w:spacing w:line="360" w:lineRule="auto"/>
        <w:rPr>
          <w:rFonts w:ascii="Arial" w:hAnsi="Arial" w:cs="Arial"/>
        </w:rPr>
      </w:pPr>
      <w:r w:rsidRPr="00FC3E0C">
        <w:rPr>
          <w:rFonts w:ascii="Arial" w:hAnsi="Arial" w:cs="Arial"/>
        </w:rPr>
        <w:t xml:space="preserve">Connolly, A., Giles-Kaye, A., Smith, A., Dawaon, G., Smith, R., Darling, S., Oberklaid, F. a Quach, J. (2024). Barriers to supporting children’s mental health in Australian primary schools: Perspectives of school staff. </w:t>
      </w:r>
      <w:r w:rsidRPr="00FC3E0C">
        <w:rPr>
          <w:rFonts w:ascii="Arial" w:hAnsi="Arial" w:cs="Arial"/>
          <w:i/>
          <w:iCs/>
        </w:rPr>
        <w:t>Mental Health &amp; Prevention</w:t>
      </w:r>
      <w:r w:rsidRPr="00FC3E0C">
        <w:rPr>
          <w:rFonts w:ascii="Arial" w:hAnsi="Arial" w:cs="Arial"/>
        </w:rPr>
        <w:t>, 33.</w:t>
      </w:r>
    </w:p>
    <w:p w14:paraId="02F672B3" w14:textId="2A811463" w:rsidR="00FC3E0C" w:rsidRPr="00FC3E0C" w:rsidRDefault="00FC3E0C" w:rsidP="00FC3E0C">
      <w:pPr>
        <w:spacing w:line="360" w:lineRule="auto"/>
        <w:rPr>
          <w:rFonts w:ascii="Arial" w:hAnsi="Arial" w:cs="Arial"/>
        </w:rPr>
      </w:pPr>
      <w:r w:rsidRPr="00FC3E0C">
        <w:rPr>
          <w:rFonts w:ascii="Arial" w:hAnsi="Arial" w:cs="Arial"/>
        </w:rPr>
        <w:lastRenderedPageBreak/>
        <w:t xml:space="preserve">Crowe, S., Cresswell, K., Robertson, A., Huby, G., Avery, A. a Sheikh, A. (2011). The case study approach. </w:t>
      </w:r>
      <w:r w:rsidRPr="00FC3E0C">
        <w:rPr>
          <w:rFonts w:ascii="Arial" w:hAnsi="Arial" w:cs="Arial"/>
          <w:i/>
          <w:iCs/>
        </w:rPr>
        <w:t>BMC Medical Research Methodology</w:t>
      </w:r>
      <w:r w:rsidRPr="00FC3E0C">
        <w:rPr>
          <w:rFonts w:ascii="Arial" w:hAnsi="Arial" w:cs="Arial"/>
        </w:rPr>
        <w:t xml:space="preserve">, 11(1), </w:t>
      </w:r>
      <w:r>
        <w:rPr>
          <w:rFonts w:ascii="Arial" w:hAnsi="Arial" w:cs="Arial"/>
        </w:rPr>
        <w:t>tud</w:t>
      </w:r>
      <w:r w:rsidRPr="00FC3E0C">
        <w:rPr>
          <w:rFonts w:ascii="Arial" w:hAnsi="Arial" w:cs="Arial"/>
        </w:rPr>
        <w:t xml:space="preserve">.1–9. https://www.ncbi.nlm.nih.gov/pmc/articles/PMC3141799/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439AE4D1" w14:textId="77777777" w:rsidR="00FC3E0C" w:rsidRPr="00FC3E0C" w:rsidRDefault="00FC3E0C" w:rsidP="00FC3E0C">
      <w:pPr>
        <w:spacing w:line="360" w:lineRule="auto"/>
        <w:rPr>
          <w:rFonts w:ascii="Arial" w:hAnsi="Arial" w:cs="Arial"/>
        </w:rPr>
      </w:pPr>
      <w:r w:rsidRPr="00FC3E0C">
        <w:rPr>
          <w:rFonts w:ascii="Arial" w:hAnsi="Arial" w:cs="Arial"/>
        </w:rPr>
        <w:t xml:space="preserve">Daughtery, C. (2016). An Exercise in Rigor: A Review of Robert K. Yin’s Case Study Research Design and Methods. </w:t>
      </w:r>
      <w:r w:rsidRPr="00FC3E0C">
        <w:rPr>
          <w:rFonts w:ascii="Arial" w:hAnsi="Arial" w:cs="Arial"/>
          <w:i/>
          <w:iCs/>
        </w:rPr>
        <w:t>The Qualitative Report</w:t>
      </w:r>
      <w:r w:rsidRPr="00FC3E0C">
        <w:rPr>
          <w:rFonts w:ascii="Arial" w:hAnsi="Arial" w:cs="Arial"/>
        </w:rPr>
        <w:t>, 14(2).</w:t>
      </w:r>
    </w:p>
    <w:p w14:paraId="2848F916" w14:textId="2A218AC9" w:rsidR="00FC3E0C" w:rsidRPr="00FC3E0C" w:rsidRDefault="00FC3E0C" w:rsidP="00FC3E0C">
      <w:pPr>
        <w:spacing w:line="360" w:lineRule="auto"/>
        <w:rPr>
          <w:rFonts w:ascii="Arial" w:hAnsi="Arial" w:cs="Arial"/>
        </w:rPr>
      </w:pPr>
      <w:r w:rsidRPr="00FC3E0C">
        <w:rPr>
          <w:rFonts w:ascii="Arial" w:hAnsi="Arial" w:cs="Arial"/>
        </w:rPr>
        <w:t xml:space="preserve">Department for Education (2021). </w:t>
      </w:r>
      <w:r w:rsidRPr="00FC3E0C">
        <w:rPr>
          <w:rFonts w:ascii="Arial" w:hAnsi="Arial" w:cs="Arial"/>
          <w:i/>
          <w:iCs/>
        </w:rPr>
        <w:t>Mental Health and Wellbeing Support in Schools and Colleges</w:t>
      </w:r>
      <w:r w:rsidRPr="00FC3E0C">
        <w:rPr>
          <w:rFonts w:ascii="Arial" w:hAnsi="Arial" w:cs="Arial"/>
        </w:rPr>
        <w:t xml:space="preserve">. GOV.UK. https://www.gov.uk/guidance/mental-health-and-wellbeing-support-in-schools-and-colleges </w:t>
      </w:r>
      <w:r>
        <w:rPr>
          <w:rFonts w:ascii="Arial" w:hAnsi="Arial" w:cs="Arial"/>
        </w:rPr>
        <w:t>(</w:t>
      </w:r>
      <w:r w:rsidRPr="00FC3E0C">
        <w:rPr>
          <w:rFonts w:ascii="Arial" w:hAnsi="Arial" w:cs="Arial"/>
        </w:rPr>
        <w:t xml:space="preserve">Cyrchwyd </w:t>
      </w:r>
      <w:r>
        <w:rPr>
          <w:rFonts w:ascii="Arial" w:hAnsi="Arial" w:cs="Arial"/>
        </w:rPr>
        <w:t>3</w:t>
      </w:r>
      <w:r w:rsidRPr="00FC3E0C">
        <w:rPr>
          <w:rFonts w:ascii="Arial" w:hAnsi="Arial" w:cs="Arial"/>
        </w:rPr>
        <w:t xml:space="preserve"> Ionawr 2025</w:t>
      </w:r>
      <w:r>
        <w:rPr>
          <w:rFonts w:ascii="Arial" w:hAnsi="Arial" w:cs="Arial"/>
        </w:rPr>
        <w:t>)</w:t>
      </w:r>
      <w:r w:rsidRPr="00FC3E0C">
        <w:rPr>
          <w:rFonts w:ascii="Arial" w:hAnsi="Arial" w:cs="Arial"/>
        </w:rPr>
        <w:t>.</w:t>
      </w:r>
    </w:p>
    <w:p w14:paraId="12888C60" w14:textId="3892A2D7" w:rsidR="00FC3E0C" w:rsidRPr="00FC3E0C" w:rsidRDefault="00FC3E0C" w:rsidP="00FC3E0C">
      <w:pPr>
        <w:spacing w:line="360" w:lineRule="auto"/>
        <w:rPr>
          <w:rFonts w:ascii="Arial" w:hAnsi="Arial" w:cs="Arial"/>
        </w:rPr>
      </w:pPr>
      <w:r w:rsidRPr="00FC3E0C">
        <w:rPr>
          <w:rFonts w:ascii="Arial" w:hAnsi="Arial" w:cs="Arial"/>
        </w:rPr>
        <w:t xml:space="preserve">Education Scotland (2024). </w:t>
      </w:r>
      <w:r w:rsidRPr="00FC3E0C">
        <w:rPr>
          <w:rFonts w:ascii="Arial" w:hAnsi="Arial" w:cs="Arial"/>
          <w:i/>
          <w:iCs/>
        </w:rPr>
        <w:t>Interpreting and analysing data</w:t>
      </w:r>
      <w:r w:rsidRPr="00FC3E0C">
        <w:rPr>
          <w:rFonts w:ascii="Arial" w:hAnsi="Arial" w:cs="Arial"/>
        </w:rPr>
        <w:t xml:space="preserve">. Gov.scot. https://education.gov.scot/resources/effective-use-of-data/effective-use-of-data-literature-review/interpreting-and-analysing-data/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1B7DE803" w14:textId="6BA0D002" w:rsidR="00FC3E0C" w:rsidRPr="00FC3E0C" w:rsidRDefault="00FC3E0C" w:rsidP="00FC3E0C">
      <w:pPr>
        <w:spacing w:line="360" w:lineRule="auto"/>
        <w:rPr>
          <w:rFonts w:ascii="Arial" w:hAnsi="Arial" w:cs="Arial"/>
        </w:rPr>
      </w:pPr>
      <w:r w:rsidRPr="00FC3E0C">
        <w:rPr>
          <w:rFonts w:ascii="Arial" w:hAnsi="Arial" w:cs="Arial"/>
        </w:rPr>
        <w:t xml:space="preserve">Eime, R.M., Young, J.A., Harvey, J.T., Charity, M.J. a Payne, W.R. (2013). A Systematic Review of the Psychological and Social Benefits of Participation in Sport for Children and adolescents: Informing Development of a Conceptual Model of Health through Sport. </w:t>
      </w:r>
      <w:r w:rsidRPr="00FC3E0C">
        <w:rPr>
          <w:rFonts w:ascii="Arial" w:hAnsi="Arial" w:cs="Arial"/>
          <w:i/>
          <w:iCs/>
        </w:rPr>
        <w:t>International Journal of Behavioral Nutrition and Physical Activity</w:t>
      </w:r>
      <w:r w:rsidRPr="00FC3E0C">
        <w:rPr>
          <w:rFonts w:ascii="Arial" w:hAnsi="Arial" w:cs="Arial"/>
        </w:rPr>
        <w:t xml:space="preserve">, 10(1), </w:t>
      </w:r>
      <w:r>
        <w:rPr>
          <w:rFonts w:ascii="Arial" w:hAnsi="Arial" w:cs="Arial"/>
        </w:rPr>
        <w:t>tud</w:t>
      </w:r>
      <w:r w:rsidRPr="00FC3E0C">
        <w:rPr>
          <w:rFonts w:ascii="Arial" w:hAnsi="Arial" w:cs="Arial"/>
        </w:rPr>
        <w:t xml:space="preserve">.98. https://ijbnpa.biomedcentral.com/articles/10.1186/1479-5868-10-98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483A8A37" w14:textId="53462F91" w:rsidR="00FC3E0C" w:rsidRPr="00FC3E0C" w:rsidRDefault="00FC3E0C" w:rsidP="00FC3E0C">
      <w:pPr>
        <w:spacing w:line="360" w:lineRule="auto"/>
        <w:rPr>
          <w:rFonts w:ascii="Arial" w:hAnsi="Arial" w:cs="Arial"/>
        </w:rPr>
      </w:pPr>
      <w:r w:rsidRPr="00FC3E0C">
        <w:rPr>
          <w:rFonts w:ascii="Arial" w:hAnsi="Arial" w:cs="Arial"/>
        </w:rPr>
        <w:t xml:space="preserve">Hancock, D.R., Algozzine, R. a Lim, J.H. (2021). </w:t>
      </w:r>
      <w:r w:rsidRPr="00FC3E0C">
        <w:rPr>
          <w:rFonts w:ascii="Arial" w:hAnsi="Arial" w:cs="Arial"/>
          <w:i/>
          <w:iCs/>
        </w:rPr>
        <w:t>Doing case study research : A practical guide for beginning researchers</w:t>
      </w:r>
      <w:r w:rsidRPr="00FC3E0C">
        <w:rPr>
          <w:rFonts w:ascii="Arial" w:hAnsi="Arial" w:cs="Arial"/>
        </w:rPr>
        <w:t xml:space="preserve">. 4th ed. New York ; London: Teachers College Press, </w:t>
      </w:r>
      <w:r>
        <w:rPr>
          <w:rFonts w:ascii="Arial" w:hAnsi="Arial" w:cs="Arial"/>
        </w:rPr>
        <w:t>tud</w:t>
      </w:r>
      <w:r w:rsidRPr="00FC3E0C">
        <w:rPr>
          <w:rFonts w:ascii="Arial" w:hAnsi="Arial" w:cs="Arial"/>
        </w:rPr>
        <w:t>.74–75.</w:t>
      </w:r>
    </w:p>
    <w:p w14:paraId="08D532A1" w14:textId="4AB11EA9" w:rsidR="00FC3E0C" w:rsidRPr="00FC3E0C" w:rsidRDefault="00FC3E0C" w:rsidP="00FC3E0C">
      <w:pPr>
        <w:spacing w:line="360" w:lineRule="auto"/>
        <w:rPr>
          <w:rFonts w:ascii="Arial" w:hAnsi="Arial" w:cs="Arial"/>
        </w:rPr>
      </w:pPr>
      <w:r w:rsidRPr="00FC3E0C">
        <w:rPr>
          <w:rFonts w:ascii="Arial" w:hAnsi="Arial" w:cs="Arial"/>
        </w:rPr>
        <w:t xml:space="preserve">Hobson, A. a Townsend, A. (2010). Interviewing as Educational Research method(s). In: </w:t>
      </w:r>
      <w:r w:rsidRPr="00FC3E0C">
        <w:rPr>
          <w:rFonts w:ascii="Arial" w:hAnsi="Arial" w:cs="Arial"/>
          <w:i/>
          <w:iCs/>
        </w:rPr>
        <w:t>Educational Research and Inquiry</w:t>
      </w:r>
      <w:r w:rsidRPr="00FC3E0C">
        <w:rPr>
          <w:rFonts w:ascii="Arial" w:hAnsi="Arial" w:cs="Arial"/>
        </w:rPr>
        <w:t xml:space="preserve">. </w:t>
      </w:r>
      <w:r>
        <w:rPr>
          <w:rFonts w:ascii="Arial" w:hAnsi="Arial" w:cs="Arial"/>
        </w:rPr>
        <w:t>tud</w:t>
      </w:r>
      <w:r w:rsidRPr="00FC3E0C">
        <w:rPr>
          <w:rFonts w:ascii="Arial" w:hAnsi="Arial" w:cs="Arial"/>
        </w:rPr>
        <w:t>.223–228.</w:t>
      </w:r>
    </w:p>
    <w:p w14:paraId="76040B60" w14:textId="11955C75" w:rsidR="00FC3E0C" w:rsidRPr="00FC3E0C" w:rsidRDefault="00FC3E0C" w:rsidP="00FC3E0C">
      <w:pPr>
        <w:spacing w:line="360" w:lineRule="auto"/>
        <w:rPr>
          <w:rFonts w:ascii="Arial" w:hAnsi="Arial" w:cs="Arial"/>
        </w:rPr>
      </w:pPr>
      <w:r w:rsidRPr="00FC3E0C">
        <w:rPr>
          <w:rFonts w:ascii="Arial" w:hAnsi="Arial" w:cs="Arial"/>
        </w:rPr>
        <w:t xml:space="preserve">Hollweck, T. (2016). </w:t>
      </w:r>
      <w:r w:rsidRPr="00FC3E0C">
        <w:rPr>
          <w:rFonts w:ascii="Arial" w:hAnsi="Arial" w:cs="Arial"/>
          <w:i/>
          <w:iCs/>
        </w:rPr>
        <w:t>Robert K. Yin. (2014). Case Study Research Design and Methods (5th ed.). Thousand Oaks, CA: Sage. 282 pages.</w:t>
      </w:r>
      <w:r w:rsidRPr="00FC3E0C">
        <w:rPr>
          <w:rFonts w:ascii="Arial" w:hAnsi="Arial" w:cs="Arial"/>
        </w:rPr>
        <w:t xml:space="preserve">ResearchGate. https://www.researchgate.net/publication/308385754_Robert_K_Yin_2014_Case_Study_Research_Design_and_Methods_5th_ed_Thousand_Oaks_CA_Sage_282_pages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14354742" w14:textId="09E1AC1E" w:rsidR="00FC3E0C" w:rsidRPr="00FC3E0C" w:rsidRDefault="00FC3E0C" w:rsidP="00FC3E0C">
      <w:pPr>
        <w:spacing w:line="360" w:lineRule="auto"/>
        <w:rPr>
          <w:rFonts w:ascii="Arial" w:hAnsi="Arial" w:cs="Arial"/>
        </w:rPr>
      </w:pPr>
      <w:r w:rsidRPr="00FC3E0C">
        <w:rPr>
          <w:rFonts w:ascii="Arial" w:hAnsi="Arial" w:cs="Arial"/>
        </w:rPr>
        <w:t xml:space="preserve">Kenton, W. (2022). </w:t>
      </w:r>
      <w:r w:rsidRPr="00FC3E0C">
        <w:rPr>
          <w:rFonts w:ascii="Arial" w:hAnsi="Arial" w:cs="Arial"/>
          <w:i/>
          <w:iCs/>
        </w:rPr>
        <w:t>Hawthorne Effect</w:t>
      </w:r>
      <w:r w:rsidRPr="00FC3E0C">
        <w:rPr>
          <w:rFonts w:ascii="Arial" w:hAnsi="Arial" w:cs="Arial"/>
        </w:rPr>
        <w:t xml:space="preserve">. Investopedia. https://www.investopedia.com/terms/h/hawthorne-effect.asp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5AFB594F" w14:textId="4761635C" w:rsidR="00FC3E0C" w:rsidRPr="00FC3E0C" w:rsidRDefault="00FC3E0C" w:rsidP="00FC3E0C">
      <w:pPr>
        <w:spacing w:line="360" w:lineRule="auto"/>
        <w:rPr>
          <w:rFonts w:ascii="Arial" w:hAnsi="Arial" w:cs="Arial"/>
        </w:rPr>
      </w:pPr>
      <w:r w:rsidRPr="00FC3E0C">
        <w:rPr>
          <w:rFonts w:ascii="Arial" w:hAnsi="Arial" w:cs="Arial"/>
        </w:rPr>
        <w:t xml:space="preserve">Kliziene, I., Cizauskas, G., Sipaviciene, S., Aleksandraviciene, R. a Zaicenkoviene, K. (2021). Effects of a Physical Education Program on Physical Activity and Emotional Well-Being among Primary School Children. </w:t>
      </w:r>
      <w:r w:rsidRPr="00FC3E0C">
        <w:rPr>
          <w:rFonts w:ascii="Arial" w:hAnsi="Arial" w:cs="Arial"/>
          <w:i/>
          <w:iCs/>
        </w:rPr>
        <w:t>International Journal of Environmental Research and Public Health</w:t>
      </w:r>
      <w:r w:rsidRPr="00FC3E0C">
        <w:rPr>
          <w:rFonts w:ascii="Arial" w:hAnsi="Arial" w:cs="Arial"/>
        </w:rPr>
        <w:t xml:space="preserve">, 18(14), </w:t>
      </w:r>
      <w:r>
        <w:rPr>
          <w:rFonts w:ascii="Arial" w:hAnsi="Arial" w:cs="Arial"/>
        </w:rPr>
        <w:t>tud</w:t>
      </w:r>
      <w:r w:rsidRPr="00FC3E0C">
        <w:rPr>
          <w:rFonts w:ascii="Arial" w:hAnsi="Arial" w:cs="Arial"/>
        </w:rPr>
        <w:t>.7536.</w:t>
      </w:r>
    </w:p>
    <w:p w14:paraId="779E1D96" w14:textId="658A3510" w:rsidR="00FC3E0C" w:rsidRPr="00FC3E0C" w:rsidRDefault="00FC3E0C" w:rsidP="00FC3E0C">
      <w:pPr>
        <w:spacing w:line="360" w:lineRule="auto"/>
        <w:rPr>
          <w:rFonts w:ascii="Arial" w:hAnsi="Arial" w:cs="Arial"/>
        </w:rPr>
      </w:pPr>
      <w:r w:rsidRPr="00FC3E0C">
        <w:rPr>
          <w:rFonts w:ascii="Arial" w:hAnsi="Arial" w:cs="Arial"/>
        </w:rPr>
        <w:lastRenderedPageBreak/>
        <w:t xml:space="preserve">Korbey, H. (2022). </w:t>
      </w:r>
      <w:r w:rsidRPr="00FC3E0C">
        <w:rPr>
          <w:rFonts w:ascii="Arial" w:hAnsi="Arial" w:cs="Arial"/>
          <w:i/>
          <w:iCs/>
        </w:rPr>
        <w:t>What’s the Role of Teachers in Supporting Student Mental Health?</w:t>
      </w:r>
      <w:r w:rsidRPr="00FC3E0C">
        <w:rPr>
          <w:rFonts w:ascii="Arial" w:hAnsi="Arial" w:cs="Arial"/>
        </w:rPr>
        <w:t xml:space="preserve"> Edutopia. https://www.edutopia.org/article/the-doctor-is-in-your-classroom/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07E2074B" w14:textId="12CC738F" w:rsidR="00FC3E0C" w:rsidRPr="00FC3E0C" w:rsidRDefault="00FC3E0C" w:rsidP="00FC3E0C">
      <w:pPr>
        <w:spacing w:line="360" w:lineRule="auto"/>
        <w:rPr>
          <w:rFonts w:ascii="Arial" w:hAnsi="Arial" w:cs="Arial"/>
        </w:rPr>
      </w:pPr>
      <w:r w:rsidRPr="00FC3E0C">
        <w:rPr>
          <w:rFonts w:ascii="Arial" w:hAnsi="Arial" w:cs="Arial"/>
        </w:rPr>
        <w:t xml:space="preserve">Kowieski, J. (2023). </w:t>
      </w:r>
      <w:r w:rsidRPr="00FC3E0C">
        <w:rPr>
          <w:rFonts w:ascii="Arial" w:hAnsi="Arial" w:cs="Arial"/>
          <w:i/>
          <w:iCs/>
        </w:rPr>
        <w:t>What is Data Reliability and How do You Make Data Reliable?</w:t>
      </w:r>
      <w:r w:rsidRPr="00FC3E0C">
        <w:rPr>
          <w:rFonts w:ascii="Arial" w:hAnsi="Arial" w:cs="Arial"/>
        </w:rPr>
        <w:t xml:space="preserve"> ThoughtSpot. https://www.thoughtspot.com/data-trends/analytics/data-reliability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053E8F35" w14:textId="09853ED8" w:rsidR="00FC3E0C" w:rsidRPr="00FC3E0C" w:rsidRDefault="00FC3E0C" w:rsidP="00FC3E0C">
      <w:pPr>
        <w:spacing w:line="360" w:lineRule="auto"/>
        <w:rPr>
          <w:rFonts w:ascii="Arial" w:hAnsi="Arial" w:cs="Arial"/>
        </w:rPr>
      </w:pPr>
      <w:r w:rsidRPr="00FC3E0C">
        <w:rPr>
          <w:rFonts w:ascii="Arial" w:hAnsi="Arial" w:cs="Arial"/>
        </w:rPr>
        <w:t xml:space="preserve">Llywodraeth Cymru (2017). </w:t>
      </w:r>
      <w:r w:rsidRPr="00FC3E0C">
        <w:rPr>
          <w:rFonts w:ascii="Arial" w:hAnsi="Arial" w:cs="Arial"/>
          <w:i/>
          <w:iCs/>
        </w:rPr>
        <w:t>Datganiad Ysgrifenedig -  Annog ysgolion cynradd i ddefnyddio Cynllun Milltir y Dydd (27 Ionawr 2017) | LLYW.CYMRU</w:t>
      </w:r>
      <w:r w:rsidRPr="00FC3E0C">
        <w:rPr>
          <w:rFonts w:ascii="Arial" w:hAnsi="Arial" w:cs="Arial"/>
        </w:rPr>
        <w:t xml:space="preserve">. LLYW.CYMRU. https://www.llyw.cymru/datganiad-ysgrifenedig-annog-ysgolion-cynradd-i-ddefnyddio-cynllun-milltir-y-dydd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4C089841" w14:textId="1BFD9A41" w:rsidR="00FC3E0C" w:rsidRPr="00FC3E0C" w:rsidRDefault="00FC3E0C" w:rsidP="00FC3E0C">
      <w:pPr>
        <w:spacing w:line="360" w:lineRule="auto"/>
        <w:rPr>
          <w:rFonts w:ascii="Arial" w:hAnsi="Arial" w:cs="Arial"/>
        </w:rPr>
      </w:pPr>
      <w:r w:rsidRPr="00FC3E0C">
        <w:rPr>
          <w:rFonts w:ascii="Arial" w:hAnsi="Arial" w:cs="Arial"/>
        </w:rPr>
        <w:t xml:space="preserve">Llywodraeth Cymru (2019). </w:t>
      </w:r>
      <w:r w:rsidRPr="00FC3E0C">
        <w:rPr>
          <w:rFonts w:ascii="Arial" w:hAnsi="Arial" w:cs="Arial"/>
          <w:i/>
          <w:iCs/>
        </w:rPr>
        <w:t>Iechyd a Lles: Datganiadau o’r hyn sy’n bwysig - Hwb</w:t>
      </w:r>
      <w:r w:rsidRPr="00FC3E0C">
        <w:rPr>
          <w:rFonts w:ascii="Arial" w:hAnsi="Arial" w:cs="Arial"/>
        </w:rPr>
        <w:t xml:space="preserve">. hwb.gov.wales. https://hwb.gov.wales/cwricwlwm-i-gymru/iechyd-a-lles/datganiadau-o-r-hyn-sy-n-bwysig/ </w:t>
      </w:r>
      <w:r>
        <w:rPr>
          <w:rFonts w:ascii="Arial" w:hAnsi="Arial" w:cs="Arial"/>
        </w:rPr>
        <w:t>(</w:t>
      </w:r>
      <w:r w:rsidRPr="00FC3E0C">
        <w:rPr>
          <w:rFonts w:ascii="Arial" w:hAnsi="Arial" w:cs="Arial"/>
        </w:rPr>
        <w:t xml:space="preserve">Cyrchwyd </w:t>
      </w:r>
      <w:r>
        <w:rPr>
          <w:rFonts w:ascii="Arial" w:hAnsi="Arial" w:cs="Arial"/>
        </w:rPr>
        <w:t>2</w:t>
      </w:r>
      <w:r w:rsidRPr="00FC3E0C">
        <w:rPr>
          <w:rFonts w:ascii="Arial" w:hAnsi="Arial" w:cs="Arial"/>
        </w:rPr>
        <w:t xml:space="preserve"> Ionawr 2025</w:t>
      </w:r>
      <w:r>
        <w:rPr>
          <w:rFonts w:ascii="Arial" w:hAnsi="Arial" w:cs="Arial"/>
        </w:rPr>
        <w:t>)</w:t>
      </w:r>
      <w:r w:rsidRPr="00FC3E0C">
        <w:rPr>
          <w:rFonts w:ascii="Arial" w:hAnsi="Arial" w:cs="Arial"/>
        </w:rPr>
        <w:t>.</w:t>
      </w:r>
    </w:p>
    <w:p w14:paraId="00C5D1B4" w14:textId="402C5C9B" w:rsidR="00FC3E0C" w:rsidRPr="00FC3E0C" w:rsidRDefault="00FC3E0C" w:rsidP="00FC3E0C">
      <w:pPr>
        <w:spacing w:line="360" w:lineRule="auto"/>
        <w:rPr>
          <w:rFonts w:ascii="Arial" w:hAnsi="Arial" w:cs="Arial"/>
        </w:rPr>
      </w:pPr>
      <w:r w:rsidRPr="00FC3E0C">
        <w:rPr>
          <w:rFonts w:ascii="Arial" w:hAnsi="Arial" w:cs="Arial"/>
        </w:rPr>
        <w:t xml:space="preserve">Llywodraeth Cymru (2020). </w:t>
      </w:r>
      <w:r w:rsidRPr="00FC3E0C">
        <w:rPr>
          <w:rFonts w:ascii="Arial" w:hAnsi="Arial" w:cs="Arial"/>
          <w:i/>
          <w:iCs/>
        </w:rPr>
        <w:t>Datblygu gweledigaeth ar gyfer cynllunio cwricwlwm - Hwb</w:t>
      </w:r>
      <w:r w:rsidRPr="00FC3E0C">
        <w:rPr>
          <w:rFonts w:ascii="Arial" w:hAnsi="Arial" w:cs="Arial"/>
        </w:rPr>
        <w:t xml:space="preserve">. hwb.gov.wales. https://hwb.gov.wales/cwricwlwm-i-gymru/cynllunio-eich-cwricwlwm/datblygu-gweledigaeth-ar-gyfer-cynllunio-cwricwlwm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400AA2EF" w14:textId="71D6FE34" w:rsidR="00FC3E0C" w:rsidRPr="00FC3E0C" w:rsidRDefault="00FC3E0C" w:rsidP="00FC3E0C">
      <w:pPr>
        <w:spacing w:line="360" w:lineRule="auto"/>
        <w:rPr>
          <w:rFonts w:ascii="Arial" w:hAnsi="Arial" w:cs="Arial"/>
        </w:rPr>
      </w:pPr>
      <w:r w:rsidRPr="00FC3E0C">
        <w:rPr>
          <w:rFonts w:ascii="Arial" w:hAnsi="Arial" w:cs="Arial"/>
        </w:rPr>
        <w:t xml:space="preserve">Llywodraeth y DU (2018). </w:t>
      </w:r>
      <w:r w:rsidRPr="00FC3E0C">
        <w:rPr>
          <w:rFonts w:ascii="Arial" w:hAnsi="Arial" w:cs="Arial"/>
          <w:i/>
          <w:iCs/>
        </w:rPr>
        <w:t>Data Protection Act</w:t>
      </w:r>
      <w:r w:rsidRPr="00FC3E0C">
        <w:rPr>
          <w:rFonts w:ascii="Arial" w:hAnsi="Arial" w:cs="Arial"/>
        </w:rPr>
        <w:t xml:space="preserve">. GOV.UK. https://www.gov.uk/data-protection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73197BAC" w14:textId="682FC02C" w:rsidR="00FC3E0C" w:rsidRPr="00FC3E0C" w:rsidRDefault="00FC3E0C" w:rsidP="00FC3E0C">
      <w:pPr>
        <w:spacing w:line="360" w:lineRule="auto"/>
        <w:rPr>
          <w:rFonts w:ascii="Arial" w:hAnsi="Arial" w:cs="Arial"/>
        </w:rPr>
      </w:pPr>
      <w:r w:rsidRPr="00FC3E0C">
        <w:rPr>
          <w:rFonts w:ascii="Arial" w:hAnsi="Arial" w:cs="Arial"/>
        </w:rPr>
        <w:t xml:space="preserve">Lowery, C.L. a Jenlink, P.M. (2019). </w:t>
      </w:r>
      <w:r w:rsidRPr="00FC3E0C">
        <w:rPr>
          <w:rFonts w:ascii="Arial" w:hAnsi="Arial" w:cs="Arial"/>
          <w:i/>
          <w:iCs/>
        </w:rPr>
        <w:t>The Handbook of Dewey’s Educational Theory and Practice</w:t>
      </w:r>
      <w:r w:rsidRPr="00FC3E0C">
        <w:rPr>
          <w:rFonts w:ascii="Arial" w:hAnsi="Arial" w:cs="Arial"/>
        </w:rPr>
        <w:t xml:space="preserve">. Leiden, The Netherlands: Brill, </w:t>
      </w:r>
      <w:r>
        <w:rPr>
          <w:rFonts w:ascii="Arial" w:hAnsi="Arial" w:cs="Arial"/>
        </w:rPr>
        <w:t>tud</w:t>
      </w:r>
      <w:r w:rsidRPr="00FC3E0C">
        <w:rPr>
          <w:rFonts w:ascii="Arial" w:hAnsi="Arial" w:cs="Arial"/>
        </w:rPr>
        <w:t>.52.</w:t>
      </w:r>
    </w:p>
    <w:p w14:paraId="33AA5A6A" w14:textId="0D7E5834" w:rsidR="00FC3E0C" w:rsidRPr="00FC3E0C" w:rsidRDefault="00FC3E0C" w:rsidP="00FC3E0C">
      <w:pPr>
        <w:spacing w:line="360" w:lineRule="auto"/>
        <w:rPr>
          <w:rFonts w:ascii="Arial" w:hAnsi="Arial" w:cs="Arial"/>
        </w:rPr>
      </w:pPr>
      <w:r w:rsidRPr="00FC3E0C">
        <w:rPr>
          <w:rFonts w:ascii="Arial" w:hAnsi="Arial" w:cs="Arial"/>
        </w:rPr>
        <w:t xml:space="preserve">MacRae, C. a Jones, L. (2020). A philosophical reflection on the ‘Leuven Scale’ and young children’s expressions of involvement. </w:t>
      </w:r>
      <w:r w:rsidRPr="00FC3E0C">
        <w:rPr>
          <w:rFonts w:ascii="Arial" w:hAnsi="Arial" w:cs="Arial"/>
          <w:i/>
          <w:iCs/>
        </w:rPr>
        <w:t>International Journal of Qualitative Studies in Education</w:t>
      </w:r>
      <w:r w:rsidRPr="00FC3E0C">
        <w:rPr>
          <w:rFonts w:ascii="Arial" w:hAnsi="Arial" w:cs="Arial"/>
        </w:rPr>
        <w:t xml:space="preserve">, 36(2), </w:t>
      </w:r>
      <w:r>
        <w:rPr>
          <w:rFonts w:ascii="Arial" w:hAnsi="Arial" w:cs="Arial"/>
        </w:rPr>
        <w:t>tud</w:t>
      </w:r>
      <w:r w:rsidRPr="00FC3E0C">
        <w:rPr>
          <w:rFonts w:ascii="Arial" w:hAnsi="Arial" w:cs="Arial"/>
        </w:rPr>
        <w:t xml:space="preserve">.1–13. https://www.tandfonline.com/doi/full/10.1080/09518398.2020.1828650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295B61C3" w14:textId="636F10A5" w:rsidR="00FC3E0C" w:rsidRPr="00FC3E0C" w:rsidRDefault="00FC3E0C" w:rsidP="00FC3E0C">
      <w:pPr>
        <w:spacing w:line="360" w:lineRule="auto"/>
        <w:rPr>
          <w:rFonts w:ascii="Arial" w:hAnsi="Arial" w:cs="Arial"/>
        </w:rPr>
      </w:pPr>
      <w:r w:rsidRPr="00FC3E0C">
        <w:rPr>
          <w:rFonts w:ascii="Arial" w:hAnsi="Arial" w:cs="Arial"/>
        </w:rPr>
        <w:t xml:space="preserve">Main, P. (2023). </w:t>
      </w:r>
      <w:r w:rsidRPr="00FC3E0C">
        <w:rPr>
          <w:rFonts w:ascii="Arial" w:hAnsi="Arial" w:cs="Arial"/>
          <w:i/>
          <w:iCs/>
        </w:rPr>
        <w:t>John Dewey’s Theory</w:t>
      </w:r>
      <w:r w:rsidRPr="00FC3E0C">
        <w:rPr>
          <w:rFonts w:ascii="Arial" w:hAnsi="Arial" w:cs="Arial"/>
        </w:rPr>
        <w:t>. Structural Learning</w:t>
      </w:r>
      <w:r>
        <w:rPr>
          <w:rFonts w:ascii="Arial" w:hAnsi="Arial" w:cs="Arial"/>
        </w:rPr>
        <w:t xml:space="preserve">. </w:t>
      </w:r>
      <w:r w:rsidRPr="00FC3E0C">
        <w:rPr>
          <w:rFonts w:ascii="Arial" w:hAnsi="Arial" w:cs="Arial"/>
        </w:rPr>
        <w:t xml:space="preserve">https://www.structural-learning.com/post/john-deweys-theory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31C233BB" w14:textId="1C189834" w:rsidR="00FC3E0C" w:rsidRPr="00FC3E0C" w:rsidRDefault="00FC3E0C" w:rsidP="00FC3E0C">
      <w:pPr>
        <w:spacing w:line="360" w:lineRule="auto"/>
        <w:rPr>
          <w:rFonts w:ascii="Arial" w:hAnsi="Arial" w:cs="Arial"/>
        </w:rPr>
      </w:pPr>
      <w:r w:rsidRPr="00FC3E0C">
        <w:rPr>
          <w:rFonts w:ascii="Arial" w:hAnsi="Arial" w:cs="Arial"/>
        </w:rPr>
        <w:t xml:space="preserve">Mashuri, S., Sarib, M., Alhabsyi, F., Syam, H. a Ruslin, R. (2022). </w:t>
      </w:r>
      <w:r w:rsidRPr="00FC3E0C">
        <w:rPr>
          <w:rFonts w:ascii="Arial" w:hAnsi="Arial" w:cs="Arial"/>
          <w:i/>
          <w:iCs/>
        </w:rPr>
        <w:t>Semi-structured interview: A methodological reflection on the development of a qualitative research instrument in educational studies</w:t>
      </w:r>
      <w:r w:rsidRPr="00FC3E0C">
        <w:rPr>
          <w:rFonts w:ascii="Arial" w:hAnsi="Arial" w:cs="Arial"/>
        </w:rPr>
        <w:t xml:space="preserve">. ResearchGate. https://www.researchgate.net/publication/358893176_Semi-structured_Interview_A_Methodological_Reflection_on_the_Development_of_a_Qualitative_Research_Instrument_in_Educational_Studies </w:t>
      </w:r>
      <w:r>
        <w:rPr>
          <w:rFonts w:ascii="Arial" w:hAnsi="Arial" w:cs="Arial"/>
        </w:rPr>
        <w:t>(</w:t>
      </w:r>
      <w:r w:rsidRPr="00FC3E0C">
        <w:rPr>
          <w:rFonts w:ascii="Arial" w:hAnsi="Arial" w:cs="Arial"/>
        </w:rPr>
        <w:t xml:space="preserve">Cyrchwyd </w:t>
      </w:r>
      <w:r>
        <w:rPr>
          <w:rFonts w:ascii="Arial" w:hAnsi="Arial" w:cs="Arial"/>
        </w:rPr>
        <w:t>6</w:t>
      </w:r>
      <w:r w:rsidRPr="00FC3E0C">
        <w:rPr>
          <w:rFonts w:ascii="Arial" w:hAnsi="Arial" w:cs="Arial"/>
        </w:rPr>
        <w:t xml:space="preserve"> Ionawr 2025</w:t>
      </w:r>
      <w:r>
        <w:rPr>
          <w:rFonts w:ascii="Arial" w:hAnsi="Arial" w:cs="Arial"/>
        </w:rPr>
        <w:t>)</w:t>
      </w:r>
      <w:r w:rsidRPr="00FC3E0C">
        <w:rPr>
          <w:rFonts w:ascii="Arial" w:hAnsi="Arial" w:cs="Arial"/>
        </w:rPr>
        <w:t>.</w:t>
      </w:r>
    </w:p>
    <w:p w14:paraId="02476820" w14:textId="181E7E10" w:rsidR="00FC3E0C" w:rsidRPr="00FC3E0C" w:rsidRDefault="00FC3E0C" w:rsidP="00FC3E0C">
      <w:pPr>
        <w:spacing w:line="360" w:lineRule="auto"/>
        <w:rPr>
          <w:rFonts w:ascii="Arial" w:hAnsi="Arial" w:cs="Arial"/>
        </w:rPr>
      </w:pPr>
      <w:r w:rsidRPr="00FC3E0C">
        <w:rPr>
          <w:rFonts w:ascii="Arial" w:hAnsi="Arial" w:cs="Arial"/>
        </w:rPr>
        <w:lastRenderedPageBreak/>
        <w:t xml:space="preserve">Merriam, S.B. a Tisdell, E.J. (2016). </w:t>
      </w:r>
      <w:r w:rsidRPr="00FC3E0C">
        <w:rPr>
          <w:rFonts w:ascii="Arial" w:hAnsi="Arial" w:cs="Arial"/>
          <w:i/>
          <w:iCs/>
        </w:rPr>
        <w:t>Qualitative research: a Guide to Design and Implementation</w:t>
      </w:r>
      <w:r w:rsidRPr="00FC3E0C">
        <w:rPr>
          <w:rFonts w:ascii="Arial" w:hAnsi="Arial" w:cs="Arial"/>
        </w:rPr>
        <w:t xml:space="preserve">. 4th ed. San Francisco, Ca: Jossey-Bass, </w:t>
      </w:r>
      <w:r>
        <w:rPr>
          <w:rFonts w:ascii="Arial" w:hAnsi="Arial" w:cs="Arial"/>
        </w:rPr>
        <w:t>tud</w:t>
      </w:r>
      <w:r w:rsidRPr="00FC3E0C">
        <w:rPr>
          <w:rFonts w:ascii="Arial" w:hAnsi="Arial" w:cs="Arial"/>
        </w:rPr>
        <w:t>.137.</w:t>
      </w:r>
    </w:p>
    <w:p w14:paraId="08724947" w14:textId="23605EA0" w:rsidR="00FC3E0C" w:rsidRPr="00FC3E0C" w:rsidRDefault="00FC3E0C" w:rsidP="00FC3E0C">
      <w:pPr>
        <w:spacing w:line="360" w:lineRule="auto"/>
        <w:rPr>
          <w:rFonts w:ascii="Arial" w:hAnsi="Arial" w:cs="Arial"/>
        </w:rPr>
      </w:pPr>
      <w:r w:rsidRPr="00FC3E0C">
        <w:rPr>
          <w:rFonts w:ascii="Arial" w:hAnsi="Arial" w:cs="Arial"/>
        </w:rPr>
        <w:t xml:space="preserve">Moore, A., Stapley, E., Hayes, D., Town, R. a Deighton, J. (2022). Barriers and Facilitators to Sustaining School-Based Mental Health and Wellbeing Interventions: a Systematic Review. </w:t>
      </w:r>
      <w:r w:rsidRPr="00FC3E0C">
        <w:rPr>
          <w:rFonts w:ascii="Arial" w:hAnsi="Arial" w:cs="Arial"/>
          <w:i/>
          <w:iCs/>
        </w:rPr>
        <w:t>International Journal of Environmental Research and Public Health</w:t>
      </w:r>
      <w:r w:rsidRPr="00FC3E0C">
        <w:rPr>
          <w:rFonts w:ascii="Arial" w:hAnsi="Arial" w:cs="Arial"/>
        </w:rPr>
        <w:t>, 19(6).</w:t>
      </w:r>
    </w:p>
    <w:p w14:paraId="2371DE5F" w14:textId="322A1FD7" w:rsidR="00FC3E0C" w:rsidRPr="00FC3E0C" w:rsidRDefault="00FC3E0C" w:rsidP="00FC3E0C">
      <w:pPr>
        <w:spacing w:line="360" w:lineRule="auto"/>
        <w:rPr>
          <w:rFonts w:ascii="Arial" w:hAnsi="Arial" w:cs="Arial"/>
        </w:rPr>
      </w:pPr>
      <w:r w:rsidRPr="00FC3E0C">
        <w:rPr>
          <w:rFonts w:ascii="Arial" w:hAnsi="Arial" w:cs="Arial"/>
        </w:rPr>
        <w:t xml:space="preserve">Naeem, M., Ozuem, W., Howell, K.E. a Ranfagni, S. (2023). A Step-by-Step Process of Thematic Analysis to Develop a Conceptual Model in Qualitative Research. </w:t>
      </w:r>
      <w:r w:rsidRPr="00FC3E0C">
        <w:rPr>
          <w:rFonts w:ascii="Arial" w:hAnsi="Arial" w:cs="Arial"/>
          <w:i/>
          <w:iCs/>
        </w:rPr>
        <w:t>International Journal of Qualitative Methods</w:t>
      </w:r>
      <w:r w:rsidRPr="00FC3E0C">
        <w:rPr>
          <w:rFonts w:ascii="Arial" w:hAnsi="Arial" w:cs="Arial"/>
        </w:rPr>
        <w:t xml:space="preserve">, 22(1), </w:t>
      </w:r>
      <w:r>
        <w:rPr>
          <w:rFonts w:ascii="Arial" w:hAnsi="Arial" w:cs="Arial"/>
        </w:rPr>
        <w:t>tud</w:t>
      </w:r>
      <w:r w:rsidRPr="00FC3E0C">
        <w:rPr>
          <w:rFonts w:ascii="Arial" w:hAnsi="Arial" w:cs="Arial"/>
        </w:rPr>
        <w:t>.1–18.</w:t>
      </w:r>
    </w:p>
    <w:p w14:paraId="626CA81C" w14:textId="5B434292" w:rsidR="00FC3E0C" w:rsidRPr="00FC3E0C" w:rsidRDefault="00FC3E0C" w:rsidP="00FC3E0C">
      <w:pPr>
        <w:spacing w:line="360" w:lineRule="auto"/>
        <w:rPr>
          <w:rFonts w:ascii="Arial" w:hAnsi="Arial" w:cs="Arial"/>
        </w:rPr>
      </w:pPr>
      <w:r w:rsidRPr="00FC3E0C">
        <w:rPr>
          <w:rFonts w:ascii="Arial" w:hAnsi="Arial" w:cs="Arial"/>
        </w:rPr>
        <w:t xml:space="preserve">NHS (2013). </w:t>
      </w:r>
      <w:r w:rsidRPr="00FC3E0C">
        <w:rPr>
          <w:rFonts w:ascii="Arial" w:hAnsi="Arial" w:cs="Arial"/>
          <w:i/>
          <w:iCs/>
        </w:rPr>
        <w:t>Exercise for children and young people</w:t>
      </w:r>
      <w:r w:rsidRPr="00FC3E0C">
        <w:rPr>
          <w:rFonts w:ascii="Arial" w:hAnsi="Arial" w:cs="Arial"/>
        </w:rPr>
        <w:t xml:space="preserve">. GOSH Hospital site. https://www.gosh.nhs.uk/conditions-and-treatments/general-health-advice/leading-active-lifestyle/exercise-children-and-young-people/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7D7A214F" w14:textId="794F9CC2" w:rsidR="00FC3E0C" w:rsidRPr="00FC3E0C" w:rsidRDefault="00FC3E0C" w:rsidP="00FC3E0C">
      <w:pPr>
        <w:spacing w:line="360" w:lineRule="auto"/>
        <w:rPr>
          <w:rFonts w:ascii="Arial" w:hAnsi="Arial" w:cs="Arial"/>
        </w:rPr>
      </w:pPr>
      <w:r w:rsidRPr="00FC3E0C">
        <w:rPr>
          <w:rFonts w:ascii="Arial" w:hAnsi="Arial" w:cs="Arial"/>
        </w:rPr>
        <w:t xml:space="preserve">Office for National Statistics (2020). </w:t>
      </w:r>
      <w:r w:rsidRPr="00FC3E0C">
        <w:rPr>
          <w:rFonts w:ascii="Arial" w:hAnsi="Arial" w:cs="Arial"/>
          <w:i/>
          <w:iCs/>
        </w:rPr>
        <w:t>Young people’s well-being in the UK - Office for National Statistics</w:t>
      </w:r>
      <w:r w:rsidRPr="00FC3E0C">
        <w:rPr>
          <w:rFonts w:ascii="Arial" w:hAnsi="Arial" w:cs="Arial"/>
        </w:rPr>
        <w:t xml:space="preserve">. www.ons.gov.uk. https://www.ons.gov.uk/peoplepopulationandcommunity/wellbeing/bulletins/youngpeopleswellbeingintheuk/2020 </w:t>
      </w:r>
      <w:r>
        <w:rPr>
          <w:rFonts w:ascii="Arial" w:hAnsi="Arial" w:cs="Arial"/>
        </w:rPr>
        <w:t>(</w:t>
      </w:r>
      <w:r w:rsidRPr="00FC3E0C">
        <w:rPr>
          <w:rFonts w:ascii="Arial" w:hAnsi="Arial" w:cs="Arial"/>
        </w:rPr>
        <w:t xml:space="preserve">Cyrchwyd </w:t>
      </w:r>
      <w:r>
        <w:rPr>
          <w:rFonts w:ascii="Arial" w:hAnsi="Arial" w:cs="Arial"/>
        </w:rPr>
        <w:t>4</w:t>
      </w:r>
      <w:r w:rsidRPr="00FC3E0C">
        <w:rPr>
          <w:rFonts w:ascii="Arial" w:hAnsi="Arial" w:cs="Arial"/>
        </w:rPr>
        <w:t xml:space="preserve"> Ionawr 2025</w:t>
      </w:r>
      <w:r>
        <w:rPr>
          <w:rFonts w:ascii="Arial" w:hAnsi="Arial" w:cs="Arial"/>
        </w:rPr>
        <w:t>)</w:t>
      </w:r>
      <w:r w:rsidRPr="00FC3E0C">
        <w:rPr>
          <w:rFonts w:ascii="Arial" w:hAnsi="Arial" w:cs="Arial"/>
        </w:rPr>
        <w:t>.</w:t>
      </w:r>
    </w:p>
    <w:p w14:paraId="515CC1D8" w14:textId="73FC50B5" w:rsidR="00FC3E0C" w:rsidRPr="00FC3E0C" w:rsidRDefault="00FC3E0C" w:rsidP="00FC3E0C">
      <w:pPr>
        <w:spacing w:line="360" w:lineRule="auto"/>
        <w:rPr>
          <w:rFonts w:ascii="Arial" w:hAnsi="Arial" w:cs="Arial"/>
        </w:rPr>
      </w:pPr>
      <w:r w:rsidRPr="00FC3E0C">
        <w:rPr>
          <w:rFonts w:ascii="Arial" w:hAnsi="Arial" w:cs="Arial"/>
        </w:rPr>
        <w:t xml:space="preserve">Polit, D.F. a Beck, C.T. (2010). Generalization in Quantitative and Qualitative Research: Myths and Strategies. </w:t>
      </w:r>
      <w:r w:rsidRPr="00FC3E0C">
        <w:rPr>
          <w:rFonts w:ascii="Arial" w:hAnsi="Arial" w:cs="Arial"/>
          <w:i/>
          <w:iCs/>
        </w:rPr>
        <w:t>International Journal of Nursing Studies</w:t>
      </w:r>
      <w:r w:rsidRPr="00FC3E0C">
        <w:rPr>
          <w:rFonts w:ascii="Arial" w:hAnsi="Arial" w:cs="Arial"/>
        </w:rPr>
        <w:t xml:space="preserve">, 47(11), </w:t>
      </w:r>
      <w:r>
        <w:rPr>
          <w:rFonts w:ascii="Arial" w:hAnsi="Arial" w:cs="Arial"/>
        </w:rPr>
        <w:t>tud</w:t>
      </w:r>
      <w:r w:rsidRPr="00FC3E0C">
        <w:rPr>
          <w:rFonts w:ascii="Arial" w:hAnsi="Arial" w:cs="Arial"/>
        </w:rPr>
        <w:t xml:space="preserve">.1451–1458. https://www.sciencedirect.com/science/article/pii/S0020748910002063 </w:t>
      </w:r>
      <w:r>
        <w:rPr>
          <w:rFonts w:ascii="Arial" w:hAnsi="Arial" w:cs="Arial"/>
        </w:rPr>
        <w:t>(</w:t>
      </w:r>
      <w:r w:rsidRPr="00FC3E0C">
        <w:rPr>
          <w:rFonts w:ascii="Arial" w:hAnsi="Arial" w:cs="Arial"/>
        </w:rPr>
        <w:t xml:space="preserve">Cyrchwyd </w:t>
      </w:r>
      <w:r>
        <w:rPr>
          <w:rFonts w:ascii="Arial" w:hAnsi="Arial" w:cs="Arial"/>
        </w:rPr>
        <w:t>5</w:t>
      </w:r>
      <w:r w:rsidRPr="00FC3E0C">
        <w:rPr>
          <w:rFonts w:ascii="Arial" w:hAnsi="Arial" w:cs="Arial"/>
        </w:rPr>
        <w:t xml:space="preserve"> Ionawr 2025</w:t>
      </w:r>
      <w:r>
        <w:rPr>
          <w:rFonts w:ascii="Arial" w:hAnsi="Arial" w:cs="Arial"/>
        </w:rPr>
        <w:t>)</w:t>
      </w:r>
      <w:r w:rsidRPr="00FC3E0C">
        <w:rPr>
          <w:rFonts w:ascii="Arial" w:hAnsi="Arial" w:cs="Arial"/>
        </w:rPr>
        <w:t>.</w:t>
      </w:r>
    </w:p>
    <w:p w14:paraId="6E8555E8" w14:textId="744A8A07" w:rsidR="00FC3E0C" w:rsidRPr="00FC3E0C" w:rsidRDefault="00FC3E0C" w:rsidP="00FC3E0C">
      <w:pPr>
        <w:spacing w:line="360" w:lineRule="auto"/>
        <w:rPr>
          <w:rFonts w:ascii="Arial" w:hAnsi="Arial" w:cs="Arial"/>
        </w:rPr>
      </w:pPr>
      <w:r w:rsidRPr="00FC3E0C">
        <w:rPr>
          <w:rFonts w:ascii="Arial" w:hAnsi="Arial" w:cs="Arial"/>
        </w:rPr>
        <w:t xml:space="preserve">Reiner, M., Niermann, C., Jekauc, D. a Woll, A. (2013). Long-term health benefits of physical activity – a systematic review of longitudinal studies. </w:t>
      </w:r>
      <w:r w:rsidRPr="00FC3E0C">
        <w:rPr>
          <w:rFonts w:ascii="Arial" w:hAnsi="Arial" w:cs="Arial"/>
          <w:i/>
          <w:iCs/>
        </w:rPr>
        <w:t>BMC Public Health</w:t>
      </w:r>
      <w:r w:rsidRPr="00FC3E0C">
        <w:rPr>
          <w:rFonts w:ascii="Arial" w:hAnsi="Arial" w:cs="Arial"/>
        </w:rPr>
        <w:t>, 13(1).</w:t>
      </w:r>
    </w:p>
    <w:p w14:paraId="0C3D8857" w14:textId="435917FD" w:rsidR="00FC3E0C" w:rsidRPr="00FC3E0C" w:rsidRDefault="00FC3E0C" w:rsidP="00FC3E0C">
      <w:pPr>
        <w:spacing w:line="360" w:lineRule="auto"/>
        <w:rPr>
          <w:rFonts w:ascii="Arial" w:hAnsi="Arial" w:cs="Arial"/>
        </w:rPr>
      </w:pPr>
      <w:r w:rsidRPr="00FC3E0C">
        <w:rPr>
          <w:rFonts w:ascii="Arial" w:hAnsi="Arial" w:cs="Arial"/>
        </w:rPr>
        <w:t xml:space="preserve">Robson-Kelly, L. (2022). </w:t>
      </w:r>
      <w:r w:rsidRPr="00FC3E0C">
        <w:rPr>
          <w:rFonts w:ascii="Arial" w:hAnsi="Arial" w:cs="Arial"/>
          <w:i/>
          <w:iCs/>
        </w:rPr>
        <w:t>Why is mental health and wellbeing important for schools?</w:t>
      </w:r>
      <w:r w:rsidRPr="00FC3E0C">
        <w:rPr>
          <w:rFonts w:ascii="Arial" w:hAnsi="Arial" w:cs="Arial"/>
        </w:rPr>
        <w:t xml:space="preserve"> www.worthit.org.uk. https://www.worthit.org.uk/blog/school-mental-health-wellbeing-important </w:t>
      </w:r>
      <w:r w:rsidR="002C5775">
        <w:rPr>
          <w:rFonts w:ascii="Arial" w:hAnsi="Arial" w:cs="Arial"/>
        </w:rPr>
        <w:t>(</w:t>
      </w:r>
      <w:r w:rsidR="002C5775" w:rsidRPr="00FC3E0C">
        <w:rPr>
          <w:rFonts w:ascii="Arial" w:hAnsi="Arial" w:cs="Arial"/>
        </w:rPr>
        <w:t xml:space="preserve">Cyrchwyd </w:t>
      </w:r>
      <w:r w:rsidR="002C5775">
        <w:rPr>
          <w:rFonts w:ascii="Arial" w:hAnsi="Arial" w:cs="Arial"/>
        </w:rPr>
        <w:t>7</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2FA42A2D" w14:textId="6BFCB7D9" w:rsidR="00FC3E0C" w:rsidRPr="00FC3E0C" w:rsidRDefault="00FC3E0C" w:rsidP="00FC3E0C">
      <w:pPr>
        <w:spacing w:line="360" w:lineRule="auto"/>
        <w:rPr>
          <w:rFonts w:ascii="Arial" w:hAnsi="Arial" w:cs="Arial"/>
        </w:rPr>
      </w:pPr>
      <w:r w:rsidRPr="00FC3E0C">
        <w:rPr>
          <w:rFonts w:ascii="Arial" w:hAnsi="Arial" w:cs="Arial"/>
        </w:rPr>
        <w:t xml:space="preserve">Saxena, S., Van Ommeren, M., Tang, K.C. a Armstrong, T.P. (2005). Mental health beneﬁts of physical activity. </w:t>
      </w:r>
      <w:r w:rsidRPr="00FC3E0C">
        <w:rPr>
          <w:rFonts w:ascii="Arial" w:hAnsi="Arial" w:cs="Arial"/>
          <w:i/>
          <w:iCs/>
        </w:rPr>
        <w:t>Journal of Mental Health</w:t>
      </w:r>
      <w:r w:rsidRPr="00FC3E0C">
        <w:rPr>
          <w:rFonts w:ascii="Arial" w:hAnsi="Arial" w:cs="Arial"/>
        </w:rPr>
        <w:t xml:space="preserve">, 14(5), </w:t>
      </w:r>
      <w:r w:rsidR="002C5775">
        <w:rPr>
          <w:rFonts w:ascii="Arial" w:hAnsi="Arial" w:cs="Arial"/>
        </w:rPr>
        <w:t>tud</w:t>
      </w:r>
      <w:r w:rsidRPr="00FC3E0C">
        <w:rPr>
          <w:rFonts w:ascii="Arial" w:hAnsi="Arial" w:cs="Arial"/>
        </w:rPr>
        <w:t>.445–451.</w:t>
      </w:r>
    </w:p>
    <w:p w14:paraId="47F2DF82" w14:textId="6C29D3DF" w:rsidR="00FC3E0C" w:rsidRPr="00FC3E0C" w:rsidRDefault="00FC3E0C" w:rsidP="00FC3E0C">
      <w:pPr>
        <w:spacing w:line="360" w:lineRule="auto"/>
        <w:rPr>
          <w:rFonts w:ascii="Arial" w:hAnsi="Arial" w:cs="Arial"/>
        </w:rPr>
      </w:pPr>
      <w:r w:rsidRPr="00FC3E0C">
        <w:rPr>
          <w:rFonts w:ascii="Arial" w:hAnsi="Arial" w:cs="Arial"/>
        </w:rPr>
        <w:t xml:space="preserve">Šimundić, A.-M. (2013). Bias in Research. </w:t>
      </w:r>
      <w:r w:rsidRPr="00FC3E0C">
        <w:rPr>
          <w:rFonts w:ascii="Arial" w:hAnsi="Arial" w:cs="Arial"/>
          <w:i/>
          <w:iCs/>
        </w:rPr>
        <w:t>Biochemia Medica</w:t>
      </w:r>
      <w:r w:rsidRPr="00FC3E0C">
        <w:rPr>
          <w:rFonts w:ascii="Arial" w:hAnsi="Arial" w:cs="Arial"/>
        </w:rPr>
        <w:t xml:space="preserve">, 23(1), pp.12–15. https://www.ncbi.nlm.nih.gov/pmc/articles/PMC3900086/ </w:t>
      </w:r>
      <w:r w:rsidR="002C5775">
        <w:rPr>
          <w:rFonts w:ascii="Arial" w:hAnsi="Arial" w:cs="Arial"/>
        </w:rPr>
        <w:t>(</w:t>
      </w:r>
      <w:r w:rsidR="002C5775" w:rsidRPr="00FC3E0C">
        <w:rPr>
          <w:rFonts w:ascii="Arial" w:hAnsi="Arial" w:cs="Arial"/>
        </w:rPr>
        <w:t xml:space="preserve">Cyrchwyd </w:t>
      </w:r>
      <w:r w:rsidR="002C5775">
        <w:rPr>
          <w:rFonts w:ascii="Arial" w:hAnsi="Arial" w:cs="Arial"/>
        </w:rPr>
        <w:t>5</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4B754BED" w14:textId="0A9CA792" w:rsidR="00FC3E0C" w:rsidRPr="00FC3E0C" w:rsidRDefault="00FC3E0C" w:rsidP="00FC3E0C">
      <w:pPr>
        <w:spacing w:line="360" w:lineRule="auto"/>
        <w:rPr>
          <w:rFonts w:ascii="Arial" w:hAnsi="Arial" w:cs="Arial"/>
        </w:rPr>
      </w:pPr>
      <w:r w:rsidRPr="00FC3E0C">
        <w:rPr>
          <w:rFonts w:ascii="Arial" w:hAnsi="Arial" w:cs="Arial"/>
        </w:rPr>
        <w:t xml:space="preserve">The British Psychological Society (2024). </w:t>
      </w:r>
      <w:r w:rsidRPr="00FC3E0C">
        <w:rPr>
          <w:rFonts w:ascii="Arial" w:hAnsi="Arial" w:cs="Arial"/>
          <w:i/>
          <w:iCs/>
        </w:rPr>
        <w:t>‘Happy children are better learners’</w:t>
      </w:r>
      <w:r w:rsidRPr="00FC3E0C">
        <w:rPr>
          <w:rFonts w:ascii="Arial" w:hAnsi="Arial" w:cs="Arial"/>
        </w:rPr>
        <w:t xml:space="preserve">. BPS. https://www.bps.org.uk/psychologist/happy-children-are-better-learners </w:t>
      </w:r>
      <w:r w:rsidR="002C5775">
        <w:rPr>
          <w:rFonts w:ascii="Arial" w:hAnsi="Arial" w:cs="Arial"/>
        </w:rPr>
        <w:t>(</w:t>
      </w:r>
      <w:r w:rsidR="002C5775" w:rsidRPr="00FC3E0C">
        <w:rPr>
          <w:rFonts w:ascii="Arial" w:hAnsi="Arial" w:cs="Arial"/>
        </w:rPr>
        <w:t xml:space="preserve">Cyrchwyd </w:t>
      </w:r>
      <w:r w:rsidR="002C5775">
        <w:rPr>
          <w:rFonts w:ascii="Arial" w:hAnsi="Arial" w:cs="Arial"/>
        </w:rPr>
        <w:t>4</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6DEEAACC" w14:textId="6938CCC6" w:rsidR="00FC3E0C" w:rsidRPr="00FC3E0C" w:rsidRDefault="00FC3E0C" w:rsidP="00FC3E0C">
      <w:pPr>
        <w:spacing w:line="360" w:lineRule="auto"/>
        <w:rPr>
          <w:rFonts w:ascii="Arial" w:hAnsi="Arial" w:cs="Arial"/>
        </w:rPr>
      </w:pPr>
      <w:r w:rsidRPr="00FC3E0C">
        <w:rPr>
          <w:rFonts w:ascii="Arial" w:hAnsi="Arial" w:cs="Arial"/>
        </w:rPr>
        <w:lastRenderedPageBreak/>
        <w:t xml:space="preserve">UK Data Service (2021). </w:t>
      </w:r>
      <w:r w:rsidRPr="00FC3E0C">
        <w:rPr>
          <w:rFonts w:ascii="Arial" w:hAnsi="Arial" w:cs="Arial"/>
          <w:i/>
          <w:iCs/>
        </w:rPr>
        <w:t>Transcription</w:t>
      </w:r>
      <w:r w:rsidRPr="00FC3E0C">
        <w:rPr>
          <w:rFonts w:ascii="Arial" w:hAnsi="Arial" w:cs="Arial"/>
        </w:rPr>
        <w:t xml:space="preserve">. UK Data Service. https://ukdataservice.ac.uk/learning-hub/research-data-management/format-your-data/transcription/ </w:t>
      </w:r>
      <w:r w:rsidR="002C5775">
        <w:rPr>
          <w:rFonts w:ascii="Arial" w:hAnsi="Arial" w:cs="Arial"/>
        </w:rPr>
        <w:t>(</w:t>
      </w:r>
      <w:r w:rsidR="002C5775" w:rsidRPr="00FC3E0C">
        <w:rPr>
          <w:rFonts w:ascii="Arial" w:hAnsi="Arial" w:cs="Arial"/>
        </w:rPr>
        <w:t xml:space="preserve">Cyrchwyd </w:t>
      </w:r>
      <w:r w:rsidR="002C5775">
        <w:rPr>
          <w:rFonts w:ascii="Arial" w:hAnsi="Arial" w:cs="Arial"/>
        </w:rPr>
        <w:t>6</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781B3CEE" w14:textId="518DE8F2" w:rsidR="00FC3E0C" w:rsidRPr="00FC3E0C" w:rsidRDefault="00FC3E0C" w:rsidP="00FC3E0C">
      <w:pPr>
        <w:spacing w:line="360" w:lineRule="auto"/>
        <w:rPr>
          <w:rFonts w:ascii="Arial" w:hAnsi="Arial" w:cs="Arial"/>
        </w:rPr>
      </w:pPr>
      <w:r w:rsidRPr="00FC3E0C">
        <w:rPr>
          <w:rFonts w:ascii="Arial" w:hAnsi="Arial" w:cs="Arial"/>
        </w:rPr>
        <w:t xml:space="preserve">Weller, S.C., Vickers, B., Bernard, H.R., Blackburn, A.M., Borgatti, S., Gravlee, C.C. a Johnson, J.C. (2018). Open-ended Interview Questions and Saturation. </w:t>
      </w:r>
      <w:r w:rsidRPr="00FC3E0C">
        <w:rPr>
          <w:rFonts w:ascii="Arial" w:hAnsi="Arial" w:cs="Arial"/>
          <w:i/>
          <w:iCs/>
        </w:rPr>
        <w:t>PloS One</w:t>
      </w:r>
      <w:r w:rsidRPr="00FC3E0C">
        <w:rPr>
          <w:rFonts w:ascii="Arial" w:hAnsi="Arial" w:cs="Arial"/>
        </w:rPr>
        <w:t xml:space="preserve">, 13(6), </w:t>
      </w:r>
      <w:r w:rsidR="002C5775">
        <w:rPr>
          <w:rFonts w:ascii="Arial" w:hAnsi="Arial" w:cs="Arial"/>
        </w:rPr>
        <w:t>tud</w:t>
      </w:r>
      <w:r w:rsidRPr="00FC3E0C">
        <w:rPr>
          <w:rFonts w:ascii="Arial" w:hAnsi="Arial" w:cs="Arial"/>
        </w:rPr>
        <w:t>.1–18.</w:t>
      </w:r>
    </w:p>
    <w:p w14:paraId="47FD7B29" w14:textId="34AF1276" w:rsidR="00FC3E0C" w:rsidRPr="00FC3E0C" w:rsidRDefault="00FC3E0C" w:rsidP="00FC3E0C">
      <w:pPr>
        <w:spacing w:line="360" w:lineRule="auto"/>
        <w:rPr>
          <w:rFonts w:ascii="Arial" w:hAnsi="Arial" w:cs="Arial"/>
        </w:rPr>
      </w:pPr>
      <w:r w:rsidRPr="00FC3E0C">
        <w:rPr>
          <w:rFonts w:ascii="Arial" w:hAnsi="Arial" w:cs="Arial"/>
        </w:rPr>
        <w:t xml:space="preserve">Williams, M.K. (2017). </w:t>
      </w:r>
      <w:r w:rsidRPr="00FC3E0C">
        <w:rPr>
          <w:rFonts w:ascii="Arial" w:hAnsi="Arial" w:cs="Arial"/>
          <w:i/>
          <w:iCs/>
        </w:rPr>
        <w:t>John Dewey in the 21st Century</w:t>
      </w:r>
      <w:r w:rsidRPr="00FC3E0C">
        <w:rPr>
          <w:rFonts w:ascii="Arial" w:hAnsi="Arial" w:cs="Arial"/>
        </w:rPr>
        <w:t>. Digital Commons at Buffalo State. https://digitalcommons.buffalostate.edu/jiae/vol9/iss1/7/ [</w:t>
      </w:r>
      <w:r w:rsidR="002C5775">
        <w:rPr>
          <w:rFonts w:ascii="Arial" w:hAnsi="Arial" w:cs="Arial"/>
        </w:rPr>
        <w:t>(</w:t>
      </w:r>
      <w:r w:rsidR="002C5775" w:rsidRPr="00FC3E0C">
        <w:rPr>
          <w:rFonts w:ascii="Arial" w:hAnsi="Arial" w:cs="Arial"/>
        </w:rPr>
        <w:t xml:space="preserve">Cyrchwyd </w:t>
      </w:r>
      <w:r w:rsidR="002C5775">
        <w:rPr>
          <w:rFonts w:ascii="Arial" w:hAnsi="Arial" w:cs="Arial"/>
        </w:rPr>
        <w:t>5</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626AA1BE" w14:textId="77777777" w:rsidR="00FC3E0C" w:rsidRPr="00FC3E0C" w:rsidRDefault="00FC3E0C" w:rsidP="00FC3E0C">
      <w:pPr>
        <w:spacing w:line="360" w:lineRule="auto"/>
        <w:rPr>
          <w:rFonts w:ascii="Arial" w:hAnsi="Arial" w:cs="Arial"/>
        </w:rPr>
      </w:pPr>
      <w:r w:rsidRPr="00FC3E0C">
        <w:rPr>
          <w:rFonts w:ascii="Arial" w:hAnsi="Arial" w:cs="Arial"/>
        </w:rPr>
        <w:t xml:space="preserve">Woolf, P. and Digby, J. (2023). </w:t>
      </w:r>
      <w:r w:rsidRPr="00FC3E0C">
        <w:rPr>
          <w:rFonts w:ascii="Arial" w:hAnsi="Arial" w:cs="Arial"/>
          <w:i/>
          <w:iCs/>
        </w:rPr>
        <w:t>Student Wellbeing: An analysis of the evidence</w:t>
      </w:r>
      <w:r w:rsidRPr="00FC3E0C">
        <w:rPr>
          <w:rFonts w:ascii="Arial" w:hAnsi="Arial" w:cs="Arial"/>
        </w:rPr>
        <w:t>.</w:t>
      </w:r>
    </w:p>
    <w:p w14:paraId="2FCBEBAA" w14:textId="359F7BF6" w:rsidR="00FC3E0C" w:rsidRPr="00FC3E0C" w:rsidRDefault="00FC3E0C" w:rsidP="00FC3E0C">
      <w:pPr>
        <w:spacing w:line="360" w:lineRule="auto"/>
        <w:rPr>
          <w:rFonts w:ascii="Arial" w:hAnsi="Arial" w:cs="Arial"/>
        </w:rPr>
      </w:pPr>
      <w:r w:rsidRPr="00FC3E0C">
        <w:rPr>
          <w:rFonts w:ascii="Arial" w:hAnsi="Arial" w:cs="Arial"/>
        </w:rPr>
        <w:t xml:space="preserve">World Health Organization (2024a). </w:t>
      </w:r>
      <w:r w:rsidRPr="00FC3E0C">
        <w:rPr>
          <w:rFonts w:ascii="Arial" w:hAnsi="Arial" w:cs="Arial"/>
          <w:i/>
          <w:iCs/>
        </w:rPr>
        <w:t>Nearly 1.8 billion adults at risk of disease from not doing enough physical activity</w:t>
      </w:r>
      <w:r w:rsidRPr="00FC3E0C">
        <w:rPr>
          <w:rFonts w:ascii="Arial" w:hAnsi="Arial" w:cs="Arial"/>
        </w:rPr>
        <w:t xml:space="preserve">. World Health Organization. https://www.who.int/news/item/26-06-2024-nearly-1.8-billion-adults-at-risk-of-disease-from-not-doing-enough-physical-activity </w:t>
      </w:r>
      <w:r w:rsidR="002C5775">
        <w:rPr>
          <w:rFonts w:ascii="Arial" w:hAnsi="Arial" w:cs="Arial"/>
        </w:rPr>
        <w:t>(</w:t>
      </w:r>
      <w:r w:rsidR="002C5775" w:rsidRPr="00FC3E0C">
        <w:rPr>
          <w:rFonts w:ascii="Arial" w:hAnsi="Arial" w:cs="Arial"/>
        </w:rPr>
        <w:t xml:space="preserve">Cyrchwyd </w:t>
      </w:r>
      <w:r w:rsidR="002C5775">
        <w:rPr>
          <w:rFonts w:ascii="Arial" w:hAnsi="Arial" w:cs="Arial"/>
        </w:rPr>
        <w:t>2</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3D1C92FA" w14:textId="6BEC0344" w:rsidR="00FC3E0C" w:rsidRPr="00FC3E0C" w:rsidRDefault="00FC3E0C" w:rsidP="00FC3E0C">
      <w:pPr>
        <w:spacing w:line="360" w:lineRule="auto"/>
        <w:rPr>
          <w:rFonts w:ascii="Arial" w:hAnsi="Arial" w:cs="Arial"/>
        </w:rPr>
      </w:pPr>
      <w:r w:rsidRPr="00FC3E0C">
        <w:rPr>
          <w:rFonts w:ascii="Arial" w:hAnsi="Arial" w:cs="Arial"/>
        </w:rPr>
        <w:t xml:space="preserve">World Health Organization (2024b). </w:t>
      </w:r>
      <w:r w:rsidRPr="00FC3E0C">
        <w:rPr>
          <w:rFonts w:ascii="Arial" w:hAnsi="Arial" w:cs="Arial"/>
          <w:i/>
          <w:iCs/>
        </w:rPr>
        <w:t>Obesity and overweight</w:t>
      </w:r>
      <w:r w:rsidRPr="00FC3E0C">
        <w:rPr>
          <w:rFonts w:ascii="Arial" w:hAnsi="Arial" w:cs="Arial"/>
        </w:rPr>
        <w:t xml:space="preserve">. World Health Organization. https://www.who.int/news-room/fact-sheets/detail/obesity-and-overweight </w:t>
      </w:r>
      <w:r w:rsidR="002C5775">
        <w:rPr>
          <w:rFonts w:ascii="Arial" w:hAnsi="Arial" w:cs="Arial"/>
        </w:rPr>
        <w:t>(</w:t>
      </w:r>
      <w:r w:rsidR="002C5775" w:rsidRPr="00FC3E0C">
        <w:rPr>
          <w:rFonts w:ascii="Arial" w:hAnsi="Arial" w:cs="Arial"/>
        </w:rPr>
        <w:t xml:space="preserve">Cyrchwyd </w:t>
      </w:r>
      <w:r w:rsidR="002C5775">
        <w:rPr>
          <w:rFonts w:ascii="Arial" w:hAnsi="Arial" w:cs="Arial"/>
        </w:rPr>
        <w:t>4</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0C3F5FD5" w14:textId="128BB5E6" w:rsidR="00FC3E0C" w:rsidRPr="00FC3E0C" w:rsidRDefault="00FC3E0C" w:rsidP="00FC3E0C">
      <w:pPr>
        <w:spacing w:line="360" w:lineRule="auto"/>
        <w:rPr>
          <w:rFonts w:ascii="Arial" w:hAnsi="Arial" w:cs="Arial"/>
        </w:rPr>
      </w:pPr>
      <w:r w:rsidRPr="00FC3E0C">
        <w:rPr>
          <w:rFonts w:ascii="Arial" w:hAnsi="Arial" w:cs="Arial"/>
        </w:rPr>
        <w:t xml:space="preserve">Yardley, E. (2024). </w:t>
      </w:r>
      <w:r w:rsidRPr="00FC3E0C">
        <w:rPr>
          <w:rFonts w:ascii="Arial" w:hAnsi="Arial" w:cs="Arial"/>
          <w:i/>
          <w:iCs/>
        </w:rPr>
        <w:t>Braun and Clarke Thematic Analysis - How to Do the six-step Process in Your Qualitative Research Project</w:t>
      </w:r>
      <w:r w:rsidRPr="00FC3E0C">
        <w:rPr>
          <w:rFonts w:ascii="Arial" w:hAnsi="Arial" w:cs="Arial"/>
        </w:rPr>
        <w:t xml:space="preserve">. https://www.thedegreedoctor.com/blog/braun-and-clarke-thematic-analysis-how-to-do-the-six-step-process-in-your-qualitative-research-project </w:t>
      </w:r>
      <w:r w:rsidR="002C5775">
        <w:rPr>
          <w:rFonts w:ascii="Arial" w:hAnsi="Arial" w:cs="Arial"/>
        </w:rPr>
        <w:t>(</w:t>
      </w:r>
      <w:r w:rsidR="002C5775" w:rsidRPr="00FC3E0C">
        <w:rPr>
          <w:rFonts w:ascii="Arial" w:hAnsi="Arial" w:cs="Arial"/>
        </w:rPr>
        <w:t xml:space="preserve">Cyrchwyd </w:t>
      </w:r>
      <w:r w:rsidR="002C5775">
        <w:rPr>
          <w:rFonts w:ascii="Arial" w:hAnsi="Arial" w:cs="Arial"/>
        </w:rPr>
        <w:t>6</w:t>
      </w:r>
      <w:r w:rsidR="002C5775" w:rsidRPr="00FC3E0C">
        <w:rPr>
          <w:rFonts w:ascii="Arial" w:hAnsi="Arial" w:cs="Arial"/>
        </w:rPr>
        <w:t xml:space="preserve"> Ionawr 2025</w:t>
      </w:r>
      <w:r w:rsidR="002C5775">
        <w:rPr>
          <w:rFonts w:ascii="Arial" w:hAnsi="Arial" w:cs="Arial"/>
        </w:rPr>
        <w:t>)</w:t>
      </w:r>
      <w:r w:rsidR="002C5775" w:rsidRPr="00FC3E0C">
        <w:rPr>
          <w:rFonts w:ascii="Arial" w:hAnsi="Arial" w:cs="Arial"/>
        </w:rPr>
        <w:t>.</w:t>
      </w:r>
    </w:p>
    <w:p w14:paraId="23B0275A" w14:textId="317DEFCA" w:rsidR="006105CD" w:rsidRPr="00F26B8B" w:rsidRDefault="00FC3E0C" w:rsidP="00F26B8B">
      <w:pPr>
        <w:spacing w:line="360" w:lineRule="auto"/>
        <w:rPr>
          <w:rFonts w:ascii="Arial" w:hAnsi="Arial" w:cs="Arial"/>
        </w:rPr>
      </w:pPr>
      <w:r w:rsidRPr="00FC3E0C">
        <w:rPr>
          <w:rFonts w:ascii="Arial" w:hAnsi="Arial" w:cs="Arial"/>
        </w:rPr>
        <w:t xml:space="preserve">Yip, S.Y. (2023). Positionality and reflexivity: Negotiating insider-outsider Positions within and across Cultures. </w:t>
      </w:r>
      <w:r w:rsidRPr="00FC3E0C">
        <w:rPr>
          <w:rFonts w:ascii="Arial" w:hAnsi="Arial" w:cs="Arial"/>
          <w:i/>
          <w:iCs/>
        </w:rPr>
        <w:t>International Journal of Research &amp; Method in Education</w:t>
      </w:r>
      <w:r w:rsidRPr="00FC3E0C">
        <w:rPr>
          <w:rFonts w:ascii="Arial" w:hAnsi="Arial" w:cs="Arial"/>
        </w:rPr>
        <w:t xml:space="preserve">, 47(3), </w:t>
      </w:r>
      <w:r w:rsidR="002C5775">
        <w:rPr>
          <w:rFonts w:ascii="Arial" w:hAnsi="Arial" w:cs="Arial"/>
        </w:rPr>
        <w:t>tud</w:t>
      </w:r>
      <w:r w:rsidRPr="00FC3E0C">
        <w:rPr>
          <w:rFonts w:ascii="Arial" w:hAnsi="Arial" w:cs="Arial"/>
        </w:rPr>
        <w:t>.1–11.</w:t>
      </w:r>
    </w:p>
    <w:p w14:paraId="0EAC5EAB" w14:textId="77777777" w:rsidR="006105CD" w:rsidRPr="006105CD" w:rsidRDefault="006105CD" w:rsidP="006105CD">
      <w:pPr>
        <w:rPr>
          <w:rFonts w:ascii="Arial" w:hAnsi="Arial" w:cs="Arial"/>
          <w:sz w:val="28"/>
          <w:szCs w:val="28"/>
        </w:rPr>
      </w:pPr>
    </w:p>
    <w:sectPr w:rsidR="006105CD" w:rsidRPr="006105C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EA902" w14:textId="77777777" w:rsidR="00753378" w:rsidRPr="00FC3E0C" w:rsidRDefault="00753378" w:rsidP="00F63FF5">
      <w:pPr>
        <w:spacing w:after="0" w:line="240" w:lineRule="auto"/>
      </w:pPr>
      <w:r w:rsidRPr="00FC3E0C">
        <w:separator/>
      </w:r>
    </w:p>
  </w:endnote>
  <w:endnote w:type="continuationSeparator" w:id="0">
    <w:p w14:paraId="59F2F8B9" w14:textId="77777777" w:rsidR="00753378" w:rsidRPr="00FC3E0C" w:rsidRDefault="00753378" w:rsidP="00F63FF5">
      <w:pPr>
        <w:spacing w:after="0" w:line="240" w:lineRule="auto"/>
      </w:pPr>
      <w:r w:rsidRPr="00FC3E0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6E242" w14:textId="77777777" w:rsidR="00753378" w:rsidRPr="00FC3E0C" w:rsidRDefault="00753378" w:rsidP="00F63FF5">
      <w:pPr>
        <w:spacing w:after="0" w:line="240" w:lineRule="auto"/>
      </w:pPr>
      <w:r w:rsidRPr="00FC3E0C">
        <w:separator/>
      </w:r>
    </w:p>
  </w:footnote>
  <w:footnote w:type="continuationSeparator" w:id="0">
    <w:p w14:paraId="65A0DD2A" w14:textId="77777777" w:rsidR="00753378" w:rsidRPr="00FC3E0C" w:rsidRDefault="00753378" w:rsidP="00F63FF5">
      <w:pPr>
        <w:spacing w:after="0" w:line="240" w:lineRule="auto"/>
      </w:pPr>
      <w:r w:rsidRPr="00FC3E0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2721B" w14:textId="1534983C" w:rsidR="00F63FF5" w:rsidRPr="00FC3E0C" w:rsidRDefault="00F63FF5">
    <w:pPr>
      <w:pStyle w:val="Header"/>
    </w:pPr>
    <w:r w:rsidRPr="00FC3E0C">
      <w:t>ECAD6017-C</w:t>
    </w:r>
    <w:r w:rsidRPr="00FC3E0C">
      <w:tab/>
    </w:r>
    <w:r w:rsidRPr="00FC3E0C">
      <w:tab/>
      <w:t>2103520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44196"/>
    <w:multiLevelType w:val="multilevel"/>
    <w:tmpl w:val="D89E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6D23512"/>
    <w:multiLevelType w:val="multilevel"/>
    <w:tmpl w:val="81CE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857895"/>
    <w:multiLevelType w:val="multilevel"/>
    <w:tmpl w:val="8B32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761A7"/>
    <w:multiLevelType w:val="multilevel"/>
    <w:tmpl w:val="3E1C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3E09FB"/>
    <w:multiLevelType w:val="multilevel"/>
    <w:tmpl w:val="14F8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0500A9"/>
    <w:multiLevelType w:val="multilevel"/>
    <w:tmpl w:val="1F06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F942C4"/>
    <w:multiLevelType w:val="multilevel"/>
    <w:tmpl w:val="17683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16378130">
    <w:abstractNumId w:val="35"/>
  </w:num>
  <w:num w:numId="2" w16cid:durableId="1672024415">
    <w:abstractNumId w:val="22"/>
  </w:num>
  <w:num w:numId="3" w16cid:durableId="1392459068">
    <w:abstractNumId w:val="5"/>
  </w:num>
  <w:num w:numId="4" w16cid:durableId="1239827002">
    <w:abstractNumId w:val="29"/>
  </w:num>
  <w:num w:numId="5" w16cid:durableId="1402175098">
    <w:abstractNumId w:val="20"/>
  </w:num>
  <w:num w:numId="6" w16cid:durableId="1316763487">
    <w:abstractNumId w:val="42"/>
  </w:num>
  <w:num w:numId="7" w16cid:durableId="1800028919">
    <w:abstractNumId w:val="45"/>
  </w:num>
  <w:num w:numId="8" w16cid:durableId="515310780">
    <w:abstractNumId w:val="15"/>
  </w:num>
  <w:num w:numId="9" w16cid:durableId="1194150821">
    <w:abstractNumId w:val="33"/>
  </w:num>
  <w:num w:numId="10" w16cid:durableId="855970216">
    <w:abstractNumId w:val="6"/>
  </w:num>
  <w:num w:numId="11" w16cid:durableId="822700432">
    <w:abstractNumId w:val="43"/>
  </w:num>
  <w:num w:numId="12"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57126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68194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3452417">
    <w:abstractNumId w:val="7"/>
  </w:num>
  <w:num w:numId="16" w16cid:durableId="2114468525">
    <w:abstractNumId w:val="12"/>
  </w:num>
  <w:num w:numId="17" w16cid:durableId="1420251806">
    <w:abstractNumId w:val="13"/>
  </w:num>
  <w:num w:numId="18" w16cid:durableId="1392343987">
    <w:abstractNumId w:val="39"/>
  </w:num>
  <w:num w:numId="19" w16cid:durableId="840656299">
    <w:abstractNumId w:val="36"/>
  </w:num>
  <w:num w:numId="20" w16cid:durableId="266229704">
    <w:abstractNumId w:val="38"/>
  </w:num>
  <w:num w:numId="21" w16cid:durableId="555050736">
    <w:abstractNumId w:val="2"/>
  </w:num>
  <w:num w:numId="22" w16cid:durableId="1121538291">
    <w:abstractNumId w:val="10"/>
  </w:num>
  <w:num w:numId="23" w16cid:durableId="701905103">
    <w:abstractNumId w:val="11"/>
  </w:num>
  <w:num w:numId="24" w16cid:durableId="1735463990">
    <w:abstractNumId w:val="16"/>
  </w:num>
  <w:num w:numId="25" w16cid:durableId="1849322227">
    <w:abstractNumId w:val="18"/>
  </w:num>
  <w:num w:numId="26" w16cid:durableId="1995599221">
    <w:abstractNumId w:val="41"/>
  </w:num>
  <w:num w:numId="27" w16cid:durableId="646737937">
    <w:abstractNumId w:val="9"/>
  </w:num>
  <w:num w:numId="28" w16cid:durableId="1044016852">
    <w:abstractNumId w:val="21"/>
  </w:num>
  <w:num w:numId="29" w16cid:durableId="1564019744">
    <w:abstractNumId w:val="32"/>
  </w:num>
  <w:num w:numId="30" w16cid:durableId="179508346">
    <w:abstractNumId w:val="4"/>
  </w:num>
  <w:num w:numId="31" w16cid:durableId="1345327953">
    <w:abstractNumId w:val="14"/>
  </w:num>
  <w:num w:numId="32" w16cid:durableId="1563367096">
    <w:abstractNumId w:val="17"/>
  </w:num>
  <w:num w:numId="33" w16cid:durableId="1927416722">
    <w:abstractNumId w:val="44"/>
  </w:num>
  <w:num w:numId="34" w16cid:durableId="935793314">
    <w:abstractNumId w:val="27"/>
  </w:num>
  <w:num w:numId="35" w16cid:durableId="106244874">
    <w:abstractNumId w:val="28"/>
  </w:num>
  <w:num w:numId="36" w16cid:durableId="1148865935">
    <w:abstractNumId w:val="8"/>
  </w:num>
  <w:num w:numId="37" w16cid:durableId="166943462">
    <w:abstractNumId w:val="30"/>
  </w:num>
  <w:num w:numId="38" w16cid:durableId="1789084969">
    <w:abstractNumId w:val="46"/>
  </w:num>
  <w:num w:numId="39" w16cid:durableId="17392073">
    <w:abstractNumId w:val="3"/>
  </w:num>
  <w:num w:numId="40" w16cid:durableId="1399745737">
    <w:abstractNumId w:val="34"/>
  </w:num>
  <w:num w:numId="41" w16cid:durableId="290984172">
    <w:abstractNumId w:val="0"/>
  </w:num>
  <w:num w:numId="42" w16cid:durableId="371923446">
    <w:abstractNumId w:val="40"/>
  </w:num>
  <w:num w:numId="43" w16cid:durableId="741803658">
    <w:abstractNumId w:val="19"/>
  </w:num>
  <w:num w:numId="44" w16cid:durableId="1090157040">
    <w:abstractNumId w:val="1"/>
  </w:num>
  <w:num w:numId="45" w16cid:durableId="1193348201">
    <w:abstractNumId w:val="24"/>
  </w:num>
  <w:num w:numId="46" w16cid:durableId="973944825">
    <w:abstractNumId w:val="31"/>
  </w:num>
  <w:num w:numId="47" w16cid:durableId="1132869362">
    <w:abstractNumId w:val="37"/>
  </w:num>
  <w:num w:numId="48" w16cid:durableId="5595587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946A1"/>
    <w:rsid w:val="00015501"/>
    <w:rsid w:val="00052F77"/>
    <w:rsid w:val="00057454"/>
    <w:rsid w:val="000611AE"/>
    <w:rsid w:val="0006474B"/>
    <w:rsid w:val="0007284B"/>
    <w:rsid w:val="00077F9F"/>
    <w:rsid w:val="0008262A"/>
    <w:rsid w:val="000B502D"/>
    <w:rsid w:val="000C452A"/>
    <w:rsid w:val="000D5408"/>
    <w:rsid w:val="000F7FE4"/>
    <w:rsid w:val="001003C0"/>
    <w:rsid w:val="00151B7E"/>
    <w:rsid w:val="00194BCE"/>
    <w:rsid w:val="00196D43"/>
    <w:rsid w:val="00217178"/>
    <w:rsid w:val="0021793F"/>
    <w:rsid w:val="00222E98"/>
    <w:rsid w:val="00255692"/>
    <w:rsid w:val="0027665D"/>
    <w:rsid w:val="00277415"/>
    <w:rsid w:val="002827C8"/>
    <w:rsid w:val="00287495"/>
    <w:rsid w:val="002C5775"/>
    <w:rsid w:val="00320A98"/>
    <w:rsid w:val="00322F59"/>
    <w:rsid w:val="00323B8A"/>
    <w:rsid w:val="00383931"/>
    <w:rsid w:val="003A5A9D"/>
    <w:rsid w:val="003A7FA3"/>
    <w:rsid w:val="003C341C"/>
    <w:rsid w:val="003D534E"/>
    <w:rsid w:val="003F39B5"/>
    <w:rsid w:val="004015A5"/>
    <w:rsid w:val="00407D82"/>
    <w:rsid w:val="004135DE"/>
    <w:rsid w:val="00425579"/>
    <w:rsid w:val="00433C14"/>
    <w:rsid w:val="004557C6"/>
    <w:rsid w:val="00463A59"/>
    <w:rsid w:val="00470FC2"/>
    <w:rsid w:val="004946A1"/>
    <w:rsid w:val="004C7973"/>
    <w:rsid w:val="004D2A52"/>
    <w:rsid w:val="004E1BCC"/>
    <w:rsid w:val="004F1B4A"/>
    <w:rsid w:val="005349FF"/>
    <w:rsid w:val="00557CED"/>
    <w:rsid w:val="00561C8D"/>
    <w:rsid w:val="00573B05"/>
    <w:rsid w:val="00584912"/>
    <w:rsid w:val="00586121"/>
    <w:rsid w:val="005A46A2"/>
    <w:rsid w:val="005B2578"/>
    <w:rsid w:val="005C757C"/>
    <w:rsid w:val="005D6259"/>
    <w:rsid w:val="006105CD"/>
    <w:rsid w:val="00616BE5"/>
    <w:rsid w:val="0064147C"/>
    <w:rsid w:val="006418FE"/>
    <w:rsid w:val="006474F9"/>
    <w:rsid w:val="006720C6"/>
    <w:rsid w:val="0068287A"/>
    <w:rsid w:val="006836E9"/>
    <w:rsid w:val="006E1603"/>
    <w:rsid w:val="007006C5"/>
    <w:rsid w:val="007442E1"/>
    <w:rsid w:val="00753378"/>
    <w:rsid w:val="007A51FA"/>
    <w:rsid w:val="007B7E76"/>
    <w:rsid w:val="007C4A7B"/>
    <w:rsid w:val="00843A8F"/>
    <w:rsid w:val="00863759"/>
    <w:rsid w:val="00863CB6"/>
    <w:rsid w:val="00871302"/>
    <w:rsid w:val="008902D8"/>
    <w:rsid w:val="00895674"/>
    <w:rsid w:val="008970E2"/>
    <w:rsid w:val="008C34AB"/>
    <w:rsid w:val="00907590"/>
    <w:rsid w:val="00910B01"/>
    <w:rsid w:val="00913444"/>
    <w:rsid w:val="00935A04"/>
    <w:rsid w:val="009521B9"/>
    <w:rsid w:val="009535B1"/>
    <w:rsid w:val="00960B1B"/>
    <w:rsid w:val="009642A2"/>
    <w:rsid w:val="009834BE"/>
    <w:rsid w:val="009A2DF5"/>
    <w:rsid w:val="009B1472"/>
    <w:rsid w:val="009B5EC7"/>
    <w:rsid w:val="00A149FA"/>
    <w:rsid w:val="00A33333"/>
    <w:rsid w:val="00A366E7"/>
    <w:rsid w:val="00A65606"/>
    <w:rsid w:val="00A71B2C"/>
    <w:rsid w:val="00A85087"/>
    <w:rsid w:val="00A87FC2"/>
    <w:rsid w:val="00A97AC7"/>
    <w:rsid w:val="00AF2382"/>
    <w:rsid w:val="00B83038"/>
    <w:rsid w:val="00BC114A"/>
    <w:rsid w:val="00BC356B"/>
    <w:rsid w:val="00BD4D33"/>
    <w:rsid w:val="00BE5F23"/>
    <w:rsid w:val="00BF008D"/>
    <w:rsid w:val="00C10C1D"/>
    <w:rsid w:val="00C44037"/>
    <w:rsid w:val="00C47F23"/>
    <w:rsid w:val="00CA2C20"/>
    <w:rsid w:val="00CB7842"/>
    <w:rsid w:val="00CC6AAB"/>
    <w:rsid w:val="00D43FBE"/>
    <w:rsid w:val="00D533F4"/>
    <w:rsid w:val="00D602F1"/>
    <w:rsid w:val="00D72800"/>
    <w:rsid w:val="00D90A2E"/>
    <w:rsid w:val="00E024B1"/>
    <w:rsid w:val="00E3153F"/>
    <w:rsid w:val="00E37E5F"/>
    <w:rsid w:val="00E50532"/>
    <w:rsid w:val="00E549CF"/>
    <w:rsid w:val="00E753AC"/>
    <w:rsid w:val="00E867EB"/>
    <w:rsid w:val="00E92D61"/>
    <w:rsid w:val="00EC413C"/>
    <w:rsid w:val="00EE7B24"/>
    <w:rsid w:val="00F15CDE"/>
    <w:rsid w:val="00F26B8B"/>
    <w:rsid w:val="00F4092F"/>
    <w:rsid w:val="00F63FF5"/>
    <w:rsid w:val="00F75355"/>
    <w:rsid w:val="00F820C6"/>
    <w:rsid w:val="00FC3E0C"/>
    <w:rsid w:val="00FC637E"/>
    <w:rsid w:val="00FF2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EB4F"/>
  <w15:chartTrackingRefBased/>
  <w15:docId w15:val="{6B74DEE1-9ADB-4B24-AE88-2F912AA2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4946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6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6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946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6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946A1"/>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946A1"/>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946A1"/>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9"/>
    <w:semiHidden/>
    <w:rsid w:val="004946A1"/>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946A1"/>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946A1"/>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946A1"/>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946A1"/>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946A1"/>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94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6A1"/>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94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6A1"/>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946A1"/>
    <w:pPr>
      <w:spacing w:before="160"/>
      <w:jc w:val="center"/>
    </w:pPr>
    <w:rPr>
      <w:i/>
      <w:iCs/>
      <w:color w:val="404040" w:themeColor="text1" w:themeTint="BF"/>
    </w:rPr>
  </w:style>
  <w:style w:type="character" w:customStyle="1" w:styleId="QuoteChar">
    <w:name w:val="Quote Char"/>
    <w:basedOn w:val="DefaultParagraphFont"/>
    <w:link w:val="Quote"/>
    <w:uiPriority w:val="29"/>
    <w:rsid w:val="004946A1"/>
    <w:rPr>
      <w:i/>
      <w:iCs/>
      <w:color w:val="404040" w:themeColor="text1" w:themeTint="BF"/>
      <w:lang w:val="cy-GB"/>
    </w:rPr>
  </w:style>
  <w:style w:type="paragraph" w:styleId="ListParagraph">
    <w:name w:val="List Paragraph"/>
    <w:basedOn w:val="Normal"/>
    <w:uiPriority w:val="34"/>
    <w:qFormat/>
    <w:rsid w:val="004946A1"/>
    <w:pPr>
      <w:ind w:left="720"/>
      <w:contextualSpacing/>
    </w:pPr>
  </w:style>
  <w:style w:type="character" w:styleId="IntenseEmphasis">
    <w:name w:val="Intense Emphasis"/>
    <w:basedOn w:val="DefaultParagraphFont"/>
    <w:uiPriority w:val="21"/>
    <w:qFormat/>
    <w:rsid w:val="004946A1"/>
    <w:rPr>
      <w:i/>
      <w:iCs/>
      <w:color w:val="0F4761" w:themeColor="accent1" w:themeShade="BF"/>
    </w:rPr>
  </w:style>
  <w:style w:type="paragraph" w:styleId="IntenseQuote">
    <w:name w:val="Intense Quote"/>
    <w:basedOn w:val="Normal"/>
    <w:next w:val="Normal"/>
    <w:link w:val="IntenseQuoteChar"/>
    <w:uiPriority w:val="30"/>
    <w:qFormat/>
    <w:rsid w:val="00494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6A1"/>
    <w:rPr>
      <w:i/>
      <w:iCs/>
      <w:color w:val="0F4761" w:themeColor="accent1" w:themeShade="BF"/>
      <w:lang w:val="cy-GB"/>
    </w:rPr>
  </w:style>
  <w:style w:type="character" w:styleId="IntenseReference">
    <w:name w:val="Intense Reference"/>
    <w:basedOn w:val="DefaultParagraphFont"/>
    <w:uiPriority w:val="32"/>
    <w:qFormat/>
    <w:rsid w:val="004946A1"/>
    <w:rPr>
      <w:b/>
      <w:bCs/>
      <w:smallCaps/>
      <w:color w:val="0F4761" w:themeColor="accent1" w:themeShade="BF"/>
      <w:spacing w:val="5"/>
    </w:rPr>
  </w:style>
  <w:style w:type="table" w:styleId="TableGrid">
    <w:name w:val="Table Grid"/>
    <w:basedOn w:val="TableNormal"/>
    <w:rsid w:val="00494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FF5"/>
    <w:rPr>
      <w:lang w:val="cy-GB"/>
    </w:rPr>
  </w:style>
  <w:style w:type="paragraph" w:styleId="Footer">
    <w:name w:val="footer"/>
    <w:basedOn w:val="Normal"/>
    <w:link w:val="FooterChar"/>
    <w:uiPriority w:val="99"/>
    <w:unhideWhenUsed/>
    <w:rsid w:val="00F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FF5"/>
    <w:rPr>
      <w:lang w:val="cy-GB"/>
    </w:rPr>
  </w:style>
  <w:style w:type="paragraph" w:styleId="BodyText2">
    <w:name w:val="Body Text 2"/>
    <w:basedOn w:val="Normal"/>
    <w:link w:val="BodyText2Char"/>
    <w:uiPriority w:val="99"/>
    <w:rsid w:val="006105CD"/>
    <w:pPr>
      <w:spacing w:after="0" w:line="240" w:lineRule="auto"/>
      <w:ind w:left="720" w:hanging="720"/>
    </w:pPr>
    <w:rPr>
      <w:rFonts w:ascii="Times New Roman" w:eastAsia="Times New Roman" w:hAnsi="Times New Roman" w:cs="Times New Roman"/>
      <w:b/>
      <w:bCs/>
      <w:kern w:val="0"/>
      <w:lang w:val="en-GB"/>
    </w:rPr>
  </w:style>
  <w:style w:type="character" w:customStyle="1" w:styleId="BodyText2Char">
    <w:name w:val="Body Text 2 Char"/>
    <w:basedOn w:val="DefaultParagraphFont"/>
    <w:link w:val="BodyText2"/>
    <w:uiPriority w:val="99"/>
    <w:rsid w:val="006105CD"/>
    <w:rPr>
      <w:rFonts w:ascii="Times New Roman" w:eastAsia="Times New Roman" w:hAnsi="Times New Roman" w:cs="Times New Roman"/>
      <w:b/>
      <w:bCs/>
      <w:kern w:val="0"/>
    </w:rPr>
  </w:style>
  <w:style w:type="paragraph" w:customStyle="1" w:styleId="deannah1">
    <w:name w:val="deannah1"/>
    <w:basedOn w:val="Normal"/>
    <w:uiPriority w:val="99"/>
    <w:rsid w:val="006105CD"/>
    <w:pPr>
      <w:keepNext/>
      <w:spacing w:after="240" w:line="240" w:lineRule="auto"/>
    </w:pPr>
    <w:rPr>
      <w:rFonts w:ascii="Times New Roman" w:eastAsia="Times New Roman" w:hAnsi="Times New Roman" w:cs="Times New Roman"/>
      <w:b/>
      <w:bCs/>
      <w:kern w:val="0"/>
      <w:sz w:val="24"/>
      <w:szCs w:val="24"/>
      <w:lang w:val="en-GB"/>
    </w:rPr>
  </w:style>
  <w:style w:type="paragraph" w:styleId="BalloonText">
    <w:name w:val="Balloon Text"/>
    <w:basedOn w:val="Normal"/>
    <w:link w:val="BalloonTextChar"/>
    <w:uiPriority w:val="99"/>
    <w:semiHidden/>
    <w:rsid w:val="006105CD"/>
    <w:pPr>
      <w:spacing w:after="0" w:line="240" w:lineRule="auto"/>
    </w:pPr>
    <w:rPr>
      <w:rFonts w:ascii="Tahoma" w:eastAsia="Times New Roman" w:hAnsi="Tahoma" w:cs="Tahoma"/>
      <w:kern w:val="0"/>
      <w:sz w:val="16"/>
      <w:szCs w:val="16"/>
      <w:lang w:val="en-GB"/>
    </w:rPr>
  </w:style>
  <w:style w:type="character" w:customStyle="1" w:styleId="BalloonTextChar">
    <w:name w:val="Balloon Text Char"/>
    <w:basedOn w:val="DefaultParagraphFont"/>
    <w:link w:val="BalloonText"/>
    <w:uiPriority w:val="99"/>
    <w:semiHidden/>
    <w:rsid w:val="006105CD"/>
    <w:rPr>
      <w:rFonts w:ascii="Tahoma" w:eastAsia="Times New Roman" w:hAnsi="Tahoma" w:cs="Tahoma"/>
      <w:kern w:val="0"/>
      <w:sz w:val="16"/>
      <w:szCs w:val="16"/>
    </w:rPr>
  </w:style>
  <w:style w:type="character" w:styleId="Hyperlink">
    <w:name w:val="Hyperlink"/>
    <w:rsid w:val="006105CD"/>
    <w:rPr>
      <w:color w:val="0000FF"/>
      <w:u w:val="single"/>
    </w:rPr>
  </w:style>
  <w:style w:type="character" w:styleId="FollowedHyperlink">
    <w:name w:val="FollowedHyperlink"/>
    <w:uiPriority w:val="99"/>
    <w:semiHidden/>
    <w:rsid w:val="006105CD"/>
    <w:rPr>
      <w:color w:val="800080"/>
      <w:u w:val="single"/>
    </w:rPr>
  </w:style>
  <w:style w:type="paragraph" w:styleId="NormalWeb">
    <w:name w:val="Normal (Web)"/>
    <w:basedOn w:val="Normal"/>
    <w:uiPriority w:val="99"/>
    <w:rsid w:val="006105CD"/>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Hyperlink1">
    <w:name w:val="Hyperlink1"/>
    <w:uiPriority w:val="99"/>
    <w:rsid w:val="006105CD"/>
    <w:rPr>
      <w:color w:val="535353"/>
      <w:u w:val="single"/>
      <w:effect w:val="none"/>
    </w:rPr>
  </w:style>
  <w:style w:type="paragraph" w:customStyle="1" w:styleId="NormalWeb1">
    <w:name w:val="Normal (Web)1"/>
    <w:basedOn w:val="Normal"/>
    <w:uiPriority w:val="99"/>
    <w:rsid w:val="006105CD"/>
    <w:pPr>
      <w:spacing w:before="100" w:beforeAutospacing="1" w:after="300" w:line="240" w:lineRule="auto"/>
    </w:pPr>
    <w:rPr>
      <w:rFonts w:ascii="Times New Roman" w:eastAsia="Times New Roman" w:hAnsi="Times New Roman" w:cs="Times New Roman"/>
      <w:kern w:val="0"/>
      <w:sz w:val="24"/>
      <w:szCs w:val="24"/>
      <w:lang w:val="en-GB" w:eastAsia="en-GB"/>
    </w:rPr>
  </w:style>
  <w:style w:type="character" w:styleId="PageNumber">
    <w:name w:val="page number"/>
    <w:basedOn w:val="DefaultParagraphFont"/>
    <w:uiPriority w:val="99"/>
    <w:rsid w:val="006105CD"/>
  </w:style>
  <w:style w:type="character" w:styleId="CommentReference">
    <w:name w:val="annotation reference"/>
    <w:uiPriority w:val="99"/>
    <w:semiHidden/>
    <w:unhideWhenUsed/>
    <w:rsid w:val="006105CD"/>
    <w:rPr>
      <w:sz w:val="16"/>
      <w:szCs w:val="16"/>
    </w:rPr>
  </w:style>
  <w:style w:type="paragraph" w:styleId="CommentText">
    <w:name w:val="annotation text"/>
    <w:basedOn w:val="Normal"/>
    <w:link w:val="CommentTextChar"/>
    <w:uiPriority w:val="99"/>
    <w:semiHidden/>
    <w:unhideWhenUsed/>
    <w:rsid w:val="006105CD"/>
    <w:pPr>
      <w:spacing w:after="0" w:line="240" w:lineRule="auto"/>
    </w:pPr>
    <w:rPr>
      <w:rFonts w:ascii="Times New Roman" w:eastAsia="Times New Roman" w:hAnsi="Times New Roman" w:cs="Times New Roman"/>
      <w:kern w:val="0"/>
      <w:sz w:val="20"/>
      <w:szCs w:val="20"/>
      <w:lang w:val="en-GB"/>
    </w:rPr>
  </w:style>
  <w:style w:type="character" w:customStyle="1" w:styleId="CommentTextChar">
    <w:name w:val="Comment Text Char"/>
    <w:basedOn w:val="DefaultParagraphFont"/>
    <w:link w:val="CommentText"/>
    <w:uiPriority w:val="99"/>
    <w:semiHidden/>
    <w:rsid w:val="006105CD"/>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6105CD"/>
    <w:rPr>
      <w:b/>
      <w:bCs/>
    </w:rPr>
  </w:style>
  <w:style w:type="character" w:customStyle="1" w:styleId="CommentSubjectChar">
    <w:name w:val="Comment Subject Char"/>
    <w:basedOn w:val="CommentTextChar"/>
    <w:link w:val="CommentSubject"/>
    <w:uiPriority w:val="99"/>
    <w:semiHidden/>
    <w:rsid w:val="006105CD"/>
    <w:rPr>
      <w:rFonts w:ascii="Times New Roman" w:eastAsia="Times New Roman" w:hAnsi="Times New Roman" w:cs="Times New Roman"/>
      <w:b/>
      <w:bCs/>
      <w:kern w:val="0"/>
      <w:sz w:val="20"/>
      <w:szCs w:val="20"/>
    </w:rPr>
  </w:style>
  <w:style w:type="character" w:styleId="Strong">
    <w:name w:val="Strong"/>
    <w:uiPriority w:val="22"/>
    <w:qFormat/>
    <w:rsid w:val="006105CD"/>
    <w:rPr>
      <w:b/>
      <w:bCs/>
    </w:rPr>
  </w:style>
  <w:style w:type="character" w:customStyle="1" w:styleId="tw4winMark">
    <w:name w:val="tw4winMark"/>
    <w:basedOn w:val="DefaultParagraphFont"/>
    <w:rsid w:val="006105CD"/>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6105CD"/>
    <w:rPr>
      <w:color w:val="605E5C"/>
      <w:shd w:val="clear" w:color="auto" w:fill="E1DFDD"/>
    </w:rPr>
  </w:style>
  <w:style w:type="paragraph" w:customStyle="1" w:styleId="xmsonormal">
    <w:name w:val="x_msonormal"/>
    <w:basedOn w:val="Normal"/>
    <w:rsid w:val="006105CD"/>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normaltextrun">
    <w:name w:val="normaltextrun"/>
    <w:basedOn w:val="DefaultParagraphFont"/>
    <w:rsid w:val="00610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53328">
      <w:bodyDiv w:val="1"/>
      <w:marLeft w:val="0"/>
      <w:marRight w:val="0"/>
      <w:marTop w:val="0"/>
      <w:marBottom w:val="0"/>
      <w:divBdr>
        <w:top w:val="none" w:sz="0" w:space="0" w:color="auto"/>
        <w:left w:val="none" w:sz="0" w:space="0" w:color="auto"/>
        <w:bottom w:val="none" w:sz="0" w:space="0" w:color="auto"/>
        <w:right w:val="none" w:sz="0" w:space="0" w:color="auto"/>
      </w:divBdr>
    </w:div>
    <w:div w:id="29890032">
      <w:bodyDiv w:val="1"/>
      <w:marLeft w:val="0"/>
      <w:marRight w:val="0"/>
      <w:marTop w:val="0"/>
      <w:marBottom w:val="0"/>
      <w:divBdr>
        <w:top w:val="none" w:sz="0" w:space="0" w:color="auto"/>
        <w:left w:val="none" w:sz="0" w:space="0" w:color="auto"/>
        <w:bottom w:val="none" w:sz="0" w:space="0" w:color="auto"/>
        <w:right w:val="none" w:sz="0" w:space="0" w:color="auto"/>
      </w:divBdr>
    </w:div>
    <w:div w:id="37708746">
      <w:bodyDiv w:val="1"/>
      <w:marLeft w:val="0"/>
      <w:marRight w:val="0"/>
      <w:marTop w:val="0"/>
      <w:marBottom w:val="0"/>
      <w:divBdr>
        <w:top w:val="none" w:sz="0" w:space="0" w:color="auto"/>
        <w:left w:val="none" w:sz="0" w:space="0" w:color="auto"/>
        <w:bottom w:val="none" w:sz="0" w:space="0" w:color="auto"/>
        <w:right w:val="none" w:sz="0" w:space="0" w:color="auto"/>
      </w:divBdr>
    </w:div>
    <w:div w:id="188492165">
      <w:bodyDiv w:val="1"/>
      <w:marLeft w:val="0"/>
      <w:marRight w:val="0"/>
      <w:marTop w:val="0"/>
      <w:marBottom w:val="0"/>
      <w:divBdr>
        <w:top w:val="none" w:sz="0" w:space="0" w:color="auto"/>
        <w:left w:val="none" w:sz="0" w:space="0" w:color="auto"/>
        <w:bottom w:val="none" w:sz="0" w:space="0" w:color="auto"/>
        <w:right w:val="none" w:sz="0" w:space="0" w:color="auto"/>
      </w:divBdr>
    </w:div>
    <w:div w:id="217472280">
      <w:bodyDiv w:val="1"/>
      <w:marLeft w:val="0"/>
      <w:marRight w:val="0"/>
      <w:marTop w:val="0"/>
      <w:marBottom w:val="0"/>
      <w:divBdr>
        <w:top w:val="none" w:sz="0" w:space="0" w:color="auto"/>
        <w:left w:val="none" w:sz="0" w:space="0" w:color="auto"/>
        <w:bottom w:val="none" w:sz="0" w:space="0" w:color="auto"/>
        <w:right w:val="none" w:sz="0" w:space="0" w:color="auto"/>
      </w:divBdr>
    </w:div>
    <w:div w:id="220016797">
      <w:bodyDiv w:val="1"/>
      <w:marLeft w:val="0"/>
      <w:marRight w:val="0"/>
      <w:marTop w:val="0"/>
      <w:marBottom w:val="0"/>
      <w:divBdr>
        <w:top w:val="none" w:sz="0" w:space="0" w:color="auto"/>
        <w:left w:val="none" w:sz="0" w:space="0" w:color="auto"/>
        <w:bottom w:val="none" w:sz="0" w:space="0" w:color="auto"/>
        <w:right w:val="none" w:sz="0" w:space="0" w:color="auto"/>
      </w:divBdr>
    </w:div>
    <w:div w:id="245192650">
      <w:bodyDiv w:val="1"/>
      <w:marLeft w:val="0"/>
      <w:marRight w:val="0"/>
      <w:marTop w:val="0"/>
      <w:marBottom w:val="0"/>
      <w:divBdr>
        <w:top w:val="none" w:sz="0" w:space="0" w:color="auto"/>
        <w:left w:val="none" w:sz="0" w:space="0" w:color="auto"/>
        <w:bottom w:val="none" w:sz="0" w:space="0" w:color="auto"/>
        <w:right w:val="none" w:sz="0" w:space="0" w:color="auto"/>
      </w:divBdr>
    </w:div>
    <w:div w:id="247737866">
      <w:bodyDiv w:val="1"/>
      <w:marLeft w:val="0"/>
      <w:marRight w:val="0"/>
      <w:marTop w:val="0"/>
      <w:marBottom w:val="0"/>
      <w:divBdr>
        <w:top w:val="none" w:sz="0" w:space="0" w:color="auto"/>
        <w:left w:val="none" w:sz="0" w:space="0" w:color="auto"/>
        <w:bottom w:val="none" w:sz="0" w:space="0" w:color="auto"/>
        <w:right w:val="none" w:sz="0" w:space="0" w:color="auto"/>
      </w:divBdr>
    </w:div>
    <w:div w:id="257445340">
      <w:bodyDiv w:val="1"/>
      <w:marLeft w:val="0"/>
      <w:marRight w:val="0"/>
      <w:marTop w:val="0"/>
      <w:marBottom w:val="0"/>
      <w:divBdr>
        <w:top w:val="none" w:sz="0" w:space="0" w:color="auto"/>
        <w:left w:val="none" w:sz="0" w:space="0" w:color="auto"/>
        <w:bottom w:val="none" w:sz="0" w:space="0" w:color="auto"/>
        <w:right w:val="none" w:sz="0" w:space="0" w:color="auto"/>
      </w:divBdr>
    </w:div>
    <w:div w:id="283312882">
      <w:bodyDiv w:val="1"/>
      <w:marLeft w:val="0"/>
      <w:marRight w:val="0"/>
      <w:marTop w:val="0"/>
      <w:marBottom w:val="0"/>
      <w:divBdr>
        <w:top w:val="none" w:sz="0" w:space="0" w:color="auto"/>
        <w:left w:val="none" w:sz="0" w:space="0" w:color="auto"/>
        <w:bottom w:val="none" w:sz="0" w:space="0" w:color="auto"/>
        <w:right w:val="none" w:sz="0" w:space="0" w:color="auto"/>
      </w:divBdr>
    </w:div>
    <w:div w:id="298195419">
      <w:bodyDiv w:val="1"/>
      <w:marLeft w:val="0"/>
      <w:marRight w:val="0"/>
      <w:marTop w:val="0"/>
      <w:marBottom w:val="0"/>
      <w:divBdr>
        <w:top w:val="none" w:sz="0" w:space="0" w:color="auto"/>
        <w:left w:val="none" w:sz="0" w:space="0" w:color="auto"/>
        <w:bottom w:val="none" w:sz="0" w:space="0" w:color="auto"/>
        <w:right w:val="none" w:sz="0" w:space="0" w:color="auto"/>
      </w:divBdr>
    </w:div>
    <w:div w:id="318265678">
      <w:bodyDiv w:val="1"/>
      <w:marLeft w:val="0"/>
      <w:marRight w:val="0"/>
      <w:marTop w:val="0"/>
      <w:marBottom w:val="0"/>
      <w:divBdr>
        <w:top w:val="none" w:sz="0" w:space="0" w:color="auto"/>
        <w:left w:val="none" w:sz="0" w:space="0" w:color="auto"/>
        <w:bottom w:val="none" w:sz="0" w:space="0" w:color="auto"/>
        <w:right w:val="none" w:sz="0" w:space="0" w:color="auto"/>
      </w:divBdr>
    </w:div>
    <w:div w:id="339625156">
      <w:bodyDiv w:val="1"/>
      <w:marLeft w:val="0"/>
      <w:marRight w:val="0"/>
      <w:marTop w:val="0"/>
      <w:marBottom w:val="0"/>
      <w:divBdr>
        <w:top w:val="none" w:sz="0" w:space="0" w:color="auto"/>
        <w:left w:val="none" w:sz="0" w:space="0" w:color="auto"/>
        <w:bottom w:val="none" w:sz="0" w:space="0" w:color="auto"/>
        <w:right w:val="none" w:sz="0" w:space="0" w:color="auto"/>
      </w:divBdr>
    </w:div>
    <w:div w:id="341132101">
      <w:bodyDiv w:val="1"/>
      <w:marLeft w:val="0"/>
      <w:marRight w:val="0"/>
      <w:marTop w:val="0"/>
      <w:marBottom w:val="0"/>
      <w:divBdr>
        <w:top w:val="none" w:sz="0" w:space="0" w:color="auto"/>
        <w:left w:val="none" w:sz="0" w:space="0" w:color="auto"/>
        <w:bottom w:val="none" w:sz="0" w:space="0" w:color="auto"/>
        <w:right w:val="none" w:sz="0" w:space="0" w:color="auto"/>
      </w:divBdr>
    </w:div>
    <w:div w:id="358360875">
      <w:bodyDiv w:val="1"/>
      <w:marLeft w:val="0"/>
      <w:marRight w:val="0"/>
      <w:marTop w:val="0"/>
      <w:marBottom w:val="0"/>
      <w:divBdr>
        <w:top w:val="none" w:sz="0" w:space="0" w:color="auto"/>
        <w:left w:val="none" w:sz="0" w:space="0" w:color="auto"/>
        <w:bottom w:val="none" w:sz="0" w:space="0" w:color="auto"/>
        <w:right w:val="none" w:sz="0" w:space="0" w:color="auto"/>
      </w:divBdr>
    </w:div>
    <w:div w:id="416636009">
      <w:bodyDiv w:val="1"/>
      <w:marLeft w:val="0"/>
      <w:marRight w:val="0"/>
      <w:marTop w:val="0"/>
      <w:marBottom w:val="0"/>
      <w:divBdr>
        <w:top w:val="none" w:sz="0" w:space="0" w:color="auto"/>
        <w:left w:val="none" w:sz="0" w:space="0" w:color="auto"/>
        <w:bottom w:val="none" w:sz="0" w:space="0" w:color="auto"/>
        <w:right w:val="none" w:sz="0" w:space="0" w:color="auto"/>
      </w:divBdr>
    </w:div>
    <w:div w:id="418603547">
      <w:bodyDiv w:val="1"/>
      <w:marLeft w:val="0"/>
      <w:marRight w:val="0"/>
      <w:marTop w:val="0"/>
      <w:marBottom w:val="0"/>
      <w:divBdr>
        <w:top w:val="none" w:sz="0" w:space="0" w:color="auto"/>
        <w:left w:val="none" w:sz="0" w:space="0" w:color="auto"/>
        <w:bottom w:val="none" w:sz="0" w:space="0" w:color="auto"/>
        <w:right w:val="none" w:sz="0" w:space="0" w:color="auto"/>
      </w:divBdr>
    </w:div>
    <w:div w:id="419106092">
      <w:bodyDiv w:val="1"/>
      <w:marLeft w:val="0"/>
      <w:marRight w:val="0"/>
      <w:marTop w:val="0"/>
      <w:marBottom w:val="0"/>
      <w:divBdr>
        <w:top w:val="none" w:sz="0" w:space="0" w:color="auto"/>
        <w:left w:val="none" w:sz="0" w:space="0" w:color="auto"/>
        <w:bottom w:val="none" w:sz="0" w:space="0" w:color="auto"/>
        <w:right w:val="none" w:sz="0" w:space="0" w:color="auto"/>
      </w:divBdr>
    </w:div>
    <w:div w:id="456875256">
      <w:bodyDiv w:val="1"/>
      <w:marLeft w:val="0"/>
      <w:marRight w:val="0"/>
      <w:marTop w:val="0"/>
      <w:marBottom w:val="0"/>
      <w:divBdr>
        <w:top w:val="none" w:sz="0" w:space="0" w:color="auto"/>
        <w:left w:val="none" w:sz="0" w:space="0" w:color="auto"/>
        <w:bottom w:val="none" w:sz="0" w:space="0" w:color="auto"/>
        <w:right w:val="none" w:sz="0" w:space="0" w:color="auto"/>
      </w:divBdr>
    </w:div>
    <w:div w:id="457143254">
      <w:bodyDiv w:val="1"/>
      <w:marLeft w:val="0"/>
      <w:marRight w:val="0"/>
      <w:marTop w:val="0"/>
      <w:marBottom w:val="0"/>
      <w:divBdr>
        <w:top w:val="none" w:sz="0" w:space="0" w:color="auto"/>
        <w:left w:val="none" w:sz="0" w:space="0" w:color="auto"/>
        <w:bottom w:val="none" w:sz="0" w:space="0" w:color="auto"/>
        <w:right w:val="none" w:sz="0" w:space="0" w:color="auto"/>
      </w:divBdr>
    </w:div>
    <w:div w:id="552933565">
      <w:bodyDiv w:val="1"/>
      <w:marLeft w:val="0"/>
      <w:marRight w:val="0"/>
      <w:marTop w:val="0"/>
      <w:marBottom w:val="0"/>
      <w:divBdr>
        <w:top w:val="none" w:sz="0" w:space="0" w:color="auto"/>
        <w:left w:val="none" w:sz="0" w:space="0" w:color="auto"/>
        <w:bottom w:val="none" w:sz="0" w:space="0" w:color="auto"/>
        <w:right w:val="none" w:sz="0" w:space="0" w:color="auto"/>
      </w:divBdr>
    </w:div>
    <w:div w:id="559100290">
      <w:bodyDiv w:val="1"/>
      <w:marLeft w:val="0"/>
      <w:marRight w:val="0"/>
      <w:marTop w:val="0"/>
      <w:marBottom w:val="0"/>
      <w:divBdr>
        <w:top w:val="none" w:sz="0" w:space="0" w:color="auto"/>
        <w:left w:val="none" w:sz="0" w:space="0" w:color="auto"/>
        <w:bottom w:val="none" w:sz="0" w:space="0" w:color="auto"/>
        <w:right w:val="none" w:sz="0" w:space="0" w:color="auto"/>
      </w:divBdr>
    </w:div>
    <w:div w:id="602688220">
      <w:bodyDiv w:val="1"/>
      <w:marLeft w:val="0"/>
      <w:marRight w:val="0"/>
      <w:marTop w:val="0"/>
      <w:marBottom w:val="0"/>
      <w:divBdr>
        <w:top w:val="none" w:sz="0" w:space="0" w:color="auto"/>
        <w:left w:val="none" w:sz="0" w:space="0" w:color="auto"/>
        <w:bottom w:val="none" w:sz="0" w:space="0" w:color="auto"/>
        <w:right w:val="none" w:sz="0" w:space="0" w:color="auto"/>
      </w:divBdr>
    </w:div>
    <w:div w:id="631712074">
      <w:bodyDiv w:val="1"/>
      <w:marLeft w:val="0"/>
      <w:marRight w:val="0"/>
      <w:marTop w:val="0"/>
      <w:marBottom w:val="0"/>
      <w:divBdr>
        <w:top w:val="none" w:sz="0" w:space="0" w:color="auto"/>
        <w:left w:val="none" w:sz="0" w:space="0" w:color="auto"/>
        <w:bottom w:val="none" w:sz="0" w:space="0" w:color="auto"/>
        <w:right w:val="none" w:sz="0" w:space="0" w:color="auto"/>
      </w:divBdr>
    </w:div>
    <w:div w:id="720252294">
      <w:bodyDiv w:val="1"/>
      <w:marLeft w:val="0"/>
      <w:marRight w:val="0"/>
      <w:marTop w:val="0"/>
      <w:marBottom w:val="0"/>
      <w:divBdr>
        <w:top w:val="none" w:sz="0" w:space="0" w:color="auto"/>
        <w:left w:val="none" w:sz="0" w:space="0" w:color="auto"/>
        <w:bottom w:val="none" w:sz="0" w:space="0" w:color="auto"/>
        <w:right w:val="none" w:sz="0" w:space="0" w:color="auto"/>
      </w:divBdr>
    </w:div>
    <w:div w:id="722559415">
      <w:bodyDiv w:val="1"/>
      <w:marLeft w:val="0"/>
      <w:marRight w:val="0"/>
      <w:marTop w:val="0"/>
      <w:marBottom w:val="0"/>
      <w:divBdr>
        <w:top w:val="none" w:sz="0" w:space="0" w:color="auto"/>
        <w:left w:val="none" w:sz="0" w:space="0" w:color="auto"/>
        <w:bottom w:val="none" w:sz="0" w:space="0" w:color="auto"/>
        <w:right w:val="none" w:sz="0" w:space="0" w:color="auto"/>
      </w:divBdr>
    </w:div>
    <w:div w:id="725303203">
      <w:bodyDiv w:val="1"/>
      <w:marLeft w:val="0"/>
      <w:marRight w:val="0"/>
      <w:marTop w:val="0"/>
      <w:marBottom w:val="0"/>
      <w:divBdr>
        <w:top w:val="none" w:sz="0" w:space="0" w:color="auto"/>
        <w:left w:val="none" w:sz="0" w:space="0" w:color="auto"/>
        <w:bottom w:val="none" w:sz="0" w:space="0" w:color="auto"/>
        <w:right w:val="none" w:sz="0" w:space="0" w:color="auto"/>
      </w:divBdr>
    </w:div>
    <w:div w:id="756942061">
      <w:bodyDiv w:val="1"/>
      <w:marLeft w:val="0"/>
      <w:marRight w:val="0"/>
      <w:marTop w:val="0"/>
      <w:marBottom w:val="0"/>
      <w:divBdr>
        <w:top w:val="none" w:sz="0" w:space="0" w:color="auto"/>
        <w:left w:val="none" w:sz="0" w:space="0" w:color="auto"/>
        <w:bottom w:val="none" w:sz="0" w:space="0" w:color="auto"/>
        <w:right w:val="none" w:sz="0" w:space="0" w:color="auto"/>
      </w:divBdr>
    </w:div>
    <w:div w:id="769544109">
      <w:bodyDiv w:val="1"/>
      <w:marLeft w:val="0"/>
      <w:marRight w:val="0"/>
      <w:marTop w:val="0"/>
      <w:marBottom w:val="0"/>
      <w:divBdr>
        <w:top w:val="none" w:sz="0" w:space="0" w:color="auto"/>
        <w:left w:val="none" w:sz="0" w:space="0" w:color="auto"/>
        <w:bottom w:val="none" w:sz="0" w:space="0" w:color="auto"/>
        <w:right w:val="none" w:sz="0" w:space="0" w:color="auto"/>
      </w:divBdr>
    </w:div>
    <w:div w:id="779689663">
      <w:bodyDiv w:val="1"/>
      <w:marLeft w:val="0"/>
      <w:marRight w:val="0"/>
      <w:marTop w:val="0"/>
      <w:marBottom w:val="0"/>
      <w:divBdr>
        <w:top w:val="none" w:sz="0" w:space="0" w:color="auto"/>
        <w:left w:val="none" w:sz="0" w:space="0" w:color="auto"/>
        <w:bottom w:val="none" w:sz="0" w:space="0" w:color="auto"/>
        <w:right w:val="none" w:sz="0" w:space="0" w:color="auto"/>
      </w:divBdr>
    </w:div>
    <w:div w:id="788165502">
      <w:bodyDiv w:val="1"/>
      <w:marLeft w:val="0"/>
      <w:marRight w:val="0"/>
      <w:marTop w:val="0"/>
      <w:marBottom w:val="0"/>
      <w:divBdr>
        <w:top w:val="none" w:sz="0" w:space="0" w:color="auto"/>
        <w:left w:val="none" w:sz="0" w:space="0" w:color="auto"/>
        <w:bottom w:val="none" w:sz="0" w:space="0" w:color="auto"/>
        <w:right w:val="none" w:sz="0" w:space="0" w:color="auto"/>
      </w:divBdr>
    </w:div>
    <w:div w:id="790129595">
      <w:bodyDiv w:val="1"/>
      <w:marLeft w:val="0"/>
      <w:marRight w:val="0"/>
      <w:marTop w:val="0"/>
      <w:marBottom w:val="0"/>
      <w:divBdr>
        <w:top w:val="none" w:sz="0" w:space="0" w:color="auto"/>
        <w:left w:val="none" w:sz="0" w:space="0" w:color="auto"/>
        <w:bottom w:val="none" w:sz="0" w:space="0" w:color="auto"/>
        <w:right w:val="none" w:sz="0" w:space="0" w:color="auto"/>
      </w:divBdr>
    </w:div>
    <w:div w:id="793527483">
      <w:bodyDiv w:val="1"/>
      <w:marLeft w:val="0"/>
      <w:marRight w:val="0"/>
      <w:marTop w:val="0"/>
      <w:marBottom w:val="0"/>
      <w:divBdr>
        <w:top w:val="none" w:sz="0" w:space="0" w:color="auto"/>
        <w:left w:val="none" w:sz="0" w:space="0" w:color="auto"/>
        <w:bottom w:val="none" w:sz="0" w:space="0" w:color="auto"/>
        <w:right w:val="none" w:sz="0" w:space="0" w:color="auto"/>
      </w:divBdr>
    </w:div>
    <w:div w:id="798648432">
      <w:bodyDiv w:val="1"/>
      <w:marLeft w:val="0"/>
      <w:marRight w:val="0"/>
      <w:marTop w:val="0"/>
      <w:marBottom w:val="0"/>
      <w:divBdr>
        <w:top w:val="none" w:sz="0" w:space="0" w:color="auto"/>
        <w:left w:val="none" w:sz="0" w:space="0" w:color="auto"/>
        <w:bottom w:val="none" w:sz="0" w:space="0" w:color="auto"/>
        <w:right w:val="none" w:sz="0" w:space="0" w:color="auto"/>
      </w:divBdr>
    </w:div>
    <w:div w:id="808206266">
      <w:bodyDiv w:val="1"/>
      <w:marLeft w:val="0"/>
      <w:marRight w:val="0"/>
      <w:marTop w:val="0"/>
      <w:marBottom w:val="0"/>
      <w:divBdr>
        <w:top w:val="none" w:sz="0" w:space="0" w:color="auto"/>
        <w:left w:val="none" w:sz="0" w:space="0" w:color="auto"/>
        <w:bottom w:val="none" w:sz="0" w:space="0" w:color="auto"/>
        <w:right w:val="none" w:sz="0" w:space="0" w:color="auto"/>
      </w:divBdr>
    </w:div>
    <w:div w:id="822546264">
      <w:bodyDiv w:val="1"/>
      <w:marLeft w:val="0"/>
      <w:marRight w:val="0"/>
      <w:marTop w:val="0"/>
      <w:marBottom w:val="0"/>
      <w:divBdr>
        <w:top w:val="none" w:sz="0" w:space="0" w:color="auto"/>
        <w:left w:val="none" w:sz="0" w:space="0" w:color="auto"/>
        <w:bottom w:val="none" w:sz="0" w:space="0" w:color="auto"/>
        <w:right w:val="none" w:sz="0" w:space="0" w:color="auto"/>
      </w:divBdr>
    </w:div>
    <w:div w:id="839083778">
      <w:bodyDiv w:val="1"/>
      <w:marLeft w:val="0"/>
      <w:marRight w:val="0"/>
      <w:marTop w:val="0"/>
      <w:marBottom w:val="0"/>
      <w:divBdr>
        <w:top w:val="none" w:sz="0" w:space="0" w:color="auto"/>
        <w:left w:val="none" w:sz="0" w:space="0" w:color="auto"/>
        <w:bottom w:val="none" w:sz="0" w:space="0" w:color="auto"/>
        <w:right w:val="none" w:sz="0" w:space="0" w:color="auto"/>
      </w:divBdr>
    </w:div>
    <w:div w:id="839272430">
      <w:bodyDiv w:val="1"/>
      <w:marLeft w:val="0"/>
      <w:marRight w:val="0"/>
      <w:marTop w:val="0"/>
      <w:marBottom w:val="0"/>
      <w:divBdr>
        <w:top w:val="none" w:sz="0" w:space="0" w:color="auto"/>
        <w:left w:val="none" w:sz="0" w:space="0" w:color="auto"/>
        <w:bottom w:val="none" w:sz="0" w:space="0" w:color="auto"/>
        <w:right w:val="none" w:sz="0" w:space="0" w:color="auto"/>
      </w:divBdr>
    </w:div>
    <w:div w:id="864488582">
      <w:bodyDiv w:val="1"/>
      <w:marLeft w:val="0"/>
      <w:marRight w:val="0"/>
      <w:marTop w:val="0"/>
      <w:marBottom w:val="0"/>
      <w:divBdr>
        <w:top w:val="none" w:sz="0" w:space="0" w:color="auto"/>
        <w:left w:val="none" w:sz="0" w:space="0" w:color="auto"/>
        <w:bottom w:val="none" w:sz="0" w:space="0" w:color="auto"/>
        <w:right w:val="none" w:sz="0" w:space="0" w:color="auto"/>
      </w:divBdr>
    </w:div>
    <w:div w:id="882987181">
      <w:bodyDiv w:val="1"/>
      <w:marLeft w:val="0"/>
      <w:marRight w:val="0"/>
      <w:marTop w:val="0"/>
      <w:marBottom w:val="0"/>
      <w:divBdr>
        <w:top w:val="none" w:sz="0" w:space="0" w:color="auto"/>
        <w:left w:val="none" w:sz="0" w:space="0" w:color="auto"/>
        <w:bottom w:val="none" w:sz="0" w:space="0" w:color="auto"/>
        <w:right w:val="none" w:sz="0" w:space="0" w:color="auto"/>
      </w:divBdr>
    </w:div>
    <w:div w:id="884558680">
      <w:bodyDiv w:val="1"/>
      <w:marLeft w:val="0"/>
      <w:marRight w:val="0"/>
      <w:marTop w:val="0"/>
      <w:marBottom w:val="0"/>
      <w:divBdr>
        <w:top w:val="none" w:sz="0" w:space="0" w:color="auto"/>
        <w:left w:val="none" w:sz="0" w:space="0" w:color="auto"/>
        <w:bottom w:val="none" w:sz="0" w:space="0" w:color="auto"/>
        <w:right w:val="none" w:sz="0" w:space="0" w:color="auto"/>
      </w:divBdr>
    </w:div>
    <w:div w:id="898174735">
      <w:bodyDiv w:val="1"/>
      <w:marLeft w:val="0"/>
      <w:marRight w:val="0"/>
      <w:marTop w:val="0"/>
      <w:marBottom w:val="0"/>
      <w:divBdr>
        <w:top w:val="none" w:sz="0" w:space="0" w:color="auto"/>
        <w:left w:val="none" w:sz="0" w:space="0" w:color="auto"/>
        <w:bottom w:val="none" w:sz="0" w:space="0" w:color="auto"/>
        <w:right w:val="none" w:sz="0" w:space="0" w:color="auto"/>
      </w:divBdr>
    </w:div>
    <w:div w:id="930353498">
      <w:bodyDiv w:val="1"/>
      <w:marLeft w:val="0"/>
      <w:marRight w:val="0"/>
      <w:marTop w:val="0"/>
      <w:marBottom w:val="0"/>
      <w:divBdr>
        <w:top w:val="none" w:sz="0" w:space="0" w:color="auto"/>
        <w:left w:val="none" w:sz="0" w:space="0" w:color="auto"/>
        <w:bottom w:val="none" w:sz="0" w:space="0" w:color="auto"/>
        <w:right w:val="none" w:sz="0" w:space="0" w:color="auto"/>
      </w:divBdr>
    </w:div>
    <w:div w:id="940793917">
      <w:bodyDiv w:val="1"/>
      <w:marLeft w:val="0"/>
      <w:marRight w:val="0"/>
      <w:marTop w:val="0"/>
      <w:marBottom w:val="0"/>
      <w:divBdr>
        <w:top w:val="none" w:sz="0" w:space="0" w:color="auto"/>
        <w:left w:val="none" w:sz="0" w:space="0" w:color="auto"/>
        <w:bottom w:val="none" w:sz="0" w:space="0" w:color="auto"/>
        <w:right w:val="none" w:sz="0" w:space="0" w:color="auto"/>
      </w:divBdr>
    </w:div>
    <w:div w:id="945238157">
      <w:bodyDiv w:val="1"/>
      <w:marLeft w:val="0"/>
      <w:marRight w:val="0"/>
      <w:marTop w:val="0"/>
      <w:marBottom w:val="0"/>
      <w:divBdr>
        <w:top w:val="none" w:sz="0" w:space="0" w:color="auto"/>
        <w:left w:val="none" w:sz="0" w:space="0" w:color="auto"/>
        <w:bottom w:val="none" w:sz="0" w:space="0" w:color="auto"/>
        <w:right w:val="none" w:sz="0" w:space="0" w:color="auto"/>
      </w:divBdr>
    </w:div>
    <w:div w:id="1028527090">
      <w:bodyDiv w:val="1"/>
      <w:marLeft w:val="0"/>
      <w:marRight w:val="0"/>
      <w:marTop w:val="0"/>
      <w:marBottom w:val="0"/>
      <w:divBdr>
        <w:top w:val="none" w:sz="0" w:space="0" w:color="auto"/>
        <w:left w:val="none" w:sz="0" w:space="0" w:color="auto"/>
        <w:bottom w:val="none" w:sz="0" w:space="0" w:color="auto"/>
        <w:right w:val="none" w:sz="0" w:space="0" w:color="auto"/>
      </w:divBdr>
    </w:div>
    <w:div w:id="1059523971">
      <w:bodyDiv w:val="1"/>
      <w:marLeft w:val="0"/>
      <w:marRight w:val="0"/>
      <w:marTop w:val="0"/>
      <w:marBottom w:val="0"/>
      <w:divBdr>
        <w:top w:val="none" w:sz="0" w:space="0" w:color="auto"/>
        <w:left w:val="none" w:sz="0" w:space="0" w:color="auto"/>
        <w:bottom w:val="none" w:sz="0" w:space="0" w:color="auto"/>
        <w:right w:val="none" w:sz="0" w:space="0" w:color="auto"/>
      </w:divBdr>
    </w:div>
    <w:div w:id="1076433721">
      <w:bodyDiv w:val="1"/>
      <w:marLeft w:val="0"/>
      <w:marRight w:val="0"/>
      <w:marTop w:val="0"/>
      <w:marBottom w:val="0"/>
      <w:divBdr>
        <w:top w:val="none" w:sz="0" w:space="0" w:color="auto"/>
        <w:left w:val="none" w:sz="0" w:space="0" w:color="auto"/>
        <w:bottom w:val="none" w:sz="0" w:space="0" w:color="auto"/>
        <w:right w:val="none" w:sz="0" w:space="0" w:color="auto"/>
      </w:divBdr>
    </w:div>
    <w:div w:id="1086927696">
      <w:bodyDiv w:val="1"/>
      <w:marLeft w:val="0"/>
      <w:marRight w:val="0"/>
      <w:marTop w:val="0"/>
      <w:marBottom w:val="0"/>
      <w:divBdr>
        <w:top w:val="none" w:sz="0" w:space="0" w:color="auto"/>
        <w:left w:val="none" w:sz="0" w:space="0" w:color="auto"/>
        <w:bottom w:val="none" w:sz="0" w:space="0" w:color="auto"/>
        <w:right w:val="none" w:sz="0" w:space="0" w:color="auto"/>
      </w:divBdr>
    </w:div>
    <w:div w:id="1099716384">
      <w:bodyDiv w:val="1"/>
      <w:marLeft w:val="0"/>
      <w:marRight w:val="0"/>
      <w:marTop w:val="0"/>
      <w:marBottom w:val="0"/>
      <w:divBdr>
        <w:top w:val="none" w:sz="0" w:space="0" w:color="auto"/>
        <w:left w:val="none" w:sz="0" w:space="0" w:color="auto"/>
        <w:bottom w:val="none" w:sz="0" w:space="0" w:color="auto"/>
        <w:right w:val="none" w:sz="0" w:space="0" w:color="auto"/>
      </w:divBdr>
    </w:div>
    <w:div w:id="1118376063">
      <w:bodyDiv w:val="1"/>
      <w:marLeft w:val="0"/>
      <w:marRight w:val="0"/>
      <w:marTop w:val="0"/>
      <w:marBottom w:val="0"/>
      <w:divBdr>
        <w:top w:val="none" w:sz="0" w:space="0" w:color="auto"/>
        <w:left w:val="none" w:sz="0" w:space="0" w:color="auto"/>
        <w:bottom w:val="none" w:sz="0" w:space="0" w:color="auto"/>
        <w:right w:val="none" w:sz="0" w:space="0" w:color="auto"/>
      </w:divBdr>
    </w:div>
    <w:div w:id="1132669615">
      <w:bodyDiv w:val="1"/>
      <w:marLeft w:val="0"/>
      <w:marRight w:val="0"/>
      <w:marTop w:val="0"/>
      <w:marBottom w:val="0"/>
      <w:divBdr>
        <w:top w:val="none" w:sz="0" w:space="0" w:color="auto"/>
        <w:left w:val="none" w:sz="0" w:space="0" w:color="auto"/>
        <w:bottom w:val="none" w:sz="0" w:space="0" w:color="auto"/>
        <w:right w:val="none" w:sz="0" w:space="0" w:color="auto"/>
      </w:divBdr>
    </w:div>
    <w:div w:id="1134787465">
      <w:bodyDiv w:val="1"/>
      <w:marLeft w:val="0"/>
      <w:marRight w:val="0"/>
      <w:marTop w:val="0"/>
      <w:marBottom w:val="0"/>
      <w:divBdr>
        <w:top w:val="none" w:sz="0" w:space="0" w:color="auto"/>
        <w:left w:val="none" w:sz="0" w:space="0" w:color="auto"/>
        <w:bottom w:val="none" w:sz="0" w:space="0" w:color="auto"/>
        <w:right w:val="none" w:sz="0" w:space="0" w:color="auto"/>
      </w:divBdr>
    </w:div>
    <w:div w:id="1169176572">
      <w:bodyDiv w:val="1"/>
      <w:marLeft w:val="0"/>
      <w:marRight w:val="0"/>
      <w:marTop w:val="0"/>
      <w:marBottom w:val="0"/>
      <w:divBdr>
        <w:top w:val="none" w:sz="0" w:space="0" w:color="auto"/>
        <w:left w:val="none" w:sz="0" w:space="0" w:color="auto"/>
        <w:bottom w:val="none" w:sz="0" w:space="0" w:color="auto"/>
        <w:right w:val="none" w:sz="0" w:space="0" w:color="auto"/>
      </w:divBdr>
    </w:div>
    <w:div w:id="1171406768">
      <w:bodyDiv w:val="1"/>
      <w:marLeft w:val="0"/>
      <w:marRight w:val="0"/>
      <w:marTop w:val="0"/>
      <w:marBottom w:val="0"/>
      <w:divBdr>
        <w:top w:val="none" w:sz="0" w:space="0" w:color="auto"/>
        <w:left w:val="none" w:sz="0" w:space="0" w:color="auto"/>
        <w:bottom w:val="none" w:sz="0" w:space="0" w:color="auto"/>
        <w:right w:val="none" w:sz="0" w:space="0" w:color="auto"/>
      </w:divBdr>
    </w:div>
    <w:div w:id="1174682368">
      <w:bodyDiv w:val="1"/>
      <w:marLeft w:val="0"/>
      <w:marRight w:val="0"/>
      <w:marTop w:val="0"/>
      <w:marBottom w:val="0"/>
      <w:divBdr>
        <w:top w:val="none" w:sz="0" w:space="0" w:color="auto"/>
        <w:left w:val="none" w:sz="0" w:space="0" w:color="auto"/>
        <w:bottom w:val="none" w:sz="0" w:space="0" w:color="auto"/>
        <w:right w:val="none" w:sz="0" w:space="0" w:color="auto"/>
      </w:divBdr>
    </w:div>
    <w:div w:id="1193496517">
      <w:bodyDiv w:val="1"/>
      <w:marLeft w:val="0"/>
      <w:marRight w:val="0"/>
      <w:marTop w:val="0"/>
      <w:marBottom w:val="0"/>
      <w:divBdr>
        <w:top w:val="none" w:sz="0" w:space="0" w:color="auto"/>
        <w:left w:val="none" w:sz="0" w:space="0" w:color="auto"/>
        <w:bottom w:val="none" w:sz="0" w:space="0" w:color="auto"/>
        <w:right w:val="none" w:sz="0" w:space="0" w:color="auto"/>
      </w:divBdr>
    </w:div>
    <w:div w:id="1194923587">
      <w:bodyDiv w:val="1"/>
      <w:marLeft w:val="0"/>
      <w:marRight w:val="0"/>
      <w:marTop w:val="0"/>
      <w:marBottom w:val="0"/>
      <w:divBdr>
        <w:top w:val="none" w:sz="0" w:space="0" w:color="auto"/>
        <w:left w:val="none" w:sz="0" w:space="0" w:color="auto"/>
        <w:bottom w:val="none" w:sz="0" w:space="0" w:color="auto"/>
        <w:right w:val="none" w:sz="0" w:space="0" w:color="auto"/>
      </w:divBdr>
    </w:div>
    <w:div w:id="1195311196">
      <w:bodyDiv w:val="1"/>
      <w:marLeft w:val="0"/>
      <w:marRight w:val="0"/>
      <w:marTop w:val="0"/>
      <w:marBottom w:val="0"/>
      <w:divBdr>
        <w:top w:val="none" w:sz="0" w:space="0" w:color="auto"/>
        <w:left w:val="none" w:sz="0" w:space="0" w:color="auto"/>
        <w:bottom w:val="none" w:sz="0" w:space="0" w:color="auto"/>
        <w:right w:val="none" w:sz="0" w:space="0" w:color="auto"/>
      </w:divBdr>
    </w:div>
    <w:div w:id="1237788533">
      <w:bodyDiv w:val="1"/>
      <w:marLeft w:val="0"/>
      <w:marRight w:val="0"/>
      <w:marTop w:val="0"/>
      <w:marBottom w:val="0"/>
      <w:divBdr>
        <w:top w:val="none" w:sz="0" w:space="0" w:color="auto"/>
        <w:left w:val="none" w:sz="0" w:space="0" w:color="auto"/>
        <w:bottom w:val="none" w:sz="0" w:space="0" w:color="auto"/>
        <w:right w:val="none" w:sz="0" w:space="0" w:color="auto"/>
      </w:divBdr>
    </w:div>
    <w:div w:id="1259951448">
      <w:bodyDiv w:val="1"/>
      <w:marLeft w:val="0"/>
      <w:marRight w:val="0"/>
      <w:marTop w:val="0"/>
      <w:marBottom w:val="0"/>
      <w:divBdr>
        <w:top w:val="none" w:sz="0" w:space="0" w:color="auto"/>
        <w:left w:val="none" w:sz="0" w:space="0" w:color="auto"/>
        <w:bottom w:val="none" w:sz="0" w:space="0" w:color="auto"/>
        <w:right w:val="none" w:sz="0" w:space="0" w:color="auto"/>
      </w:divBdr>
    </w:div>
    <w:div w:id="1303003727">
      <w:bodyDiv w:val="1"/>
      <w:marLeft w:val="0"/>
      <w:marRight w:val="0"/>
      <w:marTop w:val="0"/>
      <w:marBottom w:val="0"/>
      <w:divBdr>
        <w:top w:val="none" w:sz="0" w:space="0" w:color="auto"/>
        <w:left w:val="none" w:sz="0" w:space="0" w:color="auto"/>
        <w:bottom w:val="none" w:sz="0" w:space="0" w:color="auto"/>
        <w:right w:val="none" w:sz="0" w:space="0" w:color="auto"/>
      </w:divBdr>
    </w:div>
    <w:div w:id="1354456666">
      <w:bodyDiv w:val="1"/>
      <w:marLeft w:val="0"/>
      <w:marRight w:val="0"/>
      <w:marTop w:val="0"/>
      <w:marBottom w:val="0"/>
      <w:divBdr>
        <w:top w:val="none" w:sz="0" w:space="0" w:color="auto"/>
        <w:left w:val="none" w:sz="0" w:space="0" w:color="auto"/>
        <w:bottom w:val="none" w:sz="0" w:space="0" w:color="auto"/>
        <w:right w:val="none" w:sz="0" w:space="0" w:color="auto"/>
      </w:divBdr>
    </w:div>
    <w:div w:id="1386875026">
      <w:bodyDiv w:val="1"/>
      <w:marLeft w:val="0"/>
      <w:marRight w:val="0"/>
      <w:marTop w:val="0"/>
      <w:marBottom w:val="0"/>
      <w:divBdr>
        <w:top w:val="none" w:sz="0" w:space="0" w:color="auto"/>
        <w:left w:val="none" w:sz="0" w:space="0" w:color="auto"/>
        <w:bottom w:val="none" w:sz="0" w:space="0" w:color="auto"/>
        <w:right w:val="none" w:sz="0" w:space="0" w:color="auto"/>
      </w:divBdr>
    </w:div>
    <w:div w:id="1469205876">
      <w:bodyDiv w:val="1"/>
      <w:marLeft w:val="0"/>
      <w:marRight w:val="0"/>
      <w:marTop w:val="0"/>
      <w:marBottom w:val="0"/>
      <w:divBdr>
        <w:top w:val="none" w:sz="0" w:space="0" w:color="auto"/>
        <w:left w:val="none" w:sz="0" w:space="0" w:color="auto"/>
        <w:bottom w:val="none" w:sz="0" w:space="0" w:color="auto"/>
        <w:right w:val="none" w:sz="0" w:space="0" w:color="auto"/>
      </w:divBdr>
    </w:div>
    <w:div w:id="1481649851">
      <w:bodyDiv w:val="1"/>
      <w:marLeft w:val="0"/>
      <w:marRight w:val="0"/>
      <w:marTop w:val="0"/>
      <w:marBottom w:val="0"/>
      <w:divBdr>
        <w:top w:val="none" w:sz="0" w:space="0" w:color="auto"/>
        <w:left w:val="none" w:sz="0" w:space="0" w:color="auto"/>
        <w:bottom w:val="none" w:sz="0" w:space="0" w:color="auto"/>
        <w:right w:val="none" w:sz="0" w:space="0" w:color="auto"/>
      </w:divBdr>
    </w:div>
    <w:div w:id="1512257869">
      <w:bodyDiv w:val="1"/>
      <w:marLeft w:val="0"/>
      <w:marRight w:val="0"/>
      <w:marTop w:val="0"/>
      <w:marBottom w:val="0"/>
      <w:divBdr>
        <w:top w:val="none" w:sz="0" w:space="0" w:color="auto"/>
        <w:left w:val="none" w:sz="0" w:space="0" w:color="auto"/>
        <w:bottom w:val="none" w:sz="0" w:space="0" w:color="auto"/>
        <w:right w:val="none" w:sz="0" w:space="0" w:color="auto"/>
      </w:divBdr>
    </w:div>
    <w:div w:id="1523668142">
      <w:bodyDiv w:val="1"/>
      <w:marLeft w:val="0"/>
      <w:marRight w:val="0"/>
      <w:marTop w:val="0"/>
      <w:marBottom w:val="0"/>
      <w:divBdr>
        <w:top w:val="none" w:sz="0" w:space="0" w:color="auto"/>
        <w:left w:val="none" w:sz="0" w:space="0" w:color="auto"/>
        <w:bottom w:val="none" w:sz="0" w:space="0" w:color="auto"/>
        <w:right w:val="none" w:sz="0" w:space="0" w:color="auto"/>
      </w:divBdr>
    </w:div>
    <w:div w:id="1536237045">
      <w:bodyDiv w:val="1"/>
      <w:marLeft w:val="0"/>
      <w:marRight w:val="0"/>
      <w:marTop w:val="0"/>
      <w:marBottom w:val="0"/>
      <w:divBdr>
        <w:top w:val="none" w:sz="0" w:space="0" w:color="auto"/>
        <w:left w:val="none" w:sz="0" w:space="0" w:color="auto"/>
        <w:bottom w:val="none" w:sz="0" w:space="0" w:color="auto"/>
        <w:right w:val="none" w:sz="0" w:space="0" w:color="auto"/>
      </w:divBdr>
    </w:div>
    <w:div w:id="1612542748">
      <w:bodyDiv w:val="1"/>
      <w:marLeft w:val="0"/>
      <w:marRight w:val="0"/>
      <w:marTop w:val="0"/>
      <w:marBottom w:val="0"/>
      <w:divBdr>
        <w:top w:val="none" w:sz="0" w:space="0" w:color="auto"/>
        <w:left w:val="none" w:sz="0" w:space="0" w:color="auto"/>
        <w:bottom w:val="none" w:sz="0" w:space="0" w:color="auto"/>
        <w:right w:val="none" w:sz="0" w:space="0" w:color="auto"/>
      </w:divBdr>
    </w:div>
    <w:div w:id="1662005657">
      <w:bodyDiv w:val="1"/>
      <w:marLeft w:val="0"/>
      <w:marRight w:val="0"/>
      <w:marTop w:val="0"/>
      <w:marBottom w:val="0"/>
      <w:divBdr>
        <w:top w:val="none" w:sz="0" w:space="0" w:color="auto"/>
        <w:left w:val="none" w:sz="0" w:space="0" w:color="auto"/>
        <w:bottom w:val="none" w:sz="0" w:space="0" w:color="auto"/>
        <w:right w:val="none" w:sz="0" w:space="0" w:color="auto"/>
      </w:divBdr>
    </w:div>
    <w:div w:id="1667397865">
      <w:bodyDiv w:val="1"/>
      <w:marLeft w:val="0"/>
      <w:marRight w:val="0"/>
      <w:marTop w:val="0"/>
      <w:marBottom w:val="0"/>
      <w:divBdr>
        <w:top w:val="none" w:sz="0" w:space="0" w:color="auto"/>
        <w:left w:val="none" w:sz="0" w:space="0" w:color="auto"/>
        <w:bottom w:val="none" w:sz="0" w:space="0" w:color="auto"/>
        <w:right w:val="none" w:sz="0" w:space="0" w:color="auto"/>
      </w:divBdr>
    </w:div>
    <w:div w:id="1674993557">
      <w:bodyDiv w:val="1"/>
      <w:marLeft w:val="0"/>
      <w:marRight w:val="0"/>
      <w:marTop w:val="0"/>
      <w:marBottom w:val="0"/>
      <w:divBdr>
        <w:top w:val="none" w:sz="0" w:space="0" w:color="auto"/>
        <w:left w:val="none" w:sz="0" w:space="0" w:color="auto"/>
        <w:bottom w:val="none" w:sz="0" w:space="0" w:color="auto"/>
        <w:right w:val="none" w:sz="0" w:space="0" w:color="auto"/>
      </w:divBdr>
      <w:divsChild>
        <w:div w:id="729809609">
          <w:marLeft w:val="0"/>
          <w:marRight w:val="0"/>
          <w:marTop w:val="0"/>
          <w:marBottom w:val="0"/>
          <w:divBdr>
            <w:top w:val="none" w:sz="0" w:space="0" w:color="auto"/>
            <w:left w:val="none" w:sz="0" w:space="0" w:color="auto"/>
            <w:bottom w:val="none" w:sz="0" w:space="0" w:color="auto"/>
            <w:right w:val="none" w:sz="0" w:space="0" w:color="auto"/>
          </w:divBdr>
        </w:div>
      </w:divsChild>
    </w:div>
    <w:div w:id="1682513161">
      <w:bodyDiv w:val="1"/>
      <w:marLeft w:val="0"/>
      <w:marRight w:val="0"/>
      <w:marTop w:val="0"/>
      <w:marBottom w:val="0"/>
      <w:divBdr>
        <w:top w:val="none" w:sz="0" w:space="0" w:color="auto"/>
        <w:left w:val="none" w:sz="0" w:space="0" w:color="auto"/>
        <w:bottom w:val="none" w:sz="0" w:space="0" w:color="auto"/>
        <w:right w:val="none" w:sz="0" w:space="0" w:color="auto"/>
      </w:divBdr>
    </w:div>
    <w:div w:id="1690790646">
      <w:bodyDiv w:val="1"/>
      <w:marLeft w:val="0"/>
      <w:marRight w:val="0"/>
      <w:marTop w:val="0"/>
      <w:marBottom w:val="0"/>
      <w:divBdr>
        <w:top w:val="none" w:sz="0" w:space="0" w:color="auto"/>
        <w:left w:val="none" w:sz="0" w:space="0" w:color="auto"/>
        <w:bottom w:val="none" w:sz="0" w:space="0" w:color="auto"/>
        <w:right w:val="none" w:sz="0" w:space="0" w:color="auto"/>
      </w:divBdr>
    </w:div>
    <w:div w:id="1705397181">
      <w:bodyDiv w:val="1"/>
      <w:marLeft w:val="0"/>
      <w:marRight w:val="0"/>
      <w:marTop w:val="0"/>
      <w:marBottom w:val="0"/>
      <w:divBdr>
        <w:top w:val="none" w:sz="0" w:space="0" w:color="auto"/>
        <w:left w:val="none" w:sz="0" w:space="0" w:color="auto"/>
        <w:bottom w:val="none" w:sz="0" w:space="0" w:color="auto"/>
        <w:right w:val="none" w:sz="0" w:space="0" w:color="auto"/>
      </w:divBdr>
    </w:div>
    <w:div w:id="1711686573">
      <w:bodyDiv w:val="1"/>
      <w:marLeft w:val="0"/>
      <w:marRight w:val="0"/>
      <w:marTop w:val="0"/>
      <w:marBottom w:val="0"/>
      <w:divBdr>
        <w:top w:val="none" w:sz="0" w:space="0" w:color="auto"/>
        <w:left w:val="none" w:sz="0" w:space="0" w:color="auto"/>
        <w:bottom w:val="none" w:sz="0" w:space="0" w:color="auto"/>
        <w:right w:val="none" w:sz="0" w:space="0" w:color="auto"/>
      </w:divBdr>
    </w:div>
    <w:div w:id="1742632501">
      <w:bodyDiv w:val="1"/>
      <w:marLeft w:val="0"/>
      <w:marRight w:val="0"/>
      <w:marTop w:val="0"/>
      <w:marBottom w:val="0"/>
      <w:divBdr>
        <w:top w:val="none" w:sz="0" w:space="0" w:color="auto"/>
        <w:left w:val="none" w:sz="0" w:space="0" w:color="auto"/>
        <w:bottom w:val="none" w:sz="0" w:space="0" w:color="auto"/>
        <w:right w:val="none" w:sz="0" w:space="0" w:color="auto"/>
      </w:divBdr>
    </w:div>
    <w:div w:id="1755469508">
      <w:bodyDiv w:val="1"/>
      <w:marLeft w:val="0"/>
      <w:marRight w:val="0"/>
      <w:marTop w:val="0"/>
      <w:marBottom w:val="0"/>
      <w:divBdr>
        <w:top w:val="none" w:sz="0" w:space="0" w:color="auto"/>
        <w:left w:val="none" w:sz="0" w:space="0" w:color="auto"/>
        <w:bottom w:val="none" w:sz="0" w:space="0" w:color="auto"/>
        <w:right w:val="none" w:sz="0" w:space="0" w:color="auto"/>
      </w:divBdr>
    </w:div>
    <w:div w:id="1765952699">
      <w:bodyDiv w:val="1"/>
      <w:marLeft w:val="0"/>
      <w:marRight w:val="0"/>
      <w:marTop w:val="0"/>
      <w:marBottom w:val="0"/>
      <w:divBdr>
        <w:top w:val="none" w:sz="0" w:space="0" w:color="auto"/>
        <w:left w:val="none" w:sz="0" w:space="0" w:color="auto"/>
        <w:bottom w:val="none" w:sz="0" w:space="0" w:color="auto"/>
        <w:right w:val="none" w:sz="0" w:space="0" w:color="auto"/>
      </w:divBdr>
    </w:div>
    <w:div w:id="1774013318">
      <w:bodyDiv w:val="1"/>
      <w:marLeft w:val="0"/>
      <w:marRight w:val="0"/>
      <w:marTop w:val="0"/>
      <w:marBottom w:val="0"/>
      <w:divBdr>
        <w:top w:val="none" w:sz="0" w:space="0" w:color="auto"/>
        <w:left w:val="none" w:sz="0" w:space="0" w:color="auto"/>
        <w:bottom w:val="none" w:sz="0" w:space="0" w:color="auto"/>
        <w:right w:val="none" w:sz="0" w:space="0" w:color="auto"/>
      </w:divBdr>
    </w:div>
    <w:div w:id="1791514438">
      <w:bodyDiv w:val="1"/>
      <w:marLeft w:val="0"/>
      <w:marRight w:val="0"/>
      <w:marTop w:val="0"/>
      <w:marBottom w:val="0"/>
      <w:divBdr>
        <w:top w:val="none" w:sz="0" w:space="0" w:color="auto"/>
        <w:left w:val="none" w:sz="0" w:space="0" w:color="auto"/>
        <w:bottom w:val="none" w:sz="0" w:space="0" w:color="auto"/>
        <w:right w:val="none" w:sz="0" w:space="0" w:color="auto"/>
      </w:divBdr>
    </w:div>
    <w:div w:id="1805848011">
      <w:bodyDiv w:val="1"/>
      <w:marLeft w:val="0"/>
      <w:marRight w:val="0"/>
      <w:marTop w:val="0"/>
      <w:marBottom w:val="0"/>
      <w:divBdr>
        <w:top w:val="none" w:sz="0" w:space="0" w:color="auto"/>
        <w:left w:val="none" w:sz="0" w:space="0" w:color="auto"/>
        <w:bottom w:val="none" w:sz="0" w:space="0" w:color="auto"/>
        <w:right w:val="none" w:sz="0" w:space="0" w:color="auto"/>
      </w:divBdr>
    </w:div>
    <w:div w:id="1807771826">
      <w:bodyDiv w:val="1"/>
      <w:marLeft w:val="0"/>
      <w:marRight w:val="0"/>
      <w:marTop w:val="0"/>
      <w:marBottom w:val="0"/>
      <w:divBdr>
        <w:top w:val="none" w:sz="0" w:space="0" w:color="auto"/>
        <w:left w:val="none" w:sz="0" w:space="0" w:color="auto"/>
        <w:bottom w:val="none" w:sz="0" w:space="0" w:color="auto"/>
        <w:right w:val="none" w:sz="0" w:space="0" w:color="auto"/>
      </w:divBdr>
    </w:div>
    <w:div w:id="1816412686">
      <w:bodyDiv w:val="1"/>
      <w:marLeft w:val="0"/>
      <w:marRight w:val="0"/>
      <w:marTop w:val="0"/>
      <w:marBottom w:val="0"/>
      <w:divBdr>
        <w:top w:val="none" w:sz="0" w:space="0" w:color="auto"/>
        <w:left w:val="none" w:sz="0" w:space="0" w:color="auto"/>
        <w:bottom w:val="none" w:sz="0" w:space="0" w:color="auto"/>
        <w:right w:val="none" w:sz="0" w:space="0" w:color="auto"/>
      </w:divBdr>
    </w:div>
    <w:div w:id="1836412392">
      <w:bodyDiv w:val="1"/>
      <w:marLeft w:val="0"/>
      <w:marRight w:val="0"/>
      <w:marTop w:val="0"/>
      <w:marBottom w:val="0"/>
      <w:divBdr>
        <w:top w:val="none" w:sz="0" w:space="0" w:color="auto"/>
        <w:left w:val="none" w:sz="0" w:space="0" w:color="auto"/>
        <w:bottom w:val="none" w:sz="0" w:space="0" w:color="auto"/>
        <w:right w:val="none" w:sz="0" w:space="0" w:color="auto"/>
      </w:divBdr>
    </w:div>
    <w:div w:id="1846087855">
      <w:bodyDiv w:val="1"/>
      <w:marLeft w:val="0"/>
      <w:marRight w:val="0"/>
      <w:marTop w:val="0"/>
      <w:marBottom w:val="0"/>
      <w:divBdr>
        <w:top w:val="none" w:sz="0" w:space="0" w:color="auto"/>
        <w:left w:val="none" w:sz="0" w:space="0" w:color="auto"/>
        <w:bottom w:val="none" w:sz="0" w:space="0" w:color="auto"/>
        <w:right w:val="none" w:sz="0" w:space="0" w:color="auto"/>
      </w:divBdr>
    </w:div>
    <w:div w:id="1847865451">
      <w:bodyDiv w:val="1"/>
      <w:marLeft w:val="0"/>
      <w:marRight w:val="0"/>
      <w:marTop w:val="0"/>
      <w:marBottom w:val="0"/>
      <w:divBdr>
        <w:top w:val="none" w:sz="0" w:space="0" w:color="auto"/>
        <w:left w:val="none" w:sz="0" w:space="0" w:color="auto"/>
        <w:bottom w:val="none" w:sz="0" w:space="0" w:color="auto"/>
        <w:right w:val="none" w:sz="0" w:space="0" w:color="auto"/>
      </w:divBdr>
    </w:div>
    <w:div w:id="1861966388">
      <w:bodyDiv w:val="1"/>
      <w:marLeft w:val="0"/>
      <w:marRight w:val="0"/>
      <w:marTop w:val="0"/>
      <w:marBottom w:val="0"/>
      <w:divBdr>
        <w:top w:val="none" w:sz="0" w:space="0" w:color="auto"/>
        <w:left w:val="none" w:sz="0" w:space="0" w:color="auto"/>
        <w:bottom w:val="none" w:sz="0" w:space="0" w:color="auto"/>
        <w:right w:val="none" w:sz="0" w:space="0" w:color="auto"/>
      </w:divBdr>
    </w:div>
    <w:div w:id="1883711056">
      <w:bodyDiv w:val="1"/>
      <w:marLeft w:val="0"/>
      <w:marRight w:val="0"/>
      <w:marTop w:val="0"/>
      <w:marBottom w:val="0"/>
      <w:divBdr>
        <w:top w:val="none" w:sz="0" w:space="0" w:color="auto"/>
        <w:left w:val="none" w:sz="0" w:space="0" w:color="auto"/>
        <w:bottom w:val="none" w:sz="0" w:space="0" w:color="auto"/>
        <w:right w:val="none" w:sz="0" w:space="0" w:color="auto"/>
      </w:divBdr>
    </w:div>
    <w:div w:id="1894003757">
      <w:bodyDiv w:val="1"/>
      <w:marLeft w:val="0"/>
      <w:marRight w:val="0"/>
      <w:marTop w:val="0"/>
      <w:marBottom w:val="0"/>
      <w:divBdr>
        <w:top w:val="none" w:sz="0" w:space="0" w:color="auto"/>
        <w:left w:val="none" w:sz="0" w:space="0" w:color="auto"/>
        <w:bottom w:val="none" w:sz="0" w:space="0" w:color="auto"/>
        <w:right w:val="none" w:sz="0" w:space="0" w:color="auto"/>
      </w:divBdr>
    </w:div>
    <w:div w:id="1903325969">
      <w:bodyDiv w:val="1"/>
      <w:marLeft w:val="0"/>
      <w:marRight w:val="0"/>
      <w:marTop w:val="0"/>
      <w:marBottom w:val="0"/>
      <w:divBdr>
        <w:top w:val="none" w:sz="0" w:space="0" w:color="auto"/>
        <w:left w:val="none" w:sz="0" w:space="0" w:color="auto"/>
        <w:bottom w:val="none" w:sz="0" w:space="0" w:color="auto"/>
        <w:right w:val="none" w:sz="0" w:space="0" w:color="auto"/>
      </w:divBdr>
    </w:div>
    <w:div w:id="1903829126">
      <w:bodyDiv w:val="1"/>
      <w:marLeft w:val="0"/>
      <w:marRight w:val="0"/>
      <w:marTop w:val="0"/>
      <w:marBottom w:val="0"/>
      <w:divBdr>
        <w:top w:val="none" w:sz="0" w:space="0" w:color="auto"/>
        <w:left w:val="none" w:sz="0" w:space="0" w:color="auto"/>
        <w:bottom w:val="none" w:sz="0" w:space="0" w:color="auto"/>
        <w:right w:val="none" w:sz="0" w:space="0" w:color="auto"/>
      </w:divBdr>
      <w:divsChild>
        <w:div w:id="1841771533">
          <w:marLeft w:val="0"/>
          <w:marRight w:val="0"/>
          <w:marTop w:val="0"/>
          <w:marBottom w:val="0"/>
          <w:divBdr>
            <w:top w:val="none" w:sz="0" w:space="0" w:color="auto"/>
            <w:left w:val="none" w:sz="0" w:space="0" w:color="auto"/>
            <w:bottom w:val="none" w:sz="0" w:space="0" w:color="auto"/>
            <w:right w:val="none" w:sz="0" w:space="0" w:color="auto"/>
          </w:divBdr>
        </w:div>
      </w:divsChild>
    </w:div>
    <w:div w:id="1905557200">
      <w:bodyDiv w:val="1"/>
      <w:marLeft w:val="0"/>
      <w:marRight w:val="0"/>
      <w:marTop w:val="0"/>
      <w:marBottom w:val="0"/>
      <w:divBdr>
        <w:top w:val="none" w:sz="0" w:space="0" w:color="auto"/>
        <w:left w:val="none" w:sz="0" w:space="0" w:color="auto"/>
        <w:bottom w:val="none" w:sz="0" w:space="0" w:color="auto"/>
        <w:right w:val="none" w:sz="0" w:space="0" w:color="auto"/>
      </w:divBdr>
    </w:div>
    <w:div w:id="1906794301">
      <w:bodyDiv w:val="1"/>
      <w:marLeft w:val="0"/>
      <w:marRight w:val="0"/>
      <w:marTop w:val="0"/>
      <w:marBottom w:val="0"/>
      <w:divBdr>
        <w:top w:val="none" w:sz="0" w:space="0" w:color="auto"/>
        <w:left w:val="none" w:sz="0" w:space="0" w:color="auto"/>
        <w:bottom w:val="none" w:sz="0" w:space="0" w:color="auto"/>
        <w:right w:val="none" w:sz="0" w:space="0" w:color="auto"/>
      </w:divBdr>
    </w:div>
    <w:div w:id="1957713808">
      <w:bodyDiv w:val="1"/>
      <w:marLeft w:val="0"/>
      <w:marRight w:val="0"/>
      <w:marTop w:val="0"/>
      <w:marBottom w:val="0"/>
      <w:divBdr>
        <w:top w:val="none" w:sz="0" w:space="0" w:color="auto"/>
        <w:left w:val="none" w:sz="0" w:space="0" w:color="auto"/>
        <w:bottom w:val="none" w:sz="0" w:space="0" w:color="auto"/>
        <w:right w:val="none" w:sz="0" w:space="0" w:color="auto"/>
      </w:divBdr>
    </w:div>
    <w:div w:id="1970083088">
      <w:bodyDiv w:val="1"/>
      <w:marLeft w:val="0"/>
      <w:marRight w:val="0"/>
      <w:marTop w:val="0"/>
      <w:marBottom w:val="0"/>
      <w:divBdr>
        <w:top w:val="none" w:sz="0" w:space="0" w:color="auto"/>
        <w:left w:val="none" w:sz="0" w:space="0" w:color="auto"/>
        <w:bottom w:val="none" w:sz="0" w:space="0" w:color="auto"/>
        <w:right w:val="none" w:sz="0" w:space="0" w:color="auto"/>
      </w:divBdr>
    </w:div>
    <w:div w:id="1986815597">
      <w:bodyDiv w:val="1"/>
      <w:marLeft w:val="0"/>
      <w:marRight w:val="0"/>
      <w:marTop w:val="0"/>
      <w:marBottom w:val="0"/>
      <w:divBdr>
        <w:top w:val="none" w:sz="0" w:space="0" w:color="auto"/>
        <w:left w:val="none" w:sz="0" w:space="0" w:color="auto"/>
        <w:bottom w:val="none" w:sz="0" w:space="0" w:color="auto"/>
        <w:right w:val="none" w:sz="0" w:space="0" w:color="auto"/>
      </w:divBdr>
    </w:div>
    <w:div w:id="2014407932">
      <w:bodyDiv w:val="1"/>
      <w:marLeft w:val="0"/>
      <w:marRight w:val="0"/>
      <w:marTop w:val="0"/>
      <w:marBottom w:val="0"/>
      <w:divBdr>
        <w:top w:val="none" w:sz="0" w:space="0" w:color="auto"/>
        <w:left w:val="none" w:sz="0" w:space="0" w:color="auto"/>
        <w:bottom w:val="none" w:sz="0" w:space="0" w:color="auto"/>
        <w:right w:val="none" w:sz="0" w:space="0" w:color="auto"/>
      </w:divBdr>
    </w:div>
    <w:div w:id="2023584388">
      <w:bodyDiv w:val="1"/>
      <w:marLeft w:val="0"/>
      <w:marRight w:val="0"/>
      <w:marTop w:val="0"/>
      <w:marBottom w:val="0"/>
      <w:divBdr>
        <w:top w:val="none" w:sz="0" w:space="0" w:color="auto"/>
        <w:left w:val="none" w:sz="0" w:space="0" w:color="auto"/>
        <w:bottom w:val="none" w:sz="0" w:space="0" w:color="auto"/>
        <w:right w:val="none" w:sz="0" w:space="0" w:color="auto"/>
      </w:divBdr>
    </w:div>
    <w:div w:id="21438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5609</Words>
  <Characters>31973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Williams (2103520)</dc:creator>
  <cp:keywords/>
  <dc:description/>
  <cp:lastModifiedBy>Osian Williams (2103520)</cp:lastModifiedBy>
  <cp:revision>4</cp:revision>
  <dcterms:created xsi:type="dcterms:W3CDTF">2025-01-07T19:36:00Z</dcterms:created>
  <dcterms:modified xsi:type="dcterms:W3CDTF">2025-01-07T21:26:00Z</dcterms:modified>
</cp:coreProperties>
</file>