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762471E">
      <w:pPr>
        <w:spacing w:after="240" w:line="360" w:lineRule="auto"/>
        <w:ind w:firstLine="720" w:firstLineChars="0"/>
        <w:jc w:val="center"/>
        <w:rPr>
          <w:rFonts w:hint="default" w:ascii="Arial" w:hAnsi="Arial" w:eastAsia="Times New Roman" w:cs="Arial"/>
          <w:b/>
          <w:bCs/>
          <w:sz w:val="24"/>
          <w:szCs w:val="24"/>
        </w:rPr>
      </w:pPr>
      <w:r>
        <w:rPr>
          <w:rFonts w:hint="default" w:ascii="Arial" w:hAnsi="Arial" w:cs="Arial"/>
          <w:b/>
          <w:bCs/>
          <w:sz w:val="24"/>
          <w:szCs w:val="24"/>
          <w:lang w:val="en-US"/>
        </w:rPr>
        <w:drawing>
          <wp:inline distT="0" distB="0" distL="0" distR="0">
            <wp:extent cx="1809750" cy="723900"/>
            <wp:effectExtent l="0" t="0" r="3810" b="0"/>
            <wp:docPr id="35113713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37135"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2B92EAD8">
      <w:pPr>
        <w:spacing w:after="240" w:line="360" w:lineRule="auto"/>
        <w:jc w:val="center"/>
        <w:rPr>
          <w:rFonts w:hint="default" w:ascii="Arial" w:hAnsi="Arial" w:eastAsia="Times New Roman" w:cs="Arial"/>
          <w:b/>
          <w:bCs/>
          <w:sz w:val="24"/>
          <w:szCs w:val="24"/>
        </w:rPr>
      </w:pPr>
      <w:r>
        <w:rPr>
          <w:rFonts w:hint="default" w:ascii="Arial" w:hAnsi="Arial" w:eastAsia="Times New Roman" w:cs="Arial"/>
          <w:b/>
          <w:bCs/>
          <w:sz w:val="24"/>
          <w:szCs w:val="24"/>
        </w:rPr>
        <w:t>Programme: Master of Business Administration</w:t>
      </w:r>
    </w:p>
    <w:p w14:paraId="4FB2EFB5">
      <w:pPr>
        <w:spacing w:after="240" w:line="360" w:lineRule="auto"/>
        <w:jc w:val="center"/>
        <w:rPr>
          <w:rFonts w:hint="default" w:ascii="Arial" w:hAnsi="Arial" w:eastAsia="Times New Roman" w:cs="Arial"/>
          <w:b/>
          <w:bCs/>
          <w:sz w:val="24"/>
          <w:szCs w:val="24"/>
        </w:rPr>
      </w:pPr>
      <w:r>
        <w:rPr>
          <w:rFonts w:hint="default" w:ascii="Arial" w:hAnsi="Arial" w:eastAsia="Times New Roman" w:cs="Arial"/>
          <w:b/>
          <w:bCs/>
          <w:sz w:val="24"/>
          <w:szCs w:val="24"/>
        </w:rPr>
        <w:t>Module: Financial Management</w:t>
      </w:r>
    </w:p>
    <w:p w14:paraId="7AEAE928">
      <w:pPr>
        <w:spacing w:after="240" w:line="360" w:lineRule="auto"/>
        <w:jc w:val="center"/>
        <w:rPr>
          <w:rFonts w:hint="default" w:ascii="Arial" w:hAnsi="Arial" w:eastAsia="Times New Roman" w:cs="Arial"/>
          <w:b/>
          <w:bCs/>
          <w:sz w:val="24"/>
          <w:szCs w:val="24"/>
        </w:rPr>
      </w:pPr>
      <w:r>
        <w:rPr>
          <w:rFonts w:hint="default" w:ascii="Arial" w:hAnsi="Arial" w:eastAsia="Times New Roman" w:cs="Arial"/>
          <w:b/>
          <w:bCs/>
          <w:sz w:val="24"/>
          <w:szCs w:val="24"/>
        </w:rPr>
        <w:t>Module Code: LCMB7002</w:t>
      </w:r>
    </w:p>
    <w:p w14:paraId="1845262E">
      <w:pPr>
        <w:spacing w:after="240" w:line="360" w:lineRule="auto"/>
        <w:jc w:val="center"/>
        <w:rPr>
          <w:rFonts w:hint="default" w:ascii="Arial" w:hAnsi="Arial" w:eastAsia="Times New Roman" w:cs="Arial"/>
          <w:b/>
          <w:bCs/>
          <w:sz w:val="24"/>
          <w:szCs w:val="24"/>
          <w:lang w:val="en-US"/>
        </w:rPr>
      </w:pPr>
      <w:r>
        <w:rPr>
          <w:rFonts w:hint="default" w:eastAsia="Times New Roman" w:cs="Arial"/>
          <w:b/>
          <w:bCs/>
          <w:sz w:val="24"/>
          <w:szCs w:val="24"/>
          <w:lang w:val="en-US"/>
        </w:rPr>
        <w:t>Module Lecturer: Dr Patrick Yeboah</w:t>
      </w:r>
    </w:p>
    <w:p w14:paraId="4F52982B">
      <w:pPr>
        <w:spacing w:after="240" w:line="360" w:lineRule="auto"/>
        <w:jc w:val="center"/>
        <w:rPr>
          <w:rFonts w:hint="default" w:ascii="Arial" w:hAnsi="Arial" w:eastAsia="Times New Roman" w:cs="Arial"/>
          <w:b/>
          <w:bCs/>
          <w:i/>
          <w:sz w:val="24"/>
          <w:szCs w:val="24"/>
        </w:rPr>
      </w:pPr>
      <w:r>
        <w:rPr>
          <w:rFonts w:hint="default" w:ascii="Arial" w:hAnsi="Arial" w:eastAsia="Times New Roman" w:cs="Arial"/>
          <w:b/>
          <w:bCs/>
          <w:i/>
          <w:sz w:val="24"/>
          <w:szCs w:val="24"/>
        </w:rPr>
        <w:t>Financial Performance Evaluation and Strategic Financial Management Analysis of Marriott International</w:t>
      </w:r>
    </w:p>
    <w:p w14:paraId="01A2F567">
      <w:pPr>
        <w:spacing w:after="240" w:line="360" w:lineRule="auto"/>
        <w:jc w:val="center"/>
        <w:rPr>
          <w:rFonts w:hint="default" w:ascii="Arial" w:hAnsi="Arial" w:eastAsia="Times New Roman" w:cs="Arial"/>
          <w:b/>
          <w:bCs/>
          <w:sz w:val="24"/>
          <w:szCs w:val="24"/>
          <w:lang w:val="en-IN"/>
        </w:rPr>
      </w:pPr>
      <w:r>
        <w:rPr>
          <w:rFonts w:hint="default" w:ascii="Arial" w:hAnsi="Arial" w:eastAsia="Times New Roman" w:cs="Arial"/>
          <w:b/>
          <w:bCs/>
          <w:sz w:val="24"/>
          <w:szCs w:val="24"/>
        </w:rPr>
        <w:t xml:space="preserve">Student </w:t>
      </w:r>
      <w:r>
        <w:rPr>
          <w:rFonts w:hint="default" w:eastAsia="Times New Roman" w:cs="Arial"/>
          <w:b/>
          <w:bCs/>
          <w:sz w:val="24"/>
          <w:szCs w:val="24"/>
          <w:lang w:val="en-US"/>
        </w:rPr>
        <w:t xml:space="preserve">Name: </w:t>
      </w:r>
      <w:r>
        <w:rPr>
          <w:rFonts w:hint="default" w:ascii="Arial" w:hAnsi="Arial" w:eastAsia="Times New Roman" w:cs="Arial"/>
          <w:b/>
          <w:bCs/>
          <w:sz w:val="24"/>
          <w:szCs w:val="24"/>
          <w:lang w:val="en-IN"/>
        </w:rPr>
        <w:t>Kirti Kalpeshkumar Patel</w:t>
      </w:r>
    </w:p>
    <w:p w14:paraId="16184961">
      <w:pPr>
        <w:spacing w:after="240" w:line="360" w:lineRule="auto"/>
        <w:jc w:val="center"/>
        <w:rPr>
          <w:rFonts w:hint="default" w:ascii="Arial" w:hAnsi="Arial" w:eastAsia="Times New Roman" w:cs="Arial"/>
          <w:b/>
          <w:bCs/>
          <w:sz w:val="24"/>
          <w:szCs w:val="24"/>
          <w:lang w:val="en-IN"/>
        </w:rPr>
      </w:pPr>
      <w:r>
        <w:rPr>
          <w:rFonts w:hint="default" w:ascii="Arial" w:hAnsi="Arial" w:eastAsia="Times New Roman" w:cs="Arial"/>
          <w:b/>
          <w:bCs/>
          <w:sz w:val="24"/>
          <w:szCs w:val="24"/>
        </w:rPr>
        <w:t>Student ID:</w:t>
      </w:r>
      <w:r>
        <w:rPr>
          <w:rFonts w:hint="default" w:ascii="Arial" w:hAnsi="Arial" w:eastAsia="Times New Roman" w:cs="Arial"/>
          <w:b/>
          <w:bCs/>
          <w:sz w:val="24"/>
          <w:szCs w:val="24"/>
          <w:lang w:val="en-IN"/>
        </w:rPr>
        <w:t>2537200</w:t>
      </w:r>
    </w:p>
    <w:p w14:paraId="3C86BFAE">
      <w:pPr>
        <w:spacing w:after="240" w:line="360" w:lineRule="auto"/>
        <w:jc w:val="center"/>
        <w:rPr>
          <w:rFonts w:hint="default" w:ascii="Arial" w:hAnsi="Arial" w:eastAsia="Times New Roman" w:cs="Arial"/>
          <w:b/>
          <w:bCs/>
          <w:sz w:val="24"/>
          <w:szCs w:val="24"/>
        </w:rPr>
      </w:pPr>
    </w:p>
    <w:p w14:paraId="27BED614">
      <w:pPr>
        <w:spacing w:after="240" w:line="360" w:lineRule="auto"/>
        <w:rPr>
          <w:rFonts w:hint="default" w:ascii="Arial" w:hAnsi="Arial" w:eastAsia="Times New Roman" w:cs="Arial"/>
          <w:sz w:val="24"/>
          <w:szCs w:val="24"/>
        </w:rPr>
      </w:pPr>
    </w:p>
    <w:p w14:paraId="5F2773A9">
      <w:pPr>
        <w:spacing w:after="240" w:line="360" w:lineRule="auto"/>
        <w:rPr>
          <w:rFonts w:hint="default" w:ascii="Arial" w:hAnsi="Arial" w:eastAsia="Times New Roman" w:cs="Arial"/>
          <w:sz w:val="24"/>
          <w:szCs w:val="24"/>
        </w:rPr>
      </w:pPr>
    </w:p>
    <w:p w14:paraId="078D15A8">
      <w:pPr>
        <w:spacing w:after="240" w:line="360" w:lineRule="auto"/>
        <w:rPr>
          <w:rFonts w:hint="default" w:ascii="Arial" w:hAnsi="Arial" w:eastAsia="Times New Roman" w:cs="Arial"/>
          <w:sz w:val="24"/>
          <w:szCs w:val="24"/>
        </w:rPr>
      </w:pPr>
    </w:p>
    <w:p w14:paraId="4A8479CA">
      <w:pPr>
        <w:spacing w:after="240" w:line="360" w:lineRule="auto"/>
        <w:rPr>
          <w:rFonts w:hint="default" w:ascii="Arial" w:hAnsi="Arial" w:eastAsia="Times New Roman" w:cs="Arial"/>
          <w:sz w:val="24"/>
          <w:szCs w:val="24"/>
        </w:rPr>
      </w:pPr>
    </w:p>
    <w:p w14:paraId="40A6572A">
      <w:pPr>
        <w:spacing w:after="240" w:line="360" w:lineRule="auto"/>
        <w:rPr>
          <w:rFonts w:hint="default" w:ascii="Arial" w:hAnsi="Arial" w:eastAsia="Times New Roman" w:cs="Arial"/>
          <w:sz w:val="24"/>
          <w:szCs w:val="24"/>
        </w:rPr>
      </w:pPr>
      <w:r>
        <w:rPr>
          <w:rFonts w:hint="default" w:ascii="Arial" w:hAnsi="Arial" w:eastAsia="Times New Roman" w:cs="Arial"/>
          <w:sz w:val="24"/>
          <w:szCs w:val="24"/>
        </w:rPr>
        <w:br w:type="page"/>
      </w:r>
    </w:p>
    <w:sdt>
      <w:sdtPr>
        <w:rPr>
          <w:rFonts w:hint="default" w:ascii="Arial" w:hAnsi="Arial" w:eastAsia="Arial" w:cs="Arial"/>
          <w:color w:val="auto"/>
          <w:sz w:val="24"/>
          <w:szCs w:val="24"/>
          <w:lang w:val="en-GB"/>
        </w:rPr>
        <w:id w:val="911968083"/>
        <w:docPartObj>
          <w:docPartGallery w:val="Table of Contents"/>
          <w:docPartUnique/>
        </w:docPartObj>
      </w:sdtPr>
      <w:sdtEndPr>
        <w:rPr>
          <w:rFonts w:hint="default" w:ascii="Arial" w:hAnsi="Arial" w:eastAsia="Arial" w:cs="Arial"/>
          <w:b/>
          <w:bCs/>
          <w:color w:val="auto"/>
          <w:sz w:val="24"/>
          <w:szCs w:val="24"/>
          <w:lang w:val="en-GB"/>
        </w:rPr>
      </w:sdtEndPr>
      <w:sdtContent>
        <w:p w14:paraId="3329607E">
          <w:pPr>
            <w:pStyle w:val="11"/>
            <w:spacing w:before="0" w:line="360" w:lineRule="auto"/>
            <w:jc w:val="center"/>
            <w:rPr>
              <w:rFonts w:hint="default" w:ascii="Arial" w:hAnsi="Arial" w:cs="Arial"/>
              <w:b/>
              <w:bCs/>
              <w:color w:val="auto"/>
              <w:sz w:val="24"/>
              <w:szCs w:val="24"/>
            </w:rPr>
          </w:pPr>
          <w:r>
            <w:rPr>
              <w:rFonts w:hint="default" w:ascii="Arial" w:hAnsi="Arial" w:cs="Arial"/>
              <w:b/>
              <w:bCs/>
              <w:color w:val="auto"/>
              <w:sz w:val="24"/>
              <w:szCs w:val="24"/>
            </w:rPr>
            <w:t>Table of Contents</w:t>
          </w:r>
        </w:p>
        <w:p w14:paraId="4CBF2BFB">
          <w:pPr>
            <w:pStyle w:val="9"/>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"_Toc231843829" </w:instrText>
          </w:r>
          <w:r>
            <w:rPr>
              <w:rFonts w:hint="default" w:ascii="Arial" w:hAnsi="Arial" w:cs="Arial"/>
              <w:sz w:val="24"/>
              <w:szCs w:val="24"/>
            </w:rPr>
            <w:fldChar w:fldCharType="separate"/>
          </w:r>
          <w:r>
            <w:rPr>
              <w:rStyle w:val="7"/>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_Toc231843829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14:paraId="5D071499">
          <w:pPr>
            <w:pStyle w:val="9"/>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"_Toc231843830" </w:instrText>
          </w:r>
          <w:r>
            <w:rPr>
              <w:rFonts w:hint="default" w:ascii="Arial" w:hAnsi="Arial" w:cs="Arial"/>
              <w:sz w:val="24"/>
              <w:szCs w:val="24"/>
            </w:rPr>
            <w:fldChar w:fldCharType="separate"/>
          </w:r>
          <w:r>
            <w:rPr>
              <w:rStyle w:val="7"/>
              <w:rFonts w:hint="default" w:ascii="Arial" w:hAnsi="Arial" w:cs="Arial"/>
              <w:sz w:val="24"/>
              <w:szCs w:val="24"/>
            </w:rPr>
            <w:t>1. Financial Health Check</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_Toc231843830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14:paraId="73AE184E">
          <w:pPr>
            <w:pStyle w:val="10"/>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"_Toc231843831" </w:instrText>
          </w:r>
          <w:r>
            <w:rPr>
              <w:rFonts w:hint="default" w:ascii="Arial" w:hAnsi="Arial" w:cs="Arial"/>
              <w:sz w:val="24"/>
              <w:szCs w:val="24"/>
            </w:rPr>
            <w:fldChar w:fldCharType="separate"/>
          </w:r>
          <w:r>
            <w:rPr>
              <w:rStyle w:val="7"/>
              <w:rFonts w:hint="default" w:ascii="Arial" w:hAnsi="Arial" w:cs="Arial"/>
              <w:sz w:val="24"/>
              <w:szCs w:val="24"/>
            </w:rPr>
            <w:t>1.1 Ratio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_Toc231843831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14:paraId="78E769A9">
          <w:pPr>
            <w:pStyle w:val="10"/>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"_Toc231843832" </w:instrText>
          </w:r>
          <w:r>
            <w:rPr>
              <w:rFonts w:hint="default" w:ascii="Arial" w:hAnsi="Arial" w:cs="Arial"/>
              <w:sz w:val="24"/>
              <w:szCs w:val="24"/>
            </w:rPr>
            <w:fldChar w:fldCharType="separate"/>
          </w:r>
          <w:r>
            <w:rPr>
              <w:rStyle w:val="7"/>
              <w:rFonts w:hint="default" w:ascii="Arial" w:hAnsi="Arial" w:cs="Arial"/>
              <w:sz w:val="24"/>
              <w:szCs w:val="24"/>
            </w:rPr>
            <w:t>1.2 Identify trends, strengths, and potential threats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_Toc231843832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14:paraId="60CD6603">
          <w:pPr>
            <w:pStyle w:val="10"/>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"_Toc231843833" </w:instrText>
          </w:r>
          <w:r>
            <w:rPr>
              <w:rFonts w:hint="default" w:ascii="Arial" w:hAnsi="Arial" w:cs="Arial"/>
              <w:sz w:val="24"/>
              <w:szCs w:val="24"/>
            </w:rPr>
            <w:fldChar w:fldCharType="separate"/>
          </w:r>
          <w:r>
            <w:rPr>
              <w:rStyle w:val="7"/>
              <w:rFonts w:hint="default" w:ascii="Arial" w:hAnsi="Arial" w:cs="Arial"/>
              <w:sz w:val="24"/>
              <w:szCs w:val="24"/>
            </w:rPr>
            <w:t>1.3 Comparison of liquidity ratios with industry benchmarks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_Toc231843833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14:paraId="42CF7767">
          <w:pPr>
            <w:pStyle w:val="9"/>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"_Toc231843834" </w:instrText>
          </w:r>
          <w:r>
            <w:rPr>
              <w:rFonts w:hint="default" w:ascii="Arial" w:hAnsi="Arial" w:cs="Arial"/>
              <w:sz w:val="24"/>
              <w:szCs w:val="24"/>
            </w:rPr>
            <w:fldChar w:fldCharType="separate"/>
          </w:r>
          <w:r>
            <w:rPr>
              <w:rStyle w:val="7"/>
              <w:rFonts w:hint="default" w:ascii="Arial" w:hAnsi="Arial" w:cs="Arial"/>
              <w:sz w:val="24"/>
              <w:szCs w:val="24"/>
            </w:rPr>
            <w:t>2. Working Capital Management Analysis</w:t>
          </w:r>
          <w:r>
            <w:rPr>
              <w:rFonts w:hint="default" w:ascii="Arial" w:hAnsi="Arial" w:cs="Arial"/>
              <w:sz w:val="24"/>
              <w:szCs w:val="24"/>
            </w:rPr>
            <w:tab/>
          </w:r>
          <w:r>
            <w:rPr>
              <w:rFonts w:hint="default" w:cs="Arial"/>
              <w:sz w:val="24"/>
              <w:szCs w:val="24"/>
              <w:lang w:val="en-US"/>
            </w:rPr>
            <w:t>8</w:t>
          </w:r>
          <w:r>
            <w:rPr>
              <w:rFonts w:hint="default" w:ascii="Arial" w:hAnsi="Arial" w:cs="Arial"/>
              <w:sz w:val="24"/>
              <w:szCs w:val="24"/>
            </w:rPr>
            <w:fldChar w:fldCharType="end"/>
          </w:r>
        </w:p>
        <w:p w14:paraId="2C247CFE">
          <w:pPr>
            <w:pStyle w:val="10"/>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"_Toc231843835" </w:instrText>
          </w:r>
          <w:r>
            <w:rPr>
              <w:rFonts w:hint="default" w:ascii="Arial" w:hAnsi="Arial" w:cs="Arial"/>
              <w:sz w:val="24"/>
              <w:szCs w:val="24"/>
            </w:rPr>
            <w:fldChar w:fldCharType="separate"/>
          </w:r>
          <w:r>
            <w:rPr>
              <w:rStyle w:val="7"/>
              <w:rFonts w:hint="default" w:ascii="Arial" w:hAnsi="Arial" w:cs="Arial"/>
              <w:sz w:val="24"/>
              <w:szCs w:val="24"/>
            </w:rPr>
            <w:t>2.1 Cash Operating Cycle</w:t>
          </w:r>
          <w:r>
            <w:rPr>
              <w:rFonts w:hint="default" w:ascii="Arial" w:hAnsi="Arial" w:cs="Arial"/>
              <w:sz w:val="24"/>
              <w:szCs w:val="24"/>
            </w:rPr>
            <w:tab/>
          </w:r>
          <w:r>
            <w:rPr>
              <w:rFonts w:hint="default" w:cs="Arial"/>
              <w:sz w:val="24"/>
              <w:szCs w:val="24"/>
              <w:lang w:val="en-US"/>
            </w:rPr>
            <w:t>8</w:t>
          </w:r>
          <w:r>
            <w:rPr>
              <w:rFonts w:hint="default" w:ascii="Arial" w:hAnsi="Arial" w:cs="Arial"/>
              <w:sz w:val="24"/>
              <w:szCs w:val="24"/>
            </w:rPr>
            <w:fldChar w:fldCharType="end"/>
          </w:r>
        </w:p>
        <w:p w14:paraId="0EDBD632">
          <w:pPr>
            <w:pStyle w:val="10"/>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"_Toc231843836" </w:instrText>
          </w:r>
          <w:r>
            <w:rPr>
              <w:rFonts w:hint="default" w:ascii="Arial" w:hAnsi="Arial" w:cs="Arial"/>
              <w:sz w:val="24"/>
              <w:szCs w:val="24"/>
            </w:rPr>
            <w:fldChar w:fldCharType="separate"/>
          </w:r>
          <w:r>
            <w:rPr>
              <w:rStyle w:val="7"/>
              <w:rFonts w:hint="default" w:ascii="Arial" w:hAnsi="Arial" w:cs="Arial"/>
              <w:sz w:val="24"/>
              <w:szCs w:val="24"/>
            </w:rPr>
            <w:t>2.2 Strategies Recommendations</w:t>
          </w:r>
          <w:r>
            <w:rPr>
              <w:rFonts w:hint="default" w:ascii="Arial" w:hAnsi="Arial" w:cs="Arial"/>
              <w:sz w:val="24"/>
              <w:szCs w:val="24"/>
            </w:rPr>
            <w:tab/>
          </w:r>
          <w:r>
            <w:rPr>
              <w:rFonts w:hint="default" w:cs="Arial"/>
              <w:sz w:val="24"/>
              <w:szCs w:val="24"/>
              <w:lang w:val="en-IN"/>
            </w:rPr>
            <w:t>9</w:t>
          </w:r>
          <w:r>
            <w:rPr>
              <w:rFonts w:hint="default" w:ascii="Arial" w:hAnsi="Arial" w:cs="Arial"/>
              <w:sz w:val="24"/>
              <w:szCs w:val="24"/>
            </w:rPr>
            <w:fldChar w:fldCharType="end"/>
          </w:r>
        </w:p>
        <w:p w14:paraId="22B4FF4D">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"_Toc231843837" </w:instrText>
          </w:r>
          <w:r>
            <w:rPr>
              <w:rFonts w:hint="default" w:ascii="Arial" w:hAnsi="Arial" w:cs="Arial"/>
              <w:sz w:val="24"/>
              <w:szCs w:val="24"/>
            </w:rPr>
            <w:fldChar w:fldCharType="separate"/>
          </w:r>
          <w:r>
            <w:rPr>
              <w:rStyle w:val="7"/>
              <w:rFonts w:hint="default" w:ascii="Arial" w:hAnsi="Arial" w:cs="Arial"/>
              <w:sz w:val="24"/>
              <w:szCs w:val="24"/>
            </w:rPr>
            <w:t>2.3 Comparison of Short-Term and Long-Term Financing Options</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0</w:t>
          </w:r>
        </w:p>
        <w:p w14:paraId="14B2FD39">
          <w:pPr>
            <w:pStyle w:val="9"/>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"_Toc231843838" </w:instrText>
          </w:r>
          <w:r>
            <w:rPr>
              <w:rFonts w:hint="default" w:ascii="Arial" w:hAnsi="Arial" w:cs="Arial"/>
              <w:sz w:val="24"/>
              <w:szCs w:val="24"/>
            </w:rPr>
            <w:fldChar w:fldCharType="separate"/>
          </w:r>
          <w:r>
            <w:rPr>
              <w:rStyle w:val="7"/>
              <w:rFonts w:hint="default" w:ascii="Arial" w:hAnsi="Arial" w:cs="Arial"/>
              <w:sz w:val="24"/>
              <w:szCs w:val="24"/>
            </w:rPr>
            <w:t>3. Financial Plan for Re-structure</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1</w:t>
          </w:r>
        </w:p>
        <w:p w14:paraId="31A93BCA">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"_Toc231843839" </w:instrText>
          </w:r>
          <w:r>
            <w:rPr>
              <w:rFonts w:hint="default" w:ascii="Arial" w:hAnsi="Arial" w:cs="Arial"/>
              <w:sz w:val="24"/>
              <w:szCs w:val="24"/>
            </w:rPr>
            <w:fldChar w:fldCharType="separate"/>
          </w:r>
          <w:r>
            <w:rPr>
              <w:rStyle w:val="7"/>
              <w:rFonts w:hint="default" w:ascii="Arial" w:hAnsi="Arial" w:cs="Arial"/>
              <w:sz w:val="24"/>
              <w:szCs w:val="24"/>
            </w:rPr>
            <w:t>3.1 Re-structuring Options</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1</w:t>
          </w:r>
        </w:p>
        <w:p w14:paraId="4467842E">
          <w:pPr>
            <w:pStyle w:val="10"/>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"_Toc231843840" </w:instrText>
          </w:r>
          <w:r>
            <w:rPr>
              <w:rFonts w:hint="default" w:ascii="Arial" w:hAnsi="Arial" w:cs="Arial"/>
              <w:sz w:val="24"/>
              <w:szCs w:val="24"/>
            </w:rPr>
            <w:fldChar w:fldCharType="separate"/>
          </w:r>
          <w:r>
            <w:rPr>
              <w:rStyle w:val="7"/>
              <w:rFonts w:hint="default" w:ascii="Arial" w:hAnsi="Arial" w:cs="Arial"/>
              <w:sz w:val="24"/>
              <w:szCs w:val="24"/>
            </w:rPr>
            <w:t>3.2 Analysis shareholder value, debt structure, and operational flexibility.</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US"/>
            </w:rPr>
            <w:t>2</w:t>
          </w:r>
        </w:p>
        <w:p w14:paraId="5246C3B5">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"_Toc231843841" </w:instrText>
          </w:r>
          <w:r>
            <w:rPr>
              <w:rFonts w:hint="default" w:ascii="Arial" w:hAnsi="Arial" w:cs="Arial"/>
              <w:sz w:val="24"/>
              <w:szCs w:val="24"/>
            </w:rPr>
            <w:fldChar w:fldCharType="separate"/>
          </w:r>
          <w:r>
            <w:rPr>
              <w:rStyle w:val="7"/>
              <w:rFonts w:hint="default" w:ascii="Arial" w:hAnsi="Arial" w:cs="Arial"/>
              <w:sz w:val="24"/>
              <w:szCs w:val="24"/>
            </w:rPr>
            <w:t>3.3 International and Ethical considerations</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2</w:t>
          </w:r>
        </w:p>
        <w:p w14:paraId="7FCEDF46">
          <w:pPr>
            <w:pStyle w:val="9"/>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"_Toc231843842" </w:instrText>
          </w:r>
          <w:r>
            <w:rPr>
              <w:rFonts w:hint="default" w:ascii="Arial" w:hAnsi="Arial" w:cs="Arial"/>
              <w:sz w:val="24"/>
              <w:szCs w:val="24"/>
            </w:rPr>
            <w:fldChar w:fldCharType="separate"/>
          </w:r>
          <w:r>
            <w:rPr>
              <w:rStyle w:val="7"/>
              <w:rFonts w:hint="default" w:ascii="Arial" w:hAnsi="Arial" w:cs="Arial"/>
              <w:sz w:val="24"/>
              <w:szCs w:val="24"/>
            </w:rPr>
            <w:t>4. Investment Appraisal and Capital Budgeting</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3</w:t>
          </w:r>
        </w:p>
        <w:p w14:paraId="3E588F8B">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"_Toc231843843" </w:instrText>
          </w:r>
          <w:r>
            <w:rPr>
              <w:rFonts w:hint="default" w:ascii="Arial" w:hAnsi="Arial" w:cs="Arial"/>
              <w:sz w:val="24"/>
              <w:szCs w:val="24"/>
            </w:rPr>
            <w:fldChar w:fldCharType="separate"/>
          </w:r>
          <w:r>
            <w:rPr>
              <w:rStyle w:val="7"/>
              <w:rFonts w:hint="default" w:ascii="Arial" w:hAnsi="Arial" w:cs="Arial"/>
              <w:sz w:val="24"/>
              <w:szCs w:val="24"/>
            </w:rPr>
            <w:t>4.1 Project Description</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3</w:t>
          </w:r>
        </w:p>
        <w:p w14:paraId="66879EEF">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"_Toc231843844" </w:instrText>
          </w:r>
          <w:r>
            <w:rPr>
              <w:rFonts w:hint="default" w:ascii="Arial" w:hAnsi="Arial" w:cs="Arial"/>
              <w:sz w:val="24"/>
              <w:szCs w:val="24"/>
            </w:rPr>
            <w:fldChar w:fldCharType="separate"/>
          </w:r>
          <w:r>
            <w:rPr>
              <w:rStyle w:val="7"/>
              <w:rFonts w:hint="default" w:ascii="Arial" w:hAnsi="Arial" w:cs="Arial"/>
              <w:sz w:val="24"/>
              <w:szCs w:val="24"/>
            </w:rPr>
            <w:t>4.2 Recommendation</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4</w:t>
          </w:r>
        </w:p>
        <w:p w14:paraId="7BE9360D">
          <w:pPr>
            <w:pStyle w:val="10"/>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"_Toc231843845" </w:instrText>
          </w:r>
          <w:r>
            <w:rPr>
              <w:rFonts w:hint="default" w:ascii="Arial" w:hAnsi="Arial" w:cs="Arial"/>
              <w:sz w:val="24"/>
              <w:szCs w:val="24"/>
            </w:rPr>
            <w:fldChar w:fldCharType="separate"/>
          </w:r>
          <w:r>
            <w:rPr>
              <w:rStyle w:val="7"/>
              <w:rFonts w:hint="default" w:ascii="Arial" w:hAnsi="Arial" w:cs="Arial"/>
              <w:sz w:val="24"/>
              <w:szCs w:val="24"/>
            </w:rPr>
            <w:t>4.3 Assumption</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US"/>
            </w:rPr>
            <w:t>6</w:t>
          </w:r>
        </w:p>
        <w:p w14:paraId="3CCB7AE6">
          <w:pPr>
            <w:pStyle w:val="9"/>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"_Toc231843846" </w:instrText>
          </w:r>
          <w:r>
            <w:rPr>
              <w:rFonts w:hint="default" w:ascii="Arial" w:hAnsi="Arial" w:cs="Arial"/>
              <w:sz w:val="24"/>
              <w:szCs w:val="24"/>
            </w:rPr>
            <w:fldChar w:fldCharType="separate"/>
          </w:r>
          <w:r>
            <w:rPr>
              <w:rStyle w:val="7"/>
              <w:rFonts w:hint="default" w:ascii="Arial" w:hAnsi="Arial" w:cs="Arial"/>
              <w:sz w:val="24"/>
              <w:szCs w:val="24"/>
            </w:rPr>
            <w:t>5. Critical Reflection on AI Usage</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7</w:t>
          </w:r>
        </w:p>
        <w:p w14:paraId="65368BDD">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"_Toc231843847" </w:instrText>
          </w:r>
          <w:r>
            <w:rPr>
              <w:rFonts w:hint="default" w:ascii="Arial" w:hAnsi="Arial" w:cs="Arial"/>
              <w:sz w:val="24"/>
              <w:szCs w:val="24"/>
            </w:rPr>
            <w:fldChar w:fldCharType="separate"/>
          </w:r>
          <w:r>
            <w:rPr>
              <w:rStyle w:val="7"/>
              <w:rFonts w:hint="default" w:ascii="Arial" w:hAnsi="Arial" w:cs="Arial"/>
              <w:sz w:val="24"/>
              <w:szCs w:val="24"/>
            </w:rPr>
            <w:t>a. Tool Disclosure</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7</w:t>
          </w:r>
        </w:p>
        <w:p w14:paraId="78A093F8">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"_Toc231843848" </w:instrText>
          </w:r>
          <w:r>
            <w:rPr>
              <w:rFonts w:hint="default" w:ascii="Arial" w:hAnsi="Arial" w:cs="Arial"/>
              <w:sz w:val="24"/>
              <w:szCs w:val="24"/>
            </w:rPr>
            <w:fldChar w:fldCharType="separate"/>
          </w:r>
          <w:r>
            <w:rPr>
              <w:rStyle w:val="7"/>
              <w:rFonts w:hint="default" w:ascii="Arial" w:hAnsi="Arial" w:cs="Arial"/>
              <w:sz w:val="24"/>
              <w:szCs w:val="24"/>
            </w:rPr>
            <w:t>b. Critical Evaluation of AI Output</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7</w:t>
          </w:r>
        </w:p>
        <w:p w14:paraId="43598682">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"_Toc231843849" </w:instrText>
          </w:r>
          <w:r>
            <w:rPr>
              <w:rFonts w:hint="default" w:ascii="Arial" w:hAnsi="Arial" w:cs="Arial"/>
              <w:sz w:val="24"/>
              <w:szCs w:val="24"/>
            </w:rPr>
            <w:fldChar w:fldCharType="separate"/>
          </w:r>
          <w:r>
            <w:rPr>
              <w:rStyle w:val="7"/>
              <w:rFonts w:hint="default" w:ascii="Arial" w:hAnsi="Arial" w:cs="Arial"/>
              <w:sz w:val="24"/>
              <w:szCs w:val="24"/>
            </w:rPr>
            <w:t>c. Contribution Analysis</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8</w:t>
          </w:r>
        </w:p>
        <w:p w14:paraId="5C89F4FA">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"_Toc231843850" </w:instrText>
          </w:r>
          <w:r>
            <w:rPr>
              <w:rFonts w:hint="default" w:ascii="Arial" w:hAnsi="Arial" w:cs="Arial"/>
              <w:sz w:val="24"/>
              <w:szCs w:val="24"/>
            </w:rPr>
            <w:fldChar w:fldCharType="separate"/>
          </w:r>
          <w:r>
            <w:rPr>
              <w:rStyle w:val="7"/>
              <w:rFonts w:hint="default" w:ascii="Arial" w:hAnsi="Arial" w:cs="Arial"/>
              <w:sz w:val="24"/>
              <w:szCs w:val="24"/>
            </w:rPr>
            <w:t>d. Ethical &amp; Professional Reflection</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IN"/>
            </w:rPr>
            <w:t>8</w:t>
          </w:r>
        </w:p>
        <w:p w14:paraId="33880D29">
          <w:pPr>
            <w:pStyle w:val="9"/>
            <w:tabs>
              <w:tab w:val="right" w:leader="dot" w:pos="9019"/>
            </w:tabs>
            <w:spacing w:after="0" w:line="24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"_Toc231843851" </w:instrText>
          </w:r>
          <w:r>
            <w:rPr>
              <w:rFonts w:hint="default" w:ascii="Arial" w:hAnsi="Arial" w:cs="Arial"/>
              <w:sz w:val="24"/>
              <w:szCs w:val="24"/>
            </w:rPr>
            <w:fldChar w:fldCharType="separate"/>
          </w:r>
          <w:r>
            <w:rPr>
              <w:rStyle w:val="7"/>
              <w:rFonts w:hint="default" w:ascii="Arial" w:hAnsi="Arial" w:cs="Arial"/>
              <w:sz w:val="24"/>
              <w:szCs w:val="24"/>
            </w:rPr>
            <w:t>Conclusion</w:t>
          </w:r>
          <w:r>
            <w:rPr>
              <w:rFonts w:hint="default" w:ascii="Arial" w:hAnsi="Arial" w:cs="Arial"/>
              <w:sz w:val="24"/>
              <w:szCs w:val="24"/>
            </w:rPr>
            <w:tab/>
          </w:r>
          <w:r>
            <w:rPr>
              <w:rFonts w:hint="default" w:cs="Arial"/>
              <w:sz w:val="24"/>
              <w:szCs w:val="24"/>
              <w:lang w:val="en-IN"/>
            </w:rPr>
            <w:t>1</w:t>
          </w:r>
          <w:r>
            <w:rPr>
              <w:rFonts w:hint="default" w:ascii="Arial" w:hAnsi="Arial" w:cs="Arial"/>
              <w:sz w:val="24"/>
              <w:szCs w:val="24"/>
            </w:rPr>
            <w:fldChar w:fldCharType="end"/>
          </w:r>
          <w:r>
            <w:rPr>
              <w:rFonts w:hint="default" w:cs="Arial"/>
              <w:sz w:val="24"/>
              <w:szCs w:val="24"/>
              <w:lang w:val="en-US"/>
            </w:rPr>
            <w:t>9</w:t>
          </w:r>
        </w:p>
        <w:p w14:paraId="056DBEC8">
          <w:pPr>
            <w:pStyle w:val="9"/>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"_Toc231843852" </w:instrText>
          </w:r>
          <w:r>
            <w:rPr>
              <w:rFonts w:hint="default" w:ascii="Arial" w:hAnsi="Arial" w:cs="Arial"/>
              <w:sz w:val="24"/>
              <w:szCs w:val="24"/>
            </w:rPr>
            <w:fldChar w:fldCharType="separate"/>
          </w:r>
          <w:r>
            <w:rPr>
              <w:rStyle w:val="7"/>
              <w:rFonts w:hint="default" w:ascii="Arial" w:hAnsi="Arial" w:cs="Arial"/>
              <w:sz w:val="24"/>
              <w:szCs w:val="24"/>
            </w:rPr>
            <w:t>References</w:t>
          </w:r>
          <w:r>
            <w:rPr>
              <w:rFonts w:hint="default" w:ascii="Arial" w:hAnsi="Arial" w:cs="Arial"/>
              <w:sz w:val="24"/>
              <w:szCs w:val="24"/>
            </w:rPr>
            <w:tab/>
          </w:r>
          <w:r>
            <w:rPr>
              <w:rFonts w:hint="default" w:cs="Arial"/>
              <w:sz w:val="24"/>
              <w:szCs w:val="24"/>
              <w:lang w:val="en-IN"/>
            </w:rPr>
            <w:t>2</w:t>
          </w:r>
          <w:r>
            <w:rPr>
              <w:rFonts w:hint="default" w:ascii="Arial" w:hAnsi="Arial" w:cs="Arial"/>
              <w:sz w:val="24"/>
              <w:szCs w:val="24"/>
            </w:rPr>
            <w:fldChar w:fldCharType="end"/>
          </w:r>
          <w:r>
            <w:rPr>
              <w:rFonts w:hint="default" w:cs="Arial"/>
              <w:sz w:val="24"/>
              <w:szCs w:val="24"/>
              <w:lang w:val="en-IN"/>
            </w:rPr>
            <w:t>0</w:t>
          </w:r>
        </w:p>
        <w:p w14:paraId="5E3CACD0">
          <w:pPr>
            <w:pStyle w:val="9"/>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"_Toc231843853" </w:instrText>
          </w:r>
          <w:r>
            <w:rPr>
              <w:rFonts w:hint="default" w:ascii="Arial" w:hAnsi="Arial" w:cs="Arial"/>
              <w:sz w:val="24"/>
              <w:szCs w:val="24"/>
            </w:rPr>
            <w:fldChar w:fldCharType="separate"/>
          </w:r>
          <w:r>
            <w:rPr>
              <w:rStyle w:val="7"/>
              <w:rFonts w:hint="default" w:ascii="Arial" w:hAnsi="Arial" w:cs="Arial"/>
              <w:sz w:val="24"/>
              <w:szCs w:val="24"/>
            </w:rPr>
            <w:t>6. Appendices</w:t>
          </w:r>
          <w:r>
            <w:rPr>
              <w:rFonts w:hint="default" w:ascii="Arial" w:hAnsi="Arial" w:cs="Arial"/>
              <w:sz w:val="24"/>
              <w:szCs w:val="24"/>
            </w:rPr>
            <w:tab/>
          </w:r>
          <w:r>
            <w:rPr>
              <w:rFonts w:hint="default" w:cs="Arial"/>
              <w:sz w:val="24"/>
              <w:szCs w:val="24"/>
              <w:lang w:val="en-IN"/>
            </w:rPr>
            <w:t>2</w:t>
          </w:r>
          <w:r>
            <w:rPr>
              <w:rFonts w:hint="default" w:ascii="Arial" w:hAnsi="Arial" w:cs="Arial"/>
              <w:sz w:val="24"/>
              <w:szCs w:val="24"/>
            </w:rPr>
            <w:fldChar w:fldCharType="end"/>
          </w:r>
          <w:r>
            <w:rPr>
              <w:rFonts w:hint="default" w:cs="Arial"/>
              <w:sz w:val="24"/>
              <w:szCs w:val="24"/>
              <w:lang w:val="en-IN"/>
            </w:rPr>
            <w:t>5</w:t>
          </w:r>
        </w:p>
        <w:p w14:paraId="58BE7D34">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"_Toc231843854" </w:instrText>
          </w:r>
          <w:r>
            <w:rPr>
              <w:rFonts w:hint="default" w:ascii="Arial" w:hAnsi="Arial" w:cs="Arial"/>
              <w:sz w:val="24"/>
              <w:szCs w:val="24"/>
            </w:rPr>
            <w:fldChar w:fldCharType="separate"/>
          </w:r>
          <w:r>
            <w:rPr>
              <w:rStyle w:val="7"/>
              <w:rFonts w:hint="default" w:ascii="Arial" w:hAnsi="Arial" w:cs="Arial"/>
              <w:sz w:val="24"/>
              <w:szCs w:val="24"/>
            </w:rPr>
            <w:t>Appendix A: Ratio tables and Graphs</w:t>
          </w:r>
          <w:r>
            <w:rPr>
              <w:rFonts w:hint="default" w:ascii="Arial" w:hAnsi="Arial" w:cs="Arial"/>
              <w:sz w:val="24"/>
              <w:szCs w:val="24"/>
            </w:rPr>
            <w:tab/>
          </w:r>
          <w:r>
            <w:rPr>
              <w:rFonts w:hint="default" w:cs="Arial"/>
              <w:sz w:val="24"/>
              <w:szCs w:val="24"/>
              <w:lang w:val="en-IN"/>
            </w:rPr>
            <w:t>2</w:t>
          </w:r>
          <w:r>
            <w:rPr>
              <w:rFonts w:hint="default" w:ascii="Arial" w:hAnsi="Arial" w:cs="Arial"/>
              <w:sz w:val="24"/>
              <w:szCs w:val="24"/>
            </w:rPr>
            <w:fldChar w:fldCharType="end"/>
          </w:r>
          <w:r>
            <w:rPr>
              <w:rFonts w:hint="default" w:cs="Arial"/>
              <w:sz w:val="24"/>
              <w:szCs w:val="24"/>
              <w:lang w:val="en-IN"/>
            </w:rPr>
            <w:t>5</w:t>
          </w:r>
        </w:p>
        <w:p w14:paraId="1ED62556">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"_Toc231843855" </w:instrText>
          </w:r>
          <w:r>
            <w:rPr>
              <w:rFonts w:hint="default" w:ascii="Arial" w:hAnsi="Arial" w:cs="Arial"/>
              <w:sz w:val="24"/>
              <w:szCs w:val="24"/>
            </w:rPr>
            <w:fldChar w:fldCharType="separate"/>
          </w:r>
          <w:r>
            <w:rPr>
              <w:rStyle w:val="7"/>
              <w:rFonts w:hint="default" w:ascii="Arial" w:hAnsi="Arial" w:cs="Arial"/>
              <w:sz w:val="24"/>
              <w:szCs w:val="24"/>
            </w:rPr>
            <w:t>Appendix B: Investment appraisal calculations</w:t>
          </w:r>
          <w:r>
            <w:rPr>
              <w:rFonts w:hint="default" w:ascii="Arial" w:hAnsi="Arial" w:cs="Arial"/>
              <w:sz w:val="24"/>
              <w:szCs w:val="24"/>
            </w:rPr>
            <w:tab/>
          </w:r>
          <w:r>
            <w:rPr>
              <w:rFonts w:hint="default" w:cs="Arial"/>
              <w:sz w:val="24"/>
              <w:szCs w:val="24"/>
              <w:lang w:val="en-IN"/>
            </w:rPr>
            <w:t>3</w:t>
          </w:r>
          <w:r>
            <w:rPr>
              <w:rFonts w:hint="default" w:ascii="Arial" w:hAnsi="Arial" w:cs="Arial"/>
              <w:sz w:val="24"/>
              <w:szCs w:val="24"/>
            </w:rPr>
            <w:fldChar w:fldCharType="end"/>
          </w:r>
          <w:r>
            <w:rPr>
              <w:rFonts w:hint="default" w:cs="Arial"/>
              <w:sz w:val="24"/>
              <w:szCs w:val="24"/>
              <w:lang w:val="en-IN"/>
            </w:rPr>
            <w:t>0</w:t>
          </w:r>
        </w:p>
        <w:p w14:paraId="186307DF">
          <w:pPr>
            <w:pStyle w:val="10"/>
            <w:tabs>
              <w:tab w:val="right" w:leader="dot" w:pos="9019"/>
            </w:tabs>
            <w:spacing w:after="0" w:line="240" w:lineRule="auto"/>
            <w:jc w:val="both"/>
            <w:rPr>
              <w:rFonts w:hint="default" w:ascii="Arial" w:hAnsi="Arial" w:cs="Arial" w:eastAsiaTheme="minorEastAsia"/>
              <w:sz w:val="24"/>
              <w:szCs w:val="24"/>
              <w:lang w:val="en-IN"/>
            </w:rPr>
          </w:pPr>
          <w:r>
            <w:rPr>
              <w:rFonts w:hint="default" w:ascii="Arial" w:hAnsi="Arial" w:cs="Arial"/>
              <w:sz w:val="24"/>
              <w:szCs w:val="24"/>
            </w:rPr>
            <w:fldChar w:fldCharType="begin"/>
          </w:r>
          <w:r>
            <w:rPr>
              <w:rFonts w:hint="default" w:ascii="Arial" w:hAnsi="Arial" w:cs="Arial"/>
              <w:sz w:val="24"/>
              <w:szCs w:val="24"/>
            </w:rPr>
            <w:instrText xml:space="preserve"> HYPERLINK \l "_Toc231843856" </w:instrText>
          </w:r>
          <w:r>
            <w:rPr>
              <w:rFonts w:hint="default" w:ascii="Arial" w:hAnsi="Arial" w:cs="Arial"/>
              <w:sz w:val="24"/>
              <w:szCs w:val="24"/>
            </w:rPr>
            <w:fldChar w:fldCharType="separate"/>
          </w:r>
          <w:r>
            <w:rPr>
              <w:rStyle w:val="7"/>
              <w:rFonts w:hint="default" w:ascii="Arial" w:hAnsi="Arial" w:cs="Arial"/>
              <w:sz w:val="24"/>
              <w:szCs w:val="24"/>
            </w:rPr>
            <w:t>Appendix C: Calculation Excel</w:t>
          </w:r>
          <w:r>
            <w:rPr>
              <w:rFonts w:hint="default" w:ascii="Arial" w:hAnsi="Arial" w:cs="Arial"/>
              <w:sz w:val="24"/>
              <w:szCs w:val="24"/>
            </w:rPr>
            <w:tab/>
          </w:r>
          <w:r>
            <w:rPr>
              <w:rFonts w:hint="default" w:cs="Arial"/>
              <w:sz w:val="24"/>
              <w:szCs w:val="24"/>
              <w:lang w:val="en-IN"/>
            </w:rPr>
            <w:t>3</w:t>
          </w:r>
          <w:r>
            <w:rPr>
              <w:rFonts w:hint="default" w:ascii="Arial" w:hAnsi="Arial" w:cs="Arial"/>
              <w:sz w:val="24"/>
              <w:szCs w:val="24"/>
            </w:rPr>
            <w:fldChar w:fldCharType="end"/>
          </w:r>
          <w:r>
            <w:rPr>
              <w:rFonts w:hint="default" w:cs="Arial"/>
              <w:sz w:val="24"/>
              <w:szCs w:val="24"/>
              <w:lang w:val="en-IN"/>
            </w:rPr>
            <w:t>8</w:t>
          </w:r>
        </w:p>
        <w:p w14:paraId="55678761">
          <w:pPr>
            <w:spacing w:line="240" w:lineRule="auto"/>
            <w:jc w:val="both"/>
            <w:rPr>
              <w:rFonts w:hint="default" w:ascii="Arial" w:hAnsi="Arial" w:cs="Arial"/>
              <w:sz w:val="24"/>
              <w:szCs w:val="24"/>
            </w:rPr>
          </w:pPr>
          <w:r>
            <w:rPr>
              <w:rFonts w:hint="default" w:ascii="Arial" w:hAnsi="Arial" w:cs="Arial"/>
              <w:b/>
              <w:bCs/>
              <w:sz w:val="24"/>
              <w:szCs w:val="24"/>
            </w:rPr>
            <w:fldChar w:fldCharType="end"/>
          </w:r>
        </w:p>
      </w:sdtContent>
    </w:sdt>
    <w:p w14:paraId="41A6243C">
      <w:pPr>
        <w:spacing w:after="240" w:line="360" w:lineRule="auto"/>
        <w:rPr>
          <w:rFonts w:hint="default" w:ascii="Arial" w:hAnsi="Arial" w:eastAsia="Times New Roman" w:cs="Arial"/>
          <w:sz w:val="24"/>
          <w:szCs w:val="24"/>
        </w:rPr>
      </w:pPr>
      <w:r>
        <w:rPr>
          <w:rFonts w:hint="default" w:ascii="Arial" w:hAnsi="Arial" w:eastAsia="Times New Roman" w:cs="Arial"/>
          <w:sz w:val="24"/>
          <w:szCs w:val="24"/>
        </w:rPr>
        <w:br w:type="page"/>
      </w:r>
    </w:p>
    <w:p w14:paraId="00000001">
      <w:pPr>
        <w:pStyle w:val="2"/>
        <w:spacing w:after="240"/>
        <w:rPr>
          <w:rFonts w:hint="default" w:ascii="Arial" w:hAnsi="Arial" w:cs="Arial"/>
          <w:sz w:val="24"/>
          <w:szCs w:val="24"/>
        </w:rPr>
      </w:pPr>
      <w:bookmarkStart w:id="0" w:name="_Toc231843829"/>
      <w:r>
        <w:rPr>
          <w:rFonts w:hint="default" w:ascii="Arial" w:hAnsi="Arial" w:cs="Arial"/>
          <w:sz w:val="24"/>
          <w:szCs w:val="24"/>
        </w:rPr>
        <w:t>Introduction</w:t>
      </w:r>
      <w:bookmarkEnd w:id="0"/>
    </w:p>
    <w:p w14:paraId="00000002">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This report looks at the financial performance and strategic financial stance of Marriott International across a five-year span, from 2021 to 2025. As one of the world’s biggest hospitality companies, Marriott runs a global hotel portfolio using more of an asset light approach, mostly relying on franchise and management agreements. The review judges how well the company is holding up by using ratio analysis that covers profitability, liquidity, operational efficiency, gearing levels, investment returns, and also cash flow handling. Besides that, the report reviews working capital management, like the cash operating cycle and how liquidity can be improved through different practical strategies.  </w:t>
      </w:r>
    </w:p>
    <w:p w14:paraId="00000003">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It will examine strategic financing restructuring alternatives divestiture, merger, and equity injection to see what they might do for shareholder value debt configuration day to day flexibility. Investment appraisal tools like Payback Period, ARR, NPV, PI, IRR, etc. are also used in weighing up alternative project ideas, particularly under capital rationing limits. Ultimately, the report ends a set of recommendations aimed at supporting sustainable growth, enhanced financial stability, and the long-term value creation of shareholders.</w:t>
      </w:r>
    </w:p>
    <w:p w14:paraId="00000004">
      <w:pPr>
        <w:pStyle w:val="2"/>
        <w:spacing w:after="240"/>
        <w:rPr>
          <w:rFonts w:hint="default" w:ascii="Arial" w:hAnsi="Arial" w:cs="Arial"/>
          <w:sz w:val="24"/>
          <w:szCs w:val="24"/>
        </w:rPr>
      </w:pPr>
      <w:bookmarkStart w:id="1" w:name="_Toc231843830"/>
      <w:r>
        <w:rPr>
          <w:rFonts w:hint="default" w:ascii="Arial" w:hAnsi="Arial" w:cs="Arial"/>
          <w:sz w:val="24"/>
          <w:szCs w:val="24"/>
        </w:rPr>
        <w:t>1. Financial Health Check</w:t>
      </w:r>
      <w:bookmarkEnd w:id="1"/>
    </w:p>
    <w:p w14:paraId="00000005">
      <w:pPr>
        <w:pStyle w:val="3"/>
        <w:spacing w:after="240"/>
        <w:rPr>
          <w:rFonts w:hint="default" w:ascii="Arial" w:hAnsi="Arial" w:cs="Arial"/>
          <w:sz w:val="24"/>
          <w:szCs w:val="24"/>
        </w:rPr>
      </w:pPr>
      <w:bookmarkStart w:id="2" w:name="_Toc231843831"/>
      <w:r>
        <w:rPr>
          <w:rFonts w:hint="default" w:ascii="Arial" w:hAnsi="Arial" w:cs="Arial"/>
          <w:sz w:val="24"/>
          <w:szCs w:val="24"/>
        </w:rPr>
        <w:t>1.1 Ratio Analysis</w:t>
      </w:r>
      <w:bookmarkEnd w:id="2"/>
    </w:p>
    <w:p w14:paraId="00000006">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Profitability Ratio Analysis</w:t>
      </w:r>
    </w:p>
    <w:p w14:paraId="00000007">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From 2021 to 2023, the operating profit margin of Marriott has grown steadily; with the operating profit margin increasing from 14% in 2021 to 16% in 2023. Net profit margin has also grown between the years; it grew from 10% in 2021 to 13% in 2023. All this growth shows the growing operational efficiency and recovery from the pandemic (Sağlam, 2025). The company witnessed weakening profitability during the year 2025 with a net profit margin of only 9% (ROA 9%) and the profits stabilised in 2023. A revenue growth to $26.2 billion was witnessed in 2025 but margins are still below the 2023 peak. Higher costs and interest expenses were the reasons for lower margins. </w:t>
      </w:r>
    </w:p>
    <w:p w14:paraId="00000008">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Liquidity Ratio Analysis</w:t>
      </w:r>
    </w:p>
    <w:p w14:paraId="00000009">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 maintained relatively weak liquidity during the 5 years across current assets were substantially lower than the current liabilities, indicating negative working capital and a reliance on cash inflows for operations (Reyad et al., 2022). Current assets increased from $2.9 billion in 2021 to $3.6 billion in 2025, but liabilities continued to remain much higher.</w:t>
      </w:r>
    </w:p>
    <w:p w14:paraId="0000000A">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Efficiency Ratio Analysis</w:t>
      </w:r>
    </w:p>
    <w:p w14:paraId="0000000B">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Ratio of efficiency shows Marriott strong use of their assets and proper management of their receivables. The company made use of its assets better from 2021 to 2024, with asset turnover improving to 0.96 times from 0.85 times.  The receivables turnover came in stable at around nine times on an annual basis, while the collection period remained near at 41 days throughout (Binsaddig et al., 2023). The result shows that Marriott has effective credit control procedures and operational efficiency despite expansion and increasing business activity.</w:t>
      </w:r>
    </w:p>
    <w:p w14:paraId="0000000C">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Gearing Ratio Analysis</w:t>
      </w:r>
    </w:p>
    <w:p w14:paraId="0000000D">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debt ratio increased from 48% in 2021 to 59% in 2025, while long-term debt ratio rose from 44% to 54%. The collapse of interest was experienced 6.84 times in 2023 and it was 5.12 times in 2025. Despite having adequate earnings to pay the interest, the company remains exposed to refinancing and interest-rate risks as its leverage increases (Blessing, 2025).</w:t>
      </w:r>
    </w:p>
    <w:p w14:paraId="0000000E">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Investment Ratio Analysis</w:t>
      </w:r>
    </w:p>
    <w:p w14:paraId="0000000F">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Investment returns continued to be attractive despite volatile earnings. The dilution EPS increased 6.75 in 2021 to peak within 10.18 in 2023 before falling backward in 2024 and again recovering to 9.51 in 2025. Dividend payout on the ratio remained low within 18 to 29%, While the dividend cover was above 3 times throughout the period.</w:t>
      </w:r>
    </w:p>
    <w:p w14:paraId="3A6D788A">
      <w:pPr>
        <w:spacing w:after="240" w:line="360" w:lineRule="auto"/>
        <w:jc w:val="both"/>
        <w:rPr>
          <w:rFonts w:hint="default" w:ascii="Arial" w:hAnsi="Arial" w:eastAsia="Times New Roman" w:cs="Arial"/>
          <w:b/>
          <w:bCs/>
          <w:i/>
          <w:iCs/>
          <w:sz w:val="24"/>
          <w:szCs w:val="24"/>
        </w:rPr>
      </w:pPr>
    </w:p>
    <w:p w14:paraId="5B672EA6">
      <w:pPr>
        <w:spacing w:after="240" w:line="360" w:lineRule="auto"/>
        <w:jc w:val="both"/>
        <w:rPr>
          <w:rFonts w:hint="default" w:ascii="Arial" w:hAnsi="Arial" w:eastAsia="Times New Roman" w:cs="Arial"/>
          <w:b/>
          <w:bCs/>
          <w:i/>
          <w:iCs/>
          <w:sz w:val="24"/>
          <w:szCs w:val="24"/>
        </w:rPr>
      </w:pPr>
    </w:p>
    <w:p w14:paraId="00000010">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Cash Flow Ratio Analysis</w:t>
      </w:r>
    </w:p>
    <w:p w14:paraId="00000011">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Marriott's strong operating cash flows were substantial throughout the period under review. Operating cash flow ratios of between 0.32 and 0.39 indicate the ability of the company to meet a large part of short-term obligations through cash generated internally. Between 2021 and 2025, free cash flow expands from $2.07 billion to $2.61 billion despite significant capex. The OCF-to-debt ratio decline indicates an increasing level of debt compared to cash generation.</w:t>
      </w:r>
    </w:p>
    <w:p w14:paraId="00000012">
      <w:pPr>
        <w:pStyle w:val="3"/>
        <w:spacing w:after="240"/>
        <w:rPr>
          <w:rFonts w:hint="default" w:ascii="Arial" w:hAnsi="Arial" w:cs="Arial"/>
          <w:sz w:val="24"/>
          <w:szCs w:val="24"/>
        </w:rPr>
      </w:pPr>
      <w:bookmarkStart w:id="3" w:name="_Toc231843832"/>
      <w:r>
        <w:rPr>
          <w:rFonts w:hint="default" w:ascii="Arial" w:hAnsi="Arial" w:cs="Arial"/>
          <w:sz w:val="24"/>
          <w:szCs w:val="24"/>
        </w:rPr>
        <w:t>1.2 Identify trends, strengths, and potential threats</w:t>
      </w:r>
      <w:bookmarkEnd w:id="3"/>
    </w:p>
    <w:p w14:paraId="00000013">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Financial Trends Analysis</w:t>
      </w:r>
    </w:p>
    <w:p w14:paraId="00000014">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From 2021 through 2025, Marriott International revenue grew strongly. In 2021, Marriott International generated revenue of about $20.5 billion. Furthermore, by 2025, the revenue is expected to reach $26.2 billion. As a result, hotels worldwide are recovering from the effects of the COVID-19 pandemic. In addition, Marriott continues to expand its asset-light business model through franchise and management agreements (Lotfi, and Guix, 2023). The operating profit margin increased from 14% in 2021 to 16% in 2023 before moderating to around 15 to 16% in 2024 to 2025 due to rising operating and financing costs despite revenue growth.</w:t>
      </w:r>
    </w:p>
    <w:p w14:paraId="00000015">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efficiency ratios remained stable during the period under review. The receivables turnover remained consistent at about nine times a year. The collection periods were on average 41 days. This indicates effective credit control and operational discipline across Marriott’s operations worldwide. Gearing ratios indicate a substantial rise in financial risk. Between 2021 and varying extended periods, total debt was observed to rise from $11.5 billion to $16.2 billion in 2025. Similarly, the debt ratio rose from 48% to 59%. The firm’s interest coverage ratio also fell from 6.84 times in 2023 to 5.12 times in 2025 due to higher borrowing costs amid high global interest rates.</w:t>
      </w:r>
    </w:p>
    <w:p w14:paraId="00000016">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Performance of cash flow remained strong. The operating cash flow increased from $2.45 billion to $3.21 billion during the period while free cash flow remained above $2 billion throughout.</w:t>
      </w:r>
    </w:p>
    <w:p w14:paraId="00000017">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Key Strengths</w:t>
      </w:r>
    </w:p>
    <w:p w14:paraId="00000018">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 earns consistently through its investments, and it has an ability to drive a steady revenue B growth.  Between 2021 and 2025, revenue increased by nearly 28 per cent due to strong recovery of global tourism and expansion of franchise-based operations. The efficiency ratios of the company were at a stable level as the receivables were collected within a period of 41 days over the period. Our post itemised 12 months cash movement which exceeded 2b dollar and also enhanced flexible nature to use for dividend share repurchase and investment (Bonaimé, and Kahle, 2024). Marriott’s dividend payout ratio has generally been more conservative than 30%, allowing the firm to retain a considerable amount of earnings for growth opportunities.</w:t>
      </w:r>
    </w:p>
    <w:p w14:paraId="00000019">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Potential Threats</w:t>
      </w:r>
    </w:p>
    <w:p w14:paraId="0000001A">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Marriott faces a growing threat from credit financing, which is expanding rapidly. Debt rose by over 40% during this period. Thus, his debt ratio jumped from 48% to 59%. Making it more vulnerable in a downturn for the company which impacting negative working capital in relatively weak liquidity (Tarighi et al., 2024). In addition, inflation, geopolitical instability, labour shortages, and a fall-off in international travel could impact occupancy, profitability, and cash generation from the hotels.</w:t>
      </w:r>
    </w:p>
    <w:p w14:paraId="0000001B">
      <w:pPr>
        <w:pStyle w:val="3"/>
        <w:spacing w:after="240"/>
        <w:rPr>
          <w:rFonts w:hint="default" w:ascii="Arial" w:hAnsi="Arial" w:cs="Arial"/>
          <w:sz w:val="24"/>
          <w:szCs w:val="24"/>
        </w:rPr>
      </w:pPr>
      <w:bookmarkStart w:id="4" w:name="_Toc231843833"/>
      <w:r>
        <w:rPr>
          <w:rFonts w:hint="default" w:ascii="Arial" w:hAnsi="Arial" w:cs="Arial"/>
          <w:sz w:val="24"/>
          <w:szCs w:val="24"/>
        </w:rPr>
        <w:t>1.3 Comparison of liquidity ratios with industry benchmarks</w:t>
      </w:r>
      <w:bookmarkEnd w:id="4"/>
    </w:p>
    <w:p w14:paraId="0000001C">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Liquidity ratios with industry benchmarks</w:t>
      </w:r>
    </w:p>
    <w:p w14:paraId="0000001D">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liquidity position of Marriott International seems to be lower than that of many global hospitality and lodging firms. As per financial analysis, Marriott had a current ratio of approx 0.43 times in 2025, representing that current assets cover only 43% of current liabilities. The cash ratio was even lower at 0.04 times, indicating a low level of cash on hand to meet its liabilities. The current ratio is below the accepted standard of 1.0 times while below many hospitality peers that usually maintain stronger short-term liquidity buffers.</w:t>
      </w:r>
    </w:p>
    <w:p w14:paraId="0000001E">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In any case, Marriott’s liquidity profile needs to be viewed in light of the business model. Marriott’s operating model, unlike those of resort operators such as Las Vegas Sands Corp and Wynn Resorts Limited, is asset-light in nature and purely consists of franchise and management contracts. Consequently, the firm earns recurring fee income with relatively lower working-capital needs. The company had strong operating cash flow of $3.2 billion in 2025, which helps offset its low current ratio. Along with that, Marriott itself has a strong brand portfolio which includes Marriott International. This will ensure stable cash inflows from franchisees and hotel operators across the globe.</w:t>
      </w:r>
    </w:p>
    <w:p w14:paraId="0000001F">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Performs relative to sector standards</w:t>
      </w:r>
    </w:p>
    <w:p w14:paraId="00000020">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Compared to industry norms, the liquidity ratios of Marriott are weak but they are expected to be sound due to the type of business it is and level of business that it conducts. The current ratio of 0.43 is much lower than the recommended level of 1.0. This lower level may indicate that the business depends on continuous cash inflows from operations to meet its short-term liabilities. This is usually considered as a weakness on the finance front.</w:t>
      </w:r>
    </w:p>
    <w:p w14:paraId="00000021">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 enjoys the foremost scale in the industry, a market cap of about $103.5 billion and strong operating cash generation. According to the report, the share prices of the company have performed better than that of the hospitality benchmark and the broader market (Kacani et al., 2022). The prices have witnessed a return of 47.8% over the last five years against a return of 23.1% for the S&amp;P 500 benchmark. These may be indicative of a powerful investor interest despite weak liquidity ratios. Accordingly, despite Marriott’s liquidity ratios being worse than its industry peers, a strong global cash flow, diversified revenue mix and franchise-oriented operating model mitigates the actual liquidity risk that would normally come with such low ratios.</w:t>
      </w:r>
    </w:p>
    <w:p w14:paraId="0980B69D">
      <w:pPr>
        <w:pStyle w:val="2"/>
        <w:spacing w:after="240"/>
        <w:rPr>
          <w:rFonts w:hint="default" w:ascii="Arial" w:hAnsi="Arial" w:cs="Arial"/>
          <w:sz w:val="24"/>
          <w:szCs w:val="24"/>
        </w:rPr>
      </w:pPr>
      <w:bookmarkStart w:id="5" w:name="_Toc231843834"/>
    </w:p>
    <w:p w14:paraId="71998F09">
      <w:pPr>
        <w:rPr>
          <w:rFonts w:hint="default" w:ascii="Arial" w:hAnsi="Arial" w:cs="Arial"/>
          <w:sz w:val="24"/>
          <w:szCs w:val="24"/>
        </w:rPr>
      </w:pPr>
    </w:p>
    <w:p w14:paraId="11E3E93A">
      <w:pPr>
        <w:rPr>
          <w:rFonts w:hint="default" w:ascii="Arial" w:hAnsi="Arial" w:cs="Arial"/>
          <w:sz w:val="24"/>
          <w:szCs w:val="24"/>
        </w:rPr>
      </w:pPr>
    </w:p>
    <w:p w14:paraId="00000022">
      <w:pPr>
        <w:pStyle w:val="2"/>
        <w:spacing w:after="240"/>
        <w:rPr>
          <w:rFonts w:hint="default" w:ascii="Arial" w:hAnsi="Arial" w:cs="Arial"/>
          <w:sz w:val="24"/>
          <w:szCs w:val="24"/>
        </w:rPr>
      </w:pPr>
      <w:r>
        <w:rPr>
          <w:rFonts w:hint="default" w:ascii="Arial" w:hAnsi="Arial" w:cs="Arial"/>
          <w:sz w:val="24"/>
          <w:szCs w:val="24"/>
        </w:rPr>
        <w:t>2. Working Capital Management Analysis</w:t>
      </w:r>
      <w:bookmarkEnd w:id="5"/>
    </w:p>
    <w:p w14:paraId="00000023">
      <w:pPr>
        <w:pStyle w:val="3"/>
        <w:spacing w:after="240"/>
        <w:rPr>
          <w:rFonts w:hint="default" w:ascii="Arial" w:hAnsi="Arial" w:cs="Arial"/>
          <w:sz w:val="24"/>
          <w:szCs w:val="24"/>
        </w:rPr>
      </w:pPr>
      <w:bookmarkStart w:id="6" w:name="_Toc231843835"/>
      <w:r>
        <w:rPr>
          <w:rFonts w:hint="default" w:ascii="Arial" w:hAnsi="Arial" w:cs="Arial"/>
          <w:sz w:val="24"/>
          <w:szCs w:val="24"/>
        </w:rPr>
        <w:t>2.1 Cash Operating Cycle</w:t>
      </w:r>
      <w:bookmarkEnd w:id="6"/>
    </w:p>
    <w:tbl>
      <w:tblPr>
        <w:tblStyle w:val="5"/>
        <w:tblW w:w="5000" w:type="pct"/>
        <w:tblInd w:w="0" w:type="dxa"/>
        <w:tblLayout w:type="autofit"/>
        <w:tblCellMar>
          <w:top w:w="0" w:type="dxa"/>
          <w:left w:w="108" w:type="dxa"/>
          <w:bottom w:w="0" w:type="dxa"/>
          <w:right w:w="108" w:type="dxa"/>
        </w:tblCellMar>
      </w:tblPr>
      <w:tblGrid>
        <w:gridCol w:w="5214"/>
        <w:gridCol w:w="1344"/>
        <w:gridCol w:w="1344"/>
        <w:gridCol w:w="1343"/>
      </w:tblGrid>
      <w:tr w14:paraId="57F35363">
        <w:tblPrEx>
          <w:tblCellMar>
            <w:top w:w="0" w:type="dxa"/>
            <w:left w:w="108" w:type="dxa"/>
            <w:bottom w:w="0" w:type="dxa"/>
            <w:right w:w="108" w:type="dxa"/>
          </w:tblCellMar>
        </w:tblPrEx>
        <w:trPr>
          <w:trHeight w:val="300" w:hRule="atLeast"/>
        </w:trPr>
        <w:tc>
          <w:tcPr>
            <w:tcW w:w="2820" w:type="pct"/>
            <w:tcBorders>
              <w:top w:val="single" w:color="auto" w:sz="4" w:space="0"/>
              <w:left w:val="single" w:color="auto" w:sz="4" w:space="0"/>
              <w:bottom w:val="single" w:color="auto" w:sz="4" w:space="0"/>
              <w:right w:val="single" w:color="auto" w:sz="4" w:space="0"/>
            </w:tcBorders>
            <w:noWrap/>
            <w:vAlign w:val="center"/>
          </w:tcPr>
          <w:p w14:paraId="64F4DBA6">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Particulars</w:t>
            </w:r>
          </w:p>
        </w:tc>
        <w:tc>
          <w:tcPr>
            <w:tcW w:w="727" w:type="pct"/>
            <w:tcBorders>
              <w:top w:val="single" w:color="auto" w:sz="4" w:space="0"/>
              <w:left w:val="nil"/>
              <w:bottom w:val="single" w:color="auto" w:sz="4" w:space="0"/>
              <w:right w:val="single" w:color="auto" w:sz="4" w:space="0"/>
            </w:tcBorders>
            <w:noWrap/>
            <w:vAlign w:val="center"/>
          </w:tcPr>
          <w:p w14:paraId="209B640C">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2023</w:t>
            </w:r>
          </w:p>
        </w:tc>
        <w:tc>
          <w:tcPr>
            <w:tcW w:w="727" w:type="pct"/>
            <w:tcBorders>
              <w:top w:val="single" w:color="auto" w:sz="4" w:space="0"/>
              <w:left w:val="nil"/>
              <w:bottom w:val="single" w:color="auto" w:sz="4" w:space="0"/>
              <w:right w:val="single" w:color="auto" w:sz="4" w:space="0"/>
            </w:tcBorders>
            <w:noWrap/>
            <w:vAlign w:val="center"/>
          </w:tcPr>
          <w:p w14:paraId="0459DF27">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2024</w:t>
            </w:r>
          </w:p>
        </w:tc>
        <w:tc>
          <w:tcPr>
            <w:tcW w:w="727" w:type="pct"/>
            <w:tcBorders>
              <w:top w:val="single" w:color="auto" w:sz="4" w:space="0"/>
              <w:left w:val="nil"/>
              <w:bottom w:val="single" w:color="auto" w:sz="4" w:space="0"/>
              <w:right w:val="single" w:color="auto" w:sz="4" w:space="0"/>
            </w:tcBorders>
            <w:noWrap/>
            <w:vAlign w:val="center"/>
          </w:tcPr>
          <w:p w14:paraId="06D296E4">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2025</w:t>
            </w:r>
          </w:p>
        </w:tc>
      </w:tr>
      <w:tr w14:paraId="64EC9759">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noWrap/>
            <w:vAlign w:val="bottom"/>
          </w:tcPr>
          <w:p w14:paraId="2CD2DD6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Revenue ($m)</w:t>
            </w:r>
          </w:p>
        </w:tc>
        <w:tc>
          <w:tcPr>
            <w:tcW w:w="727" w:type="pct"/>
            <w:tcBorders>
              <w:top w:val="nil"/>
              <w:left w:val="nil"/>
              <w:bottom w:val="single" w:color="auto" w:sz="4" w:space="0"/>
              <w:right w:val="single" w:color="auto" w:sz="4" w:space="0"/>
            </w:tcBorders>
            <w:noWrap/>
            <w:vAlign w:val="bottom"/>
          </w:tcPr>
          <w:p w14:paraId="3084632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23713.00</w:t>
            </w:r>
          </w:p>
        </w:tc>
        <w:tc>
          <w:tcPr>
            <w:tcW w:w="727" w:type="pct"/>
            <w:tcBorders>
              <w:top w:val="nil"/>
              <w:left w:val="nil"/>
              <w:bottom w:val="single" w:color="auto" w:sz="4" w:space="0"/>
              <w:right w:val="single" w:color="auto" w:sz="4" w:space="0"/>
            </w:tcBorders>
            <w:noWrap/>
            <w:vAlign w:val="bottom"/>
          </w:tcPr>
          <w:p w14:paraId="61DBB0F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25100.00</w:t>
            </w:r>
          </w:p>
        </w:tc>
        <w:tc>
          <w:tcPr>
            <w:tcW w:w="727" w:type="pct"/>
            <w:tcBorders>
              <w:top w:val="nil"/>
              <w:left w:val="nil"/>
              <w:bottom w:val="single" w:color="auto" w:sz="4" w:space="0"/>
              <w:right w:val="single" w:color="auto" w:sz="4" w:space="0"/>
            </w:tcBorders>
            <w:noWrap/>
            <w:vAlign w:val="bottom"/>
          </w:tcPr>
          <w:p w14:paraId="4421EF7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26186.00</w:t>
            </w:r>
          </w:p>
        </w:tc>
      </w:tr>
      <w:tr w14:paraId="4783D119">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noWrap/>
            <w:vAlign w:val="bottom"/>
          </w:tcPr>
          <w:p w14:paraId="6377197B">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Accounts Receivable ($m)</w:t>
            </w:r>
          </w:p>
        </w:tc>
        <w:tc>
          <w:tcPr>
            <w:tcW w:w="727" w:type="pct"/>
            <w:tcBorders>
              <w:top w:val="nil"/>
              <w:left w:val="nil"/>
              <w:bottom w:val="single" w:color="auto" w:sz="4" w:space="0"/>
              <w:right w:val="single" w:color="auto" w:sz="4" w:space="0"/>
            </w:tcBorders>
            <w:noWrap/>
            <w:vAlign w:val="bottom"/>
          </w:tcPr>
          <w:p w14:paraId="6B196FF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2680.00</w:t>
            </w:r>
          </w:p>
        </w:tc>
        <w:tc>
          <w:tcPr>
            <w:tcW w:w="727" w:type="pct"/>
            <w:tcBorders>
              <w:top w:val="nil"/>
              <w:left w:val="nil"/>
              <w:bottom w:val="single" w:color="auto" w:sz="4" w:space="0"/>
              <w:right w:val="single" w:color="auto" w:sz="4" w:space="0"/>
            </w:tcBorders>
            <w:noWrap/>
            <w:vAlign w:val="bottom"/>
          </w:tcPr>
          <w:p w14:paraId="49E8CF8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2795.00</w:t>
            </w:r>
          </w:p>
        </w:tc>
        <w:tc>
          <w:tcPr>
            <w:tcW w:w="727" w:type="pct"/>
            <w:tcBorders>
              <w:top w:val="nil"/>
              <w:left w:val="nil"/>
              <w:bottom w:val="single" w:color="auto" w:sz="4" w:space="0"/>
              <w:right w:val="single" w:color="auto" w:sz="4" w:space="0"/>
            </w:tcBorders>
            <w:noWrap/>
            <w:vAlign w:val="bottom"/>
          </w:tcPr>
          <w:p w14:paraId="036EAA3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2909.00</w:t>
            </w:r>
          </w:p>
        </w:tc>
      </w:tr>
      <w:tr w14:paraId="56C277F6">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noWrap/>
            <w:vAlign w:val="bottom"/>
          </w:tcPr>
          <w:p w14:paraId="26F987D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Accounts Payable ($m)</w:t>
            </w:r>
          </w:p>
        </w:tc>
        <w:tc>
          <w:tcPr>
            <w:tcW w:w="727" w:type="pct"/>
            <w:tcBorders>
              <w:top w:val="nil"/>
              <w:left w:val="nil"/>
              <w:bottom w:val="single" w:color="auto" w:sz="4" w:space="0"/>
              <w:right w:val="single" w:color="auto" w:sz="4" w:space="0"/>
            </w:tcBorders>
            <w:noWrap/>
            <w:vAlign w:val="bottom"/>
          </w:tcPr>
          <w:p w14:paraId="4DDE3D0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720.00</w:t>
            </w:r>
          </w:p>
        </w:tc>
        <w:tc>
          <w:tcPr>
            <w:tcW w:w="727" w:type="pct"/>
            <w:tcBorders>
              <w:top w:val="nil"/>
              <w:left w:val="nil"/>
              <w:bottom w:val="single" w:color="auto" w:sz="4" w:space="0"/>
              <w:right w:val="single" w:color="auto" w:sz="4" w:space="0"/>
            </w:tcBorders>
            <w:noWrap/>
            <w:vAlign w:val="bottom"/>
          </w:tcPr>
          <w:p w14:paraId="61D8B05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763.00</w:t>
            </w:r>
          </w:p>
        </w:tc>
        <w:tc>
          <w:tcPr>
            <w:tcW w:w="727" w:type="pct"/>
            <w:tcBorders>
              <w:top w:val="nil"/>
              <w:left w:val="nil"/>
              <w:bottom w:val="single" w:color="auto" w:sz="4" w:space="0"/>
              <w:right w:val="single" w:color="auto" w:sz="4" w:space="0"/>
            </w:tcBorders>
            <w:noWrap/>
            <w:vAlign w:val="bottom"/>
          </w:tcPr>
          <w:p w14:paraId="50F15E7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814.00</w:t>
            </w:r>
          </w:p>
        </w:tc>
      </w:tr>
      <w:tr w14:paraId="2E360750">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noWrap/>
            <w:vAlign w:val="bottom"/>
          </w:tcPr>
          <w:p w14:paraId="7D810C0E">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Reimbursed Expenses / Purchases Proxy ($m)</w:t>
            </w:r>
          </w:p>
        </w:tc>
        <w:tc>
          <w:tcPr>
            <w:tcW w:w="727" w:type="pct"/>
            <w:tcBorders>
              <w:top w:val="nil"/>
              <w:left w:val="nil"/>
              <w:bottom w:val="single" w:color="auto" w:sz="4" w:space="0"/>
              <w:right w:val="single" w:color="auto" w:sz="4" w:space="0"/>
            </w:tcBorders>
            <w:noWrap/>
            <w:vAlign w:val="bottom"/>
          </w:tcPr>
          <w:p w14:paraId="5AB8604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17424.00</w:t>
            </w:r>
          </w:p>
        </w:tc>
        <w:tc>
          <w:tcPr>
            <w:tcW w:w="727" w:type="pct"/>
            <w:tcBorders>
              <w:top w:val="nil"/>
              <w:left w:val="nil"/>
              <w:bottom w:val="single" w:color="auto" w:sz="4" w:space="0"/>
              <w:right w:val="single" w:color="auto" w:sz="4" w:space="0"/>
            </w:tcBorders>
            <w:noWrap/>
            <w:vAlign w:val="bottom"/>
          </w:tcPr>
          <w:p w14:paraId="6E538DD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18799.00</w:t>
            </w:r>
          </w:p>
        </w:tc>
        <w:tc>
          <w:tcPr>
            <w:tcW w:w="727" w:type="pct"/>
            <w:tcBorders>
              <w:top w:val="nil"/>
              <w:left w:val="nil"/>
              <w:bottom w:val="single" w:color="auto" w:sz="4" w:space="0"/>
              <w:right w:val="single" w:color="auto" w:sz="4" w:space="0"/>
            </w:tcBorders>
            <w:noWrap/>
            <w:vAlign w:val="bottom"/>
          </w:tcPr>
          <w:p w14:paraId="1675547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19503.00</w:t>
            </w:r>
          </w:p>
        </w:tc>
      </w:tr>
      <w:tr w14:paraId="11FDD363">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noWrap/>
            <w:vAlign w:val="bottom"/>
          </w:tcPr>
          <w:p w14:paraId="69C356B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Receivable Turnover (Times)</w:t>
            </w:r>
          </w:p>
        </w:tc>
        <w:tc>
          <w:tcPr>
            <w:tcW w:w="727" w:type="pct"/>
            <w:tcBorders>
              <w:top w:val="nil"/>
              <w:left w:val="nil"/>
              <w:bottom w:val="single" w:color="auto" w:sz="4" w:space="0"/>
              <w:right w:val="single" w:color="auto" w:sz="4" w:space="0"/>
            </w:tcBorders>
            <w:noWrap/>
            <w:vAlign w:val="bottom"/>
          </w:tcPr>
          <w:p w14:paraId="05E35FD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8.85</w:t>
            </w:r>
          </w:p>
        </w:tc>
        <w:tc>
          <w:tcPr>
            <w:tcW w:w="727" w:type="pct"/>
            <w:tcBorders>
              <w:top w:val="nil"/>
              <w:left w:val="nil"/>
              <w:bottom w:val="single" w:color="auto" w:sz="4" w:space="0"/>
              <w:right w:val="single" w:color="auto" w:sz="4" w:space="0"/>
            </w:tcBorders>
            <w:noWrap/>
            <w:vAlign w:val="bottom"/>
          </w:tcPr>
          <w:p w14:paraId="7EE1548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8.98</w:t>
            </w:r>
          </w:p>
        </w:tc>
        <w:tc>
          <w:tcPr>
            <w:tcW w:w="727" w:type="pct"/>
            <w:tcBorders>
              <w:top w:val="nil"/>
              <w:left w:val="nil"/>
              <w:bottom w:val="single" w:color="auto" w:sz="4" w:space="0"/>
              <w:right w:val="single" w:color="auto" w:sz="4" w:space="0"/>
            </w:tcBorders>
            <w:noWrap/>
            <w:vAlign w:val="bottom"/>
          </w:tcPr>
          <w:p w14:paraId="2574EEE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9.00</w:t>
            </w:r>
          </w:p>
        </w:tc>
      </w:tr>
      <w:tr w14:paraId="4F4B8A8A">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noWrap/>
            <w:vAlign w:val="bottom"/>
          </w:tcPr>
          <w:p w14:paraId="51A32AA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Receivable Days</w:t>
            </w:r>
          </w:p>
        </w:tc>
        <w:tc>
          <w:tcPr>
            <w:tcW w:w="727" w:type="pct"/>
            <w:tcBorders>
              <w:top w:val="nil"/>
              <w:left w:val="nil"/>
              <w:bottom w:val="single" w:color="auto" w:sz="4" w:space="0"/>
              <w:right w:val="single" w:color="auto" w:sz="4" w:space="0"/>
            </w:tcBorders>
            <w:noWrap/>
            <w:vAlign w:val="bottom"/>
          </w:tcPr>
          <w:p w14:paraId="7BA8DAA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41.25</w:t>
            </w:r>
          </w:p>
        </w:tc>
        <w:tc>
          <w:tcPr>
            <w:tcW w:w="727" w:type="pct"/>
            <w:tcBorders>
              <w:top w:val="nil"/>
              <w:left w:val="nil"/>
              <w:bottom w:val="single" w:color="auto" w:sz="4" w:space="0"/>
              <w:right w:val="single" w:color="auto" w:sz="4" w:space="0"/>
            </w:tcBorders>
            <w:noWrap/>
            <w:vAlign w:val="bottom"/>
          </w:tcPr>
          <w:p w14:paraId="17DA290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40.64</w:t>
            </w:r>
          </w:p>
        </w:tc>
        <w:tc>
          <w:tcPr>
            <w:tcW w:w="727" w:type="pct"/>
            <w:tcBorders>
              <w:top w:val="nil"/>
              <w:left w:val="nil"/>
              <w:bottom w:val="single" w:color="auto" w:sz="4" w:space="0"/>
              <w:right w:val="single" w:color="auto" w:sz="4" w:space="0"/>
            </w:tcBorders>
            <w:noWrap/>
            <w:vAlign w:val="bottom"/>
          </w:tcPr>
          <w:p w14:paraId="2764563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40.55</w:t>
            </w:r>
          </w:p>
        </w:tc>
      </w:tr>
      <w:tr w14:paraId="3911731E">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noWrap/>
            <w:vAlign w:val="bottom"/>
          </w:tcPr>
          <w:p w14:paraId="200EA9D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Inventory Days</w:t>
            </w:r>
          </w:p>
        </w:tc>
        <w:tc>
          <w:tcPr>
            <w:tcW w:w="727" w:type="pct"/>
            <w:tcBorders>
              <w:top w:val="nil"/>
              <w:left w:val="nil"/>
              <w:bottom w:val="single" w:color="auto" w:sz="4" w:space="0"/>
              <w:right w:val="single" w:color="auto" w:sz="4" w:space="0"/>
            </w:tcBorders>
            <w:noWrap/>
            <w:vAlign w:val="bottom"/>
          </w:tcPr>
          <w:p w14:paraId="6D95C76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0.00</w:t>
            </w:r>
          </w:p>
        </w:tc>
        <w:tc>
          <w:tcPr>
            <w:tcW w:w="727" w:type="pct"/>
            <w:tcBorders>
              <w:top w:val="nil"/>
              <w:left w:val="nil"/>
              <w:bottom w:val="single" w:color="auto" w:sz="4" w:space="0"/>
              <w:right w:val="single" w:color="auto" w:sz="4" w:space="0"/>
            </w:tcBorders>
            <w:noWrap/>
            <w:vAlign w:val="bottom"/>
          </w:tcPr>
          <w:p w14:paraId="260F029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0.00</w:t>
            </w:r>
          </w:p>
        </w:tc>
        <w:tc>
          <w:tcPr>
            <w:tcW w:w="727" w:type="pct"/>
            <w:tcBorders>
              <w:top w:val="nil"/>
              <w:left w:val="nil"/>
              <w:bottom w:val="single" w:color="auto" w:sz="4" w:space="0"/>
              <w:right w:val="single" w:color="auto" w:sz="4" w:space="0"/>
            </w:tcBorders>
            <w:noWrap/>
            <w:vAlign w:val="bottom"/>
          </w:tcPr>
          <w:p w14:paraId="28E3752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0.00</w:t>
            </w:r>
          </w:p>
        </w:tc>
      </w:tr>
      <w:tr w14:paraId="77063254">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noWrap/>
            <w:vAlign w:val="bottom"/>
          </w:tcPr>
          <w:p w14:paraId="6D7A1099">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Payable Days</w:t>
            </w:r>
          </w:p>
        </w:tc>
        <w:tc>
          <w:tcPr>
            <w:tcW w:w="727" w:type="pct"/>
            <w:tcBorders>
              <w:top w:val="nil"/>
              <w:left w:val="nil"/>
              <w:bottom w:val="single" w:color="auto" w:sz="4" w:space="0"/>
              <w:right w:val="single" w:color="auto" w:sz="4" w:space="0"/>
            </w:tcBorders>
            <w:noWrap/>
            <w:vAlign w:val="bottom"/>
          </w:tcPr>
          <w:p w14:paraId="7EDBC17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15.08</w:t>
            </w:r>
          </w:p>
        </w:tc>
        <w:tc>
          <w:tcPr>
            <w:tcW w:w="727" w:type="pct"/>
            <w:tcBorders>
              <w:top w:val="nil"/>
              <w:left w:val="nil"/>
              <w:bottom w:val="single" w:color="auto" w:sz="4" w:space="0"/>
              <w:right w:val="single" w:color="auto" w:sz="4" w:space="0"/>
            </w:tcBorders>
            <w:noWrap/>
            <w:vAlign w:val="bottom"/>
          </w:tcPr>
          <w:p w14:paraId="4F99735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14.81</w:t>
            </w:r>
          </w:p>
        </w:tc>
        <w:tc>
          <w:tcPr>
            <w:tcW w:w="727" w:type="pct"/>
            <w:tcBorders>
              <w:top w:val="nil"/>
              <w:left w:val="nil"/>
              <w:bottom w:val="single" w:color="auto" w:sz="4" w:space="0"/>
              <w:right w:val="single" w:color="auto" w:sz="4" w:space="0"/>
            </w:tcBorders>
            <w:noWrap/>
            <w:vAlign w:val="bottom"/>
          </w:tcPr>
          <w:p w14:paraId="4CEB396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15.23</w:t>
            </w:r>
          </w:p>
        </w:tc>
      </w:tr>
      <w:tr w14:paraId="1868C45D">
        <w:tblPrEx>
          <w:tblCellMar>
            <w:top w:w="0" w:type="dxa"/>
            <w:left w:w="108" w:type="dxa"/>
            <w:bottom w:w="0" w:type="dxa"/>
            <w:right w:w="108" w:type="dxa"/>
          </w:tblCellMar>
        </w:tblPrEx>
        <w:trPr>
          <w:trHeight w:val="300" w:hRule="atLeast"/>
        </w:trPr>
        <w:tc>
          <w:tcPr>
            <w:tcW w:w="2820" w:type="pct"/>
            <w:tcBorders>
              <w:top w:val="nil"/>
              <w:left w:val="single" w:color="auto" w:sz="4" w:space="0"/>
              <w:bottom w:val="single" w:color="auto" w:sz="4" w:space="0"/>
              <w:right w:val="single" w:color="auto" w:sz="4" w:space="0"/>
            </w:tcBorders>
            <w:shd w:val="clear" w:color="000000" w:fill="FFFF00"/>
            <w:noWrap/>
            <w:vAlign w:val="bottom"/>
          </w:tcPr>
          <w:p w14:paraId="43C5C1C4">
            <w:pPr>
              <w:spacing w:after="240" w:line="360" w:lineRule="auto"/>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Cash Operating Cycle (Days)</w:t>
            </w:r>
          </w:p>
        </w:tc>
        <w:tc>
          <w:tcPr>
            <w:tcW w:w="727" w:type="pct"/>
            <w:tcBorders>
              <w:top w:val="nil"/>
              <w:left w:val="nil"/>
              <w:bottom w:val="single" w:color="auto" w:sz="4" w:space="0"/>
              <w:right w:val="single" w:color="auto" w:sz="4" w:space="0"/>
            </w:tcBorders>
            <w:shd w:val="clear" w:color="000000" w:fill="FFFF00"/>
            <w:noWrap/>
            <w:vAlign w:val="bottom"/>
          </w:tcPr>
          <w:p w14:paraId="14A762C8">
            <w:pPr>
              <w:spacing w:after="240" w:line="360" w:lineRule="auto"/>
              <w:jc w:val="right"/>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26.17</w:t>
            </w:r>
          </w:p>
        </w:tc>
        <w:tc>
          <w:tcPr>
            <w:tcW w:w="727" w:type="pct"/>
            <w:tcBorders>
              <w:top w:val="nil"/>
              <w:left w:val="nil"/>
              <w:bottom w:val="single" w:color="auto" w:sz="4" w:space="0"/>
              <w:right w:val="single" w:color="auto" w:sz="4" w:space="0"/>
            </w:tcBorders>
            <w:shd w:val="clear" w:color="000000" w:fill="FFFF00"/>
            <w:noWrap/>
            <w:vAlign w:val="bottom"/>
          </w:tcPr>
          <w:p w14:paraId="74855FAE">
            <w:pPr>
              <w:spacing w:after="240" w:line="360" w:lineRule="auto"/>
              <w:jc w:val="right"/>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25.83</w:t>
            </w:r>
          </w:p>
        </w:tc>
        <w:tc>
          <w:tcPr>
            <w:tcW w:w="727" w:type="pct"/>
            <w:tcBorders>
              <w:top w:val="nil"/>
              <w:left w:val="nil"/>
              <w:bottom w:val="single" w:color="auto" w:sz="4" w:space="0"/>
              <w:right w:val="single" w:color="auto" w:sz="4" w:space="0"/>
            </w:tcBorders>
            <w:shd w:val="clear" w:color="000000" w:fill="FFFF00"/>
            <w:noWrap/>
            <w:vAlign w:val="bottom"/>
          </w:tcPr>
          <w:p w14:paraId="3BB48BED">
            <w:pPr>
              <w:spacing w:after="240" w:line="360" w:lineRule="auto"/>
              <w:jc w:val="right"/>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25.31</w:t>
            </w:r>
          </w:p>
        </w:tc>
      </w:tr>
    </w:tbl>
    <w:p w14:paraId="00000024">
      <w:pPr>
        <w:spacing w:after="240" w:line="360" w:lineRule="auto"/>
        <w:jc w:val="center"/>
        <w:rPr>
          <w:rFonts w:hint="default" w:ascii="Arial" w:hAnsi="Arial" w:eastAsia="Times New Roman" w:cs="Arial"/>
          <w:b/>
          <w:bCs/>
          <w:sz w:val="24"/>
          <w:szCs w:val="24"/>
        </w:rPr>
      </w:pPr>
      <w:r>
        <w:rPr>
          <w:rFonts w:hint="default" w:ascii="Arial" w:hAnsi="Arial" w:eastAsia="Times New Roman" w:cs="Arial"/>
          <w:b/>
          <w:bCs/>
          <w:sz w:val="24"/>
          <w:szCs w:val="24"/>
        </w:rPr>
        <w:t xml:space="preserve">Table 1: Cash Operating Cycle (Days) Calculations </w:t>
      </w:r>
    </w:p>
    <w:p w14:paraId="00000025">
      <w:pPr>
        <w:spacing w:after="240" w:line="360" w:lineRule="auto"/>
        <w:jc w:val="center"/>
        <w:rPr>
          <w:rFonts w:hint="default" w:ascii="Arial" w:hAnsi="Arial" w:eastAsia="Times New Roman" w:cs="Arial"/>
          <w:sz w:val="24"/>
          <w:szCs w:val="24"/>
        </w:rPr>
      </w:pPr>
      <w:r>
        <w:rPr>
          <w:rFonts w:hint="default" w:ascii="Arial" w:hAnsi="Arial" w:eastAsia="Times New Roman" w:cs="Arial"/>
          <w:sz w:val="24"/>
          <w:szCs w:val="24"/>
        </w:rPr>
        <w:t>(Source: self-developed)</w:t>
      </w:r>
    </w:p>
    <w:p w14:paraId="00000026">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Between the years, the cash operating cycle (COC) of Marriott International dropped from 26.17 days in 2023 to 25.31 days in 2025. Thus, we can infer that the company became increasingly efficient in turning its operations into cash. indicating effective management of credit from a fall in receivable days from 41.25 days to 40.55 days which is timely collection from Franchisee Hotel Owners and business partners (KODURU, 2026).</w:t>
      </w:r>
    </w:p>
    <w:p w14:paraId="00000027">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receivables turnover ratio of the company was stable at around nine times per year which was consistent despite the revenue growth.  Days payable remained stable when compared to the prior year at about 15 days; Marriott continues to settle supplier obligations in a timely manner.</w:t>
      </w:r>
    </w:p>
    <w:p w14:paraId="00000028">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As Marriott runs an asset-light hospitality business model, it has a negligible holding of inventory, resulting in zero inventory days and shorter operating cycle that is naturally lower than many asset-intensive businesses. A declining cash operating cycle enhances liquidity management, thereby positively impacting operating cash flow generation. Based on the above analysis, Marriott successfully turns revenue into cash to support operations and investments, showing a good inventory control system. </w:t>
      </w:r>
    </w:p>
    <w:p w14:paraId="00000029">
      <w:pPr>
        <w:pStyle w:val="3"/>
        <w:spacing w:after="240"/>
        <w:rPr>
          <w:rFonts w:hint="default" w:ascii="Arial" w:hAnsi="Arial" w:cs="Arial"/>
          <w:sz w:val="24"/>
          <w:szCs w:val="24"/>
        </w:rPr>
      </w:pPr>
      <w:bookmarkStart w:id="7" w:name="_Toc231843836"/>
      <w:r>
        <w:rPr>
          <w:rFonts w:hint="default" w:ascii="Arial" w:hAnsi="Arial" w:cs="Arial"/>
          <w:sz w:val="24"/>
          <w:szCs w:val="24"/>
        </w:rPr>
        <w:t>2.2 Strategies Recommendations</w:t>
      </w:r>
      <w:bookmarkEnd w:id="7"/>
      <w:r>
        <w:rPr>
          <w:rFonts w:hint="default" w:ascii="Arial" w:hAnsi="Arial" w:cs="Arial"/>
          <w:sz w:val="24"/>
          <w:szCs w:val="24"/>
        </w:rPr>
        <w:t xml:space="preserve"> </w:t>
      </w:r>
    </w:p>
    <w:tbl>
      <w:tblPr>
        <w:tblStyle w:val="5"/>
        <w:tblW w:w="5000" w:type="pct"/>
        <w:tblInd w:w="0" w:type="dxa"/>
        <w:tblLayout w:type="autofit"/>
        <w:tblCellMar>
          <w:top w:w="0" w:type="dxa"/>
          <w:left w:w="108" w:type="dxa"/>
          <w:bottom w:w="0" w:type="dxa"/>
          <w:right w:w="108" w:type="dxa"/>
        </w:tblCellMar>
      </w:tblPr>
      <w:tblGrid>
        <w:gridCol w:w="3265"/>
        <w:gridCol w:w="1196"/>
        <w:gridCol w:w="1196"/>
        <w:gridCol w:w="1196"/>
        <w:gridCol w:w="1197"/>
        <w:gridCol w:w="1195"/>
      </w:tblGrid>
      <w:tr w14:paraId="13457AD9">
        <w:tblPrEx>
          <w:tblCellMar>
            <w:top w:w="0" w:type="dxa"/>
            <w:left w:w="108" w:type="dxa"/>
            <w:bottom w:w="0" w:type="dxa"/>
            <w:right w:w="108" w:type="dxa"/>
          </w:tblCellMar>
        </w:tblPrEx>
        <w:trPr>
          <w:trHeight w:val="300" w:hRule="atLeast"/>
        </w:trPr>
        <w:tc>
          <w:tcPr>
            <w:tcW w:w="1766" w:type="pct"/>
            <w:tcBorders>
              <w:top w:val="single" w:color="auto" w:sz="4" w:space="0"/>
              <w:left w:val="single" w:color="auto" w:sz="4" w:space="0"/>
              <w:bottom w:val="single" w:color="auto" w:sz="4" w:space="0"/>
              <w:right w:val="single" w:color="auto" w:sz="4" w:space="0"/>
            </w:tcBorders>
            <w:noWrap/>
            <w:vAlign w:val="bottom"/>
          </w:tcPr>
          <w:p w14:paraId="61FBB774">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Particulars ($ million)</w:t>
            </w:r>
          </w:p>
        </w:tc>
        <w:tc>
          <w:tcPr>
            <w:tcW w:w="647" w:type="pct"/>
            <w:tcBorders>
              <w:top w:val="single" w:color="auto" w:sz="4" w:space="0"/>
              <w:left w:val="nil"/>
              <w:bottom w:val="single" w:color="auto" w:sz="4" w:space="0"/>
              <w:right w:val="single" w:color="auto" w:sz="4" w:space="0"/>
            </w:tcBorders>
            <w:noWrap/>
            <w:vAlign w:val="bottom"/>
          </w:tcPr>
          <w:p w14:paraId="10B9B81B">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2021</w:t>
            </w:r>
          </w:p>
        </w:tc>
        <w:tc>
          <w:tcPr>
            <w:tcW w:w="647" w:type="pct"/>
            <w:tcBorders>
              <w:top w:val="single" w:color="auto" w:sz="4" w:space="0"/>
              <w:left w:val="nil"/>
              <w:bottom w:val="single" w:color="auto" w:sz="4" w:space="0"/>
              <w:right w:val="single" w:color="auto" w:sz="4" w:space="0"/>
            </w:tcBorders>
            <w:noWrap/>
            <w:vAlign w:val="bottom"/>
          </w:tcPr>
          <w:p w14:paraId="3FD8AAEA">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2022</w:t>
            </w:r>
          </w:p>
        </w:tc>
        <w:tc>
          <w:tcPr>
            <w:tcW w:w="647" w:type="pct"/>
            <w:tcBorders>
              <w:top w:val="single" w:color="auto" w:sz="4" w:space="0"/>
              <w:left w:val="nil"/>
              <w:bottom w:val="single" w:color="auto" w:sz="4" w:space="0"/>
              <w:right w:val="single" w:color="auto" w:sz="4" w:space="0"/>
            </w:tcBorders>
            <w:noWrap/>
            <w:vAlign w:val="bottom"/>
          </w:tcPr>
          <w:p w14:paraId="7621BB4E">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2023</w:t>
            </w:r>
          </w:p>
        </w:tc>
        <w:tc>
          <w:tcPr>
            <w:tcW w:w="647" w:type="pct"/>
            <w:tcBorders>
              <w:top w:val="single" w:color="auto" w:sz="4" w:space="0"/>
              <w:left w:val="nil"/>
              <w:bottom w:val="single" w:color="auto" w:sz="4" w:space="0"/>
              <w:right w:val="single" w:color="auto" w:sz="4" w:space="0"/>
            </w:tcBorders>
            <w:noWrap/>
            <w:vAlign w:val="bottom"/>
          </w:tcPr>
          <w:p w14:paraId="071B998C">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2024</w:t>
            </w:r>
          </w:p>
        </w:tc>
        <w:tc>
          <w:tcPr>
            <w:tcW w:w="647" w:type="pct"/>
            <w:tcBorders>
              <w:top w:val="single" w:color="auto" w:sz="4" w:space="0"/>
              <w:left w:val="nil"/>
              <w:bottom w:val="single" w:color="auto" w:sz="4" w:space="0"/>
              <w:right w:val="single" w:color="auto" w:sz="4" w:space="0"/>
            </w:tcBorders>
            <w:noWrap/>
            <w:vAlign w:val="bottom"/>
          </w:tcPr>
          <w:p w14:paraId="48DE4D3A">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2025</w:t>
            </w:r>
          </w:p>
        </w:tc>
      </w:tr>
      <w:tr w14:paraId="2D730AB2">
        <w:tblPrEx>
          <w:tblCellMar>
            <w:top w:w="0" w:type="dxa"/>
            <w:left w:w="108" w:type="dxa"/>
            <w:bottom w:w="0" w:type="dxa"/>
            <w:right w:w="108" w:type="dxa"/>
          </w:tblCellMar>
        </w:tblPrEx>
        <w:trPr>
          <w:trHeight w:val="300" w:hRule="atLeast"/>
        </w:trPr>
        <w:tc>
          <w:tcPr>
            <w:tcW w:w="1766" w:type="pct"/>
            <w:tcBorders>
              <w:top w:val="nil"/>
              <w:left w:val="single" w:color="auto" w:sz="4" w:space="0"/>
              <w:bottom w:val="single" w:color="auto" w:sz="4" w:space="0"/>
              <w:right w:val="single" w:color="auto" w:sz="4" w:space="0"/>
            </w:tcBorders>
            <w:noWrap/>
            <w:vAlign w:val="bottom"/>
          </w:tcPr>
          <w:p w14:paraId="6B8682F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Current Assets</w:t>
            </w:r>
          </w:p>
        </w:tc>
        <w:tc>
          <w:tcPr>
            <w:tcW w:w="647" w:type="pct"/>
            <w:tcBorders>
              <w:top w:val="nil"/>
              <w:left w:val="nil"/>
              <w:bottom w:val="single" w:color="auto" w:sz="4" w:space="0"/>
              <w:right w:val="single" w:color="auto" w:sz="4" w:space="0"/>
            </w:tcBorders>
            <w:noWrap/>
            <w:vAlign w:val="bottom"/>
          </w:tcPr>
          <w:p w14:paraId="225B170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2900.00</w:t>
            </w:r>
          </w:p>
        </w:tc>
        <w:tc>
          <w:tcPr>
            <w:tcW w:w="647" w:type="pct"/>
            <w:tcBorders>
              <w:top w:val="nil"/>
              <w:left w:val="nil"/>
              <w:bottom w:val="single" w:color="auto" w:sz="4" w:space="0"/>
              <w:right w:val="single" w:color="auto" w:sz="4" w:space="0"/>
            </w:tcBorders>
            <w:noWrap/>
            <w:vAlign w:val="bottom"/>
          </w:tcPr>
          <w:p w14:paraId="1B8FEE9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3150.00</w:t>
            </w:r>
          </w:p>
        </w:tc>
        <w:tc>
          <w:tcPr>
            <w:tcW w:w="647" w:type="pct"/>
            <w:tcBorders>
              <w:top w:val="nil"/>
              <w:left w:val="nil"/>
              <w:bottom w:val="single" w:color="auto" w:sz="4" w:space="0"/>
              <w:right w:val="single" w:color="auto" w:sz="4" w:space="0"/>
            </w:tcBorders>
            <w:noWrap/>
            <w:vAlign w:val="bottom"/>
          </w:tcPr>
          <w:p w14:paraId="7BC1F34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3300.00</w:t>
            </w:r>
          </w:p>
        </w:tc>
        <w:tc>
          <w:tcPr>
            <w:tcW w:w="647" w:type="pct"/>
            <w:tcBorders>
              <w:top w:val="nil"/>
              <w:left w:val="nil"/>
              <w:bottom w:val="single" w:color="auto" w:sz="4" w:space="0"/>
              <w:right w:val="single" w:color="auto" w:sz="4" w:space="0"/>
            </w:tcBorders>
            <w:noWrap/>
            <w:vAlign w:val="bottom"/>
          </w:tcPr>
          <w:p w14:paraId="5A9E900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3485.00</w:t>
            </w:r>
          </w:p>
        </w:tc>
        <w:tc>
          <w:tcPr>
            <w:tcW w:w="647" w:type="pct"/>
            <w:tcBorders>
              <w:top w:val="nil"/>
              <w:left w:val="nil"/>
              <w:bottom w:val="single" w:color="auto" w:sz="4" w:space="0"/>
              <w:right w:val="single" w:color="auto" w:sz="4" w:space="0"/>
            </w:tcBorders>
            <w:noWrap/>
            <w:vAlign w:val="bottom"/>
          </w:tcPr>
          <w:p w14:paraId="1008676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3584.00</w:t>
            </w:r>
          </w:p>
        </w:tc>
      </w:tr>
      <w:tr w14:paraId="747CB7D6">
        <w:tblPrEx>
          <w:tblCellMar>
            <w:top w:w="0" w:type="dxa"/>
            <w:left w:w="108" w:type="dxa"/>
            <w:bottom w:w="0" w:type="dxa"/>
            <w:right w:w="108" w:type="dxa"/>
          </w:tblCellMar>
        </w:tblPrEx>
        <w:trPr>
          <w:trHeight w:val="300" w:hRule="atLeast"/>
        </w:trPr>
        <w:tc>
          <w:tcPr>
            <w:tcW w:w="1766" w:type="pct"/>
            <w:tcBorders>
              <w:top w:val="nil"/>
              <w:left w:val="single" w:color="auto" w:sz="4" w:space="0"/>
              <w:bottom w:val="single" w:color="auto" w:sz="4" w:space="0"/>
              <w:right w:val="single" w:color="auto" w:sz="4" w:space="0"/>
            </w:tcBorders>
            <w:noWrap/>
            <w:vAlign w:val="bottom"/>
          </w:tcPr>
          <w:p w14:paraId="316E1E50">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Current Liabilities</w:t>
            </w:r>
          </w:p>
        </w:tc>
        <w:tc>
          <w:tcPr>
            <w:tcW w:w="647" w:type="pct"/>
            <w:tcBorders>
              <w:top w:val="nil"/>
              <w:left w:val="nil"/>
              <w:bottom w:val="single" w:color="auto" w:sz="4" w:space="0"/>
              <w:right w:val="single" w:color="auto" w:sz="4" w:space="0"/>
            </w:tcBorders>
            <w:noWrap/>
            <w:vAlign w:val="bottom"/>
          </w:tcPr>
          <w:p w14:paraId="688DC01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7100.00</w:t>
            </w:r>
          </w:p>
        </w:tc>
        <w:tc>
          <w:tcPr>
            <w:tcW w:w="647" w:type="pct"/>
            <w:tcBorders>
              <w:top w:val="nil"/>
              <w:left w:val="nil"/>
              <w:bottom w:val="single" w:color="auto" w:sz="4" w:space="0"/>
              <w:right w:val="single" w:color="auto" w:sz="4" w:space="0"/>
            </w:tcBorders>
            <w:noWrap/>
            <w:vAlign w:val="bottom"/>
          </w:tcPr>
          <w:p w14:paraId="2110560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7850.00</w:t>
            </w:r>
          </w:p>
        </w:tc>
        <w:tc>
          <w:tcPr>
            <w:tcW w:w="647" w:type="pct"/>
            <w:tcBorders>
              <w:top w:val="nil"/>
              <w:left w:val="nil"/>
              <w:bottom w:val="single" w:color="auto" w:sz="4" w:space="0"/>
              <w:right w:val="single" w:color="auto" w:sz="4" w:space="0"/>
            </w:tcBorders>
            <w:noWrap/>
            <w:vAlign w:val="bottom"/>
          </w:tcPr>
          <w:p w14:paraId="0AC1328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8150.00</w:t>
            </w:r>
          </w:p>
        </w:tc>
        <w:tc>
          <w:tcPr>
            <w:tcW w:w="647" w:type="pct"/>
            <w:tcBorders>
              <w:top w:val="nil"/>
              <w:left w:val="nil"/>
              <w:bottom w:val="single" w:color="auto" w:sz="4" w:space="0"/>
              <w:right w:val="single" w:color="auto" w:sz="4" w:space="0"/>
            </w:tcBorders>
            <w:noWrap/>
            <w:vAlign w:val="bottom"/>
          </w:tcPr>
          <w:p w14:paraId="30BCDCD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8649.00</w:t>
            </w:r>
          </w:p>
        </w:tc>
        <w:tc>
          <w:tcPr>
            <w:tcW w:w="647" w:type="pct"/>
            <w:tcBorders>
              <w:top w:val="nil"/>
              <w:left w:val="nil"/>
              <w:bottom w:val="single" w:color="auto" w:sz="4" w:space="0"/>
              <w:right w:val="single" w:color="auto" w:sz="4" w:space="0"/>
            </w:tcBorders>
            <w:noWrap/>
            <w:vAlign w:val="bottom"/>
          </w:tcPr>
          <w:p w14:paraId="5870A52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8398.00</w:t>
            </w:r>
          </w:p>
        </w:tc>
      </w:tr>
      <w:tr w14:paraId="3B1DCA90">
        <w:tblPrEx>
          <w:tblCellMar>
            <w:top w:w="0" w:type="dxa"/>
            <w:left w:w="108" w:type="dxa"/>
            <w:bottom w:w="0" w:type="dxa"/>
            <w:right w:w="108" w:type="dxa"/>
          </w:tblCellMar>
        </w:tblPrEx>
        <w:trPr>
          <w:trHeight w:val="300" w:hRule="atLeast"/>
        </w:trPr>
        <w:tc>
          <w:tcPr>
            <w:tcW w:w="1766" w:type="pct"/>
            <w:tcBorders>
              <w:top w:val="nil"/>
              <w:left w:val="single" w:color="auto" w:sz="4" w:space="0"/>
              <w:bottom w:val="single" w:color="auto" w:sz="4" w:space="0"/>
              <w:right w:val="single" w:color="auto" w:sz="4" w:space="0"/>
            </w:tcBorders>
            <w:noWrap/>
            <w:vAlign w:val="bottom"/>
          </w:tcPr>
          <w:p w14:paraId="6FA5717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Working Capital</w:t>
            </w:r>
          </w:p>
        </w:tc>
        <w:tc>
          <w:tcPr>
            <w:tcW w:w="647" w:type="pct"/>
            <w:tcBorders>
              <w:top w:val="nil"/>
              <w:left w:val="nil"/>
              <w:bottom w:val="single" w:color="auto" w:sz="4" w:space="0"/>
              <w:right w:val="single" w:color="auto" w:sz="4" w:space="0"/>
            </w:tcBorders>
            <w:noWrap/>
            <w:vAlign w:val="bottom"/>
          </w:tcPr>
          <w:p w14:paraId="38FE010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-4200.00</w:t>
            </w:r>
          </w:p>
        </w:tc>
        <w:tc>
          <w:tcPr>
            <w:tcW w:w="647" w:type="pct"/>
            <w:tcBorders>
              <w:top w:val="nil"/>
              <w:left w:val="nil"/>
              <w:bottom w:val="single" w:color="auto" w:sz="4" w:space="0"/>
              <w:right w:val="single" w:color="auto" w:sz="4" w:space="0"/>
            </w:tcBorders>
            <w:noWrap/>
            <w:vAlign w:val="bottom"/>
          </w:tcPr>
          <w:p w14:paraId="037B131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-4700.00</w:t>
            </w:r>
          </w:p>
        </w:tc>
        <w:tc>
          <w:tcPr>
            <w:tcW w:w="647" w:type="pct"/>
            <w:tcBorders>
              <w:top w:val="nil"/>
              <w:left w:val="nil"/>
              <w:bottom w:val="single" w:color="auto" w:sz="4" w:space="0"/>
              <w:right w:val="single" w:color="auto" w:sz="4" w:space="0"/>
            </w:tcBorders>
            <w:noWrap/>
            <w:vAlign w:val="bottom"/>
          </w:tcPr>
          <w:p w14:paraId="2397F1C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-4850.00</w:t>
            </w:r>
          </w:p>
        </w:tc>
        <w:tc>
          <w:tcPr>
            <w:tcW w:w="647" w:type="pct"/>
            <w:tcBorders>
              <w:top w:val="nil"/>
              <w:left w:val="nil"/>
              <w:bottom w:val="single" w:color="auto" w:sz="4" w:space="0"/>
              <w:right w:val="single" w:color="auto" w:sz="4" w:space="0"/>
            </w:tcBorders>
            <w:noWrap/>
            <w:vAlign w:val="bottom"/>
          </w:tcPr>
          <w:p w14:paraId="172367B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-5164.00</w:t>
            </w:r>
          </w:p>
        </w:tc>
        <w:tc>
          <w:tcPr>
            <w:tcW w:w="647" w:type="pct"/>
            <w:tcBorders>
              <w:top w:val="nil"/>
              <w:left w:val="nil"/>
              <w:bottom w:val="single" w:color="auto" w:sz="4" w:space="0"/>
              <w:right w:val="single" w:color="auto" w:sz="4" w:space="0"/>
            </w:tcBorders>
            <w:noWrap/>
            <w:vAlign w:val="bottom"/>
          </w:tcPr>
          <w:p w14:paraId="444F8E9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-4814.00</w:t>
            </w:r>
          </w:p>
        </w:tc>
      </w:tr>
      <w:tr w14:paraId="1E7EE12D">
        <w:tblPrEx>
          <w:tblCellMar>
            <w:top w:w="0" w:type="dxa"/>
            <w:left w:w="108" w:type="dxa"/>
            <w:bottom w:w="0" w:type="dxa"/>
            <w:right w:w="108" w:type="dxa"/>
          </w:tblCellMar>
        </w:tblPrEx>
        <w:trPr>
          <w:trHeight w:val="300" w:hRule="atLeast"/>
        </w:trPr>
        <w:tc>
          <w:tcPr>
            <w:tcW w:w="1766" w:type="pct"/>
            <w:tcBorders>
              <w:top w:val="nil"/>
              <w:left w:val="single" w:color="auto" w:sz="4" w:space="0"/>
              <w:bottom w:val="single" w:color="auto" w:sz="4" w:space="0"/>
              <w:right w:val="single" w:color="auto" w:sz="4" w:space="0"/>
            </w:tcBorders>
            <w:noWrap/>
            <w:vAlign w:val="bottom"/>
          </w:tcPr>
          <w:p w14:paraId="00F0C764">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Cash &amp; Equivalents</w:t>
            </w:r>
          </w:p>
        </w:tc>
        <w:tc>
          <w:tcPr>
            <w:tcW w:w="647" w:type="pct"/>
            <w:tcBorders>
              <w:top w:val="nil"/>
              <w:left w:val="nil"/>
              <w:bottom w:val="single" w:color="auto" w:sz="4" w:space="0"/>
              <w:right w:val="single" w:color="auto" w:sz="4" w:space="0"/>
            </w:tcBorders>
            <w:noWrap/>
            <w:vAlign w:val="bottom"/>
          </w:tcPr>
          <w:p w14:paraId="301DE8F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750.00</w:t>
            </w:r>
          </w:p>
        </w:tc>
        <w:tc>
          <w:tcPr>
            <w:tcW w:w="647" w:type="pct"/>
            <w:tcBorders>
              <w:top w:val="nil"/>
              <w:left w:val="nil"/>
              <w:bottom w:val="single" w:color="auto" w:sz="4" w:space="0"/>
              <w:right w:val="single" w:color="auto" w:sz="4" w:space="0"/>
            </w:tcBorders>
            <w:noWrap/>
            <w:vAlign w:val="bottom"/>
          </w:tcPr>
          <w:p w14:paraId="067F614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620.00</w:t>
            </w:r>
          </w:p>
        </w:tc>
        <w:tc>
          <w:tcPr>
            <w:tcW w:w="647" w:type="pct"/>
            <w:tcBorders>
              <w:top w:val="nil"/>
              <w:left w:val="nil"/>
              <w:bottom w:val="single" w:color="auto" w:sz="4" w:space="0"/>
              <w:right w:val="single" w:color="auto" w:sz="4" w:space="0"/>
            </w:tcBorders>
            <w:noWrap/>
            <w:vAlign w:val="bottom"/>
          </w:tcPr>
          <w:p w14:paraId="5FC4282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353.00</w:t>
            </w:r>
          </w:p>
        </w:tc>
        <w:tc>
          <w:tcPr>
            <w:tcW w:w="647" w:type="pct"/>
            <w:tcBorders>
              <w:top w:val="nil"/>
              <w:left w:val="nil"/>
              <w:bottom w:val="single" w:color="auto" w:sz="4" w:space="0"/>
              <w:right w:val="single" w:color="auto" w:sz="4" w:space="0"/>
            </w:tcBorders>
            <w:noWrap/>
            <w:vAlign w:val="bottom"/>
          </w:tcPr>
          <w:p w14:paraId="0344BD8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396.00</w:t>
            </w:r>
          </w:p>
        </w:tc>
        <w:tc>
          <w:tcPr>
            <w:tcW w:w="647" w:type="pct"/>
            <w:tcBorders>
              <w:top w:val="nil"/>
              <w:left w:val="nil"/>
              <w:bottom w:val="single" w:color="auto" w:sz="4" w:space="0"/>
              <w:right w:val="single" w:color="auto" w:sz="4" w:space="0"/>
            </w:tcBorders>
            <w:noWrap/>
            <w:vAlign w:val="bottom"/>
          </w:tcPr>
          <w:p w14:paraId="7F27373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358.00</w:t>
            </w:r>
          </w:p>
        </w:tc>
      </w:tr>
      <w:tr w14:paraId="690DB492">
        <w:tblPrEx>
          <w:tblCellMar>
            <w:top w:w="0" w:type="dxa"/>
            <w:left w:w="108" w:type="dxa"/>
            <w:bottom w:w="0" w:type="dxa"/>
            <w:right w:w="108" w:type="dxa"/>
          </w:tblCellMar>
        </w:tblPrEx>
        <w:trPr>
          <w:trHeight w:val="300" w:hRule="atLeast"/>
        </w:trPr>
        <w:tc>
          <w:tcPr>
            <w:tcW w:w="1766" w:type="pct"/>
            <w:tcBorders>
              <w:top w:val="nil"/>
              <w:left w:val="single" w:color="auto" w:sz="4" w:space="0"/>
              <w:bottom w:val="single" w:color="auto" w:sz="4" w:space="0"/>
              <w:right w:val="single" w:color="auto" w:sz="4" w:space="0"/>
            </w:tcBorders>
            <w:noWrap/>
            <w:vAlign w:val="bottom"/>
          </w:tcPr>
          <w:p w14:paraId="049146CE">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Accounts Receivable</w:t>
            </w:r>
          </w:p>
        </w:tc>
        <w:tc>
          <w:tcPr>
            <w:tcW w:w="647" w:type="pct"/>
            <w:tcBorders>
              <w:top w:val="nil"/>
              <w:left w:val="nil"/>
              <w:bottom w:val="single" w:color="auto" w:sz="4" w:space="0"/>
              <w:right w:val="single" w:color="auto" w:sz="4" w:space="0"/>
            </w:tcBorders>
            <w:noWrap/>
            <w:vAlign w:val="bottom"/>
          </w:tcPr>
          <w:p w14:paraId="5455FCF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2300.00</w:t>
            </w:r>
          </w:p>
        </w:tc>
        <w:tc>
          <w:tcPr>
            <w:tcW w:w="647" w:type="pct"/>
            <w:tcBorders>
              <w:top w:val="nil"/>
              <w:left w:val="nil"/>
              <w:bottom w:val="single" w:color="auto" w:sz="4" w:space="0"/>
              <w:right w:val="single" w:color="auto" w:sz="4" w:space="0"/>
            </w:tcBorders>
            <w:noWrap/>
            <w:vAlign w:val="bottom"/>
          </w:tcPr>
          <w:p w14:paraId="01D5748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2550.00</w:t>
            </w:r>
          </w:p>
        </w:tc>
        <w:tc>
          <w:tcPr>
            <w:tcW w:w="647" w:type="pct"/>
            <w:tcBorders>
              <w:top w:val="nil"/>
              <w:left w:val="nil"/>
              <w:bottom w:val="single" w:color="auto" w:sz="4" w:space="0"/>
              <w:right w:val="single" w:color="auto" w:sz="4" w:space="0"/>
            </w:tcBorders>
            <w:noWrap/>
            <w:vAlign w:val="bottom"/>
          </w:tcPr>
          <w:p w14:paraId="74E53E9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2680.00</w:t>
            </w:r>
          </w:p>
        </w:tc>
        <w:tc>
          <w:tcPr>
            <w:tcW w:w="647" w:type="pct"/>
            <w:tcBorders>
              <w:top w:val="nil"/>
              <w:left w:val="nil"/>
              <w:bottom w:val="single" w:color="auto" w:sz="4" w:space="0"/>
              <w:right w:val="single" w:color="auto" w:sz="4" w:space="0"/>
            </w:tcBorders>
            <w:noWrap/>
            <w:vAlign w:val="bottom"/>
          </w:tcPr>
          <w:p w14:paraId="199FA40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2795.00</w:t>
            </w:r>
          </w:p>
        </w:tc>
        <w:tc>
          <w:tcPr>
            <w:tcW w:w="647" w:type="pct"/>
            <w:tcBorders>
              <w:top w:val="nil"/>
              <w:left w:val="nil"/>
              <w:bottom w:val="single" w:color="auto" w:sz="4" w:space="0"/>
              <w:right w:val="single" w:color="auto" w:sz="4" w:space="0"/>
            </w:tcBorders>
            <w:noWrap/>
            <w:vAlign w:val="bottom"/>
          </w:tcPr>
          <w:p w14:paraId="1C64FB6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2909.00</w:t>
            </w:r>
          </w:p>
        </w:tc>
      </w:tr>
      <w:tr w14:paraId="5B72376B">
        <w:tblPrEx>
          <w:tblCellMar>
            <w:top w:w="0" w:type="dxa"/>
            <w:left w:w="108" w:type="dxa"/>
            <w:bottom w:w="0" w:type="dxa"/>
            <w:right w:w="108" w:type="dxa"/>
          </w:tblCellMar>
        </w:tblPrEx>
        <w:trPr>
          <w:trHeight w:val="300" w:hRule="atLeast"/>
        </w:trPr>
        <w:tc>
          <w:tcPr>
            <w:tcW w:w="1766" w:type="pct"/>
            <w:tcBorders>
              <w:top w:val="nil"/>
              <w:left w:val="single" w:color="auto" w:sz="4" w:space="0"/>
              <w:bottom w:val="single" w:color="auto" w:sz="4" w:space="0"/>
              <w:right w:val="single" w:color="auto" w:sz="4" w:space="0"/>
            </w:tcBorders>
            <w:noWrap/>
            <w:vAlign w:val="bottom"/>
          </w:tcPr>
          <w:p w14:paraId="4DD5458A">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Current Ratio</w:t>
            </w:r>
          </w:p>
        </w:tc>
        <w:tc>
          <w:tcPr>
            <w:tcW w:w="647" w:type="pct"/>
            <w:tcBorders>
              <w:top w:val="nil"/>
              <w:left w:val="nil"/>
              <w:bottom w:val="single" w:color="auto" w:sz="4" w:space="0"/>
              <w:right w:val="single" w:color="auto" w:sz="4" w:space="0"/>
            </w:tcBorders>
            <w:noWrap/>
            <w:vAlign w:val="bottom"/>
          </w:tcPr>
          <w:p w14:paraId="09D9ACA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0.41</w:t>
            </w:r>
          </w:p>
        </w:tc>
        <w:tc>
          <w:tcPr>
            <w:tcW w:w="647" w:type="pct"/>
            <w:tcBorders>
              <w:top w:val="nil"/>
              <w:left w:val="nil"/>
              <w:bottom w:val="single" w:color="auto" w:sz="4" w:space="0"/>
              <w:right w:val="single" w:color="auto" w:sz="4" w:space="0"/>
            </w:tcBorders>
            <w:noWrap/>
            <w:vAlign w:val="bottom"/>
          </w:tcPr>
          <w:p w14:paraId="7EC2581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0.40</w:t>
            </w:r>
          </w:p>
        </w:tc>
        <w:tc>
          <w:tcPr>
            <w:tcW w:w="647" w:type="pct"/>
            <w:tcBorders>
              <w:top w:val="nil"/>
              <w:left w:val="nil"/>
              <w:bottom w:val="single" w:color="auto" w:sz="4" w:space="0"/>
              <w:right w:val="single" w:color="auto" w:sz="4" w:space="0"/>
            </w:tcBorders>
            <w:noWrap/>
            <w:vAlign w:val="bottom"/>
          </w:tcPr>
          <w:p w14:paraId="00BB46A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0.40</w:t>
            </w:r>
          </w:p>
        </w:tc>
        <w:tc>
          <w:tcPr>
            <w:tcW w:w="647" w:type="pct"/>
            <w:tcBorders>
              <w:top w:val="nil"/>
              <w:left w:val="nil"/>
              <w:bottom w:val="single" w:color="auto" w:sz="4" w:space="0"/>
              <w:right w:val="single" w:color="auto" w:sz="4" w:space="0"/>
            </w:tcBorders>
            <w:noWrap/>
            <w:vAlign w:val="bottom"/>
          </w:tcPr>
          <w:p w14:paraId="2B9125C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0.40</w:t>
            </w:r>
          </w:p>
        </w:tc>
        <w:tc>
          <w:tcPr>
            <w:tcW w:w="647" w:type="pct"/>
            <w:tcBorders>
              <w:top w:val="nil"/>
              <w:left w:val="nil"/>
              <w:bottom w:val="single" w:color="auto" w:sz="4" w:space="0"/>
              <w:right w:val="single" w:color="auto" w:sz="4" w:space="0"/>
            </w:tcBorders>
            <w:noWrap/>
            <w:vAlign w:val="bottom"/>
          </w:tcPr>
          <w:p w14:paraId="7A63A30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0.43</w:t>
            </w:r>
          </w:p>
        </w:tc>
      </w:tr>
      <w:tr w14:paraId="2D510363">
        <w:tblPrEx>
          <w:tblCellMar>
            <w:top w:w="0" w:type="dxa"/>
            <w:left w:w="108" w:type="dxa"/>
            <w:bottom w:w="0" w:type="dxa"/>
            <w:right w:w="108" w:type="dxa"/>
          </w:tblCellMar>
        </w:tblPrEx>
        <w:trPr>
          <w:trHeight w:val="300" w:hRule="atLeast"/>
        </w:trPr>
        <w:tc>
          <w:tcPr>
            <w:tcW w:w="1766" w:type="pct"/>
            <w:tcBorders>
              <w:top w:val="nil"/>
              <w:left w:val="single" w:color="auto" w:sz="4" w:space="0"/>
              <w:bottom w:val="single" w:color="auto" w:sz="4" w:space="0"/>
              <w:right w:val="single" w:color="auto" w:sz="4" w:space="0"/>
            </w:tcBorders>
            <w:noWrap/>
            <w:vAlign w:val="bottom"/>
          </w:tcPr>
          <w:p w14:paraId="47C4ED7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Cash Ratio</w:t>
            </w:r>
          </w:p>
        </w:tc>
        <w:tc>
          <w:tcPr>
            <w:tcW w:w="647" w:type="pct"/>
            <w:tcBorders>
              <w:top w:val="nil"/>
              <w:left w:val="nil"/>
              <w:bottom w:val="single" w:color="auto" w:sz="4" w:space="0"/>
              <w:right w:val="single" w:color="auto" w:sz="4" w:space="0"/>
            </w:tcBorders>
            <w:noWrap/>
            <w:vAlign w:val="bottom"/>
          </w:tcPr>
          <w:p w14:paraId="68D605A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0.11</w:t>
            </w:r>
          </w:p>
        </w:tc>
        <w:tc>
          <w:tcPr>
            <w:tcW w:w="647" w:type="pct"/>
            <w:tcBorders>
              <w:top w:val="nil"/>
              <w:left w:val="nil"/>
              <w:bottom w:val="single" w:color="auto" w:sz="4" w:space="0"/>
              <w:right w:val="single" w:color="auto" w:sz="4" w:space="0"/>
            </w:tcBorders>
            <w:noWrap/>
            <w:vAlign w:val="bottom"/>
          </w:tcPr>
          <w:p w14:paraId="75A2DBC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0.08</w:t>
            </w:r>
          </w:p>
        </w:tc>
        <w:tc>
          <w:tcPr>
            <w:tcW w:w="647" w:type="pct"/>
            <w:tcBorders>
              <w:top w:val="nil"/>
              <w:left w:val="nil"/>
              <w:bottom w:val="single" w:color="auto" w:sz="4" w:space="0"/>
              <w:right w:val="single" w:color="auto" w:sz="4" w:space="0"/>
            </w:tcBorders>
            <w:noWrap/>
            <w:vAlign w:val="bottom"/>
          </w:tcPr>
          <w:p w14:paraId="03D78AB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0.04</w:t>
            </w:r>
          </w:p>
        </w:tc>
        <w:tc>
          <w:tcPr>
            <w:tcW w:w="647" w:type="pct"/>
            <w:tcBorders>
              <w:top w:val="nil"/>
              <w:left w:val="nil"/>
              <w:bottom w:val="single" w:color="auto" w:sz="4" w:space="0"/>
              <w:right w:val="single" w:color="auto" w:sz="4" w:space="0"/>
            </w:tcBorders>
            <w:noWrap/>
            <w:vAlign w:val="bottom"/>
          </w:tcPr>
          <w:p w14:paraId="7EF235E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0.05</w:t>
            </w:r>
          </w:p>
        </w:tc>
        <w:tc>
          <w:tcPr>
            <w:tcW w:w="647" w:type="pct"/>
            <w:tcBorders>
              <w:top w:val="nil"/>
              <w:left w:val="nil"/>
              <w:bottom w:val="single" w:color="auto" w:sz="4" w:space="0"/>
              <w:right w:val="single" w:color="auto" w:sz="4" w:space="0"/>
            </w:tcBorders>
            <w:noWrap/>
            <w:vAlign w:val="bottom"/>
          </w:tcPr>
          <w:p w14:paraId="2D0B809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0.04</w:t>
            </w:r>
          </w:p>
        </w:tc>
      </w:tr>
      <w:tr w14:paraId="5B5270FA">
        <w:tblPrEx>
          <w:tblCellMar>
            <w:top w:w="0" w:type="dxa"/>
            <w:left w:w="108" w:type="dxa"/>
            <w:bottom w:w="0" w:type="dxa"/>
            <w:right w:w="108" w:type="dxa"/>
          </w:tblCellMar>
        </w:tblPrEx>
        <w:trPr>
          <w:trHeight w:val="300" w:hRule="atLeast"/>
        </w:trPr>
        <w:tc>
          <w:tcPr>
            <w:tcW w:w="1766" w:type="pct"/>
            <w:tcBorders>
              <w:top w:val="nil"/>
              <w:left w:val="single" w:color="auto" w:sz="4" w:space="0"/>
              <w:bottom w:val="single" w:color="auto" w:sz="4" w:space="0"/>
              <w:right w:val="single" w:color="auto" w:sz="4" w:space="0"/>
            </w:tcBorders>
            <w:shd w:val="clear" w:color="000000" w:fill="FFFF00"/>
            <w:noWrap/>
            <w:vAlign w:val="bottom"/>
          </w:tcPr>
          <w:p w14:paraId="17FBC156">
            <w:pPr>
              <w:spacing w:after="240" w:line="360" w:lineRule="auto"/>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 xml:space="preserve">Working Capital </w:t>
            </w:r>
          </w:p>
        </w:tc>
        <w:tc>
          <w:tcPr>
            <w:tcW w:w="647" w:type="pct"/>
            <w:tcBorders>
              <w:top w:val="nil"/>
              <w:left w:val="nil"/>
              <w:bottom w:val="single" w:color="auto" w:sz="4" w:space="0"/>
              <w:right w:val="single" w:color="auto" w:sz="4" w:space="0"/>
            </w:tcBorders>
            <w:shd w:val="clear" w:color="000000" w:fill="FFFF00"/>
            <w:noWrap/>
            <w:vAlign w:val="bottom"/>
          </w:tcPr>
          <w:p w14:paraId="3034C7F3">
            <w:pPr>
              <w:spacing w:after="240" w:line="360" w:lineRule="auto"/>
              <w:jc w:val="right"/>
              <w:rPr>
                <w:rFonts w:hint="default" w:ascii="Arial" w:hAnsi="Arial" w:eastAsia="Times New Roman" w:cs="Arial"/>
                <w:b/>
                <w:bCs/>
                <w:color w:val="000000"/>
                <w:sz w:val="24"/>
                <w:szCs w:val="24"/>
                <w:lang w:val="en-US"/>
              </w:rPr>
            </w:pPr>
            <w:r>
              <w:rPr>
                <w:rFonts w:hint="default" w:eastAsia="Times New Roman" w:cs="Arial"/>
                <w:b/>
                <w:bCs/>
                <w:color w:val="000000"/>
                <w:sz w:val="24"/>
                <w:szCs w:val="24"/>
                <w:lang w:val="en-US"/>
              </w:rPr>
              <w:t>-4200.00</w:t>
            </w:r>
          </w:p>
        </w:tc>
        <w:tc>
          <w:tcPr>
            <w:tcW w:w="647" w:type="pct"/>
            <w:tcBorders>
              <w:top w:val="nil"/>
              <w:left w:val="nil"/>
              <w:bottom w:val="single" w:color="auto" w:sz="4" w:space="0"/>
              <w:right w:val="single" w:color="auto" w:sz="4" w:space="0"/>
            </w:tcBorders>
            <w:shd w:val="clear" w:color="000000" w:fill="FFFF00"/>
            <w:noWrap/>
            <w:vAlign w:val="bottom"/>
          </w:tcPr>
          <w:p w14:paraId="73E78898">
            <w:pPr>
              <w:spacing w:after="240" w:line="360" w:lineRule="auto"/>
              <w:jc w:val="right"/>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w:t>
            </w:r>
            <w:r>
              <w:rPr>
                <w:rFonts w:hint="default" w:eastAsia="Times New Roman" w:cs="Arial"/>
                <w:b/>
                <w:bCs/>
                <w:color w:val="000000"/>
                <w:sz w:val="24"/>
                <w:szCs w:val="24"/>
                <w:lang w:val="en-US"/>
              </w:rPr>
              <w:t>4700</w:t>
            </w:r>
            <w:r>
              <w:rPr>
                <w:rFonts w:hint="default" w:ascii="Arial" w:hAnsi="Arial" w:eastAsia="Times New Roman" w:cs="Arial"/>
                <w:b/>
                <w:bCs/>
                <w:color w:val="000000"/>
                <w:sz w:val="24"/>
                <w:szCs w:val="24"/>
                <w:lang w:val="en-US"/>
              </w:rPr>
              <w:t>.</w:t>
            </w:r>
            <w:r>
              <w:rPr>
                <w:rFonts w:hint="default" w:eastAsia="Times New Roman" w:cs="Arial"/>
                <w:b/>
                <w:bCs/>
                <w:color w:val="000000"/>
                <w:sz w:val="24"/>
                <w:szCs w:val="24"/>
                <w:lang w:val="en-US"/>
              </w:rPr>
              <w:t>0</w:t>
            </w:r>
            <w:r>
              <w:rPr>
                <w:rFonts w:hint="default" w:ascii="Arial" w:hAnsi="Arial" w:eastAsia="Times New Roman" w:cs="Arial"/>
                <w:b/>
                <w:bCs/>
                <w:color w:val="000000"/>
                <w:sz w:val="24"/>
                <w:szCs w:val="24"/>
                <w:lang w:val="en-US"/>
              </w:rPr>
              <w:t>0</w:t>
            </w:r>
          </w:p>
        </w:tc>
        <w:tc>
          <w:tcPr>
            <w:tcW w:w="647" w:type="pct"/>
            <w:tcBorders>
              <w:top w:val="nil"/>
              <w:left w:val="nil"/>
              <w:bottom w:val="single" w:color="auto" w:sz="4" w:space="0"/>
              <w:right w:val="single" w:color="auto" w:sz="4" w:space="0"/>
            </w:tcBorders>
            <w:shd w:val="clear" w:color="000000" w:fill="FFFF00"/>
            <w:noWrap/>
            <w:vAlign w:val="bottom"/>
          </w:tcPr>
          <w:p w14:paraId="14702ED3">
            <w:pPr>
              <w:spacing w:after="240" w:line="360" w:lineRule="auto"/>
              <w:jc w:val="right"/>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w:t>
            </w:r>
            <w:r>
              <w:rPr>
                <w:rFonts w:hint="default" w:eastAsia="Times New Roman" w:cs="Arial"/>
                <w:b/>
                <w:bCs/>
                <w:color w:val="000000"/>
                <w:sz w:val="24"/>
                <w:szCs w:val="24"/>
                <w:lang w:val="en-US"/>
              </w:rPr>
              <w:t>4850</w:t>
            </w:r>
            <w:r>
              <w:rPr>
                <w:rFonts w:hint="default" w:ascii="Arial" w:hAnsi="Arial" w:eastAsia="Times New Roman" w:cs="Arial"/>
                <w:b/>
                <w:bCs/>
                <w:color w:val="000000"/>
                <w:sz w:val="24"/>
                <w:szCs w:val="24"/>
                <w:lang w:val="en-US"/>
              </w:rPr>
              <w:t>.0</w:t>
            </w:r>
            <w:r>
              <w:rPr>
                <w:rFonts w:hint="default" w:eastAsia="Times New Roman" w:cs="Arial"/>
                <w:b/>
                <w:bCs/>
                <w:color w:val="000000"/>
                <w:sz w:val="24"/>
                <w:szCs w:val="24"/>
                <w:lang w:val="en-US"/>
              </w:rPr>
              <w:t>0</w:t>
            </w:r>
          </w:p>
        </w:tc>
        <w:tc>
          <w:tcPr>
            <w:tcW w:w="647" w:type="pct"/>
            <w:tcBorders>
              <w:top w:val="nil"/>
              <w:left w:val="nil"/>
              <w:bottom w:val="single" w:color="auto" w:sz="4" w:space="0"/>
              <w:right w:val="single" w:color="auto" w:sz="4" w:space="0"/>
            </w:tcBorders>
            <w:shd w:val="clear" w:color="000000" w:fill="FFFF00"/>
            <w:noWrap/>
            <w:vAlign w:val="bottom"/>
          </w:tcPr>
          <w:p w14:paraId="2EC11504">
            <w:pPr>
              <w:spacing w:after="240" w:line="360" w:lineRule="auto"/>
              <w:jc w:val="right"/>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w:t>
            </w:r>
            <w:r>
              <w:rPr>
                <w:rFonts w:hint="default" w:eastAsia="Times New Roman" w:cs="Arial"/>
                <w:b/>
                <w:bCs/>
                <w:color w:val="000000"/>
                <w:sz w:val="24"/>
                <w:szCs w:val="24"/>
                <w:lang w:val="en-US"/>
              </w:rPr>
              <w:t>5164</w:t>
            </w:r>
            <w:r>
              <w:rPr>
                <w:rFonts w:hint="default" w:ascii="Arial" w:hAnsi="Arial" w:eastAsia="Times New Roman" w:cs="Arial"/>
                <w:b/>
                <w:bCs/>
                <w:color w:val="000000"/>
                <w:sz w:val="24"/>
                <w:szCs w:val="24"/>
                <w:lang w:val="en-US"/>
              </w:rPr>
              <w:t>.</w:t>
            </w:r>
            <w:r>
              <w:rPr>
                <w:rFonts w:hint="default" w:eastAsia="Times New Roman" w:cs="Arial"/>
                <w:b/>
                <w:bCs/>
                <w:color w:val="000000"/>
                <w:sz w:val="24"/>
                <w:szCs w:val="24"/>
                <w:lang w:val="en-US"/>
              </w:rPr>
              <w:t>00</w:t>
            </w:r>
          </w:p>
        </w:tc>
        <w:tc>
          <w:tcPr>
            <w:tcW w:w="647" w:type="pct"/>
            <w:tcBorders>
              <w:top w:val="nil"/>
              <w:left w:val="nil"/>
              <w:bottom w:val="single" w:color="auto" w:sz="4" w:space="0"/>
              <w:right w:val="single" w:color="auto" w:sz="4" w:space="0"/>
            </w:tcBorders>
            <w:shd w:val="clear" w:color="000000" w:fill="FFFF00"/>
            <w:noWrap/>
            <w:vAlign w:val="bottom"/>
          </w:tcPr>
          <w:p w14:paraId="4050156B">
            <w:pPr>
              <w:spacing w:after="240" w:line="360" w:lineRule="auto"/>
              <w:jc w:val="right"/>
              <w:rPr>
                <w:rFonts w:hint="default" w:ascii="Arial" w:hAnsi="Arial" w:eastAsia="Times New Roman" w:cs="Arial"/>
                <w:b/>
                <w:bCs/>
                <w:color w:val="000000"/>
                <w:sz w:val="24"/>
                <w:szCs w:val="24"/>
                <w:lang w:val="en-US"/>
              </w:rPr>
            </w:pPr>
            <w:r>
              <w:rPr>
                <w:rFonts w:hint="default" w:ascii="Arial" w:hAnsi="Arial" w:eastAsia="Times New Roman" w:cs="Arial"/>
                <w:b/>
                <w:bCs/>
                <w:color w:val="000000"/>
                <w:sz w:val="24"/>
                <w:szCs w:val="24"/>
                <w:lang w:val="en-US"/>
              </w:rPr>
              <w:t>-</w:t>
            </w:r>
            <w:r>
              <w:rPr>
                <w:rFonts w:hint="default" w:eastAsia="Times New Roman" w:cs="Arial"/>
                <w:b/>
                <w:bCs/>
                <w:color w:val="000000"/>
                <w:sz w:val="24"/>
                <w:szCs w:val="24"/>
                <w:lang w:val="en-US"/>
              </w:rPr>
              <w:t>4814</w:t>
            </w:r>
            <w:r>
              <w:rPr>
                <w:rFonts w:hint="default" w:ascii="Arial" w:hAnsi="Arial" w:eastAsia="Times New Roman" w:cs="Arial"/>
                <w:b/>
                <w:bCs/>
                <w:color w:val="000000"/>
                <w:sz w:val="24"/>
                <w:szCs w:val="24"/>
                <w:lang w:val="en-US"/>
              </w:rPr>
              <w:t>.</w:t>
            </w:r>
            <w:r>
              <w:rPr>
                <w:rFonts w:hint="default" w:eastAsia="Times New Roman" w:cs="Arial"/>
                <w:b/>
                <w:bCs/>
                <w:color w:val="000000"/>
                <w:sz w:val="24"/>
                <w:szCs w:val="24"/>
                <w:lang w:val="en-US"/>
              </w:rPr>
              <w:t>00</w:t>
            </w:r>
          </w:p>
        </w:tc>
      </w:tr>
    </w:tbl>
    <w:p w14:paraId="0000002A">
      <w:pPr>
        <w:spacing w:after="240" w:line="360" w:lineRule="auto"/>
        <w:jc w:val="center"/>
        <w:rPr>
          <w:rFonts w:hint="default" w:ascii="Arial" w:hAnsi="Arial" w:eastAsia="Times New Roman" w:cs="Arial"/>
          <w:b/>
          <w:bCs/>
          <w:sz w:val="24"/>
          <w:szCs w:val="24"/>
        </w:rPr>
      </w:pPr>
      <w:r>
        <w:rPr>
          <w:rFonts w:hint="default" w:ascii="Arial" w:hAnsi="Arial" w:eastAsia="Times New Roman" w:cs="Arial"/>
          <w:b/>
          <w:bCs/>
          <w:sz w:val="24"/>
          <w:szCs w:val="24"/>
        </w:rPr>
        <w:t xml:space="preserve">Table 2: Working Capital Calculations </w:t>
      </w:r>
    </w:p>
    <w:p w14:paraId="0000002B">
      <w:pPr>
        <w:spacing w:after="240" w:line="360" w:lineRule="auto"/>
        <w:jc w:val="center"/>
        <w:rPr>
          <w:rFonts w:hint="default" w:ascii="Arial" w:hAnsi="Arial" w:eastAsia="Times New Roman" w:cs="Arial"/>
          <w:sz w:val="24"/>
          <w:szCs w:val="24"/>
        </w:rPr>
      </w:pPr>
      <w:r>
        <w:rPr>
          <w:rFonts w:hint="default" w:ascii="Arial" w:hAnsi="Arial" w:eastAsia="Times New Roman" w:cs="Arial"/>
          <w:sz w:val="24"/>
          <w:szCs w:val="24"/>
        </w:rPr>
        <w:t>(Source: Self-developed)</w:t>
      </w:r>
    </w:p>
    <w:p w14:paraId="0000002C">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In order to strengthen liquidity and reduce the reliance on short-term liabilities, Marriott should implement several working capital reforms. First of all, the company should quicken the collection of receivables by widening the network of digital payment systems, and strengthening credit monitoring, and giving incentives for early payments to franchisees and corporate clients (Mushinzimana et al., 2025).  Due to its large revenue base, a small reduction in days collecting cash could release a sizable amount.</w:t>
      </w:r>
    </w:p>
    <w:p w14:paraId="0000002D">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Another strategy Marriott can consider is optimizing accounts payables management through negotiation of extended payment terms (Malikova, and Abdujalilov, 2024). This would help the company to hold on to cash for longer and not upset suppliers. Forecasting systems for better visibility centralise treasury operations to develop cash over global cash balances for short-term liquidity.</w:t>
      </w:r>
    </w:p>
    <w:p w14:paraId="0000002E">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 could also keep developing its asset-light franchise and management model, as this would require lower working-capital locked-in than owning hotels (Potharla, 2025). Strong operating cash flow generation will result from effective cost management and enhancing operational efficiency, overall liquidity and sustainable growth will benefit (Abdallah et al., 2025). It would enhance financial flexibility and reduce liquidity risk.</w:t>
      </w:r>
    </w:p>
    <w:p w14:paraId="0000002F">
      <w:pPr>
        <w:pStyle w:val="3"/>
        <w:spacing w:after="240"/>
        <w:rPr>
          <w:rFonts w:hint="default" w:ascii="Arial" w:hAnsi="Arial" w:cs="Arial"/>
          <w:sz w:val="24"/>
          <w:szCs w:val="24"/>
        </w:rPr>
      </w:pPr>
      <w:bookmarkStart w:id="8" w:name="_Toc231843837"/>
      <w:r>
        <w:rPr>
          <w:rFonts w:hint="default" w:ascii="Arial" w:hAnsi="Arial" w:cs="Arial"/>
          <w:sz w:val="24"/>
          <w:szCs w:val="24"/>
        </w:rPr>
        <w:t>2.3 Comparison of Short-Term and Long-Term Financing Options</w:t>
      </w:r>
      <w:bookmarkEnd w:id="8"/>
    </w:p>
    <w:p w14:paraId="1F7F5854">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 can utilize short-term as well as long-term financing options to help with its liquidity and growth objectives.  However, they both have different purposes. Short-term financing is needed to fulfill day-to-day operational needs and to sustain working capital. Bank overdrafts, revolving credit facility, commercial paper and trade credit are common examples. (15) As a rule, Marriott has used commercial paper programmes and revolving credit facilities to handle temporary cash-flow problems. Short term financing has lower initial costs, but firms face risk of refinancing, volatile interest rates, worse market conditions, and higher costs of capital in the long term.</w:t>
      </w:r>
    </w:p>
    <w:p w14:paraId="00000031">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There long-term financing takes place to fund the strategic investments business acquisitions technological projects and more for expanding business Corporate bonds, term loans, lease financing, and equity financing are all examples (Hempel et al., 2024).  Marriott regularly issues long-term senior notes and corporate bonds to finance the development of their franchises and to refinance existing debt. According to Choudhary and Limodio (2022), long-term financing has repayment obligations that spread over a number of years. This means that liquidity pressure is reduced which provides greater financial stability. Though, it normally comes with higher overall interest cost and long-term commitment.</w:t>
      </w:r>
    </w:p>
    <w:p w14:paraId="00000032">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Based on the facts like the increasing leverage of Marriott and negative working capital position, a balanced financing structure comprising flexible short-term facilities and sustainable long-term debt financing, would help in optimising liquidity, managing risk and supporting future expansion.</w:t>
      </w:r>
    </w:p>
    <w:p w14:paraId="00000033">
      <w:pPr>
        <w:pStyle w:val="2"/>
        <w:spacing w:after="240"/>
        <w:rPr>
          <w:rFonts w:hint="default" w:ascii="Arial" w:hAnsi="Arial" w:cs="Arial"/>
          <w:sz w:val="24"/>
          <w:szCs w:val="24"/>
        </w:rPr>
      </w:pPr>
      <w:bookmarkStart w:id="9" w:name="_Toc231843838"/>
      <w:r>
        <w:rPr>
          <w:rFonts w:hint="default" w:ascii="Arial" w:hAnsi="Arial" w:cs="Arial"/>
          <w:sz w:val="24"/>
          <w:szCs w:val="24"/>
        </w:rPr>
        <w:t>3. Financial Plan for Re-structure</w:t>
      </w:r>
      <w:bookmarkEnd w:id="9"/>
    </w:p>
    <w:p w14:paraId="00000034">
      <w:pPr>
        <w:pStyle w:val="3"/>
        <w:spacing w:after="240"/>
        <w:rPr>
          <w:rFonts w:hint="default" w:ascii="Arial" w:hAnsi="Arial" w:cs="Arial"/>
          <w:sz w:val="24"/>
          <w:szCs w:val="24"/>
        </w:rPr>
      </w:pPr>
      <w:bookmarkStart w:id="10" w:name="_Toc231843839"/>
      <w:r>
        <w:rPr>
          <w:rFonts w:hint="default" w:ascii="Arial" w:hAnsi="Arial" w:cs="Arial"/>
          <w:sz w:val="24"/>
          <w:szCs w:val="24"/>
        </w:rPr>
        <w:t>3.1 Re-structuring Options</w:t>
      </w:r>
      <w:bookmarkEnd w:id="10"/>
    </w:p>
    <w:p w14:paraId="00000035">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Divestiture</w:t>
      </w:r>
    </w:p>
    <w:p w14:paraId="00000036">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non-core owned and leased properties can be sold off selectively, which is in line with Marriott’s long-standing asset-light strategy whereby the growth is enabled through management and franchise contracts (Potharla, 2025). Selling assets could bring in cash to pay off debt, improve liquidity, and assist in digital transformation. Major hospitality groups have been successfully adopting similar strategies for higher returns and lower operating risk.</w:t>
      </w:r>
    </w:p>
    <w:p w14:paraId="00000037">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Merger</w:t>
      </w:r>
    </w:p>
    <w:p w14:paraId="00000038">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Instead of making big mergers, it can make some acquisitions and partnerships in the growing segments like luxury, lifestyle, and extended stay to become a stronger player. One noteworthy example is Marriott’s purchase of Starwood Hotels &amp; Resorts Worldwide, a deal that allowed it to significantly expand its global presence (McGrath, and O’Neill, 2025). Future partnerships with tech players, travel platforms, and eco-friendly businesses will help boost operational efficiency, customer experience and competitiveness.</w:t>
      </w:r>
    </w:p>
    <w:p w14:paraId="00000039">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Equity Injection</w:t>
      </w:r>
    </w:p>
    <w:p w14:paraId="0000003A">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 can enhance its financial position by an equity injection through further issuance of common shares and/or restricting share repurchase programmes. The company spent billions on treasury stock purchases during the years 2023 to 2025 which helped increase the stockholders’ deficit (George, 2024). By redirecting part of this money to enhance equity, leverage ratios would improve, financial flexibility would increase, and future growth would be facilitated.</w:t>
      </w:r>
    </w:p>
    <w:p w14:paraId="31B1E642">
      <w:pPr>
        <w:spacing w:after="240" w:line="360" w:lineRule="auto"/>
        <w:jc w:val="both"/>
        <w:rPr>
          <w:rFonts w:hint="default" w:ascii="Arial" w:hAnsi="Arial" w:eastAsia="Times New Roman" w:cs="Arial"/>
          <w:sz w:val="24"/>
          <w:szCs w:val="24"/>
        </w:rPr>
      </w:pPr>
    </w:p>
    <w:p w14:paraId="0000003B">
      <w:pPr>
        <w:pStyle w:val="3"/>
        <w:spacing w:after="240"/>
        <w:rPr>
          <w:rFonts w:hint="default" w:ascii="Arial" w:hAnsi="Arial" w:cs="Arial"/>
          <w:sz w:val="24"/>
          <w:szCs w:val="24"/>
        </w:rPr>
      </w:pPr>
      <w:bookmarkStart w:id="11" w:name="_Toc231843840"/>
      <w:r>
        <w:rPr>
          <w:rFonts w:hint="default" w:ascii="Arial" w:hAnsi="Arial" w:cs="Arial"/>
          <w:sz w:val="24"/>
          <w:szCs w:val="24"/>
        </w:rPr>
        <w:t>3.2 Analysis shareholder value, debt structure, and operational flexibility.</w:t>
      </w:r>
      <w:bookmarkEnd w:id="11"/>
    </w:p>
    <w:p w14:paraId="0000003C">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Shareholder Value</w:t>
      </w:r>
    </w:p>
    <w:p w14:paraId="0000003D">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initiatives for restructuring are expected to enhance the long-term shareholder value by improving financial stability and providing sustainable growth. Acquisitions can enhance revenue to capture market share in divestitures can free up capital from underperforming assets across partnerships (Dabboussi, 2024). Higher valuation multiples in long-term returns for shareholders may reduce earnings per share in the short-term financial risk enhancing investor confidence.</w:t>
      </w:r>
    </w:p>
    <w:p w14:paraId="0000003E">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Debt Structure</w:t>
      </w:r>
    </w:p>
    <w:p w14:paraId="0000003F">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An improvement in leverage ratios of Marriott’s debt structure would strengthen decline in reliance on debt. Funds from the sale of assets can be used to pay off debt, lowering interest expense and refinancing risk (Ikwuo et al., 2025). As a result, Marriott would have a better capital structure which would mean an improvement in credit rating and capacity to access financing in future on favourable terms. </w:t>
      </w:r>
    </w:p>
    <w:p w14:paraId="00000040">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Operational Flexibility</w:t>
      </w:r>
    </w:p>
    <w:p w14:paraId="00000041">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Marriott’s operational flexibility would improve with cash availability and reduced constraints. When debt obligations are lowered, the resources will be freed for investment and others. The asset-light model, which requires divestitures, will cut fixed operating costs and make its operations more adaptable. Competition with new growth opportunities highlight stronger liquidity to navigate economic uncertainty,</w:t>
      </w:r>
    </w:p>
    <w:p w14:paraId="00000042">
      <w:pPr>
        <w:pStyle w:val="3"/>
        <w:spacing w:after="240"/>
        <w:rPr>
          <w:rFonts w:hint="default" w:ascii="Arial" w:hAnsi="Arial" w:cs="Arial"/>
          <w:sz w:val="24"/>
          <w:szCs w:val="24"/>
        </w:rPr>
      </w:pPr>
      <w:bookmarkStart w:id="12" w:name="_Toc231843841"/>
      <w:r>
        <w:rPr>
          <w:rFonts w:hint="default" w:ascii="Arial" w:hAnsi="Arial" w:cs="Arial"/>
          <w:sz w:val="24"/>
          <w:szCs w:val="24"/>
        </w:rPr>
        <w:t>3.3 International and Ethical considerations</w:t>
      </w:r>
      <w:bookmarkEnd w:id="12"/>
    </w:p>
    <w:p w14:paraId="00000043">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Taxation</w:t>
      </w:r>
    </w:p>
    <w:p w14:paraId="00000044">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Tax avoidance in international taxation impacts Minimum Tax for 15% of OECD so, the profits and investment decisions adopted by more than 140 countries. Tech giants like Apple and Google were subjected to transparency controls concerning tax arrangements which are expected to increase (OECD, 2024).</w:t>
      </w:r>
    </w:p>
    <w:p w14:paraId="60A172BF">
      <w:pPr>
        <w:spacing w:after="240" w:line="360" w:lineRule="auto"/>
        <w:jc w:val="both"/>
        <w:rPr>
          <w:rFonts w:hint="default" w:ascii="Arial" w:hAnsi="Arial" w:eastAsia="Times New Roman" w:cs="Arial"/>
          <w:b/>
          <w:bCs/>
          <w:i/>
          <w:iCs/>
          <w:sz w:val="24"/>
          <w:szCs w:val="24"/>
        </w:rPr>
      </w:pPr>
    </w:p>
    <w:p w14:paraId="00000045">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Currency Risk</w:t>
      </w:r>
    </w:p>
    <w:p w14:paraId="00000046">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ups and downs of currencies cause problems for businesses working in many countries. For example, after Brexit the value of the British pound decreased, making imported goods more expensive for many businesses (Rochmayasari, 2022). As per the Bank for International Settlements, the market for foreign exchange is more than US$7.5 trillion a day. The only way to deal with changes in the exchange-rate is through hedging strategies.</w:t>
      </w:r>
    </w:p>
    <w:p w14:paraId="00000047">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Inflation</w:t>
      </w:r>
    </w:p>
    <w:p w14:paraId="00000048">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Inflation damages purchasing power, operating costs and consumer demands. According to official figures, UK inflation reached its highest levels in four decades in 2022, hitting a peak of more than 11% (Domina, 2024).  Increased costs for labour, transport and raw-materials meant businesses had to adjust pricing and work on improving efficiencies.</w:t>
      </w:r>
    </w:p>
    <w:p w14:paraId="00000049">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CSR </w:t>
      </w:r>
    </w:p>
    <w:p w14:paraId="0000004A">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Involvement in CSR trust to operate responsibly ethical standard of practice (Arjunan, 2022). For example, Unilever’s integration of sustainability into its business strategy has helped it minimize emissions and enhance corporate value and stakeholder trust over the long term.</w:t>
      </w:r>
    </w:p>
    <w:p w14:paraId="0000004B">
      <w:pPr>
        <w:pStyle w:val="2"/>
        <w:spacing w:after="240"/>
        <w:rPr>
          <w:rFonts w:hint="default" w:ascii="Arial" w:hAnsi="Arial" w:cs="Arial"/>
          <w:sz w:val="24"/>
          <w:szCs w:val="24"/>
        </w:rPr>
      </w:pPr>
      <w:bookmarkStart w:id="13" w:name="_Toc231843842"/>
      <w:r>
        <w:rPr>
          <w:rFonts w:hint="default" w:ascii="Arial" w:hAnsi="Arial" w:cs="Arial"/>
          <w:sz w:val="24"/>
          <w:szCs w:val="24"/>
        </w:rPr>
        <w:t>4. Investment Appraisal and Capital Budgeting</w:t>
      </w:r>
      <w:bookmarkEnd w:id="13"/>
      <w:r>
        <w:rPr>
          <w:rFonts w:hint="default" w:ascii="Arial" w:hAnsi="Arial" w:cs="Arial"/>
          <w:sz w:val="24"/>
          <w:szCs w:val="24"/>
        </w:rPr>
        <w:t xml:space="preserve"> </w:t>
      </w:r>
    </w:p>
    <w:p w14:paraId="0000004C">
      <w:pPr>
        <w:pStyle w:val="3"/>
        <w:spacing w:after="240"/>
        <w:rPr>
          <w:rFonts w:hint="default" w:ascii="Arial" w:hAnsi="Arial" w:cs="Arial"/>
          <w:sz w:val="24"/>
          <w:szCs w:val="24"/>
        </w:rPr>
      </w:pPr>
      <w:bookmarkStart w:id="14" w:name="_Toc231843843"/>
      <w:r>
        <w:rPr>
          <w:rFonts w:hint="default" w:ascii="Arial" w:hAnsi="Arial" w:cs="Arial"/>
          <w:sz w:val="24"/>
          <w:szCs w:val="24"/>
        </w:rPr>
        <w:t>4.1 Project Description</w:t>
      </w:r>
      <w:bookmarkEnd w:id="14"/>
      <w:r>
        <w:rPr>
          <w:rFonts w:hint="default" w:ascii="Arial" w:hAnsi="Arial" w:cs="Arial"/>
          <w:sz w:val="24"/>
          <w:szCs w:val="24"/>
        </w:rPr>
        <w:t xml:space="preserve"> </w:t>
      </w:r>
    </w:p>
    <w:p w14:paraId="0000004D">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Project A</w:t>
      </w:r>
    </w:p>
    <w:p w14:paraId="0000004E">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Project A highlights an initial spend of £50 million, then it brings in total cash inflows of £54 million across five years. It looks better with a </w:t>
      </w:r>
      <w:r>
        <w:rPr>
          <w:rFonts w:hint="default" w:eastAsia="Times New Roman" w:cs="Arial"/>
          <w:sz w:val="24"/>
          <w:szCs w:val="24"/>
          <w:lang w:val="en-US"/>
        </w:rPr>
        <w:t>8</w:t>
      </w:r>
      <w:r>
        <w:rPr>
          <w:rFonts w:hint="default" w:ascii="Arial" w:hAnsi="Arial" w:eastAsia="Times New Roman" w:cs="Arial"/>
          <w:sz w:val="24"/>
          <w:szCs w:val="24"/>
        </w:rPr>
        <w:t>% discount rate highlighting later receipts get discounted less heavily with the revised discount rate set at 8%. The recovery of that invested capital also ends up with a payback period around 4.5 years. The overall inflows are still above the initial investment by about £4 million in the last two years. However, Marriott is exposed to more risk because a big slice of the project’s value gives moderate returns to the later-period cash flows.</w:t>
      </w:r>
    </w:p>
    <w:p w14:paraId="0000004F">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Project B</w:t>
      </w:r>
    </w:p>
    <w:p w14:paraId="00000050">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Project B needs the same £50 million investment or gives a steady stream such as £11 million each year for five straight years, which totals £55 million in inflows. The payback period is roughly 4.55 years longer than Project A. Still, the advantage is predictability such as stable cash generation makes operational uncertainty feel smaller, and forecasting risk is reduced. Under an 8% discount rate, the present value of the future cash flows improves compared with the 10% case. Project B stands out as the least volatile option and it gives the strongest certainty in terms of cash flow among the alternatives.</w:t>
      </w:r>
    </w:p>
    <w:p w14:paraId="00000051">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Project C</w:t>
      </w:r>
    </w:p>
    <w:p w14:paraId="00000052">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Project C seems to churn out the biggest total cash inflows, around £65 million, which beats the initial outlay by roughly £15 million gives the fastest payback period of about 3.6 years. Projects A or B manage shows up in Year 3 and Year 4 with £20 million then £25 million which is the highest ARR and IRR of all the options. Looking at an 8% discount rate, Project C should land in the zone of a positive NPV, or at least close to break-even, so it feels financially sensible.</w:t>
      </w:r>
    </w:p>
    <w:p w14:paraId="00000053">
      <w:pPr>
        <w:pStyle w:val="3"/>
        <w:spacing w:after="240"/>
        <w:rPr>
          <w:rFonts w:hint="default" w:ascii="Arial" w:hAnsi="Arial" w:cs="Arial"/>
          <w:sz w:val="24"/>
          <w:szCs w:val="24"/>
        </w:rPr>
      </w:pPr>
      <w:bookmarkStart w:id="15" w:name="_Toc231843844"/>
      <w:r>
        <w:rPr>
          <w:rFonts w:hint="default" w:ascii="Arial" w:hAnsi="Arial" w:cs="Arial"/>
          <w:sz w:val="24"/>
          <w:szCs w:val="24"/>
        </w:rPr>
        <w:t>4.2 Recommendation</w:t>
      </w:r>
      <w:bookmarkEnd w:id="15"/>
      <w:r>
        <w:rPr>
          <w:rFonts w:hint="default" w:ascii="Arial" w:hAnsi="Arial" w:cs="Arial"/>
          <w:sz w:val="24"/>
          <w:szCs w:val="24"/>
        </w:rPr>
        <w:t xml:space="preserve"> </w:t>
      </w:r>
    </w:p>
    <w:p w14:paraId="00000054">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Recommended Project: Project C</w:t>
      </w:r>
    </w:p>
    <w:p w14:paraId="00000055">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On the basis of the investment appraisal results and Marriott International’s financial position, Project C is the recommended investment option. Out of the three alternatives, Project C produces the highest total cash inflows of about £65 million, while Project A is £54 million and Project B comes in around £55 million. It also gives the shortest payback period, roughly 3.6 years, so Marriott can recover the outlay sooner, and in turn improve liquidity. Plus, Project C shows the best ARR and IRR figures, which really points to stronger profitability headroom.</w:t>
      </w:r>
    </w:p>
    <w:p w14:paraId="00000056">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This call also lines up with Marriott’s broader financial performance. Revenue rose from $20.5 billion in 2021 up to $26.2 billion in 2025, and operating cash flow reached $3.2 billion in 2025, highlighting a solid cash generating ability that can back strategic investment. Even though the business is dealing with high leverage, plus negative working capital, Project C’s quicker cash turnaround helps reduce financing stress and supports tighter liquidity management.</w:t>
      </w:r>
    </w:p>
    <w:p w14:paraId="00000057">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From a non-financial angle, Project C looks more flexible, and it supports extra growth opportunities. Marriott’s global brand collection and its customer loyalty programme act like a dependable base for future cash inflows. Of course there are still risks from political instability, economic uncertainty, and changing travel habits, but the project’s stronger return setup gives a wider safety margin against outside disruptions (Oyasiji et al., 2023). Overall, Project C is most likely to maximise long-term shareholder value and, at the same time, support Marriott’s growth strategy.</w:t>
      </w:r>
    </w:p>
    <w:p w14:paraId="00000058">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Why Project A and Project B Are Not Recommended </w:t>
      </w:r>
    </w:p>
    <w:p w14:paraId="00000059">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Project A isn’t really recommended, because somehow it ends up with the lowest overall investment performance across the three options. Even though the total cash inflows do reach £54 million, the project still shows weaker profitability, and a more fragile return profile than Project C. The payback period comes in at roughly 4.5 years, which is on the long side so Marriott would basically have to wait longer to recover the outlay (Puchakayala, 2022). Also, the cash inflows drop in the last years, so there is more uncertainty about long-term value creation. Given Marriott’s current debt load, and the liquidity limits, management should lean toward projects that produce stronger, quicker cash returns, not the other way around.</w:t>
      </w:r>
    </w:p>
    <w:p w14:paraId="0000005A">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Project B is not recommended either, even if it looks steadier at first with stable annual cash inflows of £11 million. Sure, predictable cash flows can reduce operational risk, but the project does not bring much growth potential, and it ends up creating less overall value than Project C. It’s payback period is about 4.55 years, and that is actually the longest of the three, so it delays cash recovery and makes financial flexibility feel tighter (Olayinka, 2022). The smooth, uniform cash-flow pattern might sound appealing for risk-control reasons; however, it does not generate enough return to justify tying up scarce investment capital.</w:t>
      </w:r>
    </w:p>
    <w:p w14:paraId="0000005B">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As Marriott keeps dealing with rising debt levels, higher interest expenses, and competitive pressures in hospitality, investment decisions should favor projects with the strongest profitability and the biggest strategic impact. Compared with Projects A and B, Project C delivers better financial results, faster capital recovery, and more room to increase shareholder wealth. </w:t>
      </w:r>
    </w:p>
    <w:p w14:paraId="0000005C">
      <w:pPr>
        <w:pStyle w:val="3"/>
        <w:spacing w:after="240"/>
        <w:rPr>
          <w:rFonts w:hint="default" w:ascii="Arial" w:hAnsi="Arial" w:cs="Arial"/>
          <w:sz w:val="24"/>
          <w:szCs w:val="24"/>
        </w:rPr>
      </w:pPr>
      <w:bookmarkStart w:id="16" w:name="_Toc231843845"/>
      <w:r>
        <w:rPr>
          <w:rFonts w:hint="default" w:ascii="Arial" w:hAnsi="Arial" w:cs="Arial"/>
          <w:sz w:val="24"/>
          <w:szCs w:val="24"/>
        </w:rPr>
        <w:t>4.3 Assumption</w:t>
      </w:r>
      <w:bookmarkEnd w:id="16"/>
      <w:r>
        <w:rPr>
          <w:rFonts w:hint="default" w:ascii="Arial" w:hAnsi="Arial" w:cs="Arial"/>
          <w:sz w:val="24"/>
          <w:szCs w:val="24"/>
        </w:rPr>
        <w:t xml:space="preserve"> </w:t>
      </w:r>
    </w:p>
    <w:p w14:paraId="0000005D">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Best Combination of Projects under a £100 Million Investment Limit</w:t>
      </w:r>
    </w:p>
    <w:p w14:paraId="0000005E">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So, with a capital budget of £100 million, and each investment requiring about £50 million, Marriott can only really squeeze in two projects. Looking at the appraisal outcomes, plus the revised 8% discount rate, the best pairing comes out as Project B and Project C, kinda like the most sensible fit in the end.</w:t>
      </w:r>
    </w:p>
    <w:p w14:paraId="0000005F">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Project C is the one to go for first because it has the strongest overall financial result, you know including the shortest payback period, which comes in at 3.6 years, it also has the highest ARR and the highest IRR among the options (Arjunan, 2022). Using that 8% discount rate, the estimated NPV for Project C is around £0.86 million positive so it seems to add shareholder value. Also, Project C brings total cash inflows of £65 million, that’s the biggest figure across the choices, so cash generation is really the highlight here.</w:t>
      </w:r>
    </w:p>
    <w:p w14:paraId="00000060">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Then Project B works well as the second investment because it gives stable annual cash inflows of £11 million per year. That steadier inflow pattern helps lower earnings volatility and makes cash generation more predictable (Tarighi et al., 2024). At the 8% discount rate, Project B’s NPV is less negative than Project A, so in simple terms it’s financially stronger even if it doesn’t beat C. Put together, Projects B and C offer a blend, growth plus steadiness, while also spreading cash-flow risk.</w:t>
      </w:r>
    </w:p>
    <w:p w14:paraId="00000061">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combined NPV of Projects B and C beats the alternative routes that involve Project A. So, investing the full £100 million into Projects B and C would maximise value creation, while still keeping the right mix of profitability, liquidity support, and risk management without going overboard.</w:t>
      </w:r>
    </w:p>
    <w:p w14:paraId="00000062">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Justification Using Capital Rationing</w:t>
      </w:r>
    </w:p>
    <w:p w14:paraId="00000063">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Capital rationing happens when a company kinda has limited funds to invest, so it has to pick projects that, in the end, maximise shareholder wealth using only what the budget lets it have. In Marriott’s case, there is a capital limit of £100 million which means it cannot put money into all three projects at once, because together they need £150 million.</w:t>
      </w:r>
    </w:p>
    <w:p w14:paraId="00000064">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usual idea is to sort the options by how much value they can create, and this is often done using NPV and other profitability-style measures with capital rationing. Project C comes out on top, mainly because it is the one with the strongest returns and it’s also the only project that’s expected to deliver a positive NPV when you apply the revised 8% discount rate. Then, when you compare Projects A and B, Project B looks better, since it offers a higher IRR, better cash-flow steadiness, and its NPV is less negative than Project A’s.</w:t>
      </w:r>
    </w:p>
    <w:p w14:paraId="00000065">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So, the best use of the limited capital is Projects B and C that totals exactly £100 million. This mix should maximise what Marriott can earn from the £100 million investment pot, while still backing the goal of stronger long-term shareholder value, but also keeping financial risk in check (Sandberg, Alnoor, &amp; Tiberius, 2023).</w:t>
      </w:r>
    </w:p>
    <w:p w14:paraId="00000066">
      <w:pPr>
        <w:pStyle w:val="2"/>
        <w:spacing w:after="240"/>
        <w:rPr>
          <w:rFonts w:hint="default" w:ascii="Arial" w:hAnsi="Arial" w:cs="Arial"/>
          <w:sz w:val="24"/>
          <w:szCs w:val="24"/>
        </w:rPr>
      </w:pPr>
      <w:bookmarkStart w:id="17" w:name="_Toc231843846"/>
      <w:r>
        <w:rPr>
          <w:rFonts w:hint="default" w:ascii="Arial" w:hAnsi="Arial" w:cs="Arial"/>
          <w:sz w:val="24"/>
          <w:szCs w:val="24"/>
        </w:rPr>
        <w:t>5. Critical Reflection on AI Usage</w:t>
      </w:r>
      <w:bookmarkEnd w:id="17"/>
    </w:p>
    <w:p w14:paraId="00000067">
      <w:pPr>
        <w:pStyle w:val="3"/>
        <w:spacing w:after="240"/>
        <w:rPr>
          <w:rFonts w:hint="default" w:ascii="Arial" w:hAnsi="Arial" w:cs="Arial"/>
          <w:sz w:val="24"/>
          <w:szCs w:val="24"/>
        </w:rPr>
      </w:pPr>
      <w:bookmarkStart w:id="18" w:name="_Toc231843847"/>
      <w:r>
        <w:rPr>
          <w:rFonts w:hint="default" w:ascii="Arial" w:hAnsi="Arial" w:cs="Arial"/>
          <w:sz w:val="24"/>
          <w:szCs w:val="24"/>
        </w:rPr>
        <w:t>a. Tool Disclosure</w:t>
      </w:r>
      <w:bookmarkEnd w:id="18"/>
    </w:p>
    <w:p w14:paraId="00000068">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creating ratio calculation and describing investment appraisal approaches so, the AI tool such as ChatGPT by OpenAI helped in getting several financial concepts which improve the academic written parts (Bryant, and Mukherjee, 2023). As required under the AI Use Acknowledgement rules, anything generated with AI was checked again, edited where needed, and validated before it was included here (Puchakayala, 2022). So overall the AI tool was treated as a helpful support thing rather than a replacement for independent financial analysis and professional judgement.</w:t>
      </w:r>
    </w:p>
    <w:p w14:paraId="00000069">
      <w:pPr>
        <w:pStyle w:val="3"/>
        <w:spacing w:after="240"/>
        <w:rPr>
          <w:rFonts w:hint="default" w:ascii="Arial" w:hAnsi="Arial" w:cs="Arial"/>
          <w:sz w:val="24"/>
          <w:szCs w:val="24"/>
        </w:rPr>
      </w:pPr>
      <w:bookmarkStart w:id="19" w:name="_Toc231843848"/>
      <w:r>
        <w:rPr>
          <w:rFonts w:hint="default" w:ascii="Arial" w:hAnsi="Arial" w:cs="Arial"/>
          <w:sz w:val="24"/>
          <w:szCs w:val="24"/>
        </w:rPr>
        <w:t>b. Critical Evaluation of AI Output</w:t>
      </w:r>
      <w:bookmarkEnd w:id="19"/>
    </w:p>
    <w:p w14:paraId="0000006A">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Marriott International’s financial statements such as financial ratios, investment appraisal findings, and working capital computations were also re-done independently using Microsoft Excel, just to keep everything consistent and correct. If any AI-generated interpretations seemed not to match the underlying financial data, more verification was carried out by referring to annual report disclosures and related academic literature. Any possible hallucinations, or unclear claims, were spotted by cross checking numbers, checking formula use, and reviewing financial conclusions. For instance, if investment appraisal measures like the profitability index and the accounting rate of return looked off, those were rechecked and corrected with manual calculations.</w:t>
      </w:r>
    </w:p>
    <w:p w14:paraId="0000006B">
      <w:pPr>
        <w:pStyle w:val="3"/>
        <w:spacing w:after="240"/>
        <w:rPr>
          <w:rFonts w:hint="default" w:ascii="Arial" w:hAnsi="Arial" w:cs="Arial"/>
          <w:sz w:val="24"/>
          <w:szCs w:val="24"/>
        </w:rPr>
      </w:pPr>
      <w:bookmarkStart w:id="20" w:name="_Toc231843849"/>
      <w:r>
        <w:rPr>
          <w:rFonts w:hint="default" w:ascii="Arial" w:hAnsi="Arial" w:cs="Arial"/>
          <w:sz w:val="24"/>
          <w:szCs w:val="24"/>
        </w:rPr>
        <w:t>c. Contribution Analysis</w:t>
      </w:r>
      <w:bookmarkEnd w:id="20"/>
    </w:p>
    <w:p w14:paraId="0000006C">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AI helped with setting up calculation templates, ratio analysis layouts, investment appraisal frameworks, and those first narrative explanations. Still, the choosing of Marriott International, pulling out the financial data, reading the trend signals, comparing against industry rivals, shaping the strategic recommendations were handled on its own, independently. The tough review of liquidity hurdles, capital structure tensions, working capital reforms, restructuring options, and the project selection calls showed original judgement, based on actual financial evidence and academic principles. The final report needed a lot of human input, just to double-check calculations, sharpen interpretations, connect the findings to real-world business context, and make sure the recommendations aligned with Marriott’s strategic targets. </w:t>
      </w:r>
    </w:p>
    <w:p w14:paraId="0000006D">
      <w:pPr>
        <w:pStyle w:val="3"/>
        <w:spacing w:after="240"/>
        <w:rPr>
          <w:rFonts w:hint="default" w:ascii="Arial" w:hAnsi="Arial" w:cs="Arial"/>
          <w:sz w:val="24"/>
          <w:szCs w:val="24"/>
        </w:rPr>
      </w:pPr>
      <w:bookmarkStart w:id="21" w:name="_Toc231843850"/>
      <w:r>
        <w:rPr>
          <w:rFonts w:hint="default" w:ascii="Arial" w:hAnsi="Arial" w:cs="Arial"/>
          <w:sz w:val="24"/>
          <w:szCs w:val="24"/>
        </w:rPr>
        <w:t>d. Ethical &amp; Professional Reflection</w:t>
      </w:r>
      <w:bookmarkEnd w:id="21"/>
    </w:p>
    <w:p w14:paraId="0000006E">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Using AI in financial analysis brings big benefits but also brings up ethical and professional worries, not just in theory. For one, transparency really matters, meaning there should be a clear disclosure about when AI helped, so academic and work integrity doesn’t get questioned (Puchakayala, 2022). Then there is data privacy, which can be a deal-breaker, especially if someone is working with confidential corporate or client material. That kind of data shouldn’t get typed into open AI systems, not without solid safeguards in place. Also, too much dependence on AI can lead to bad outcomes, because the models can spit out a tempting but wrong interpretation (Oyasiji et al., 2023).  So, AI should be seen as a decision-support to help the final decision-maker, using critical thinking, and staying within ethical standards so the analysis ends up more reliable and trustworthy.</w:t>
      </w:r>
    </w:p>
    <w:p w14:paraId="35DC07C2">
      <w:pPr>
        <w:pStyle w:val="2"/>
        <w:spacing w:after="240"/>
        <w:rPr>
          <w:rFonts w:hint="default" w:ascii="Arial" w:hAnsi="Arial" w:cs="Arial"/>
          <w:sz w:val="24"/>
          <w:szCs w:val="24"/>
        </w:rPr>
      </w:pPr>
      <w:bookmarkStart w:id="22" w:name="_Toc231843851"/>
    </w:p>
    <w:p w14:paraId="79D7DD75">
      <w:pPr>
        <w:rPr>
          <w:rFonts w:hint="default"/>
        </w:rPr>
      </w:pPr>
    </w:p>
    <w:p w14:paraId="0000006F">
      <w:pPr>
        <w:pStyle w:val="2"/>
        <w:spacing w:after="240"/>
        <w:rPr>
          <w:rFonts w:hint="default" w:ascii="Arial" w:hAnsi="Arial" w:cs="Arial"/>
          <w:sz w:val="24"/>
          <w:szCs w:val="24"/>
        </w:rPr>
      </w:pPr>
      <w:r>
        <w:rPr>
          <w:rFonts w:hint="default" w:ascii="Arial" w:hAnsi="Arial" w:cs="Arial"/>
          <w:sz w:val="24"/>
          <w:szCs w:val="24"/>
        </w:rPr>
        <w:t>Conclusion</w:t>
      </w:r>
      <w:bookmarkEnd w:id="22"/>
      <w:r>
        <w:rPr>
          <w:rFonts w:hint="default" w:ascii="Arial" w:hAnsi="Arial" w:cs="Arial"/>
          <w:sz w:val="24"/>
          <w:szCs w:val="24"/>
        </w:rPr>
        <w:t xml:space="preserve"> </w:t>
      </w:r>
    </w:p>
    <w:p w14:paraId="00000070">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 analysis shows that Marriott International has been doing well financially, from 2021 to 2025, even with all the noise around travel. Also, it can see through steady revenue growth, solid cash from operations and also this effective, operational know-how that keeps things running smoothly. Revenue went up from about $20.5 billion in 2021 to roughly $26.2 billion in 2025, which basically lines up with global travel coming back, plus it fits with the company’s asset light business style working as intended. Profitability stayed in good shape even though financing costs kept climbing, and leverage also increased. Strong cash generation and steady efficiency measures suggest that management is staying on top of day-to-day operations, and also the receivables’ part.</w:t>
      </w:r>
    </w:p>
    <w:p w14:paraId="00000071">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There are some headaches that need management attention. Liquidity looks relatively weak, mainly because working capital is negative, and the current ratio plus cash ratio aren’t particularly strong. Also, debt has grown, and interest expenses are higher now, so the overall financial risk has gone up. Over time this also interests coverage and recommends tightening working capital control, selectively selling off non-core assets, keeping the financing mix balanced, and maybe using equity-oriented steps to boost financial flexibility.</w:t>
      </w:r>
    </w:p>
    <w:p w14:paraId="00000072">
      <w:pPr>
        <w:spacing w:after="240" w:line="360" w:lineRule="auto"/>
        <w:jc w:val="both"/>
        <w:rPr>
          <w:rFonts w:hint="default" w:ascii="Arial" w:hAnsi="Arial" w:eastAsia="Times New Roman" w:cs="Arial"/>
          <w:sz w:val="24"/>
          <w:szCs w:val="24"/>
        </w:rPr>
      </w:pPr>
      <w:r>
        <w:rPr>
          <w:rFonts w:hint="default" w:ascii="Arial" w:hAnsi="Arial" w:eastAsia="Times New Roman" w:cs="Arial"/>
          <w:sz w:val="24"/>
          <w:szCs w:val="24"/>
        </w:rPr>
        <w:t>Now for the investment options that were reviewed, Project C seems like the best single pick, because it brings higher profitability and gets capital back faster. Under capital rationing limits, the Projects B plus C pairing is the most effective way to place the investment funds. Overall, Marriott still looks financially resilient, and pretty well set up for sustained growth, but only if liquidity management and leverage worries are monitored, and controlled on purpose.</w:t>
      </w:r>
    </w:p>
    <w:p w14:paraId="249CAB68">
      <w:pPr>
        <w:spacing w:after="240" w:line="360" w:lineRule="auto"/>
        <w:rPr>
          <w:rFonts w:hint="default" w:ascii="Arial" w:hAnsi="Arial" w:eastAsia="Times New Roman" w:cs="Arial"/>
          <w:sz w:val="24"/>
          <w:szCs w:val="24"/>
        </w:rPr>
      </w:pPr>
      <w:r>
        <w:rPr>
          <w:rFonts w:hint="default" w:ascii="Arial" w:hAnsi="Arial" w:eastAsia="Times New Roman" w:cs="Arial"/>
          <w:sz w:val="24"/>
          <w:szCs w:val="24"/>
        </w:rPr>
        <w:br w:type="page"/>
      </w:r>
    </w:p>
    <w:p w14:paraId="19E04D0D">
      <w:pPr>
        <w:pStyle w:val="2"/>
        <w:spacing w:after="240"/>
        <w:rPr>
          <w:rFonts w:hint="default" w:ascii="Arial" w:hAnsi="Arial" w:cs="Arial"/>
          <w:sz w:val="24"/>
          <w:szCs w:val="24"/>
        </w:rPr>
      </w:pPr>
      <w:bookmarkStart w:id="23" w:name="_Toc231843852"/>
      <w:r>
        <w:rPr>
          <w:rFonts w:hint="default" w:ascii="Arial" w:hAnsi="Arial" w:cs="Arial"/>
          <w:sz w:val="24"/>
          <w:szCs w:val="24"/>
        </w:rPr>
        <w:t>References</w:t>
      </w:r>
      <w:bookmarkEnd w:id="23"/>
      <w:r>
        <w:rPr>
          <w:rFonts w:hint="default" w:ascii="Arial" w:hAnsi="Arial" w:cs="Arial"/>
          <w:sz w:val="24"/>
          <w:szCs w:val="24"/>
        </w:rPr>
        <w:t xml:space="preserve"> </w:t>
      </w:r>
    </w:p>
    <w:p w14:paraId="22CEC705">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Abdallah, A.A., Alshehadeh, A.R. and El Qirem, I.A., 2025. The impact of operating cash flows on IT investment and profitability in commercial banks. </w:t>
      </w:r>
      <w:r>
        <w:rPr>
          <w:rFonts w:hint="default" w:ascii="Arial" w:hAnsi="Arial" w:eastAsia="Times New Roman" w:cs="Arial"/>
          <w:i/>
          <w:iCs/>
          <w:sz w:val="24"/>
          <w:szCs w:val="24"/>
          <w:lang w:val="en-US"/>
        </w:rPr>
        <w:t>Qual Access Success</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26</w:t>
      </w:r>
      <w:r>
        <w:rPr>
          <w:rFonts w:hint="default" w:ascii="Arial" w:hAnsi="Arial" w:eastAsia="Times New Roman" w:cs="Arial"/>
          <w:sz w:val="24"/>
          <w:szCs w:val="24"/>
          <w:lang w:val="en-US"/>
        </w:rPr>
        <w:t xml:space="preserve">, pp.345-354.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Abdul-Razzak-Alshehadeh/publication/390407034_The_Impact_of_Operating_Cash_Flows_on_IT_Investment_and_Profitability_in_Commercial_Banks/links/67eccc11e8041142a15de006/The-Impact-of-Operating-Cash-Flows-on-IT-Investment-and-Profitability-in-Commercial-Banks.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researchgate.net/profile/Abdul-Razzak-Alshehadeh/publication/390407034_The_Impact_of_Operating_Cash_Flows_on_IT_Investment_and_Profitability_in_Commercial_Banks/links/67eccc11e8041142a15de006/The-Impact-of-Operating-Cash-Flows-on-IT-Investment-and-Profitability-in-Commercial-Banks.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71B5BD04">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Arjunan, K., 2022. A new method to estimate NPV and IRR from the capital amortization schedule and the advantages of the new method. </w:t>
      </w:r>
      <w:r>
        <w:rPr>
          <w:rFonts w:hint="default" w:ascii="Arial" w:hAnsi="Arial" w:eastAsia="Times New Roman" w:cs="Arial"/>
          <w:i/>
          <w:iCs/>
          <w:sz w:val="24"/>
          <w:szCs w:val="24"/>
          <w:lang w:val="en-US"/>
        </w:rPr>
        <w:t>Australasian Accounting, Business and Finance Journal</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16</w:t>
      </w:r>
      <w:r>
        <w:rPr>
          <w:rFonts w:hint="default" w:ascii="Arial" w:hAnsi="Arial" w:eastAsia="Times New Roman" w:cs="Arial"/>
          <w:sz w:val="24"/>
          <w:szCs w:val="24"/>
          <w:lang w:val="en-US"/>
        </w:rPr>
        <w:t xml:space="preserve">(6).  </w:t>
      </w:r>
      <w:r>
        <w:rPr>
          <w:rFonts w:hint="default" w:ascii="Arial" w:hAnsi="Arial" w:cs="Arial"/>
          <w:sz w:val="24"/>
          <w:szCs w:val="24"/>
        </w:rPr>
        <w:fldChar w:fldCharType="begin"/>
      </w:r>
      <w:r>
        <w:rPr>
          <w:rFonts w:hint="default" w:ascii="Arial" w:hAnsi="Arial" w:cs="Arial"/>
          <w:sz w:val="24"/>
          <w:szCs w:val="24"/>
        </w:rPr>
        <w:instrText xml:space="preserve"> HYPERLINK "https://www.uowoajournals.org/aabfj/article/id/941/download/pdf/"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https://www.uowoajournals.org/aabfj/article/id/941/download/pdf/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6421371D">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Binsaddig, R., Ali, A., Al-Alkawi, T. and Ali, B.J., 2023. Inventory Turnover, accounts receivable turnover, and manufacturing profitability: an empirical study. </w:t>
      </w:r>
      <w:r>
        <w:rPr>
          <w:rFonts w:hint="default" w:ascii="Arial" w:hAnsi="Arial" w:eastAsia="Times New Roman" w:cs="Arial"/>
          <w:i/>
          <w:iCs/>
          <w:sz w:val="24"/>
          <w:szCs w:val="24"/>
          <w:lang w:val="en-US"/>
        </w:rPr>
        <w:t>International Journal of Economics and Finance Studies</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15</w:t>
      </w:r>
      <w:r>
        <w:rPr>
          <w:rFonts w:hint="default" w:ascii="Arial" w:hAnsi="Arial" w:eastAsia="Times New Roman" w:cs="Arial"/>
          <w:sz w:val="24"/>
          <w:szCs w:val="24"/>
          <w:lang w:val="en-US"/>
        </w:rPr>
        <w:t xml:space="preserve">(1), pp.1-16. </w:t>
      </w:r>
      <w:r>
        <w:rPr>
          <w:rFonts w:hint="default" w:ascii="Arial" w:hAnsi="Arial" w:cs="Arial"/>
          <w:sz w:val="24"/>
          <w:szCs w:val="24"/>
        </w:rPr>
        <w:fldChar w:fldCharType="begin"/>
      </w:r>
      <w:r>
        <w:rPr>
          <w:rFonts w:hint="default" w:ascii="Arial" w:hAnsi="Arial" w:cs="Arial"/>
          <w:sz w:val="24"/>
          <w:szCs w:val="24"/>
        </w:rPr>
        <w:instrText xml:space="preserve"> HYPERLINK "https://sobiad.org/menuscript/index.php/ijefs/article/download/1394/314"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https://sobiad.org/menuscript/index.php/ijefs/article/download/1394/314</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694C4CB1">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Blessing, M., 2025. The influence of interest rate changes on the leverage–profitability relationship in retail firms. </w:t>
      </w:r>
      <w:r>
        <w:rPr>
          <w:rFonts w:hint="default" w:ascii="Arial" w:hAnsi="Arial" w:eastAsia="Times New Roman" w:cs="Arial"/>
          <w:i/>
          <w:iCs/>
          <w:sz w:val="24"/>
          <w:szCs w:val="24"/>
          <w:lang w:val="en-US"/>
        </w:rPr>
        <w:t>London, UK: University</w:t>
      </w:r>
      <w:r>
        <w:rPr>
          <w:rFonts w:hint="default" w:ascii="Arial" w:hAnsi="Arial" w:eastAsia="Times New Roman" w:cs="Arial"/>
          <w:sz w:val="24"/>
          <w:szCs w:val="24"/>
          <w:lang w:val="en-US"/>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Chidiebere-Joshua/publication/394029018_The_Influence_of_Interest_Rate_Changes_on_the_Leverage-_Profitability_Relationship_in_Retail_Firms/links/68851772078693798454d9db/The-Influence-of-Interest-Rate-Changes-on-the-Leverage-Profitability-Relationship-in-Retail-Firms.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researchgate.net/profile/Chidiebere-Joshua/publication/394029018_The_Influence_of_Interest_Rate_Changes_on_the_Leverage-_Profitability_Relationship_in_Retail_Firms/links/68851772078693798454d9db/The-Influence-of-Interest-Rate-Changes-on-the-Leverage-Profitability-Relationship-in-Retail-Firms.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2F27177D">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Bonaimé, A. and Kahle, K., 2024. Share repurchases. </w:t>
      </w:r>
      <w:r>
        <w:rPr>
          <w:rFonts w:hint="default" w:ascii="Arial" w:hAnsi="Arial" w:eastAsia="Times New Roman" w:cs="Arial"/>
          <w:i/>
          <w:iCs/>
          <w:sz w:val="24"/>
          <w:szCs w:val="24"/>
          <w:lang w:val="en-US"/>
        </w:rPr>
        <w:t>Handbook of corporate finance</w:t>
      </w:r>
      <w:r>
        <w:rPr>
          <w:rFonts w:hint="default" w:ascii="Arial" w:hAnsi="Arial" w:eastAsia="Times New Roman" w:cs="Arial"/>
          <w:sz w:val="24"/>
          <w:szCs w:val="24"/>
          <w:lang w:val="en-US"/>
        </w:rPr>
        <w:t xml:space="preserve">, pp.176-222. </w:t>
      </w:r>
      <w:r>
        <w:rPr>
          <w:rFonts w:hint="default" w:ascii="Arial" w:hAnsi="Arial" w:cs="Arial"/>
          <w:sz w:val="24"/>
          <w:szCs w:val="24"/>
        </w:rPr>
        <w:fldChar w:fldCharType="begin"/>
      </w:r>
      <w:r>
        <w:rPr>
          <w:rFonts w:hint="default" w:ascii="Arial" w:hAnsi="Arial" w:cs="Arial"/>
          <w:sz w:val="24"/>
          <w:szCs w:val="24"/>
        </w:rPr>
        <w:instrText xml:space="preserve"> HYPERLINK "https://papers.ssrn.com/sol3/Delivery.cfm?abstractid=4074962"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https://papers.ssrn.com/sol3/Delivery.cfm?abstractid=4074962</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09BCF38D">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Bryant, J. and Mukherjee, A., 2023. </w:t>
      </w:r>
      <w:r>
        <w:rPr>
          <w:rFonts w:hint="default" w:ascii="Arial" w:hAnsi="Arial" w:eastAsia="Times New Roman" w:cs="Arial"/>
          <w:i/>
          <w:iCs/>
          <w:sz w:val="24"/>
          <w:szCs w:val="24"/>
          <w:lang w:val="en-US"/>
        </w:rPr>
        <w:t>The future of finance with ChatGPT and power BI: Transform your trading, investing, and financial reporting with ChatGPT and power BI</w:t>
      </w:r>
      <w:r>
        <w:rPr>
          <w:rFonts w:hint="default" w:ascii="Arial" w:hAnsi="Arial" w:eastAsia="Times New Roman" w:cs="Arial"/>
          <w:sz w:val="24"/>
          <w:szCs w:val="24"/>
          <w:lang w:val="en-US"/>
        </w:rPr>
        <w:t xml:space="preserve">. Packt Publishing Ltd. </w:t>
      </w:r>
      <w:r>
        <w:rPr>
          <w:rFonts w:hint="default" w:ascii="Arial" w:hAnsi="Arial" w:cs="Arial"/>
          <w:sz w:val="24"/>
          <w:szCs w:val="24"/>
        </w:rPr>
        <w:fldChar w:fldCharType="begin"/>
      </w:r>
      <w:r>
        <w:rPr>
          <w:rFonts w:hint="default" w:ascii="Arial" w:hAnsi="Arial" w:cs="Arial"/>
          <w:sz w:val="24"/>
          <w:szCs w:val="24"/>
        </w:rPr>
        <w:instrText xml:space="preserve"> HYPERLINK "https://books.google.com/books?hl=en&amp;lr=&amp;id=nufnEAAAQBAJ&amp;oi=fnd&amp;pg=PP1&amp;dq=AI+tool+helped+in+getting+the+report+sections+organised,+summarising+several+financial+concepts,+creating+ratio+calculation+templates,+describing+investment+appraisal+approaches&amp;ots=E_wbeRKxwf&amp;sig=eflDODdaNFm0iPJ7xlbCBj5irHM"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books.google.com/books?hl=en&amp;lr=&amp;id=nufnEAAAQBAJ&amp;oi=fnd&amp;pg=PP1&amp;dq=AI+tool+helped+in+getting+the+report+sections+organised,+summarising+several+financial+concepts,+creating+ratio+calculation+templates,+describing+investment+appraisal+approaches&amp;ots=E_wbeRKxwf&amp;sig=eflDODdaNFm0iPJ7xlbCBj5irHM</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30D8133C">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Choudhary, M.A. and Limodio, N., 2022. Liquidity risk and long-term finance: Evidence from a natural experiment. </w:t>
      </w:r>
      <w:r>
        <w:rPr>
          <w:rFonts w:hint="default" w:ascii="Arial" w:hAnsi="Arial" w:eastAsia="Times New Roman" w:cs="Arial"/>
          <w:i/>
          <w:iCs/>
          <w:sz w:val="24"/>
          <w:szCs w:val="24"/>
          <w:lang w:val="en-US"/>
        </w:rPr>
        <w:t>The Review of Economic Studies</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89</w:t>
      </w:r>
      <w:r>
        <w:rPr>
          <w:rFonts w:hint="default" w:ascii="Arial" w:hAnsi="Arial" w:eastAsia="Times New Roman" w:cs="Arial"/>
          <w:sz w:val="24"/>
          <w:szCs w:val="24"/>
          <w:lang w:val="en-US"/>
        </w:rPr>
        <w:t xml:space="preserve">(3), pp.1278-1313. </w:t>
      </w:r>
      <w:r>
        <w:rPr>
          <w:rFonts w:hint="default" w:ascii="Arial" w:hAnsi="Arial" w:cs="Arial"/>
          <w:sz w:val="24"/>
          <w:szCs w:val="24"/>
        </w:rPr>
        <w:fldChar w:fldCharType="begin"/>
      </w:r>
      <w:r>
        <w:rPr>
          <w:rFonts w:hint="default" w:ascii="Arial" w:hAnsi="Arial" w:cs="Arial"/>
          <w:sz w:val="24"/>
          <w:szCs w:val="24"/>
        </w:rPr>
        <w:instrText xml:space="preserve"> HYPERLINK "https://repository.lboro.ac.uk/articles/journal_contribution/Liquidity_risk_and_long-term_finance_evidence_from_a_natural_experiment/22547878/1/files/40011592.pdf"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https://repository.lboro.ac.uk/articles/journal_contribution/Liquidity_risk_and_long-term_finance_evidence_from_a_natural_experiment/22547878/1/files/40011592.pdf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6C66A250">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Dabboussi, M., 2024. Does debt structure explain the relationship between agency cost of free cash flow and dividend payment? Evidence from Saudi Arabia. </w:t>
      </w:r>
      <w:r>
        <w:rPr>
          <w:rFonts w:hint="default" w:ascii="Arial" w:hAnsi="Arial" w:eastAsia="Times New Roman" w:cs="Arial"/>
          <w:i/>
          <w:iCs/>
          <w:sz w:val="24"/>
          <w:szCs w:val="24"/>
          <w:lang w:val="en-US"/>
        </w:rPr>
        <w:t>Journal of Risk and Financial Management</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17</w:t>
      </w:r>
      <w:r>
        <w:rPr>
          <w:rFonts w:hint="default" w:ascii="Arial" w:hAnsi="Arial" w:eastAsia="Times New Roman" w:cs="Arial"/>
          <w:sz w:val="24"/>
          <w:szCs w:val="24"/>
          <w:lang w:val="en-US"/>
        </w:rPr>
        <w:t xml:space="preserve">(6), p.223. </w:t>
      </w:r>
      <w:r>
        <w:rPr>
          <w:rFonts w:hint="default" w:ascii="Arial" w:hAnsi="Arial" w:cs="Arial"/>
          <w:sz w:val="24"/>
          <w:szCs w:val="24"/>
        </w:rPr>
        <w:fldChar w:fldCharType="begin"/>
      </w:r>
      <w:r>
        <w:rPr>
          <w:rFonts w:hint="default" w:ascii="Arial" w:hAnsi="Arial" w:cs="Arial"/>
          <w:sz w:val="24"/>
          <w:szCs w:val="24"/>
        </w:rPr>
        <w:instrText xml:space="preserve"> HYPERLINK "https://www.mdpi.com/1911-8074/17/6/223"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https://www.mdpi.com/1911-8074/17/6/223</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386DB5C6">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Domina, M., 2024. </w:t>
      </w:r>
      <w:r>
        <w:rPr>
          <w:rFonts w:hint="default" w:ascii="Arial" w:hAnsi="Arial" w:eastAsia="Times New Roman" w:cs="Arial"/>
          <w:i/>
          <w:iCs/>
          <w:sz w:val="24"/>
          <w:szCs w:val="24"/>
          <w:lang w:val="en-US"/>
        </w:rPr>
        <w:t>Corporate Social Responsibility in Times of Geopolitical Uncertainty: A Critical Analysis of the European Approach</w:t>
      </w:r>
      <w:r>
        <w:rPr>
          <w:rFonts w:hint="default" w:ascii="Arial" w:hAnsi="Arial" w:eastAsia="Times New Roman" w:cs="Arial"/>
          <w:sz w:val="24"/>
          <w:szCs w:val="24"/>
          <w:lang w:val="en-US"/>
        </w:rPr>
        <w:t xml:space="preserve">. Ethics International Press. </w:t>
      </w:r>
      <w:r>
        <w:rPr>
          <w:rFonts w:hint="default" w:ascii="Arial" w:hAnsi="Arial" w:cs="Arial"/>
          <w:sz w:val="24"/>
          <w:szCs w:val="24"/>
        </w:rPr>
        <w:fldChar w:fldCharType="begin"/>
      </w:r>
      <w:r>
        <w:rPr>
          <w:rFonts w:hint="default" w:ascii="Arial" w:hAnsi="Arial" w:cs="Arial"/>
          <w:sz w:val="24"/>
          <w:szCs w:val="24"/>
        </w:rPr>
        <w:instrText xml:space="preserve"> HYPERLINK "https://eipcontents.s3.eu-north-1.amazonaws.com/master/samples/978-1-80441-611-2.pdf"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https://eipcontents.s3.eu-north-1.amazonaws.com/master/samples/978-1-80441-611-2.pdf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63E3372F">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George, A., 2024. Netherlands: SNS Reaal Restructuring, 2013. </w:t>
      </w:r>
      <w:r>
        <w:rPr>
          <w:rFonts w:hint="default" w:ascii="Arial" w:hAnsi="Arial" w:eastAsia="Times New Roman" w:cs="Arial"/>
          <w:i/>
          <w:iCs/>
          <w:sz w:val="24"/>
          <w:szCs w:val="24"/>
          <w:lang w:val="en-US"/>
        </w:rPr>
        <w:t>Journal of Financial Crises</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6</w:t>
      </w:r>
      <w:r>
        <w:rPr>
          <w:rFonts w:hint="default" w:ascii="Arial" w:hAnsi="Arial" w:eastAsia="Times New Roman" w:cs="Arial"/>
          <w:sz w:val="24"/>
          <w:szCs w:val="24"/>
          <w:lang w:val="en-US"/>
        </w:rPr>
        <w:t xml:space="preserve">(1), pp.411-435.  </w:t>
      </w:r>
      <w:r>
        <w:rPr>
          <w:rFonts w:hint="default" w:ascii="Arial" w:hAnsi="Arial" w:cs="Arial"/>
          <w:sz w:val="24"/>
          <w:szCs w:val="24"/>
        </w:rPr>
        <w:fldChar w:fldCharType="begin"/>
      </w:r>
      <w:r>
        <w:rPr>
          <w:rFonts w:hint="default" w:ascii="Arial" w:hAnsi="Arial" w:cs="Arial"/>
          <w:sz w:val="24"/>
          <w:szCs w:val="24"/>
        </w:rPr>
        <w:instrText xml:space="preserve"> HYPERLINK "https://elischolar.library.yale.edu/cgi/viewcontent.cgi?article=1543&amp;context=journal-of-financial-crises"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https://elischolar.library.yale.edu/cgi/viewcontent.cgi?article=1543&amp;context=journal-of-financial-crises</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1EC8E024">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Hempel, S., Li, Y. and Tibay, S., 2024. Firms' financing choice between short-term and long-term debts: Are they substitutes?. </w:t>
      </w:r>
      <w:r>
        <w:rPr>
          <w:rFonts w:hint="default" w:ascii="Arial" w:hAnsi="Arial" w:cs="Arial"/>
          <w:sz w:val="24"/>
          <w:szCs w:val="24"/>
        </w:rPr>
        <w:fldChar w:fldCharType="begin"/>
      </w:r>
      <w:r>
        <w:rPr>
          <w:rFonts w:hint="default" w:ascii="Arial" w:hAnsi="Arial" w:cs="Arial"/>
          <w:sz w:val="24"/>
          <w:szCs w:val="24"/>
        </w:rPr>
        <w:instrText xml:space="preserve"> HYPERLINK "https://www.federalreserve.gov/econres/notes/feds-notes/firms-financing-choice-between-short-term-and-long-term-debts-are-they-substitutes-20240503.html"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https://www.federalreserve.gov/econres/notes/feds-notes/firms-financing-choice-between-short-term-and-long-term-debts-are-they-substitutes-20240503.html</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1B4B854B">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Ikwuo, A.K., Nwite, I.M., Nworie, G.O. and Nworie, F.N., 2025. Shareholder value diminution through long-term debts: Evidence from the Nigerian oil industry. </w:t>
      </w:r>
      <w:r>
        <w:rPr>
          <w:rFonts w:hint="default" w:ascii="Arial" w:hAnsi="Arial" w:eastAsia="Times New Roman" w:cs="Arial"/>
          <w:i/>
          <w:iCs/>
          <w:sz w:val="24"/>
          <w:szCs w:val="24"/>
          <w:lang w:val="en-US"/>
        </w:rPr>
        <w:t>Annals of Management and Organization Research</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6</w:t>
      </w:r>
      <w:r>
        <w:rPr>
          <w:rFonts w:hint="default" w:ascii="Arial" w:hAnsi="Arial" w:eastAsia="Times New Roman" w:cs="Arial"/>
          <w:sz w:val="24"/>
          <w:szCs w:val="24"/>
          <w:lang w:val="en-US"/>
        </w:rPr>
        <w:t xml:space="preserve">(3), pp.271-285.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Gilbert-Nworie-2/publication/389211249_Shareholder_value_diminution_through_long-_term_debts_Evidence_from_the_Nigerian_oil_industry/links/67b8eeb5207c0c20fa911a99/Shareholder-value-diminution-through-long-term-debts-Evidence-from-the-Nigerian-oil-industry.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researchgate.net/profile/Gilbert-Nworie-2/publication/389211249_Shareholder_value_diminution_through_long-_term_debts_Evidence_from_the_Nigerian_oil_industry/links/67b8eeb5207c0c20fa911a99/Shareholder-value-diminution-through-long-term-debts-Evidence-from-the-Nigerian-oil-industry.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3B455B46">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Kacani, J., Mukli, L. and Hysa, E., 2022. A framework for short-vs. long-term risk indicators for outsourcing potential for enterprises participating in global value chains: Evidence from Western Balkan countries. </w:t>
      </w:r>
      <w:r>
        <w:rPr>
          <w:rFonts w:hint="default" w:ascii="Arial" w:hAnsi="Arial" w:eastAsia="Times New Roman" w:cs="Arial"/>
          <w:i/>
          <w:iCs/>
          <w:sz w:val="24"/>
          <w:szCs w:val="24"/>
          <w:lang w:val="en-US"/>
        </w:rPr>
        <w:t>Journal of Risk and Financial Management</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15</w:t>
      </w:r>
      <w:r>
        <w:rPr>
          <w:rFonts w:hint="default" w:ascii="Arial" w:hAnsi="Arial" w:eastAsia="Times New Roman" w:cs="Arial"/>
          <w:sz w:val="24"/>
          <w:szCs w:val="24"/>
          <w:lang w:val="en-US"/>
        </w:rPr>
        <w:t xml:space="preserve">(9), p.401. </w:t>
      </w:r>
      <w:r>
        <w:rPr>
          <w:rFonts w:hint="default" w:ascii="Arial" w:hAnsi="Arial" w:cs="Arial"/>
          <w:sz w:val="24"/>
          <w:szCs w:val="24"/>
        </w:rPr>
        <w:fldChar w:fldCharType="begin"/>
      </w:r>
      <w:r>
        <w:rPr>
          <w:rFonts w:hint="default" w:ascii="Arial" w:hAnsi="Arial" w:cs="Arial"/>
          <w:sz w:val="24"/>
          <w:szCs w:val="24"/>
        </w:rPr>
        <w:instrText xml:space="preserve"> HYPERLINK "https://www.mdpi.com/1911-8074/15/9/401"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https://www.mdpi.com/1911-8074/15/9/401</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6ECB5BC7">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KODURU, D.R.S., 2026. </w:t>
      </w:r>
      <w:r>
        <w:rPr>
          <w:rFonts w:hint="default" w:ascii="Arial" w:hAnsi="Arial" w:eastAsia="Times New Roman" w:cs="Arial"/>
          <w:i/>
          <w:iCs/>
          <w:sz w:val="24"/>
          <w:szCs w:val="24"/>
          <w:lang w:val="en-US"/>
        </w:rPr>
        <w:t>FINANCIAL MANAGEMENT IN HOTELS AND RESTAURANT INDUSTRY</w:t>
      </w:r>
      <w:r>
        <w:rPr>
          <w:rFonts w:hint="default" w:ascii="Arial" w:hAnsi="Arial" w:eastAsia="Times New Roman" w:cs="Arial"/>
          <w:sz w:val="24"/>
          <w:szCs w:val="24"/>
          <w:lang w:val="en-US"/>
        </w:rPr>
        <w:t xml:space="preserve">. Vaagai international publishing house. </w:t>
      </w:r>
      <w:r>
        <w:rPr>
          <w:rFonts w:hint="default" w:ascii="Arial" w:hAnsi="Arial" w:cs="Arial"/>
          <w:sz w:val="24"/>
          <w:szCs w:val="24"/>
        </w:rPr>
        <w:fldChar w:fldCharType="begin"/>
      </w:r>
      <w:r>
        <w:rPr>
          <w:rFonts w:hint="default" w:ascii="Arial" w:hAnsi="Arial" w:cs="Arial"/>
          <w:sz w:val="24"/>
          <w:szCs w:val="24"/>
        </w:rPr>
        <w:instrText xml:space="preserve"> HYPERLINK "https://books.google.com/books?hl=en&amp;lr=&amp;id=CeKuEQAAQBAJ&amp;oi=fnd&amp;pg=PA1&amp;dq=indicating+effective+management+of+credit+and+timely+collection+of+dues+from+Franchisee+Hotel+Owners+and+business+partners&amp;ots=-29ZN34YMd&amp;sig=TknzSB6UGdT12HVyCQXeuXmzdro"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https://books.google.com/books?hl=en&amp;lr=&amp;id=CeKuEQAAQBAJ&amp;oi=fnd&amp;pg=PA1&amp;dq=indicating+effective+management+of+credit+and+timely+collection+of+dues+from+Franchisee+Hotel+Owners+and+business+partners&amp;ots=-29ZN34YMd&amp;sig=TknzSB6UGdT12HVyCQXeuXmzdro</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0A8CC8D9">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Lotfi, M. and Guix Navarrete, M., 2023. Managing modern slavery risk in asset-light business models: stakeholder perceptions in the hotel industry. </w:t>
      </w:r>
      <w:r>
        <w:rPr>
          <w:rFonts w:hint="default" w:ascii="Arial" w:hAnsi="Arial" w:cs="Arial"/>
          <w:sz w:val="24"/>
          <w:szCs w:val="24"/>
        </w:rPr>
        <w:fldChar w:fldCharType="begin"/>
      </w:r>
      <w:r>
        <w:rPr>
          <w:rFonts w:hint="default" w:ascii="Arial" w:hAnsi="Arial" w:cs="Arial"/>
          <w:sz w:val="24"/>
          <w:szCs w:val="24"/>
        </w:rPr>
        <w:instrText xml:space="preserve"> HYPERLINK "https://orca.cardiff.ac.uk/id/eprint/158530/1/IPSERA%20working%20paper.pdf"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https://orca.cardiff.ac.uk/id/eprint/158530/1/IPSERA%20working%20paper.pdf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5601E181">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Malikova, D.M. and Abdujalilov, K.K., Importance of Accounts Receivable and Accounts Payable Management. </w:t>
      </w:r>
      <w:r>
        <w:rPr>
          <w:rFonts w:hint="default" w:ascii="Arial" w:hAnsi="Arial" w:cs="Arial"/>
          <w:sz w:val="24"/>
          <w:szCs w:val="24"/>
        </w:rPr>
        <w:fldChar w:fldCharType="begin"/>
      </w:r>
      <w:r>
        <w:rPr>
          <w:rFonts w:hint="default" w:ascii="Arial" w:hAnsi="Arial" w:cs="Arial"/>
          <w:sz w:val="24"/>
          <w:szCs w:val="24"/>
        </w:rPr>
        <w:instrText xml:space="preserve"> HYPERLINK "https://repository.antispubmed.com/pdf/51704/fulltext.pdf"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https://repository.antispubmed.com/pdf/51704/fulltext.pdf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2135064E">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McGrath, P.J. and O’Neill, H.M., 2025. Release, retain, and reimagine: Lessons in corporate restructuring from spin-off firms. </w:t>
      </w:r>
      <w:r>
        <w:rPr>
          <w:rFonts w:hint="default" w:ascii="Arial" w:hAnsi="Arial" w:eastAsia="Times New Roman" w:cs="Arial"/>
          <w:i/>
          <w:iCs/>
          <w:sz w:val="24"/>
          <w:szCs w:val="24"/>
          <w:lang w:val="en-US"/>
        </w:rPr>
        <w:t>Business Horizons</w:t>
      </w:r>
      <w:r>
        <w:rPr>
          <w:rFonts w:hint="default" w:ascii="Arial" w:hAnsi="Arial" w:eastAsia="Times New Roman" w:cs="Arial"/>
          <w:sz w:val="24"/>
          <w:szCs w:val="24"/>
          <w:lang w:val="en-US"/>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"https://www.sciencedirect.com/science/article/pii/S0007681325001727"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https://www.sciencedirect.com/science/article/pii/S0007681325001727</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0A3F9C28">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Mushinzimana, L., Faisal, A. and Teressia, A., 2025. Strategy for evaluating the strengths, weaknesses, opportunities, and threats of the business community in Rwanda in adopting digital transformation to increase financial benefits. </w:t>
      </w:r>
      <w:r>
        <w:rPr>
          <w:rFonts w:hint="default" w:ascii="Arial" w:hAnsi="Arial" w:eastAsia="Times New Roman" w:cs="Arial"/>
          <w:i/>
          <w:iCs/>
          <w:sz w:val="24"/>
          <w:szCs w:val="24"/>
          <w:lang w:val="en-US"/>
        </w:rPr>
        <w:t>Indiana Journal of Economics and Business Management</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5</w:t>
      </w:r>
      <w:r>
        <w:rPr>
          <w:rFonts w:hint="default" w:ascii="Arial" w:hAnsi="Arial" w:eastAsia="Times New Roman" w:cs="Arial"/>
          <w:sz w:val="24"/>
          <w:szCs w:val="24"/>
          <w:lang w:val="en-US"/>
        </w:rPr>
        <w:t xml:space="preserve">(1), pp.64-96.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Leandre-Mushinzimana/publication/388614523_Indiana_Journal_of_Economics_and_Business_Management_Strategy_For_Evaluating_the_Strengths_Weaknesses_Opportunities_And_Threats_of_The_Business_Community_in_Rwanda_in_Adopting_Digital_Transformation_t/links/679e7574645ef274a45ae599/Indiana-Journal-of-Economics-and-Business-Management-Strategy-For-Evaluating-the-Strengths-Weaknesses-Opportunities-And-Threats-of-The-Business-Community-in-Rwanda-in-Adopting-Digital-Transformatio.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researchgate.net/profile/Leandre-Mushinzimana/publication/388614523_Indiana_Journal_of_Economics_and_Business_Management_Strategy_For_Evaluating_the_Strengths_Weaknesses_Opportunities_And_Threats_of_The_Business_Community_in_Rwanda_in_Adopting_Digital_Transformation_t/links/679e7574645ef274a45ae599/Indiana-Journal-of-Economics-and-Business-Management-Strategy-For-Evaluating-the-Strengths-Weaknesses-Opportunities-And-Threats-of-The-Business-Community-in-Rwanda-in-Adopting-Digital-Transformatio.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45565863">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Olayinka, A.A., 2022. Financial statement analysis as a tool for investment decisions and assessment of companies’ performance. </w:t>
      </w:r>
      <w:r>
        <w:rPr>
          <w:rFonts w:hint="default" w:ascii="Arial" w:hAnsi="Arial" w:eastAsia="Times New Roman" w:cs="Arial"/>
          <w:i/>
          <w:iCs/>
          <w:sz w:val="24"/>
          <w:szCs w:val="24"/>
          <w:lang w:val="en-US"/>
        </w:rPr>
        <w:t>International Journal of Financial, Accounting, and Management</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4</w:t>
      </w:r>
      <w:r>
        <w:rPr>
          <w:rFonts w:hint="default" w:ascii="Arial" w:hAnsi="Arial" w:eastAsia="Times New Roman" w:cs="Arial"/>
          <w:sz w:val="24"/>
          <w:szCs w:val="24"/>
          <w:lang w:val="en-US"/>
        </w:rPr>
        <w:t xml:space="preserve">(1), pp.49-66.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1C89AE1A">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Oyasiji, O., Okesiji, A., Imediegwu, C.C., Elebe, O. and Filani, O.M., 2023. Ethical AI in financial decision-making: Transparency, bias, and regulation. </w:t>
      </w:r>
      <w:r>
        <w:rPr>
          <w:rFonts w:hint="default" w:ascii="Arial" w:hAnsi="Arial" w:eastAsia="Times New Roman" w:cs="Arial"/>
          <w:i/>
          <w:iCs/>
          <w:sz w:val="24"/>
          <w:szCs w:val="24"/>
          <w:lang w:val="en-US"/>
        </w:rPr>
        <w:t>International Journal of Scientific Research in Computer Science, Engineering and Information Technology</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9</w:t>
      </w:r>
      <w:r>
        <w:rPr>
          <w:rFonts w:hint="default" w:ascii="Arial" w:hAnsi="Arial" w:eastAsia="Times New Roman" w:cs="Arial"/>
          <w:sz w:val="24"/>
          <w:szCs w:val="24"/>
          <w:lang w:val="en-US"/>
        </w:rPr>
        <w:t xml:space="preserve">(5), pp.453-471.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"https://www.researchgate.net/profile/Chikaome-Imediegwu/publication/395771497_Ethical_AI_in_Financial_Decision-Making_Transparency_Bias_and_Regulation/links/68d35f8dd221a404b2a2154b/Ethical-AI-in-Financial-Decision-Making-Transparency-Bias-and-Regulation.pdf"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https://www.researchgate.net/profile/Chikaome-Imediegwu/publication/395771497_Ethical_AI_in_Financial_Decision-Making_Transparency_Bias_and_Regulation/links/68d35f8dd221a404b2a2154b/Ethical-AI-in-Financial-Decision-Making-Transparency-Bias-and-Regulation.pdf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68E8D0A4">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Potharla, S., 2025. From Debt to Divestiture: How Indian and Global Firms Reshaped through Corporate Restructuring. </w:t>
      </w:r>
      <w:r>
        <w:rPr>
          <w:rFonts w:hint="default" w:ascii="Arial" w:hAnsi="Arial" w:eastAsia="Times New Roman" w:cs="Arial"/>
          <w:i/>
          <w:iCs/>
          <w:sz w:val="24"/>
          <w:szCs w:val="24"/>
          <w:lang w:val="en-US"/>
        </w:rPr>
        <w:t>Available at SSRN 5348941</w:t>
      </w:r>
      <w:r>
        <w:rPr>
          <w:rFonts w:hint="default" w:ascii="Arial" w:hAnsi="Arial" w:eastAsia="Times New Roman" w:cs="Arial"/>
          <w:sz w:val="24"/>
          <w:szCs w:val="24"/>
          <w:lang w:val="en-US"/>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"https://papers.ssrn.com/sol3/Delivery.cfm?abstractid=5348941"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https://papers.ssrn.com/sol3/Delivery.cfm?abstractid=5348941</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4699226F">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Potharla, S., 2025. Strategic Financial Insights into ITC Limited: A Deep Dive into Corporate Finance and Peer Benchmarking. </w:t>
      </w:r>
      <w:r>
        <w:rPr>
          <w:rFonts w:hint="default" w:ascii="Arial" w:hAnsi="Arial" w:eastAsia="Times New Roman" w:cs="Arial"/>
          <w:i/>
          <w:iCs/>
          <w:sz w:val="24"/>
          <w:szCs w:val="24"/>
          <w:lang w:val="en-US"/>
        </w:rPr>
        <w:t>Available at SSRN 5295953</w:t>
      </w:r>
      <w:r>
        <w:rPr>
          <w:rFonts w:hint="default" w:ascii="Arial" w:hAnsi="Arial" w:eastAsia="Times New Roman" w:cs="Arial"/>
          <w:sz w:val="24"/>
          <w:szCs w:val="24"/>
          <w:lang w:val="en-US"/>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"https://papers.ssrn.com/sol3/Delivery.cfm?abstractid=5295953"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https://papers.ssrn.com/sol3/Delivery.cfm?abstractid=5295953</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7BCAC3A7">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Puchakayala, P.R., 2022. Responsible AI Ensuring Ethical, Transparent, and Accountable Artificial Intelligence Systems. </w:t>
      </w:r>
      <w:r>
        <w:rPr>
          <w:rFonts w:hint="default" w:ascii="Arial" w:hAnsi="Arial" w:eastAsia="Times New Roman" w:cs="Arial"/>
          <w:i/>
          <w:iCs/>
          <w:sz w:val="24"/>
          <w:szCs w:val="24"/>
          <w:lang w:val="en-US"/>
        </w:rPr>
        <w:t>Journal of Computational Analysis and Applications</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30</w:t>
      </w:r>
      <w:r>
        <w:rPr>
          <w:rFonts w:hint="default" w:ascii="Arial" w:hAnsi="Arial" w:eastAsia="Times New Roman" w:cs="Arial"/>
          <w:sz w:val="24"/>
          <w:szCs w:val="24"/>
          <w:lang w:val="en-US"/>
        </w:rPr>
        <w:t xml:space="preserve">(1), pp.208-221.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Praneeth-Reddy-Amudala-Puchakayala/publication/390586891_Responsible_AI_Ensuring_Ethical_Transparent_and_Accountable_Artificial_Intelligence_Systems/links/67f53fe103b8d7280e2f3d27/Responsible-AI-Ensuring-Ethical-Transparent-and-Accountable-Artificial-Intelligence-Systems.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researchgate.net/profile/Praneeth-Reddy-Amudala-Puchakayala/publication/390586891_Responsible_AI_Ensuring_Ethical_Transparent_and_Accountable_Artificial_Intelligence_Systems/links/67f53fe103b8d7280e2f3d27/Responsible-AI-Ensuring-Ethical-Transparent-and-Accountable-Artificial-Intelligence-Systems.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2CC0DAE0">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Reyad, H.M., Zariyawati, M.A., Ong, T.S. and Muhamad, H., 2022. The impact of macroeconomic risk factors, the adoption of financial derivatives on working capital management, and firm performance. </w:t>
      </w:r>
      <w:r>
        <w:rPr>
          <w:rFonts w:hint="default" w:ascii="Arial" w:hAnsi="Arial" w:eastAsia="Times New Roman" w:cs="Arial"/>
          <w:i/>
          <w:iCs/>
          <w:sz w:val="24"/>
          <w:szCs w:val="24"/>
          <w:lang w:val="en-US"/>
        </w:rPr>
        <w:t>Sustainability</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14</w:t>
      </w:r>
      <w:r>
        <w:rPr>
          <w:rFonts w:hint="default" w:ascii="Arial" w:hAnsi="Arial" w:eastAsia="Times New Roman" w:cs="Arial"/>
          <w:sz w:val="24"/>
          <w:szCs w:val="24"/>
          <w:lang w:val="en-US"/>
        </w:rPr>
        <w:t xml:space="preserve">(21), p.14447. </w:t>
      </w:r>
      <w:r>
        <w:rPr>
          <w:rFonts w:hint="default" w:ascii="Arial" w:hAnsi="Arial" w:cs="Arial"/>
          <w:sz w:val="24"/>
          <w:szCs w:val="24"/>
        </w:rPr>
        <w:fldChar w:fldCharType="begin"/>
      </w:r>
      <w:r>
        <w:rPr>
          <w:rFonts w:hint="default" w:ascii="Arial" w:hAnsi="Arial" w:cs="Arial"/>
          <w:sz w:val="24"/>
          <w:szCs w:val="24"/>
        </w:rPr>
        <w:instrText xml:space="preserve"> HYPERLINK "https://www.mdpi.com/2071-1050/14/21/14447"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https://www.mdpi.com/2071-1050/14/21/14447</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7D998AEE">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Rochmayasari, Y., 2022. Corporate social responsibility, firm size, inflation, interest rate, and exchange rate on stock returns. </w:t>
      </w:r>
      <w:r>
        <w:rPr>
          <w:rFonts w:hint="default" w:ascii="Arial" w:hAnsi="Arial" w:eastAsia="Times New Roman" w:cs="Arial"/>
          <w:i/>
          <w:iCs/>
          <w:sz w:val="24"/>
          <w:szCs w:val="24"/>
          <w:lang w:val="en-US"/>
        </w:rPr>
        <w:t>Research Horizon</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2</w:t>
      </w:r>
      <w:r>
        <w:rPr>
          <w:rFonts w:hint="default" w:ascii="Arial" w:hAnsi="Arial" w:eastAsia="Times New Roman" w:cs="Arial"/>
          <w:sz w:val="24"/>
          <w:szCs w:val="24"/>
          <w:lang w:val="en-US"/>
        </w:rPr>
        <w:t xml:space="preserve">(2), pp.345-362. </w:t>
      </w:r>
      <w:r>
        <w:rPr>
          <w:rFonts w:hint="default" w:ascii="Arial" w:hAnsi="Arial" w:cs="Arial"/>
          <w:sz w:val="24"/>
          <w:szCs w:val="24"/>
        </w:rPr>
        <w:fldChar w:fldCharType="begin"/>
      </w:r>
      <w:r>
        <w:rPr>
          <w:rFonts w:hint="default" w:ascii="Arial" w:hAnsi="Arial" w:cs="Arial"/>
          <w:sz w:val="24"/>
          <w:szCs w:val="24"/>
        </w:rPr>
        <w:instrText xml:space="preserve"> HYPERLINK "https://lifescifi.com/journal/index.php/RH/article/download/54/38"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https://lifescifi.com/journal/index.php/RH/article/download/54/38</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0673B836">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Sağlam, Ü., 2025. From Pandemic Shock to Sustainable Recovery: Data-Driven Insights into Global Eco-Productivity Trends During the COVID-19 Era. </w:t>
      </w:r>
      <w:r>
        <w:rPr>
          <w:rFonts w:hint="default" w:ascii="Arial" w:hAnsi="Arial" w:eastAsia="Times New Roman" w:cs="Arial"/>
          <w:i/>
          <w:iCs/>
          <w:sz w:val="24"/>
          <w:szCs w:val="24"/>
          <w:lang w:val="en-US"/>
        </w:rPr>
        <w:t>Journal of Risk and Financial Management</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18</w:t>
      </w:r>
      <w:r>
        <w:rPr>
          <w:rFonts w:hint="default" w:ascii="Arial" w:hAnsi="Arial" w:eastAsia="Times New Roman" w:cs="Arial"/>
          <w:sz w:val="24"/>
          <w:szCs w:val="24"/>
          <w:lang w:val="en-US"/>
        </w:rPr>
        <w:t xml:space="preserve">(9), p.473. </w:t>
      </w:r>
      <w:r>
        <w:rPr>
          <w:rFonts w:hint="default" w:ascii="Arial" w:hAnsi="Arial" w:cs="Arial"/>
          <w:sz w:val="24"/>
          <w:szCs w:val="24"/>
        </w:rPr>
        <w:fldChar w:fldCharType="begin"/>
      </w:r>
      <w:r>
        <w:rPr>
          <w:rFonts w:hint="default" w:ascii="Arial" w:hAnsi="Arial" w:cs="Arial"/>
          <w:sz w:val="24"/>
          <w:szCs w:val="24"/>
        </w:rPr>
        <w:instrText xml:space="preserve"> HYPERLINK "https://www.mdpi.com/1911-8074/18/9/473"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https://www.mdpi.com/1911-8074/18/9/473</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206EAAE3">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Sandberg, H., Alnoor, A., &amp; Tiberius, V. (2023). Environmental, social, and governance ratings and financial performance: Evidence from the European food industry. </w:t>
      </w:r>
      <w:r>
        <w:rPr>
          <w:rFonts w:hint="default" w:ascii="Arial" w:hAnsi="Arial" w:eastAsia="Times New Roman" w:cs="Arial"/>
          <w:i/>
          <w:iCs/>
          <w:sz w:val="24"/>
          <w:szCs w:val="24"/>
          <w:lang w:val="en-US"/>
        </w:rPr>
        <w:t>Business Strategy and the Environment</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32</w:t>
      </w:r>
      <w:r>
        <w:rPr>
          <w:rFonts w:hint="default" w:ascii="Arial" w:hAnsi="Arial" w:eastAsia="Times New Roman" w:cs="Arial"/>
          <w:sz w:val="24"/>
          <w:szCs w:val="24"/>
          <w:lang w:val="en-US"/>
        </w:rPr>
        <w:t xml:space="preserve">(4), 2471-2489.  </w:t>
      </w:r>
      <w:r>
        <w:rPr>
          <w:rFonts w:hint="default" w:ascii="Arial" w:hAnsi="Arial" w:cs="Arial"/>
          <w:sz w:val="24"/>
          <w:szCs w:val="24"/>
        </w:rPr>
        <w:fldChar w:fldCharType="begin"/>
      </w:r>
      <w:r>
        <w:rPr>
          <w:rFonts w:hint="default" w:ascii="Arial" w:hAnsi="Arial" w:cs="Arial"/>
          <w:sz w:val="24"/>
          <w:szCs w:val="24"/>
        </w:rPr>
        <w:instrText xml:space="preserve"> HYPERLINK "https://pure.eur.nl/files/136070437/978-3-031-35009-2.pdf"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https://pure.eur.nl/files/136070437/978-3-031-35009-2.pdf</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509E93F1">
      <w:pPr>
        <w:spacing w:after="24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Tarighi, H., Zimon, G., Sheikh, M.J. and Sayrani, M., 2024. The impact of firm risk and the COVID-19 crisis on working capital management strategies: Evidence from a market affected by economic uncertainty. </w:t>
      </w:r>
      <w:r>
        <w:rPr>
          <w:rFonts w:hint="default" w:ascii="Arial" w:hAnsi="Arial" w:eastAsia="Times New Roman" w:cs="Arial"/>
          <w:i/>
          <w:iCs/>
          <w:sz w:val="24"/>
          <w:szCs w:val="24"/>
          <w:lang w:val="en-US"/>
        </w:rPr>
        <w:t>Risks</w:t>
      </w:r>
      <w:r>
        <w:rPr>
          <w:rFonts w:hint="default" w:ascii="Arial" w:hAnsi="Arial" w:eastAsia="Times New Roman" w:cs="Arial"/>
          <w:sz w:val="24"/>
          <w:szCs w:val="24"/>
          <w:lang w:val="en-US"/>
        </w:rPr>
        <w:t>, </w:t>
      </w:r>
      <w:r>
        <w:rPr>
          <w:rFonts w:hint="default" w:ascii="Arial" w:hAnsi="Arial" w:eastAsia="Times New Roman" w:cs="Arial"/>
          <w:i/>
          <w:iCs/>
          <w:sz w:val="24"/>
          <w:szCs w:val="24"/>
          <w:lang w:val="en-US"/>
        </w:rPr>
        <w:t>12</w:t>
      </w:r>
      <w:r>
        <w:rPr>
          <w:rFonts w:hint="default" w:ascii="Arial" w:hAnsi="Arial" w:eastAsia="Times New Roman" w:cs="Arial"/>
          <w:sz w:val="24"/>
          <w:szCs w:val="24"/>
          <w:lang w:val="en-US"/>
        </w:rPr>
        <w:t xml:space="preserve">(4), p.72. </w:t>
      </w:r>
      <w:r>
        <w:rPr>
          <w:rFonts w:hint="default" w:ascii="Arial" w:hAnsi="Arial" w:cs="Arial"/>
          <w:sz w:val="24"/>
          <w:szCs w:val="24"/>
        </w:rPr>
        <w:fldChar w:fldCharType="begin"/>
      </w:r>
      <w:r>
        <w:rPr>
          <w:rFonts w:hint="default" w:ascii="Arial" w:hAnsi="Arial" w:cs="Arial"/>
          <w:sz w:val="24"/>
          <w:szCs w:val="24"/>
        </w:rPr>
        <w:instrText xml:space="preserve"> HYPERLINK "https://www.mdpi.com/2227-9091/12/4/72" </w:instrText>
      </w:r>
      <w:r>
        <w:rPr>
          <w:rFonts w:hint="default" w:ascii="Arial" w:hAnsi="Arial" w:cs="Arial"/>
          <w:sz w:val="24"/>
          <w:szCs w:val="24"/>
        </w:rPr>
        <w:fldChar w:fldCharType="separate"/>
      </w:r>
      <w:r>
        <w:rPr>
          <w:rStyle w:val="7"/>
          <w:rFonts w:hint="default" w:ascii="Arial" w:hAnsi="Arial" w:eastAsia="Times New Roman" w:cs="Arial"/>
          <w:sz w:val="24"/>
          <w:szCs w:val="24"/>
          <w:lang w:val="en-US"/>
        </w:rPr>
        <w:t>https://www.mdpi.com/2227-9091/12/4/72</w:t>
      </w:r>
      <w:r>
        <w:rPr>
          <w:rStyle w:val="7"/>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w:t>
      </w:r>
    </w:p>
    <w:p w14:paraId="428B60CA">
      <w:pPr>
        <w:spacing w:after="240" w:line="360" w:lineRule="auto"/>
        <w:rPr>
          <w:rFonts w:hint="default" w:ascii="Arial" w:hAnsi="Arial" w:eastAsia="Times New Roman" w:cs="Arial"/>
          <w:sz w:val="24"/>
          <w:szCs w:val="24"/>
        </w:rPr>
      </w:pPr>
      <w:r>
        <w:rPr>
          <w:rFonts w:hint="default" w:ascii="Arial" w:hAnsi="Arial" w:eastAsia="Times New Roman" w:cs="Arial"/>
          <w:sz w:val="24"/>
          <w:szCs w:val="24"/>
        </w:rPr>
        <w:br w:type="page"/>
      </w:r>
    </w:p>
    <w:p w14:paraId="00000073">
      <w:pPr>
        <w:pStyle w:val="2"/>
        <w:spacing w:after="240"/>
        <w:rPr>
          <w:rFonts w:hint="default" w:ascii="Arial" w:hAnsi="Arial" w:cs="Arial"/>
          <w:sz w:val="24"/>
          <w:szCs w:val="24"/>
        </w:rPr>
      </w:pPr>
      <w:bookmarkStart w:id="24" w:name="_Toc231843853"/>
      <w:r>
        <w:rPr>
          <w:rFonts w:hint="default" w:ascii="Arial" w:hAnsi="Arial" w:cs="Arial"/>
          <w:sz w:val="24"/>
          <w:szCs w:val="24"/>
        </w:rPr>
        <w:t>6. Appendices</w:t>
      </w:r>
      <w:bookmarkEnd w:id="24"/>
    </w:p>
    <w:p w14:paraId="00000074">
      <w:pPr>
        <w:pStyle w:val="3"/>
        <w:spacing w:after="240"/>
        <w:rPr>
          <w:rFonts w:hint="default" w:ascii="Arial" w:hAnsi="Arial" w:cs="Arial"/>
          <w:sz w:val="24"/>
          <w:szCs w:val="24"/>
        </w:rPr>
      </w:pPr>
      <w:bookmarkStart w:id="25" w:name="_Toc231843854"/>
      <w:r>
        <w:rPr>
          <w:rFonts w:hint="default" w:ascii="Arial" w:hAnsi="Arial" w:cs="Arial"/>
          <w:sz w:val="24"/>
          <w:szCs w:val="24"/>
        </w:rPr>
        <w:t>Appendix A: Ratio tables and Graphs</w:t>
      </w:r>
      <w:bookmarkEnd w:id="25"/>
    </w:p>
    <w:tbl>
      <w:tblPr>
        <w:tblStyle w:val="5"/>
        <w:tblW w:w="5000" w:type="pct"/>
        <w:tblInd w:w="0" w:type="dxa"/>
        <w:tblLayout w:type="autofit"/>
        <w:tblCellMar>
          <w:top w:w="0" w:type="dxa"/>
          <w:left w:w="108" w:type="dxa"/>
          <w:bottom w:w="0" w:type="dxa"/>
          <w:right w:w="108" w:type="dxa"/>
        </w:tblCellMar>
      </w:tblPr>
      <w:tblGrid>
        <w:gridCol w:w="1787"/>
        <w:gridCol w:w="861"/>
        <w:gridCol w:w="861"/>
        <w:gridCol w:w="861"/>
        <w:gridCol w:w="861"/>
        <w:gridCol w:w="861"/>
        <w:gridCol w:w="3153"/>
      </w:tblGrid>
      <w:tr w14:paraId="548403DA">
        <w:tblPrEx>
          <w:tblCellMar>
            <w:top w:w="0" w:type="dxa"/>
            <w:left w:w="108" w:type="dxa"/>
            <w:bottom w:w="0" w:type="dxa"/>
            <w:right w:w="108" w:type="dxa"/>
          </w:tblCellMar>
        </w:tblPrEx>
        <w:trPr>
          <w:trHeight w:val="300" w:hRule="atLeast"/>
        </w:trPr>
        <w:tc>
          <w:tcPr>
            <w:tcW w:w="1155" w:type="pct"/>
            <w:tcBorders>
              <w:top w:val="single" w:color="auto" w:sz="4" w:space="0"/>
              <w:left w:val="single" w:color="auto" w:sz="4" w:space="0"/>
              <w:bottom w:val="single" w:color="auto" w:sz="4" w:space="0"/>
              <w:right w:val="single" w:color="auto" w:sz="4" w:space="0"/>
            </w:tcBorders>
            <w:noWrap/>
            <w:vAlign w:val="center"/>
          </w:tcPr>
          <w:p w14:paraId="20F2FA32">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Particulars ($ million)</w:t>
            </w:r>
          </w:p>
        </w:tc>
        <w:tc>
          <w:tcPr>
            <w:tcW w:w="436" w:type="pct"/>
            <w:tcBorders>
              <w:top w:val="single" w:color="auto" w:sz="4" w:space="0"/>
              <w:left w:val="nil"/>
              <w:bottom w:val="single" w:color="auto" w:sz="4" w:space="0"/>
              <w:right w:val="single" w:color="auto" w:sz="4" w:space="0"/>
            </w:tcBorders>
            <w:noWrap/>
            <w:vAlign w:val="center"/>
          </w:tcPr>
          <w:p w14:paraId="24751374">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2021</w:t>
            </w:r>
          </w:p>
        </w:tc>
        <w:tc>
          <w:tcPr>
            <w:tcW w:w="436" w:type="pct"/>
            <w:tcBorders>
              <w:top w:val="single" w:color="auto" w:sz="4" w:space="0"/>
              <w:left w:val="nil"/>
              <w:bottom w:val="single" w:color="auto" w:sz="4" w:space="0"/>
              <w:right w:val="single" w:color="auto" w:sz="4" w:space="0"/>
            </w:tcBorders>
            <w:noWrap/>
            <w:vAlign w:val="center"/>
          </w:tcPr>
          <w:p w14:paraId="3A7800F6">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2022</w:t>
            </w:r>
          </w:p>
        </w:tc>
        <w:tc>
          <w:tcPr>
            <w:tcW w:w="436" w:type="pct"/>
            <w:tcBorders>
              <w:top w:val="single" w:color="auto" w:sz="4" w:space="0"/>
              <w:left w:val="nil"/>
              <w:bottom w:val="single" w:color="auto" w:sz="4" w:space="0"/>
              <w:right w:val="single" w:color="auto" w:sz="4" w:space="0"/>
            </w:tcBorders>
            <w:noWrap/>
            <w:vAlign w:val="center"/>
          </w:tcPr>
          <w:p w14:paraId="28C9C392">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2023</w:t>
            </w:r>
          </w:p>
        </w:tc>
        <w:tc>
          <w:tcPr>
            <w:tcW w:w="436" w:type="pct"/>
            <w:tcBorders>
              <w:top w:val="single" w:color="auto" w:sz="4" w:space="0"/>
              <w:left w:val="nil"/>
              <w:bottom w:val="single" w:color="auto" w:sz="4" w:space="0"/>
              <w:right w:val="single" w:color="auto" w:sz="4" w:space="0"/>
            </w:tcBorders>
            <w:noWrap/>
            <w:vAlign w:val="center"/>
          </w:tcPr>
          <w:p w14:paraId="5F608896">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2024</w:t>
            </w:r>
          </w:p>
        </w:tc>
        <w:tc>
          <w:tcPr>
            <w:tcW w:w="436" w:type="pct"/>
            <w:tcBorders>
              <w:top w:val="single" w:color="auto" w:sz="4" w:space="0"/>
              <w:left w:val="nil"/>
              <w:bottom w:val="single" w:color="auto" w:sz="4" w:space="0"/>
              <w:right w:val="single" w:color="auto" w:sz="4" w:space="0"/>
            </w:tcBorders>
            <w:noWrap/>
            <w:vAlign w:val="center"/>
          </w:tcPr>
          <w:p w14:paraId="1564C673">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2025</w:t>
            </w:r>
          </w:p>
        </w:tc>
        <w:tc>
          <w:tcPr>
            <w:tcW w:w="1664" w:type="pct"/>
            <w:tcBorders>
              <w:top w:val="nil"/>
              <w:left w:val="nil"/>
              <w:bottom w:val="nil"/>
              <w:right w:val="nil"/>
            </w:tcBorders>
            <w:noWrap/>
            <w:vAlign w:val="bottom"/>
          </w:tcPr>
          <w:p w14:paraId="561DE917">
            <w:pPr>
              <w:spacing w:after="240" w:line="360" w:lineRule="auto"/>
              <w:jc w:val="center"/>
              <w:rPr>
                <w:rFonts w:hint="default" w:ascii="Arial" w:hAnsi="Arial" w:eastAsia="Times New Roman" w:cs="Arial"/>
                <w:b/>
                <w:bCs/>
                <w:i/>
                <w:iCs/>
                <w:color w:val="000000"/>
                <w:sz w:val="24"/>
                <w:szCs w:val="24"/>
                <w:lang w:val="en-US"/>
              </w:rPr>
            </w:pPr>
          </w:p>
        </w:tc>
      </w:tr>
      <w:tr w14:paraId="0345289C">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67949CA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Revenue</w:t>
            </w:r>
          </w:p>
        </w:tc>
        <w:tc>
          <w:tcPr>
            <w:tcW w:w="436" w:type="pct"/>
            <w:tcBorders>
              <w:top w:val="nil"/>
              <w:left w:val="nil"/>
              <w:bottom w:val="single" w:color="auto" w:sz="4" w:space="0"/>
              <w:right w:val="single" w:color="auto" w:sz="4" w:space="0"/>
            </w:tcBorders>
            <w:noWrap/>
            <w:vAlign w:val="bottom"/>
          </w:tcPr>
          <w:p w14:paraId="4B49D5E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20500.00</w:t>
            </w:r>
          </w:p>
        </w:tc>
        <w:tc>
          <w:tcPr>
            <w:tcW w:w="436" w:type="pct"/>
            <w:tcBorders>
              <w:top w:val="nil"/>
              <w:left w:val="nil"/>
              <w:bottom w:val="single" w:color="auto" w:sz="4" w:space="0"/>
              <w:right w:val="single" w:color="auto" w:sz="4" w:space="0"/>
            </w:tcBorders>
            <w:noWrap/>
            <w:vAlign w:val="bottom"/>
          </w:tcPr>
          <w:p w14:paraId="6AA0041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22400.00</w:t>
            </w:r>
          </w:p>
        </w:tc>
        <w:tc>
          <w:tcPr>
            <w:tcW w:w="436" w:type="pct"/>
            <w:tcBorders>
              <w:top w:val="nil"/>
              <w:left w:val="nil"/>
              <w:bottom w:val="single" w:color="auto" w:sz="4" w:space="0"/>
              <w:right w:val="single" w:color="auto" w:sz="4" w:space="0"/>
            </w:tcBorders>
            <w:noWrap/>
            <w:vAlign w:val="bottom"/>
          </w:tcPr>
          <w:p w14:paraId="17C8D16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23713.00</w:t>
            </w:r>
          </w:p>
        </w:tc>
        <w:tc>
          <w:tcPr>
            <w:tcW w:w="436" w:type="pct"/>
            <w:tcBorders>
              <w:top w:val="nil"/>
              <w:left w:val="nil"/>
              <w:bottom w:val="single" w:color="auto" w:sz="4" w:space="0"/>
              <w:right w:val="single" w:color="auto" w:sz="4" w:space="0"/>
            </w:tcBorders>
            <w:noWrap/>
            <w:vAlign w:val="bottom"/>
          </w:tcPr>
          <w:p w14:paraId="0E160C0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25100.00</w:t>
            </w:r>
          </w:p>
        </w:tc>
        <w:tc>
          <w:tcPr>
            <w:tcW w:w="436" w:type="pct"/>
            <w:tcBorders>
              <w:top w:val="nil"/>
              <w:left w:val="nil"/>
              <w:bottom w:val="single" w:color="auto" w:sz="4" w:space="0"/>
              <w:right w:val="single" w:color="auto" w:sz="4" w:space="0"/>
            </w:tcBorders>
            <w:noWrap/>
            <w:vAlign w:val="bottom"/>
          </w:tcPr>
          <w:p w14:paraId="7ED71C9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26186.00</w:t>
            </w:r>
          </w:p>
        </w:tc>
        <w:tc>
          <w:tcPr>
            <w:tcW w:w="1664" w:type="pct"/>
            <w:tcBorders>
              <w:top w:val="nil"/>
              <w:left w:val="nil"/>
              <w:bottom w:val="nil"/>
              <w:right w:val="nil"/>
            </w:tcBorders>
            <w:noWrap/>
            <w:vAlign w:val="bottom"/>
          </w:tcPr>
          <w:p w14:paraId="1D70965D">
            <w:pPr>
              <w:spacing w:after="240" w:line="360" w:lineRule="auto"/>
              <w:jc w:val="right"/>
              <w:rPr>
                <w:rFonts w:hint="default" w:ascii="Arial" w:hAnsi="Arial" w:eastAsia="Times New Roman" w:cs="Arial"/>
                <w:color w:val="000000"/>
                <w:sz w:val="24"/>
                <w:szCs w:val="24"/>
                <w:lang w:val="en-US"/>
              </w:rPr>
            </w:pPr>
          </w:p>
        </w:tc>
      </w:tr>
      <w:tr w14:paraId="24126C07">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0F338C5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Income</w:t>
            </w:r>
          </w:p>
        </w:tc>
        <w:tc>
          <w:tcPr>
            <w:tcW w:w="436" w:type="pct"/>
            <w:tcBorders>
              <w:top w:val="nil"/>
              <w:left w:val="nil"/>
              <w:bottom w:val="single" w:color="auto" w:sz="4" w:space="0"/>
              <w:right w:val="single" w:color="auto" w:sz="4" w:space="0"/>
            </w:tcBorders>
            <w:noWrap/>
            <w:vAlign w:val="bottom"/>
          </w:tcPr>
          <w:p w14:paraId="479BAAC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2950.00</w:t>
            </w:r>
          </w:p>
        </w:tc>
        <w:tc>
          <w:tcPr>
            <w:tcW w:w="436" w:type="pct"/>
            <w:tcBorders>
              <w:top w:val="nil"/>
              <w:left w:val="nil"/>
              <w:bottom w:val="single" w:color="auto" w:sz="4" w:space="0"/>
              <w:right w:val="single" w:color="auto" w:sz="4" w:space="0"/>
            </w:tcBorders>
            <w:noWrap/>
            <w:vAlign w:val="bottom"/>
          </w:tcPr>
          <w:p w14:paraId="39F304C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3450.00</w:t>
            </w:r>
          </w:p>
        </w:tc>
        <w:tc>
          <w:tcPr>
            <w:tcW w:w="436" w:type="pct"/>
            <w:tcBorders>
              <w:top w:val="nil"/>
              <w:left w:val="nil"/>
              <w:bottom w:val="single" w:color="auto" w:sz="4" w:space="0"/>
              <w:right w:val="single" w:color="auto" w:sz="4" w:space="0"/>
            </w:tcBorders>
            <w:noWrap/>
            <w:vAlign w:val="bottom"/>
          </w:tcPr>
          <w:p w14:paraId="3B0B55D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3864.00</w:t>
            </w:r>
          </w:p>
        </w:tc>
        <w:tc>
          <w:tcPr>
            <w:tcW w:w="436" w:type="pct"/>
            <w:tcBorders>
              <w:top w:val="nil"/>
              <w:left w:val="nil"/>
              <w:bottom w:val="single" w:color="auto" w:sz="4" w:space="0"/>
              <w:right w:val="single" w:color="auto" w:sz="4" w:space="0"/>
            </w:tcBorders>
            <w:noWrap/>
            <w:vAlign w:val="bottom"/>
          </w:tcPr>
          <w:p w14:paraId="3CE98D4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3767.00</w:t>
            </w:r>
          </w:p>
        </w:tc>
        <w:tc>
          <w:tcPr>
            <w:tcW w:w="436" w:type="pct"/>
            <w:tcBorders>
              <w:top w:val="nil"/>
              <w:left w:val="nil"/>
              <w:bottom w:val="single" w:color="auto" w:sz="4" w:space="0"/>
              <w:right w:val="single" w:color="auto" w:sz="4" w:space="0"/>
            </w:tcBorders>
            <w:noWrap/>
            <w:vAlign w:val="bottom"/>
          </w:tcPr>
          <w:p w14:paraId="66DE752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4141.00</w:t>
            </w:r>
          </w:p>
        </w:tc>
        <w:tc>
          <w:tcPr>
            <w:tcW w:w="1664" w:type="pct"/>
            <w:tcBorders>
              <w:top w:val="nil"/>
              <w:left w:val="nil"/>
              <w:bottom w:val="nil"/>
              <w:right w:val="nil"/>
            </w:tcBorders>
            <w:noWrap/>
            <w:vAlign w:val="bottom"/>
          </w:tcPr>
          <w:p w14:paraId="7F420DA5">
            <w:pPr>
              <w:spacing w:after="240" w:line="360" w:lineRule="auto"/>
              <w:jc w:val="right"/>
              <w:rPr>
                <w:rFonts w:hint="default" w:ascii="Arial" w:hAnsi="Arial" w:eastAsia="Times New Roman" w:cs="Arial"/>
                <w:color w:val="000000"/>
                <w:sz w:val="24"/>
                <w:szCs w:val="24"/>
                <w:lang w:val="en-US"/>
              </w:rPr>
            </w:pPr>
          </w:p>
        </w:tc>
      </w:tr>
      <w:tr w14:paraId="1B2D30BD">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71C7106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Income</w:t>
            </w:r>
          </w:p>
        </w:tc>
        <w:tc>
          <w:tcPr>
            <w:tcW w:w="436" w:type="pct"/>
            <w:tcBorders>
              <w:top w:val="nil"/>
              <w:left w:val="nil"/>
              <w:bottom w:val="single" w:color="auto" w:sz="4" w:space="0"/>
              <w:right w:val="single" w:color="auto" w:sz="4" w:space="0"/>
            </w:tcBorders>
            <w:noWrap/>
            <w:vAlign w:val="bottom"/>
          </w:tcPr>
          <w:p w14:paraId="7CCCFA4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1950.00</w:t>
            </w:r>
          </w:p>
        </w:tc>
        <w:tc>
          <w:tcPr>
            <w:tcW w:w="436" w:type="pct"/>
            <w:tcBorders>
              <w:top w:val="nil"/>
              <w:left w:val="nil"/>
              <w:bottom w:val="single" w:color="auto" w:sz="4" w:space="0"/>
              <w:right w:val="single" w:color="auto" w:sz="4" w:space="0"/>
            </w:tcBorders>
            <w:noWrap/>
            <w:vAlign w:val="bottom"/>
          </w:tcPr>
          <w:p w14:paraId="5EABA03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2750.00</w:t>
            </w:r>
          </w:p>
        </w:tc>
        <w:tc>
          <w:tcPr>
            <w:tcW w:w="436" w:type="pct"/>
            <w:tcBorders>
              <w:top w:val="nil"/>
              <w:left w:val="nil"/>
              <w:bottom w:val="single" w:color="auto" w:sz="4" w:space="0"/>
              <w:right w:val="single" w:color="auto" w:sz="4" w:space="0"/>
            </w:tcBorders>
            <w:noWrap/>
            <w:vAlign w:val="bottom"/>
          </w:tcPr>
          <w:p w14:paraId="792E06A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3083.00</w:t>
            </w:r>
          </w:p>
        </w:tc>
        <w:tc>
          <w:tcPr>
            <w:tcW w:w="436" w:type="pct"/>
            <w:tcBorders>
              <w:top w:val="nil"/>
              <w:left w:val="nil"/>
              <w:bottom w:val="single" w:color="auto" w:sz="4" w:space="0"/>
              <w:right w:val="single" w:color="auto" w:sz="4" w:space="0"/>
            </w:tcBorders>
            <w:noWrap/>
            <w:vAlign w:val="bottom"/>
          </w:tcPr>
          <w:p w14:paraId="75C299C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2375.00</w:t>
            </w:r>
          </w:p>
        </w:tc>
        <w:tc>
          <w:tcPr>
            <w:tcW w:w="436" w:type="pct"/>
            <w:tcBorders>
              <w:top w:val="nil"/>
              <w:left w:val="nil"/>
              <w:bottom w:val="single" w:color="auto" w:sz="4" w:space="0"/>
              <w:right w:val="single" w:color="auto" w:sz="4" w:space="0"/>
            </w:tcBorders>
            <w:noWrap/>
            <w:vAlign w:val="bottom"/>
          </w:tcPr>
          <w:p w14:paraId="459312A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2601.00</w:t>
            </w:r>
          </w:p>
        </w:tc>
        <w:tc>
          <w:tcPr>
            <w:tcW w:w="1664" w:type="pct"/>
            <w:tcBorders>
              <w:top w:val="nil"/>
              <w:left w:val="nil"/>
              <w:bottom w:val="nil"/>
              <w:right w:val="nil"/>
            </w:tcBorders>
            <w:noWrap/>
            <w:vAlign w:val="bottom"/>
          </w:tcPr>
          <w:p w14:paraId="363E9D81">
            <w:pPr>
              <w:spacing w:after="240" w:line="360" w:lineRule="auto"/>
              <w:jc w:val="right"/>
              <w:rPr>
                <w:rFonts w:hint="default" w:ascii="Arial" w:hAnsi="Arial" w:eastAsia="Times New Roman" w:cs="Arial"/>
                <w:color w:val="000000"/>
                <w:sz w:val="24"/>
                <w:szCs w:val="24"/>
                <w:lang w:val="en-US"/>
              </w:rPr>
            </w:pPr>
          </w:p>
        </w:tc>
      </w:tr>
      <w:tr w14:paraId="7C4F316D">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2FB3721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Assets</w:t>
            </w:r>
          </w:p>
        </w:tc>
        <w:tc>
          <w:tcPr>
            <w:tcW w:w="436" w:type="pct"/>
            <w:tcBorders>
              <w:top w:val="nil"/>
              <w:left w:val="nil"/>
              <w:bottom w:val="single" w:color="auto" w:sz="4" w:space="0"/>
              <w:right w:val="single" w:color="auto" w:sz="4" w:space="0"/>
            </w:tcBorders>
            <w:noWrap/>
            <w:vAlign w:val="bottom"/>
          </w:tcPr>
          <w:p w14:paraId="122CB56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24000.00</w:t>
            </w:r>
          </w:p>
        </w:tc>
        <w:tc>
          <w:tcPr>
            <w:tcW w:w="436" w:type="pct"/>
            <w:tcBorders>
              <w:top w:val="nil"/>
              <w:left w:val="nil"/>
              <w:bottom w:val="single" w:color="auto" w:sz="4" w:space="0"/>
              <w:right w:val="single" w:color="auto" w:sz="4" w:space="0"/>
            </w:tcBorders>
            <w:noWrap/>
            <w:vAlign w:val="bottom"/>
          </w:tcPr>
          <w:p w14:paraId="5836CF4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25200.00</w:t>
            </w:r>
          </w:p>
        </w:tc>
        <w:tc>
          <w:tcPr>
            <w:tcW w:w="436" w:type="pct"/>
            <w:tcBorders>
              <w:top w:val="nil"/>
              <w:left w:val="nil"/>
              <w:bottom w:val="single" w:color="auto" w:sz="4" w:space="0"/>
              <w:right w:val="single" w:color="auto" w:sz="4" w:space="0"/>
            </w:tcBorders>
            <w:noWrap/>
            <w:vAlign w:val="bottom"/>
          </w:tcPr>
          <w:p w14:paraId="49B9F75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25600.00</w:t>
            </w:r>
          </w:p>
        </w:tc>
        <w:tc>
          <w:tcPr>
            <w:tcW w:w="436" w:type="pct"/>
            <w:tcBorders>
              <w:top w:val="nil"/>
              <w:left w:val="nil"/>
              <w:bottom w:val="single" w:color="auto" w:sz="4" w:space="0"/>
              <w:right w:val="single" w:color="auto" w:sz="4" w:space="0"/>
            </w:tcBorders>
            <w:noWrap/>
            <w:vAlign w:val="bottom"/>
          </w:tcPr>
          <w:p w14:paraId="7E52685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26182.00</w:t>
            </w:r>
          </w:p>
        </w:tc>
        <w:tc>
          <w:tcPr>
            <w:tcW w:w="436" w:type="pct"/>
            <w:tcBorders>
              <w:top w:val="nil"/>
              <w:left w:val="nil"/>
              <w:bottom w:val="single" w:color="auto" w:sz="4" w:space="0"/>
              <w:right w:val="single" w:color="auto" w:sz="4" w:space="0"/>
            </w:tcBorders>
            <w:noWrap/>
            <w:vAlign w:val="bottom"/>
          </w:tcPr>
          <w:p w14:paraId="3A79EA7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27540.00</w:t>
            </w:r>
          </w:p>
        </w:tc>
        <w:tc>
          <w:tcPr>
            <w:tcW w:w="1664" w:type="pct"/>
            <w:tcBorders>
              <w:top w:val="nil"/>
              <w:left w:val="nil"/>
              <w:bottom w:val="nil"/>
              <w:right w:val="nil"/>
            </w:tcBorders>
            <w:noWrap/>
            <w:vAlign w:val="bottom"/>
          </w:tcPr>
          <w:p w14:paraId="72247952">
            <w:pPr>
              <w:spacing w:after="240" w:line="360" w:lineRule="auto"/>
              <w:jc w:val="right"/>
              <w:rPr>
                <w:rFonts w:hint="default" w:ascii="Arial" w:hAnsi="Arial" w:eastAsia="Times New Roman" w:cs="Arial"/>
                <w:color w:val="000000"/>
                <w:sz w:val="24"/>
                <w:szCs w:val="24"/>
                <w:lang w:val="en-US"/>
              </w:rPr>
            </w:pPr>
          </w:p>
        </w:tc>
      </w:tr>
      <w:tr w14:paraId="62A9D547">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05281F8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Current Assets</w:t>
            </w:r>
          </w:p>
        </w:tc>
        <w:tc>
          <w:tcPr>
            <w:tcW w:w="436" w:type="pct"/>
            <w:tcBorders>
              <w:top w:val="nil"/>
              <w:left w:val="nil"/>
              <w:bottom w:val="single" w:color="auto" w:sz="4" w:space="0"/>
              <w:right w:val="single" w:color="auto" w:sz="4" w:space="0"/>
            </w:tcBorders>
            <w:noWrap/>
            <w:vAlign w:val="bottom"/>
          </w:tcPr>
          <w:p w14:paraId="6F4D69E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2900.00</w:t>
            </w:r>
          </w:p>
        </w:tc>
        <w:tc>
          <w:tcPr>
            <w:tcW w:w="436" w:type="pct"/>
            <w:tcBorders>
              <w:top w:val="nil"/>
              <w:left w:val="nil"/>
              <w:bottom w:val="single" w:color="auto" w:sz="4" w:space="0"/>
              <w:right w:val="single" w:color="auto" w:sz="4" w:space="0"/>
            </w:tcBorders>
            <w:noWrap/>
            <w:vAlign w:val="bottom"/>
          </w:tcPr>
          <w:p w14:paraId="07E4E58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3150.00</w:t>
            </w:r>
          </w:p>
        </w:tc>
        <w:tc>
          <w:tcPr>
            <w:tcW w:w="436" w:type="pct"/>
            <w:tcBorders>
              <w:top w:val="nil"/>
              <w:left w:val="nil"/>
              <w:bottom w:val="single" w:color="auto" w:sz="4" w:space="0"/>
              <w:right w:val="single" w:color="auto" w:sz="4" w:space="0"/>
            </w:tcBorders>
            <w:noWrap/>
            <w:vAlign w:val="bottom"/>
          </w:tcPr>
          <w:p w14:paraId="7345B2B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3300.00</w:t>
            </w:r>
          </w:p>
        </w:tc>
        <w:tc>
          <w:tcPr>
            <w:tcW w:w="436" w:type="pct"/>
            <w:tcBorders>
              <w:top w:val="nil"/>
              <w:left w:val="nil"/>
              <w:bottom w:val="single" w:color="auto" w:sz="4" w:space="0"/>
              <w:right w:val="single" w:color="auto" w:sz="4" w:space="0"/>
            </w:tcBorders>
            <w:noWrap/>
            <w:vAlign w:val="bottom"/>
          </w:tcPr>
          <w:p w14:paraId="53E63EC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3485.00</w:t>
            </w:r>
          </w:p>
        </w:tc>
        <w:tc>
          <w:tcPr>
            <w:tcW w:w="436" w:type="pct"/>
            <w:tcBorders>
              <w:top w:val="nil"/>
              <w:left w:val="nil"/>
              <w:bottom w:val="single" w:color="auto" w:sz="4" w:space="0"/>
              <w:right w:val="single" w:color="auto" w:sz="4" w:space="0"/>
            </w:tcBorders>
            <w:noWrap/>
            <w:vAlign w:val="bottom"/>
          </w:tcPr>
          <w:p w14:paraId="4302E43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3584.00</w:t>
            </w:r>
          </w:p>
        </w:tc>
        <w:tc>
          <w:tcPr>
            <w:tcW w:w="1664" w:type="pct"/>
            <w:tcBorders>
              <w:top w:val="nil"/>
              <w:left w:val="nil"/>
              <w:bottom w:val="nil"/>
              <w:right w:val="nil"/>
            </w:tcBorders>
            <w:noWrap/>
            <w:vAlign w:val="bottom"/>
          </w:tcPr>
          <w:p w14:paraId="60F99A85">
            <w:pPr>
              <w:spacing w:after="240" w:line="360" w:lineRule="auto"/>
              <w:jc w:val="right"/>
              <w:rPr>
                <w:rFonts w:hint="default" w:ascii="Arial" w:hAnsi="Arial" w:eastAsia="Times New Roman" w:cs="Arial"/>
                <w:color w:val="000000"/>
                <w:sz w:val="24"/>
                <w:szCs w:val="24"/>
                <w:lang w:val="en-US"/>
              </w:rPr>
            </w:pPr>
          </w:p>
        </w:tc>
      </w:tr>
      <w:tr w14:paraId="331F8A65">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2867F364">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Cash &amp; Equivalents</w:t>
            </w:r>
          </w:p>
        </w:tc>
        <w:tc>
          <w:tcPr>
            <w:tcW w:w="436" w:type="pct"/>
            <w:tcBorders>
              <w:top w:val="nil"/>
              <w:left w:val="nil"/>
              <w:bottom w:val="single" w:color="auto" w:sz="4" w:space="0"/>
              <w:right w:val="single" w:color="auto" w:sz="4" w:space="0"/>
            </w:tcBorders>
            <w:noWrap/>
            <w:vAlign w:val="bottom"/>
          </w:tcPr>
          <w:p w14:paraId="36F0FAB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750.00</w:t>
            </w:r>
          </w:p>
        </w:tc>
        <w:tc>
          <w:tcPr>
            <w:tcW w:w="436" w:type="pct"/>
            <w:tcBorders>
              <w:top w:val="nil"/>
              <w:left w:val="nil"/>
              <w:bottom w:val="single" w:color="auto" w:sz="4" w:space="0"/>
              <w:right w:val="single" w:color="auto" w:sz="4" w:space="0"/>
            </w:tcBorders>
            <w:noWrap/>
            <w:vAlign w:val="bottom"/>
          </w:tcPr>
          <w:p w14:paraId="55CE87C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620.00</w:t>
            </w:r>
          </w:p>
        </w:tc>
        <w:tc>
          <w:tcPr>
            <w:tcW w:w="436" w:type="pct"/>
            <w:tcBorders>
              <w:top w:val="nil"/>
              <w:left w:val="nil"/>
              <w:bottom w:val="single" w:color="auto" w:sz="4" w:space="0"/>
              <w:right w:val="single" w:color="auto" w:sz="4" w:space="0"/>
            </w:tcBorders>
            <w:noWrap/>
            <w:vAlign w:val="bottom"/>
          </w:tcPr>
          <w:p w14:paraId="6F3BECE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353.00</w:t>
            </w:r>
          </w:p>
        </w:tc>
        <w:tc>
          <w:tcPr>
            <w:tcW w:w="436" w:type="pct"/>
            <w:tcBorders>
              <w:top w:val="nil"/>
              <w:left w:val="nil"/>
              <w:bottom w:val="single" w:color="auto" w:sz="4" w:space="0"/>
              <w:right w:val="single" w:color="auto" w:sz="4" w:space="0"/>
            </w:tcBorders>
            <w:noWrap/>
            <w:vAlign w:val="bottom"/>
          </w:tcPr>
          <w:p w14:paraId="68FD482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396.00</w:t>
            </w:r>
          </w:p>
        </w:tc>
        <w:tc>
          <w:tcPr>
            <w:tcW w:w="436" w:type="pct"/>
            <w:tcBorders>
              <w:top w:val="nil"/>
              <w:left w:val="nil"/>
              <w:bottom w:val="single" w:color="auto" w:sz="4" w:space="0"/>
              <w:right w:val="single" w:color="auto" w:sz="4" w:space="0"/>
            </w:tcBorders>
            <w:noWrap/>
            <w:vAlign w:val="bottom"/>
          </w:tcPr>
          <w:p w14:paraId="57C66E1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358.00</w:t>
            </w:r>
          </w:p>
        </w:tc>
        <w:tc>
          <w:tcPr>
            <w:tcW w:w="1664" w:type="pct"/>
            <w:tcBorders>
              <w:top w:val="nil"/>
              <w:left w:val="nil"/>
              <w:bottom w:val="nil"/>
              <w:right w:val="nil"/>
            </w:tcBorders>
            <w:noWrap/>
            <w:vAlign w:val="bottom"/>
          </w:tcPr>
          <w:p w14:paraId="727950D9">
            <w:pPr>
              <w:spacing w:after="240" w:line="360" w:lineRule="auto"/>
              <w:jc w:val="right"/>
              <w:rPr>
                <w:rFonts w:hint="default" w:ascii="Arial" w:hAnsi="Arial" w:eastAsia="Times New Roman" w:cs="Arial"/>
                <w:color w:val="000000"/>
                <w:sz w:val="24"/>
                <w:szCs w:val="24"/>
                <w:lang w:val="en-US"/>
              </w:rPr>
            </w:pPr>
          </w:p>
        </w:tc>
      </w:tr>
      <w:tr w14:paraId="6FF12415">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5C0D1E6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Accounts Receivable</w:t>
            </w:r>
          </w:p>
        </w:tc>
        <w:tc>
          <w:tcPr>
            <w:tcW w:w="436" w:type="pct"/>
            <w:tcBorders>
              <w:top w:val="nil"/>
              <w:left w:val="nil"/>
              <w:bottom w:val="single" w:color="auto" w:sz="4" w:space="0"/>
              <w:right w:val="single" w:color="auto" w:sz="4" w:space="0"/>
            </w:tcBorders>
            <w:noWrap/>
            <w:vAlign w:val="bottom"/>
          </w:tcPr>
          <w:p w14:paraId="7E53595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2300.00</w:t>
            </w:r>
          </w:p>
        </w:tc>
        <w:tc>
          <w:tcPr>
            <w:tcW w:w="436" w:type="pct"/>
            <w:tcBorders>
              <w:top w:val="nil"/>
              <w:left w:val="nil"/>
              <w:bottom w:val="single" w:color="auto" w:sz="4" w:space="0"/>
              <w:right w:val="single" w:color="auto" w:sz="4" w:space="0"/>
            </w:tcBorders>
            <w:noWrap/>
            <w:vAlign w:val="bottom"/>
          </w:tcPr>
          <w:p w14:paraId="5E9719D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2550.00</w:t>
            </w:r>
          </w:p>
        </w:tc>
        <w:tc>
          <w:tcPr>
            <w:tcW w:w="436" w:type="pct"/>
            <w:tcBorders>
              <w:top w:val="nil"/>
              <w:left w:val="nil"/>
              <w:bottom w:val="single" w:color="auto" w:sz="4" w:space="0"/>
              <w:right w:val="single" w:color="auto" w:sz="4" w:space="0"/>
            </w:tcBorders>
            <w:noWrap/>
            <w:vAlign w:val="bottom"/>
          </w:tcPr>
          <w:p w14:paraId="65C873E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2680.00</w:t>
            </w:r>
          </w:p>
        </w:tc>
        <w:tc>
          <w:tcPr>
            <w:tcW w:w="436" w:type="pct"/>
            <w:tcBorders>
              <w:top w:val="nil"/>
              <w:left w:val="nil"/>
              <w:bottom w:val="single" w:color="auto" w:sz="4" w:space="0"/>
              <w:right w:val="single" w:color="auto" w:sz="4" w:space="0"/>
            </w:tcBorders>
            <w:noWrap/>
            <w:vAlign w:val="bottom"/>
          </w:tcPr>
          <w:p w14:paraId="561424D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2795.00</w:t>
            </w:r>
          </w:p>
        </w:tc>
        <w:tc>
          <w:tcPr>
            <w:tcW w:w="436" w:type="pct"/>
            <w:tcBorders>
              <w:top w:val="nil"/>
              <w:left w:val="nil"/>
              <w:bottom w:val="single" w:color="auto" w:sz="4" w:space="0"/>
              <w:right w:val="single" w:color="auto" w:sz="4" w:space="0"/>
            </w:tcBorders>
            <w:noWrap/>
            <w:vAlign w:val="bottom"/>
          </w:tcPr>
          <w:p w14:paraId="5DD6FCF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2909.00</w:t>
            </w:r>
          </w:p>
        </w:tc>
        <w:tc>
          <w:tcPr>
            <w:tcW w:w="1664" w:type="pct"/>
            <w:tcBorders>
              <w:top w:val="nil"/>
              <w:left w:val="nil"/>
              <w:bottom w:val="nil"/>
              <w:right w:val="nil"/>
            </w:tcBorders>
            <w:noWrap/>
            <w:vAlign w:val="bottom"/>
          </w:tcPr>
          <w:p w14:paraId="1BB4536C">
            <w:pPr>
              <w:spacing w:after="240" w:line="360" w:lineRule="auto"/>
              <w:jc w:val="right"/>
              <w:rPr>
                <w:rFonts w:hint="default" w:ascii="Arial" w:hAnsi="Arial" w:eastAsia="Times New Roman" w:cs="Arial"/>
                <w:color w:val="000000"/>
                <w:sz w:val="24"/>
                <w:szCs w:val="24"/>
                <w:lang w:val="en-US"/>
              </w:rPr>
            </w:pPr>
          </w:p>
        </w:tc>
      </w:tr>
      <w:tr w14:paraId="14FEE908">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11022F45">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Current Liabilities</w:t>
            </w:r>
          </w:p>
        </w:tc>
        <w:tc>
          <w:tcPr>
            <w:tcW w:w="436" w:type="pct"/>
            <w:tcBorders>
              <w:top w:val="nil"/>
              <w:left w:val="nil"/>
              <w:bottom w:val="single" w:color="auto" w:sz="4" w:space="0"/>
              <w:right w:val="single" w:color="auto" w:sz="4" w:space="0"/>
            </w:tcBorders>
            <w:noWrap/>
            <w:vAlign w:val="bottom"/>
          </w:tcPr>
          <w:p w14:paraId="1BDC247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7100.00</w:t>
            </w:r>
          </w:p>
        </w:tc>
        <w:tc>
          <w:tcPr>
            <w:tcW w:w="436" w:type="pct"/>
            <w:tcBorders>
              <w:top w:val="nil"/>
              <w:left w:val="nil"/>
              <w:bottom w:val="single" w:color="auto" w:sz="4" w:space="0"/>
              <w:right w:val="single" w:color="auto" w:sz="4" w:space="0"/>
            </w:tcBorders>
            <w:noWrap/>
            <w:vAlign w:val="bottom"/>
          </w:tcPr>
          <w:p w14:paraId="676EA34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7850.00</w:t>
            </w:r>
          </w:p>
        </w:tc>
        <w:tc>
          <w:tcPr>
            <w:tcW w:w="436" w:type="pct"/>
            <w:tcBorders>
              <w:top w:val="nil"/>
              <w:left w:val="nil"/>
              <w:bottom w:val="single" w:color="auto" w:sz="4" w:space="0"/>
              <w:right w:val="single" w:color="auto" w:sz="4" w:space="0"/>
            </w:tcBorders>
            <w:noWrap/>
            <w:vAlign w:val="bottom"/>
          </w:tcPr>
          <w:p w14:paraId="1A7A6BF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8150.00</w:t>
            </w:r>
          </w:p>
        </w:tc>
        <w:tc>
          <w:tcPr>
            <w:tcW w:w="436" w:type="pct"/>
            <w:tcBorders>
              <w:top w:val="nil"/>
              <w:left w:val="nil"/>
              <w:bottom w:val="single" w:color="auto" w:sz="4" w:space="0"/>
              <w:right w:val="single" w:color="auto" w:sz="4" w:space="0"/>
            </w:tcBorders>
            <w:noWrap/>
            <w:vAlign w:val="bottom"/>
          </w:tcPr>
          <w:p w14:paraId="658C39F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8649.00</w:t>
            </w:r>
          </w:p>
        </w:tc>
        <w:tc>
          <w:tcPr>
            <w:tcW w:w="436" w:type="pct"/>
            <w:tcBorders>
              <w:top w:val="nil"/>
              <w:left w:val="nil"/>
              <w:bottom w:val="single" w:color="auto" w:sz="4" w:space="0"/>
              <w:right w:val="single" w:color="auto" w:sz="4" w:space="0"/>
            </w:tcBorders>
            <w:noWrap/>
            <w:vAlign w:val="bottom"/>
          </w:tcPr>
          <w:p w14:paraId="4F98C02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8398.00</w:t>
            </w:r>
          </w:p>
        </w:tc>
        <w:tc>
          <w:tcPr>
            <w:tcW w:w="1664" w:type="pct"/>
            <w:tcBorders>
              <w:top w:val="nil"/>
              <w:left w:val="nil"/>
              <w:bottom w:val="nil"/>
              <w:right w:val="nil"/>
            </w:tcBorders>
            <w:noWrap/>
            <w:vAlign w:val="bottom"/>
          </w:tcPr>
          <w:p w14:paraId="320F6E15">
            <w:pPr>
              <w:spacing w:after="240" w:line="360" w:lineRule="auto"/>
              <w:jc w:val="right"/>
              <w:rPr>
                <w:rFonts w:hint="default" w:ascii="Arial" w:hAnsi="Arial" w:eastAsia="Times New Roman" w:cs="Arial"/>
                <w:color w:val="000000"/>
                <w:sz w:val="24"/>
                <w:szCs w:val="24"/>
                <w:lang w:val="en-US"/>
              </w:rPr>
            </w:pPr>
          </w:p>
        </w:tc>
      </w:tr>
      <w:tr w14:paraId="53FB6274">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123EA3BD">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Debt</w:t>
            </w:r>
          </w:p>
        </w:tc>
        <w:tc>
          <w:tcPr>
            <w:tcW w:w="436" w:type="pct"/>
            <w:tcBorders>
              <w:top w:val="nil"/>
              <w:left w:val="nil"/>
              <w:bottom w:val="single" w:color="auto" w:sz="4" w:space="0"/>
              <w:right w:val="single" w:color="auto" w:sz="4" w:space="0"/>
            </w:tcBorders>
            <w:noWrap/>
            <w:vAlign w:val="bottom"/>
          </w:tcPr>
          <w:p w14:paraId="081C363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11500.00</w:t>
            </w:r>
          </w:p>
        </w:tc>
        <w:tc>
          <w:tcPr>
            <w:tcW w:w="436" w:type="pct"/>
            <w:tcBorders>
              <w:top w:val="nil"/>
              <w:left w:val="nil"/>
              <w:bottom w:val="single" w:color="auto" w:sz="4" w:space="0"/>
              <w:right w:val="single" w:color="auto" w:sz="4" w:space="0"/>
            </w:tcBorders>
            <w:noWrap/>
            <w:vAlign w:val="bottom"/>
          </w:tcPr>
          <w:p w14:paraId="3D59C54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12600.00</w:t>
            </w:r>
          </w:p>
        </w:tc>
        <w:tc>
          <w:tcPr>
            <w:tcW w:w="436" w:type="pct"/>
            <w:tcBorders>
              <w:top w:val="nil"/>
              <w:left w:val="nil"/>
              <w:bottom w:val="single" w:color="auto" w:sz="4" w:space="0"/>
              <w:right w:val="single" w:color="auto" w:sz="4" w:space="0"/>
            </w:tcBorders>
            <w:noWrap/>
            <w:vAlign w:val="bottom"/>
          </w:tcPr>
          <w:p w14:paraId="37F2566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13500.00</w:t>
            </w:r>
          </w:p>
        </w:tc>
        <w:tc>
          <w:tcPr>
            <w:tcW w:w="436" w:type="pct"/>
            <w:tcBorders>
              <w:top w:val="nil"/>
              <w:left w:val="nil"/>
              <w:bottom w:val="single" w:color="auto" w:sz="4" w:space="0"/>
              <w:right w:val="single" w:color="auto" w:sz="4" w:space="0"/>
            </w:tcBorders>
            <w:noWrap/>
            <w:vAlign w:val="bottom"/>
          </w:tcPr>
          <w:p w14:paraId="66E9F2A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14447.00</w:t>
            </w:r>
          </w:p>
        </w:tc>
        <w:tc>
          <w:tcPr>
            <w:tcW w:w="436" w:type="pct"/>
            <w:tcBorders>
              <w:top w:val="nil"/>
              <w:left w:val="nil"/>
              <w:bottom w:val="single" w:color="auto" w:sz="4" w:space="0"/>
              <w:right w:val="single" w:color="auto" w:sz="4" w:space="0"/>
            </w:tcBorders>
            <w:noWrap/>
            <w:vAlign w:val="bottom"/>
          </w:tcPr>
          <w:p w14:paraId="380DE75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16204.00</w:t>
            </w:r>
          </w:p>
        </w:tc>
        <w:tc>
          <w:tcPr>
            <w:tcW w:w="1664" w:type="pct"/>
            <w:tcBorders>
              <w:top w:val="nil"/>
              <w:left w:val="nil"/>
              <w:bottom w:val="nil"/>
              <w:right w:val="nil"/>
            </w:tcBorders>
            <w:noWrap/>
            <w:vAlign w:val="bottom"/>
          </w:tcPr>
          <w:p w14:paraId="08703705">
            <w:pPr>
              <w:spacing w:after="240" w:line="360" w:lineRule="auto"/>
              <w:jc w:val="right"/>
              <w:rPr>
                <w:rFonts w:hint="default" w:ascii="Arial" w:hAnsi="Arial" w:eastAsia="Times New Roman" w:cs="Arial"/>
                <w:color w:val="000000"/>
                <w:sz w:val="24"/>
                <w:szCs w:val="24"/>
                <w:lang w:val="en-US"/>
              </w:rPr>
            </w:pPr>
          </w:p>
        </w:tc>
      </w:tr>
      <w:tr w14:paraId="105DEF73">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6DFCD959">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Long-Term Debt</w:t>
            </w:r>
          </w:p>
        </w:tc>
        <w:tc>
          <w:tcPr>
            <w:tcW w:w="436" w:type="pct"/>
            <w:tcBorders>
              <w:top w:val="nil"/>
              <w:left w:val="nil"/>
              <w:bottom w:val="single" w:color="auto" w:sz="4" w:space="0"/>
              <w:right w:val="single" w:color="auto" w:sz="4" w:space="0"/>
            </w:tcBorders>
            <w:noWrap/>
            <w:vAlign w:val="bottom"/>
          </w:tcPr>
          <w:p w14:paraId="182B2A0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10500.00</w:t>
            </w:r>
          </w:p>
        </w:tc>
        <w:tc>
          <w:tcPr>
            <w:tcW w:w="436" w:type="pct"/>
            <w:tcBorders>
              <w:top w:val="nil"/>
              <w:left w:val="nil"/>
              <w:bottom w:val="single" w:color="auto" w:sz="4" w:space="0"/>
              <w:right w:val="single" w:color="auto" w:sz="4" w:space="0"/>
            </w:tcBorders>
            <w:noWrap/>
            <w:vAlign w:val="bottom"/>
          </w:tcPr>
          <w:p w14:paraId="4AF87B1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11450.00</w:t>
            </w:r>
          </w:p>
        </w:tc>
        <w:tc>
          <w:tcPr>
            <w:tcW w:w="436" w:type="pct"/>
            <w:tcBorders>
              <w:top w:val="nil"/>
              <w:left w:val="nil"/>
              <w:bottom w:val="single" w:color="auto" w:sz="4" w:space="0"/>
              <w:right w:val="single" w:color="auto" w:sz="4" w:space="0"/>
            </w:tcBorders>
            <w:noWrap/>
            <w:vAlign w:val="bottom"/>
          </w:tcPr>
          <w:p w14:paraId="39977A8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12300.00</w:t>
            </w:r>
          </w:p>
        </w:tc>
        <w:tc>
          <w:tcPr>
            <w:tcW w:w="436" w:type="pct"/>
            <w:tcBorders>
              <w:top w:val="nil"/>
              <w:left w:val="nil"/>
              <w:bottom w:val="single" w:color="auto" w:sz="4" w:space="0"/>
              <w:right w:val="single" w:color="auto" w:sz="4" w:space="0"/>
            </w:tcBorders>
            <w:noWrap/>
            <w:vAlign w:val="bottom"/>
          </w:tcPr>
          <w:p w14:paraId="0343431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13138.00</w:t>
            </w:r>
          </w:p>
        </w:tc>
        <w:tc>
          <w:tcPr>
            <w:tcW w:w="436" w:type="pct"/>
            <w:tcBorders>
              <w:top w:val="nil"/>
              <w:left w:val="nil"/>
              <w:bottom w:val="single" w:color="auto" w:sz="4" w:space="0"/>
              <w:right w:val="single" w:color="auto" w:sz="4" w:space="0"/>
            </w:tcBorders>
            <w:noWrap/>
            <w:vAlign w:val="bottom"/>
          </w:tcPr>
          <w:p w14:paraId="4672755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14995.00</w:t>
            </w:r>
          </w:p>
        </w:tc>
        <w:tc>
          <w:tcPr>
            <w:tcW w:w="1664" w:type="pct"/>
            <w:tcBorders>
              <w:top w:val="nil"/>
              <w:left w:val="nil"/>
              <w:bottom w:val="nil"/>
              <w:right w:val="nil"/>
            </w:tcBorders>
            <w:noWrap/>
            <w:vAlign w:val="bottom"/>
          </w:tcPr>
          <w:p w14:paraId="300D7C15">
            <w:pPr>
              <w:spacing w:after="240" w:line="360" w:lineRule="auto"/>
              <w:jc w:val="right"/>
              <w:rPr>
                <w:rFonts w:hint="default" w:ascii="Arial" w:hAnsi="Arial" w:eastAsia="Times New Roman" w:cs="Arial"/>
                <w:color w:val="000000"/>
                <w:sz w:val="24"/>
                <w:szCs w:val="24"/>
                <w:lang w:val="en-US"/>
              </w:rPr>
            </w:pPr>
          </w:p>
        </w:tc>
      </w:tr>
      <w:tr w14:paraId="4843D106">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7EB7BCA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Interest Expense</w:t>
            </w:r>
          </w:p>
        </w:tc>
        <w:tc>
          <w:tcPr>
            <w:tcW w:w="436" w:type="pct"/>
            <w:tcBorders>
              <w:top w:val="nil"/>
              <w:left w:val="nil"/>
              <w:bottom w:val="single" w:color="auto" w:sz="4" w:space="0"/>
              <w:right w:val="single" w:color="auto" w:sz="4" w:space="0"/>
            </w:tcBorders>
            <w:noWrap/>
            <w:vAlign w:val="bottom"/>
          </w:tcPr>
          <w:p w14:paraId="69CC72F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450.00</w:t>
            </w:r>
          </w:p>
        </w:tc>
        <w:tc>
          <w:tcPr>
            <w:tcW w:w="436" w:type="pct"/>
            <w:tcBorders>
              <w:top w:val="nil"/>
              <w:left w:val="nil"/>
              <w:bottom w:val="single" w:color="auto" w:sz="4" w:space="0"/>
              <w:right w:val="single" w:color="auto" w:sz="4" w:space="0"/>
            </w:tcBorders>
            <w:noWrap/>
            <w:vAlign w:val="bottom"/>
          </w:tcPr>
          <w:p w14:paraId="6364092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510.00</w:t>
            </w:r>
          </w:p>
        </w:tc>
        <w:tc>
          <w:tcPr>
            <w:tcW w:w="436" w:type="pct"/>
            <w:tcBorders>
              <w:top w:val="nil"/>
              <w:left w:val="nil"/>
              <w:bottom w:val="single" w:color="auto" w:sz="4" w:space="0"/>
              <w:right w:val="single" w:color="auto" w:sz="4" w:space="0"/>
            </w:tcBorders>
            <w:noWrap/>
            <w:vAlign w:val="bottom"/>
          </w:tcPr>
          <w:p w14:paraId="0FC12F8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565.00</w:t>
            </w:r>
          </w:p>
        </w:tc>
        <w:tc>
          <w:tcPr>
            <w:tcW w:w="436" w:type="pct"/>
            <w:tcBorders>
              <w:top w:val="nil"/>
              <w:left w:val="nil"/>
              <w:bottom w:val="single" w:color="auto" w:sz="4" w:space="0"/>
              <w:right w:val="single" w:color="auto" w:sz="4" w:space="0"/>
            </w:tcBorders>
            <w:noWrap/>
            <w:vAlign w:val="bottom"/>
          </w:tcPr>
          <w:p w14:paraId="01495DF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695.00</w:t>
            </w:r>
          </w:p>
        </w:tc>
        <w:tc>
          <w:tcPr>
            <w:tcW w:w="436" w:type="pct"/>
            <w:tcBorders>
              <w:top w:val="nil"/>
              <w:left w:val="nil"/>
              <w:bottom w:val="single" w:color="auto" w:sz="4" w:space="0"/>
              <w:right w:val="single" w:color="auto" w:sz="4" w:space="0"/>
            </w:tcBorders>
            <w:noWrap/>
            <w:vAlign w:val="bottom"/>
          </w:tcPr>
          <w:p w14:paraId="76A73D6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809.00</w:t>
            </w:r>
          </w:p>
        </w:tc>
        <w:tc>
          <w:tcPr>
            <w:tcW w:w="1664" w:type="pct"/>
            <w:tcBorders>
              <w:top w:val="nil"/>
              <w:left w:val="nil"/>
              <w:bottom w:val="nil"/>
              <w:right w:val="nil"/>
            </w:tcBorders>
            <w:noWrap/>
            <w:vAlign w:val="bottom"/>
          </w:tcPr>
          <w:p w14:paraId="08EB5C62">
            <w:pPr>
              <w:spacing w:after="240" w:line="360" w:lineRule="auto"/>
              <w:jc w:val="right"/>
              <w:rPr>
                <w:rFonts w:hint="default" w:ascii="Arial" w:hAnsi="Arial" w:eastAsia="Times New Roman" w:cs="Arial"/>
                <w:color w:val="000000"/>
                <w:sz w:val="24"/>
                <w:szCs w:val="24"/>
                <w:lang w:val="en-US"/>
              </w:rPr>
            </w:pPr>
          </w:p>
        </w:tc>
      </w:tr>
      <w:tr w14:paraId="433279A7">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6CB6C09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Cash Flow</w:t>
            </w:r>
          </w:p>
        </w:tc>
        <w:tc>
          <w:tcPr>
            <w:tcW w:w="436" w:type="pct"/>
            <w:tcBorders>
              <w:top w:val="nil"/>
              <w:left w:val="nil"/>
              <w:bottom w:val="single" w:color="auto" w:sz="4" w:space="0"/>
              <w:right w:val="single" w:color="auto" w:sz="4" w:space="0"/>
            </w:tcBorders>
            <w:noWrap/>
            <w:vAlign w:val="bottom"/>
          </w:tcPr>
          <w:p w14:paraId="3A06A8B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2450.00</w:t>
            </w:r>
          </w:p>
        </w:tc>
        <w:tc>
          <w:tcPr>
            <w:tcW w:w="436" w:type="pct"/>
            <w:tcBorders>
              <w:top w:val="nil"/>
              <w:left w:val="nil"/>
              <w:bottom w:val="single" w:color="auto" w:sz="4" w:space="0"/>
              <w:right w:val="single" w:color="auto" w:sz="4" w:space="0"/>
            </w:tcBorders>
            <w:noWrap/>
            <w:vAlign w:val="bottom"/>
          </w:tcPr>
          <w:p w14:paraId="2C840C5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2850.00</w:t>
            </w:r>
          </w:p>
        </w:tc>
        <w:tc>
          <w:tcPr>
            <w:tcW w:w="436" w:type="pct"/>
            <w:tcBorders>
              <w:top w:val="nil"/>
              <w:left w:val="nil"/>
              <w:bottom w:val="single" w:color="auto" w:sz="4" w:space="0"/>
              <w:right w:val="single" w:color="auto" w:sz="4" w:space="0"/>
            </w:tcBorders>
            <w:noWrap/>
            <w:vAlign w:val="bottom"/>
          </w:tcPr>
          <w:p w14:paraId="60DA297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3170.00</w:t>
            </w:r>
          </w:p>
        </w:tc>
        <w:tc>
          <w:tcPr>
            <w:tcW w:w="436" w:type="pct"/>
            <w:tcBorders>
              <w:top w:val="nil"/>
              <w:left w:val="nil"/>
              <w:bottom w:val="single" w:color="auto" w:sz="4" w:space="0"/>
              <w:right w:val="single" w:color="auto" w:sz="4" w:space="0"/>
            </w:tcBorders>
            <w:noWrap/>
            <w:vAlign w:val="bottom"/>
          </w:tcPr>
          <w:p w14:paraId="2C768FF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2749.00</w:t>
            </w:r>
          </w:p>
        </w:tc>
        <w:tc>
          <w:tcPr>
            <w:tcW w:w="436" w:type="pct"/>
            <w:tcBorders>
              <w:top w:val="nil"/>
              <w:left w:val="nil"/>
              <w:bottom w:val="single" w:color="auto" w:sz="4" w:space="0"/>
              <w:right w:val="single" w:color="auto" w:sz="4" w:space="0"/>
            </w:tcBorders>
            <w:noWrap/>
            <w:vAlign w:val="bottom"/>
          </w:tcPr>
          <w:p w14:paraId="5B7E556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3212.00</w:t>
            </w:r>
          </w:p>
        </w:tc>
        <w:tc>
          <w:tcPr>
            <w:tcW w:w="1664" w:type="pct"/>
            <w:tcBorders>
              <w:top w:val="nil"/>
              <w:left w:val="nil"/>
              <w:bottom w:val="nil"/>
              <w:right w:val="nil"/>
            </w:tcBorders>
            <w:noWrap/>
            <w:vAlign w:val="bottom"/>
          </w:tcPr>
          <w:p w14:paraId="189FBD6B">
            <w:pPr>
              <w:spacing w:after="240" w:line="360" w:lineRule="auto"/>
              <w:jc w:val="right"/>
              <w:rPr>
                <w:rFonts w:hint="default" w:ascii="Arial" w:hAnsi="Arial" w:eastAsia="Times New Roman" w:cs="Arial"/>
                <w:color w:val="000000"/>
                <w:sz w:val="24"/>
                <w:szCs w:val="24"/>
                <w:lang w:val="en-US"/>
              </w:rPr>
            </w:pPr>
          </w:p>
        </w:tc>
      </w:tr>
      <w:tr w14:paraId="766A22E3">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0271D5F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Capital Expenditure</w:t>
            </w:r>
          </w:p>
        </w:tc>
        <w:tc>
          <w:tcPr>
            <w:tcW w:w="436" w:type="pct"/>
            <w:tcBorders>
              <w:top w:val="nil"/>
              <w:left w:val="nil"/>
              <w:bottom w:val="single" w:color="auto" w:sz="4" w:space="0"/>
              <w:right w:val="single" w:color="auto" w:sz="4" w:space="0"/>
            </w:tcBorders>
            <w:noWrap/>
            <w:vAlign w:val="bottom"/>
          </w:tcPr>
          <w:p w14:paraId="6429ED1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380.00</w:t>
            </w:r>
          </w:p>
        </w:tc>
        <w:tc>
          <w:tcPr>
            <w:tcW w:w="436" w:type="pct"/>
            <w:tcBorders>
              <w:top w:val="nil"/>
              <w:left w:val="nil"/>
              <w:bottom w:val="single" w:color="auto" w:sz="4" w:space="0"/>
              <w:right w:val="single" w:color="auto" w:sz="4" w:space="0"/>
            </w:tcBorders>
            <w:noWrap/>
            <w:vAlign w:val="bottom"/>
          </w:tcPr>
          <w:p w14:paraId="377AA54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420.00</w:t>
            </w:r>
          </w:p>
        </w:tc>
        <w:tc>
          <w:tcPr>
            <w:tcW w:w="436" w:type="pct"/>
            <w:tcBorders>
              <w:top w:val="nil"/>
              <w:left w:val="nil"/>
              <w:bottom w:val="single" w:color="auto" w:sz="4" w:space="0"/>
              <w:right w:val="single" w:color="auto" w:sz="4" w:space="0"/>
            </w:tcBorders>
            <w:noWrap/>
            <w:vAlign w:val="bottom"/>
          </w:tcPr>
          <w:p w14:paraId="7723EF5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452.00</w:t>
            </w:r>
          </w:p>
        </w:tc>
        <w:tc>
          <w:tcPr>
            <w:tcW w:w="436" w:type="pct"/>
            <w:tcBorders>
              <w:top w:val="nil"/>
              <w:left w:val="nil"/>
              <w:bottom w:val="single" w:color="auto" w:sz="4" w:space="0"/>
              <w:right w:val="single" w:color="auto" w:sz="4" w:space="0"/>
            </w:tcBorders>
            <w:noWrap/>
            <w:vAlign w:val="bottom"/>
          </w:tcPr>
          <w:p w14:paraId="38A2705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750.00</w:t>
            </w:r>
          </w:p>
        </w:tc>
        <w:tc>
          <w:tcPr>
            <w:tcW w:w="436" w:type="pct"/>
            <w:tcBorders>
              <w:top w:val="nil"/>
              <w:left w:val="nil"/>
              <w:bottom w:val="single" w:color="auto" w:sz="4" w:space="0"/>
              <w:right w:val="single" w:color="auto" w:sz="4" w:space="0"/>
            </w:tcBorders>
            <w:noWrap/>
            <w:vAlign w:val="bottom"/>
          </w:tcPr>
          <w:p w14:paraId="4ABCA43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604.00</w:t>
            </w:r>
          </w:p>
        </w:tc>
        <w:tc>
          <w:tcPr>
            <w:tcW w:w="1664" w:type="pct"/>
            <w:tcBorders>
              <w:top w:val="nil"/>
              <w:left w:val="nil"/>
              <w:bottom w:val="nil"/>
              <w:right w:val="nil"/>
            </w:tcBorders>
            <w:noWrap/>
            <w:vAlign w:val="bottom"/>
          </w:tcPr>
          <w:p w14:paraId="41F5311E">
            <w:pPr>
              <w:spacing w:after="240" w:line="360" w:lineRule="auto"/>
              <w:jc w:val="right"/>
              <w:rPr>
                <w:rFonts w:hint="default" w:ascii="Arial" w:hAnsi="Arial" w:eastAsia="Times New Roman" w:cs="Arial"/>
                <w:color w:val="000000"/>
                <w:sz w:val="24"/>
                <w:szCs w:val="24"/>
                <w:lang w:val="en-US"/>
              </w:rPr>
            </w:pPr>
          </w:p>
        </w:tc>
      </w:tr>
      <w:tr w14:paraId="5A8EDC1E">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60C95A3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EPS (Diluted)</w:t>
            </w:r>
          </w:p>
        </w:tc>
        <w:tc>
          <w:tcPr>
            <w:tcW w:w="436" w:type="pct"/>
            <w:tcBorders>
              <w:top w:val="nil"/>
              <w:left w:val="nil"/>
              <w:bottom w:val="single" w:color="auto" w:sz="4" w:space="0"/>
              <w:right w:val="single" w:color="auto" w:sz="4" w:space="0"/>
            </w:tcBorders>
            <w:noWrap/>
            <w:vAlign w:val="bottom"/>
          </w:tcPr>
          <w:p w14:paraId="2797FF6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6.75</w:t>
            </w:r>
          </w:p>
        </w:tc>
        <w:tc>
          <w:tcPr>
            <w:tcW w:w="436" w:type="pct"/>
            <w:tcBorders>
              <w:top w:val="nil"/>
              <w:left w:val="nil"/>
              <w:bottom w:val="single" w:color="auto" w:sz="4" w:space="0"/>
              <w:right w:val="single" w:color="auto" w:sz="4" w:space="0"/>
            </w:tcBorders>
            <w:noWrap/>
            <w:vAlign w:val="bottom"/>
          </w:tcPr>
          <w:p w14:paraId="0D2EB89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8.85</w:t>
            </w:r>
          </w:p>
        </w:tc>
        <w:tc>
          <w:tcPr>
            <w:tcW w:w="436" w:type="pct"/>
            <w:tcBorders>
              <w:top w:val="nil"/>
              <w:left w:val="nil"/>
              <w:bottom w:val="single" w:color="auto" w:sz="4" w:space="0"/>
              <w:right w:val="single" w:color="auto" w:sz="4" w:space="0"/>
            </w:tcBorders>
            <w:noWrap/>
            <w:vAlign w:val="bottom"/>
          </w:tcPr>
          <w:p w14:paraId="546C30F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10.18</w:t>
            </w:r>
          </w:p>
        </w:tc>
        <w:tc>
          <w:tcPr>
            <w:tcW w:w="436" w:type="pct"/>
            <w:tcBorders>
              <w:top w:val="nil"/>
              <w:left w:val="nil"/>
              <w:bottom w:val="single" w:color="auto" w:sz="4" w:space="0"/>
              <w:right w:val="single" w:color="auto" w:sz="4" w:space="0"/>
            </w:tcBorders>
            <w:noWrap/>
            <w:vAlign w:val="bottom"/>
          </w:tcPr>
          <w:p w14:paraId="559FC28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8.33</w:t>
            </w:r>
          </w:p>
        </w:tc>
        <w:tc>
          <w:tcPr>
            <w:tcW w:w="436" w:type="pct"/>
            <w:tcBorders>
              <w:top w:val="nil"/>
              <w:left w:val="nil"/>
              <w:bottom w:val="single" w:color="auto" w:sz="4" w:space="0"/>
              <w:right w:val="single" w:color="auto" w:sz="4" w:space="0"/>
            </w:tcBorders>
            <w:noWrap/>
            <w:vAlign w:val="bottom"/>
          </w:tcPr>
          <w:p w14:paraId="6CF6C1D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9.51</w:t>
            </w:r>
          </w:p>
        </w:tc>
        <w:tc>
          <w:tcPr>
            <w:tcW w:w="1664" w:type="pct"/>
            <w:tcBorders>
              <w:top w:val="nil"/>
              <w:left w:val="nil"/>
              <w:bottom w:val="nil"/>
              <w:right w:val="nil"/>
            </w:tcBorders>
            <w:noWrap/>
            <w:vAlign w:val="bottom"/>
          </w:tcPr>
          <w:p w14:paraId="5176EDD5">
            <w:pPr>
              <w:spacing w:after="240" w:line="360" w:lineRule="auto"/>
              <w:jc w:val="right"/>
              <w:rPr>
                <w:rFonts w:hint="default" w:ascii="Arial" w:hAnsi="Arial" w:eastAsia="Times New Roman" w:cs="Arial"/>
                <w:color w:val="000000"/>
                <w:sz w:val="24"/>
                <w:szCs w:val="24"/>
                <w:lang w:val="en-US"/>
              </w:rPr>
            </w:pPr>
          </w:p>
        </w:tc>
      </w:tr>
      <w:tr w14:paraId="294256F5">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noWrap/>
            <w:vAlign w:val="bottom"/>
          </w:tcPr>
          <w:p w14:paraId="359F5FA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DPS</w:t>
            </w:r>
          </w:p>
        </w:tc>
        <w:tc>
          <w:tcPr>
            <w:tcW w:w="436" w:type="pct"/>
            <w:tcBorders>
              <w:top w:val="nil"/>
              <w:left w:val="nil"/>
              <w:bottom w:val="single" w:color="auto" w:sz="4" w:space="0"/>
              <w:right w:val="single" w:color="auto" w:sz="4" w:space="0"/>
            </w:tcBorders>
            <w:noWrap/>
            <w:vAlign w:val="bottom"/>
          </w:tcPr>
          <w:p w14:paraId="3E24C9E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1.32</w:t>
            </w:r>
          </w:p>
        </w:tc>
        <w:tc>
          <w:tcPr>
            <w:tcW w:w="436" w:type="pct"/>
            <w:tcBorders>
              <w:top w:val="nil"/>
              <w:left w:val="nil"/>
              <w:bottom w:val="single" w:color="auto" w:sz="4" w:space="0"/>
              <w:right w:val="single" w:color="auto" w:sz="4" w:space="0"/>
            </w:tcBorders>
            <w:noWrap/>
            <w:vAlign w:val="bottom"/>
          </w:tcPr>
          <w:p w14:paraId="24628D0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1.56</w:t>
            </w:r>
          </w:p>
        </w:tc>
        <w:tc>
          <w:tcPr>
            <w:tcW w:w="436" w:type="pct"/>
            <w:tcBorders>
              <w:top w:val="nil"/>
              <w:left w:val="nil"/>
              <w:bottom w:val="single" w:color="auto" w:sz="4" w:space="0"/>
              <w:right w:val="single" w:color="auto" w:sz="4" w:space="0"/>
            </w:tcBorders>
            <w:noWrap/>
            <w:vAlign w:val="bottom"/>
          </w:tcPr>
          <w:p w14:paraId="73C8B41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1.96</w:t>
            </w:r>
          </w:p>
        </w:tc>
        <w:tc>
          <w:tcPr>
            <w:tcW w:w="436" w:type="pct"/>
            <w:tcBorders>
              <w:top w:val="nil"/>
              <w:left w:val="nil"/>
              <w:bottom w:val="single" w:color="auto" w:sz="4" w:space="0"/>
              <w:right w:val="single" w:color="auto" w:sz="4" w:space="0"/>
            </w:tcBorders>
            <w:noWrap/>
            <w:vAlign w:val="bottom"/>
          </w:tcPr>
          <w:p w14:paraId="75B17D7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2.41</w:t>
            </w:r>
          </w:p>
        </w:tc>
        <w:tc>
          <w:tcPr>
            <w:tcW w:w="436" w:type="pct"/>
            <w:tcBorders>
              <w:top w:val="nil"/>
              <w:left w:val="nil"/>
              <w:bottom w:val="single" w:color="auto" w:sz="4" w:space="0"/>
              <w:right w:val="single" w:color="auto" w:sz="4" w:space="0"/>
            </w:tcBorders>
            <w:noWrap/>
            <w:vAlign w:val="bottom"/>
          </w:tcPr>
          <w:p w14:paraId="3527378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2.64</w:t>
            </w:r>
          </w:p>
        </w:tc>
        <w:tc>
          <w:tcPr>
            <w:tcW w:w="1664" w:type="pct"/>
            <w:tcBorders>
              <w:top w:val="nil"/>
              <w:left w:val="nil"/>
              <w:bottom w:val="nil"/>
              <w:right w:val="nil"/>
            </w:tcBorders>
            <w:noWrap/>
            <w:vAlign w:val="bottom"/>
          </w:tcPr>
          <w:p w14:paraId="3C8A85F8">
            <w:pPr>
              <w:spacing w:after="240" w:line="360" w:lineRule="auto"/>
              <w:jc w:val="right"/>
              <w:rPr>
                <w:rFonts w:hint="default" w:ascii="Arial" w:hAnsi="Arial" w:eastAsia="Times New Roman" w:cs="Arial"/>
                <w:color w:val="000000"/>
                <w:sz w:val="24"/>
                <w:szCs w:val="24"/>
                <w:lang w:val="en-US"/>
              </w:rPr>
            </w:pPr>
          </w:p>
        </w:tc>
      </w:tr>
      <w:tr w14:paraId="04DD11BF">
        <w:tblPrEx>
          <w:tblCellMar>
            <w:top w:w="0" w:type="dxa"/>
            <w:left w:w="108" w:type="dxa"/>
            <w:bottom w:w="0" w:type="dxa"/>
            <w:right w:w="108" w:type="dxa"/>
          </w:tblCellMar>
        </w:tblPrEx>
        <w:trPr>
          <w:trHeight w:val="300" w:hRule="atLeast"/>
        </w:trPr>
        <w:tc>
          <w:tcPr>
            <w:tcW w:w="3336" w:type="pct"/>
            <w:gridSpan w:val="6"/>
            <w:tcBorders>
              <w:top w:val="single" w:color="auto" w:sz="4" w:space="0"/>
              <w:left w:val="single" w:color="auto" w:sz="4" w:space="0"/>
              <w:bottom w:val="single" w:color="auto" w:sz="4" w:space="0"/>
              <w:right w:val="single" w:color="auto" w:sz="4" w:space="0"/>
            </w:tcBorders>
            <w:noWrap/>
            <w:vAlign w:val="bottom"/>
          </w:tcPr>
          <w:p w14:paraId="710EC300">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Profitability Ratios</w:t>
            </w:r>
          </w:p>
        </w:tc>
        <w:tc>
          <w:tcPr>
            <w:tcW w:w="1664" w:type="pct"/>
            <w:tcBorders>
              <w:top w:val="nil"/>
              <w:left w:val="nil"/>
              <w:bottom w:val="nil"/>
              <w:right w:val="nil"/>
            </w:tcBorders>
            <w:noWrap/>
            <w:vAlign w:val="bottom"/>
          </w:tcPr>
          <w:p w14:paraId="5E5BDA93">
            <w:pPr>
              <w:spacing w:after="240" w:line="360" w:lineRule="auto"/>
              <w:rPr>
                <w:rFonts w:hint="default" w:ascii="Arial" w:hAnsi="Arial" w:eastAsia="Times New Roman" w:cs="Arial"/>
                <w:color w:val="000000"/>
                <w:sz w:val="24"/>
                <w:szCs w:val="24"/>
                <w:lang w:val="en-US"/>
              </w:rPr>
            </w:pPr>
          </w:p>
        </w:tc>
      </w:tr>
      <w:tr w14:paraId="509C3A76">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2FFE85C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Profit Margin</w:t>
            </w:r>
          </w:p>
        </w:tc>
        <w:tc>
          <w:tcPr>
            <w:tcW w:w="436" w:type="pct"/>
            <w:tcBorders>
              <w:top w:val="nil"/>
              <w:left w:val="nil"/>
              <w:bottom w:val="single" w:color="auto" w:sz="4" w:space="0"/>
              <w:right w:val="single" w:color="auto" w:sz="4" w:space="0"/>
            </w:tcBorders>
            <w:vAlign w:val="center"/>
          </w:tcPr>
          <w:p w14:paraId="525F28B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0.14</w:t>
            </w:r>
          </w:p>
        </w:tc>
        <w:tc>
          <w:tcPr>
            <w:tcW w:w="436" w:type="pct"/>
            <w:tcBorders>
              <w:top w:val="nil"/>
              <w:left w:val="nil"/>
              <w:bottom w:val="single" w:color="auto" w:sz="4" w:space="0"/>
              <w:right w:val="single" w:color="auto" w:sz="4" w:space="0"/>
            </w:tcBorders>
            <w:vAlign w:val="center"/>
          </w:tcPr>
          <w:p w14:paraId="27AAC7C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0.15</w:t>
            </w:r>
          </w:p>
        </w:tc>
        <w:tc>
          <w:tcPr>
            <w:tcW w:w="436" w:type="pct"/>
            <w:tcBorders>
              <w:top w:val="nil"/>
              <w:left w:val="nil"/>
              <w:bottom w:val="single" w:color="auto" w:sz="4" w:space="0"/>
              <w:right w:val="single" w:color="auto" w:sz="4" w:space="0"/>
            </w:tcBorders>
            <w:vAlign w:val="center"/>
          </w:tcPr>
          <w:p w14:paraId="5DBE22E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0.16</w:t>
            </w:r>
          </w:p>
        </w:tc>
        <w:tc>
          <w:tcPr>
            <w:tcW w:w="436" w:type="pct"/>
            <w:tcBorders>
              <w:top w:val="nil"/>
              <w:left w:val="nil"/>
              <w:bottom w:val="single" w:color="auto" w:sz="4" w:space="0"/>
              <w:right w:val="single" w:color="auto" w:sz="4" w:space="0"/>
            </w:tcBorders>
            <w:vAlign w:val="center"/>
          </w:tcPr>
          <w:p w14:paraId="624F134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0.15</w:t>
            </w:r>
          </w:p>
        </w:tc>
        <w:tc>
          <w:tcPr>
            <w:tcW w:w="436" w:type="pct"/>
            <w:tcBorders>
              <w:top w:val="nil"/>
              <w:left w:val="nil"/>
              <w:bottom w:val="single" w:color="auto" w:sz="4" w:space="0"/>
              <w:right w:val="single" w:color="auto" w:sz="4" w:space="0"/>
            </w:tcBorders>
            <w:vAlign w:val="center"/>
          </w:tcPr>
          <w:p w14:paraId="0EA3463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0.16</w:t>
            </w:r>
          </w:p>
        </w:tc>
        <w:tc>
          <w:tcPr>
            <w:tcW w:w="1664" w:type="pct"/>
            <w:tcBorders>
              <w:top w:val="single" w:color="auto" w:sz="4" w:space="0"/>
              <w:left w:val="nil"/>
              <w:bottom w:val="single" w:color="auto" w:sz="4" w:space="0"/>
              <w:right w:val="single" w:color="auto" w:sz="4" w:space="0"/>
            </w:tcBorders>
            <w:noWrap/>
            <w:vAlign w:val="center"/>
          </w:tcPr>
          <w:p w14:paraId="28C9610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Income / Revenue</w:t>
            </w:r>
          </w:p>
        </w:tc>
      </w:tr>
      <w:tr w14:paraId="58EE2ECA">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147B907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Profit Margin</w:t>
            </w:r>
          </w:p>
        </w:tc>
        <w:tc>
          <w:tcPr>
            <w:tcW w:w="436" w:type="pct"/>
            <w:tcBorders>
              <w:top w:val="nil"/>
              <w:left w:val="nil"/>
              <w:bottom w:val="single" w:color="auto" w:sz="4" w:space="0"/>
              <w:right w:val="single" w:color="auto" w:sz="4" w:space="0"/>
            </w:tcBorders>
            <w:vAlign w:val="center"/>
          </w:tcPr>
          <w:p w14:paraId="6361152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0.10</w:t>
            </w:r>
          </w:p>
        </w:tc>
        <w:tc>
          <w:tcPr>
            <w:tcW w:w="436" w:type="pct"/>
            <w:tcBorders>
              <w:top w:val="nil"/>
              <w:left w:val="nil"/>
              <w:bottom w:val="single" w:color="auto" w:sz="4" w:space="0"/>
              <w:right w:val="single" w:color="auto" w:sz="4" w:space="0"/>
            </w:tcBorders>
            <w:vAlign w:val="center"/>
          </w:tcPr>
          <w:p w14:paraId="1E74FAF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0.12</w:t>
            </w:r>
          </w:p>
        </w:tc>
        <w:tc>
          <w:tcPr>
            <w:tcW w:w="436" w:type="pct"/>
            <w:tcBorders>
              <w:top w:val="nil"/>
              <w:left w:val="nil"/>
              <w:bottom w:val="single" w:color="auto" w:sz="4" w:space="0"/>
              <w:right w:val="single" w:color="auto" w:sz="4" w:space="0"/>
            </w:tcBorders>
            <w:vAlign w:val="center"/>
          </w:tcPr>
          <w:p w14:paraId="08CCBD5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0.13</w:t>
            </w:r>
          </w:p>
        </w:tc>
        <w:tc>
          <w:tcPr>
            <w:tcW w:w="436" w:type="pct"/>
            <w:tcBorders>
              <w:top w:val="nil"/>
              <w:left w:val="nil"/>
              <w:bottom w:val="single" w:color="auto" w:sz="4" w:space="0"/>
              <w:right w:val="single" w:color="auto" w:sz="4" w:space="0"/>
            </w:tcBorders>
            <w:vAlign w:val="center"/>
          </w:tcPr>
          <w:p w14:paraId="31892DE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0.09</w:t>
            </w:r>
          </w:p>
        </w:tc>
        <w:tc>
          <w:tcPr>
            <w:tcW w:w="436" w:type="pct"/>
            <w:tcBorders>
              <w:top w:val="nil"/>
              <w:left w:val="nil"/>
              <w:bottom w:val="single" w:color="auto" w:sz="4" w:space="0"/>
              <w:right w:val="single" w:color="auto" w:sz="4" w:space="0"/>
            </w:tcBorders>
            <w:vAlign w:val="center"/>
          </w:tcPr>
          <w:p w14:paraId="76B34C6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0.10</w:t>
            </w:r>
          </w:p>
        </w:tc>
        <w:tc>
          <w:tcPr>
            <w:tcW w:w="1664" w:type="pct"/>
            <w:tcBorders>
              <w:top w:val="nil"/>
              <w:left w:val="nil"/>
              <w:bottom w:val="single" w:color="auto" w:sz="4" w:space="0"/>
              <w:right w:val="single" w:color="auto" w:sz="4" w:space="0"/>
            </w:tcBorders>
            <w:noWrap/>
            <w:vAlign w:val="center"/>
          </w:tcPr>
          <w:p w14:paraId="57865EC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Income / Revenue</w:t>
            </w:r>
          </w:p>
        </w:tc>
      </w:tr>
      <w:tr w14:paraId="1246D38A">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4485CDF4">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ROA</w:t>
            </w:r>
          </w:p>
        </w:tc>
        <w:tc>
          <w:tcPr>
            <w:tcW w:w="436" w:type="pct"/>
            <w:tcBorders>
              <w:top w:val="nil"/>
              <w:left w:val="nil"/>
              <w:bottom w:val="single" w:color="auto" w:sz="4" w:space="0"/>
              <w:right w:val="single" w:color="auto" w:sz="4" w:space="0"/>
            </w:tcBorders>
            <w:vAlign w:val="center"/>
          </w:tcPr>
          <w:p w14:paraId="5C3AE9E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0.08</w:t>
            </w:r>
          </w:p>
        </w:tc>
        <w:tc>
          <w:tcPr>
            <w:tcW w:w="436" w:type="pct"/>
            <w:tcBorders>
              <w:top w:val="nil"/>
              <w:left w:val="nil"/>
              <w:bottom w:val="single" w:color="auto" w:sz="4" w:space="0"/>
              <w:right w:val="single" w:color="auto" w:sz="4" w:space="0"/>
            </w:tcBorders>
            <w:vAlign w:val="center"/>
          </w:tcPr>
          <w:p w14:paraId="5B2CEC3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0.11</w:t>
            </w:r>
          </w:p>
        </w:tc>
        <w:tc>
          <w:tcPr>
            <w:tcW w:w="436" w:type="pct"/>
            <w:tcBorders>
              <w:top w:val="nil"/>
              <w:left w:val="nil"/>
              <w:bottom w:val="single" w:color="auto" w:sz="4" w:space="0"/>
              <w:right w:val="single" w:color="auto" w:sz="4" w:space="0"/>
            </w:tcBorders>
            <w:vAlign w:val="center"/>
          </w:tcPr>
          <w:p w14:paraId="656F8A0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0.12</w:t>
            </w:r>
          </w:p>
        </w:tc>
        <w:tc>
          <w:tcPr>
            <w:tcW w:w="436" w:type="pct"/>
            <w:tcBorders>
              <w:top w:val="nil"/>
              <w:left w:val="nil"/>
              <w:bottom w:val="single" w:color="auto" w:sz="4" w:space="0"/>
              <w:right w:val="single" w:color="auto" w:sz="4" w:space="0"/>
            </w:tcBorders>
            <w:vAlign w:val="center"/>
          </w:tcPr>
          <w:p w14:paraId="030FB67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0.09</w:t>
            </w:r>
          </w:p>
        </w:tc>
        <w:tc>
          <w:tcPr>
            <w:tcW w:w="436" w:type="pct"/>
            <w:tcBorders>
              <w:top w:val="nil"/>
              <w:left w:val="nil"/>
              <w:bottom w:val="single" w:color="auto" w:sz="4" w:space="0"/>
              <w:right w:val="single" w:color="auto" w:sz="4" w:space="0"/>
            </w:tcBorders>
            <w:vAlign w:val="center"/>
          </w:tcPr>
          <w:p w14:paraId="0CD6DCD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0.09</w:t>
            </w:r>
          </w:p>
        </w:tc>
        <w:tc>
          <w:tcPr>
            <w:tcW w:w="1664" w:type="pct"/>
            <w:tcBorders>
              <w:top w:val="nil"/>
              <w:left w:val="nil"/>
              <w:bottom w:val="single" w:color="auto" w:sz="4" w:space="0"/>
              <w:right w:val="single" w:color="auto" w:sz="4" w:space="0"/>
            </w:tcBorders>
            <w:noWrap/>
            <w:vAlign w:val="center"/>
          </w:tcPr>
          <w:p w14:paraId="29E35BD5">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Income / Total Assets</w:t>
            </w:r>
          </w:p>
        </w:tc>
      </w:tr>
      <w:tr w14:paraId="5E62E1CE">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422DFF35">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Asset Turnover</w:t>
            </w:r>
          </w:p>
        </w:tc>
        <w:tc>
          <w:tcPr>
            <w:tcW w:w="436" w:type="pct"/>
            <w:tcBorders>
              <w:top w:val="nil"/>
              <w:left w:val="nil"/>
              <w:bottom w:val="single" w:color="auto" w:sz="4" w:space="0"/>
              <w:right w:val="single" w:color="auto" w:sz="4" w:space="0"/>
            </w:tcBorders>
            <w:vAlign w:val="center"/>
          </w:tcPr>
          <w:p w14:paraId="79A45A9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0.85</w:t>
            </w:r>
          </w:p>
        </w:tc>
        <w:tc>
          <w:tcPr>
            <w:tcW w:w="436" w:type="pct"/>
            <w:tcBorders>
              <w:top w:val="nil"/>
              <w:left w:val="nil"/>
              <w:bottom w:val="single" w:color="auto" w:sz="4" w:space="0"/>
              <w:right w:val="single" w:color="auto" w:sz="4" w:space="0"/>
            </w:tcBorders>
            <w:vAlign w:val="center"/>
          </w:tcPr>
          <w:p w14:paraId="3133921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0.89</w:t>
            </w:r>
          </w:p>
        </w:tc>
        <w:tc>
          <w:tcPr>
            <w:tcW w:w="436" w:type="pct"/>
            <w:tcBorders>
              <w:top w:val="nil"/>
              <w:left w:val="nil"/>
              <w:bottom w:val="single" w:color="auto" w:sz="4" w:space="0"/>
              <w:right w:val="single" w:color="auto" w:sz="4" w:space="0"/>
            </w:tcBorders>
            <w:vAlign w:val="center"/>
          </w:tcPr>
          <w:p w14:paraId="2279652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0.93</w:t>
            </w:r>
          </w:p>
        </w:tc>
        <w:tc>
          <w:tcPr>
            <w:tcW w:w="436" w:type="pct"/>
            <w:tcBorders>
              <w:top w:val="nil"/>
              <w:left w:val="nil"/>
              <w:bottom w:val="single" w:color="auto" w:sz="4" w:space="0"/>
              <w:right w:val="single" w:color="auto" w:sz="4" w:space="0"/>
            </w:tcBorders>
            <w:vAlign w:val="center"/>
          </w:tcPr>
          <w:p w14:paraId="2629BA3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0.96</w:t>
            </w:r>
          </w:p>
        </w:tc>
        <w:tc>
          <w:tcPr>
            <w:tcW w:w="436" w:type="pct"/>
            <w:tcBorders>
              <w:top w:val="nil"/>
              <w:left w:val="nil"/>
              <w:bottom w:val="single" w:color="auto" w:sz="4" w:space="0"/>
              <w:right w:val="single" w:color="auto" w:sz="4" w:space="0"/>
            </w:tcBorders>
            <w:vAlign w:val="center"/>
          </w:tcPr>
          <w:p w14:paraId="29D8D8C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0.95</w:t>
            </w:r>
          </w:p>
        </w:tc>
        <w:tc>
          <w:tcPr>
            <w:tcW w:w="1664" w:type="pct"/>
            <w:tcBorders>
              <w:top w:val="nil"/>
              <w:left w:val="nil"/>
              <w:bottom w:val="single" w:color="auto" w:sz="4" w:space="0"/>
              <w:right w:val="single" w:color="auto" w:sz="4" w:space="0"/>
            </w:tcBorders>
            <w:noWrap/>
            <w:vAlign w:val="bottom"/>
          </w:tcPr>
          <w:p w14:paraId="7F00D7C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Revenue / Total Assets</w:t>
            </w:r>
          </w:p>
        </w:tc>
      </w:tr>
      <w:tr w14:paraId="1719A158">
        <w:tblPrEx>
          <w:tblCellMar>
            <w:top w:w="0" w:type="dxa"/>
            <w:left w:w="108" w:type="dxa"/>
            <w:bottom w:w="0" w:type="dxa"/>
            <w:right w:w="108" w:type="dxa"/>
          </w:tblCellMar>
        </w:tblPrEx>
        <w:trPr>
          <w:trHeight w:val="300" w:hRule="atLeast"/>
        </w:trPr>
        <w:tc>
          <w:tcPr>
            <w:tcW w:w="3336" w:type="pct"/>
            <w:gridSpan w:val="6"/>
            <w:tcBorders>
              <w:top w:val="single" w:color="auto" w:sz="4" w:space="0"/>
              <w:left w:val="single" w:color="auto" w:sz="4" w:space="0"/>
              <w:bottom w:val="single" w:color="auto" w:sz="4" w:space="0"/>
              <w:right w:val="single" w:color="auto" w:sz="4" w:space="0"/>
            </w:tcBorders>
            <w:noWrap/>
            <w:vAlign w:val="bottom"/>
          </w:tcPr>
          <w:p w14:paraId="127D8710">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Efficiency Ratios</w:t>
            </w:r>
          </w:p>
        </w:tc>
        <w:tc>
          <w:tcPr>
            <w:tcW w:w="1664" w:type="pct"/>
            <w:tcBorders>
              <w:top w:val="nil"/>
              <w:left w:val="nil"/>
              <w:bottom w:val="nil"/>
              <w:right w:val="nil"/>
            </w:tcBorders>
            <w:noWrap/>
            <w:vAlign w:val="bottom"/>
          </w:tcPr>
          <w:p w14:paraId="74B32183">
            <w:pPr>
              <w:spacing w:after="240" w:line="360" w:lineRule="auto"/>
              <w:rPr>
                <w:rFonts w:hint="default" w:ascii="Arial" w:hAnsi="Arial" w:eastAsia="Times New Roman" w:cs="Arial"/>
                <w:color w:val="000000"/>
                <w:sz w:val="24"/>
                <w:szCs w:val="24"/>
                <w:lang w:val="en-US"/>
              </w:rPr>
            </w:pPr>
          </w:p>
        </w:tc>
      </w:tr>
      <w:tr w14:paraId="4749C74B">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4D4F5F1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Receivable Turnover</w:t>
            </w:r>
          </w:p>
        </w:tc>
        <w:tc>
          <w:tcPr>
            <w:tcW w:w="436" w:type="pct"/>
            <w:tcBorders>
              <w:top w:val="nil"/>
              <w:left w:val="nil"/>
              <w:bottom w:val="single" w:color="auto" w:sz="4" w:space="0"/>
              <w:right w:val="single" w:color="auto" w:sz="4" w:space="0"/>
            </w:tcBorders>
            <w:vAlign w:val="center"/>
          </w:tcPr>
          <w:p w14:paraId="7900096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8.91</w:t>
            </w:r>
          </w:p>
        </w:tc>
        <w:tc>
          <w:tcPr>
            <w:tcW w:w="436" w:type="pct"/>
            <w:tcBorders>
              <w:top w:val="nil"/>
              <w:left w:val="nil"/>
              <w:bottom w:val="single" w:color="auto" w:sz="4" w:space="0"/>
              <w:right w:val="single" w:color="auto" w:sz="4" w:space="0"/>
            </w:tcBorders>
            <w:vAlign w:val="center"/>
          </w:tcPr>
          <w:p w14:paraId="1175FE5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8.78</w:t>
            </w:r>
          </w:p>
        </w:tc>
        <w:tc>
          <w:tcPr>
            <w:tcW w:w="436" w:type="pct"/>
            <w:tcBorders>
              <w:top w:val="nil"/>
              <w:left w:val="nil"/>
              <w:bottom w:val="single" w:color="auto" w:sz="4" w:space="0"/>
              <w:right w:val="single" w:color="auto" w:sz="4" w:space="0"/>
            </w:tcBorders>
            <w:vAlign w:val="center"/>
          </w:tcPr>
          <w:p w14:paraId="76AB8A4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8.85</w:t>
            </w:r>
          </w:p>
        </w:tc>
        <w:tc>
          <w:tcPr>
            <w:tcW w:w="436" w:type="pct"/>
            <w:tcBorders>
              <w:top w:val="nil"/>
              <w:left w:val="nil"/>
              <w:bottom w:val="single" w:color="auto" w:sz="4" w:space="0"/>
              <w:right w:val="single" w:color="auto" w:sz="4" w:space="0"/>
            </w:tcBorders>
            <w:vAlign w:val="center"/>
          </w:tcPr>
          <w:p w14:paraId="2DE3A50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8.98</w:t>
            </w:r>
          </w:p>
        </w:tc>
        <w:tc>
          <w:tcPr>
            <w:tcW w:w="436" w:type="pct"/>
            <w:tcBorders>
              <w:top w:val="nil"/>
              <w:left w:val="nil"/>
              <w:bottom w:val="single" w:color="auto" w:sz="4" w:space="0"/>
              <w:right w:val="single" w:color="auto" w:sz="4" w:space="0"/>
            </w:tcBorders>
            <w:vAlign w:val="center"/>
          </w:tcPr>
          <w:p w14:paraId="113DAC4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9.00</w:t>
            </w:r>
          </w:p>
        </w:tc>
        <w:tc>
          <w:tcPr>
            <w:tcW w:w="1664" w:type="pct"/>
            <w:tcBorders>
              <w:top w:val="single" w:color="auto" w:sz="4" w:space="0"/>
              <w:left w:val="nil"/>
              <w:bottom w:val="single" w:color="auto" w:sz="4" w:space="0"/>
              <w:right w:val="single" w:color="auto" w:sz="4" w:space="0"/>
            </w:tcBorders>
            <w:noWrap/>
            <w:vAlign w:val="bottom"/>
          </w:tcPr>
          <w:p w14:paraId="0606A08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Revenue / Accounts Receivable</w:t>
            </w:r>
          </w:p>
        </w:tc>
      </w:tr>
      <w:tr w14:paraId="0C61B1AA">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746F571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Collection Period</w:t>
            </w:r>
          </w:p>
        </w:tc>
        <w:tc>
          <w:tcPr>
            <w:tcW w:w="436" w:type="pct"/>
            <w:tcBorders>
              <w:top w:val="nil"/>
              <w:left w:val="nil"/>
              <w:bottom w:val="single" w:color="auto" w:sz="4" w:space="0"/>
              <w:right w:val="single" w:color="auto" w:sz="4" w:space="0"/>
            </w:tcBorders>
            <w:vAlign w:val="center"/>
          </w:tcPr>
          <w:p w14:paraId="6E6C2AA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40.95</w:t>
            </w:r>
          </w:p>
        </w:tc>
        <w:tc>
          <w:tcPr>
            <w:tcW w:w="436" w:type="pct"/>
            <w:tcBorders>
              <w:top w:val="nil"/>
              <w:left w:val="nil"/>
              <w:bottom w:val="single" w:color="auto" w:sz="4" w:space="0"/>
              <w:right w:val="single" w:color="auto" w:sz="4" w:space="0"/>
            </w:tcBorders>
            <w:vAlign w:val="center"/>
          </w:tcPr>
          <w:p w14:paraId="46AE004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41.55</w:t>
            </w:r>
          </w:p>
        </w:tc>
        <w:tc>
          <w:tcPr>
            <w:tcW w:w="436" w:type="pct"/>
            <w:tcBorders>
              <w:top w:val="nil"/>
              <w:left w:val="nil"/>
              <w:bottom w:val="single" w:color="auto" w:sz="4" w:space="0"/>
              <w:right w:val="single" w:color="auto" w:sz="4" w:space="0"/>
            </w:tcBorders>
            <w:vAlign w:val="center"/>
          </w:tcPr>
          <w:p w14:paraId="1C4E282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41.25</w:t>
            </w:r>
          </w:p>
        </w:tc>
        <w:tc>
          <w:tcPr>
            <w:tcW w:w="436" w:type="pct"/>
            <w:tcBorders>
              <w:top w:val="nil"/>
              <w:left w:val="nil"/>
              <w:bottom w:val="single" w:color="auto" w:sz="4" w:space="0"/>
              <w:right w:val="single" w:color="auto" w:sz="4" w:space="0"/>
            </w:tcBorders>
            <w:vAlign w:val="center"/>
          </w:tcPr>
          <w:p w14:paraId="7D67DB2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40.64</w:t>
            </w:r>
          </w:p>
        </w:tc>
        <w:tc>
          <w:tcPr>
            <w:tcW w:w="436" w:type="pct"/>
            <w:tcBorders>
              <w:top w:val="nil"/>
              <w:left w:val="nil"/>
              <w:bottom w:val="single" w:color="auto" w:sz="4" w:space="0"/>
              <w:right w:val="single" w:color="auto" w:sz="4" w:space="0"/>
            </w:tcBorders>
            <w:vAlign w:val="center"/>
          </w:tcPr>
          <w:p w14:paraId="14503A3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40.55</w:t>
            </w:r>
          </w:p>
        </w:tc>
        <w:tc>
          <w:tcPr>
            <w:tcW w:w="1664" w:type="pct"/>
            <w:tcBorders>
              <w:top w:val="nil"/>
              <w:left w:val="nil"/>
              <w:bottom w:val="single" w:color="auto" w:sz="4" w:space="0"/>
              <w:right w:val="single" w:color="auto" w:sz="4" w:space="0"/>
            </w:tcBorders>
            <w:noWrap/>
            <w:vAlign w:val="bottom"/>
          </w:tcPr>
          <w:p w14:paraId="64D64D55">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365 / Receivable Turnover</w:t>
            </w:r>
          </w:p>
        </w:tc>
      </w:tr>
      <w:tr w14:paraId="6409C94D">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1AE97CE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Asset Turnover</w:t>
            </w:r>
          </w:p>
        </w:tc>
        <w:tc>
          <w:tcPr>
            <w:tcW w:w="436" w:type="pct"/>
            <w:tcBorders>
              <w:top w:val="nil"/>
              <w:left w:val="nil"/>
              <w:bottom w:val="single" w:color="auto" w:sz="4" w:space="0"/>
              <w:right w:val="single" w:color="auto" w:sz="4" w:space="0"/>
            </w:tcBorders>
            <w:vAlign w:val="center"/>
          </w:tcPr>
          <w:p w14:paraId="0A6A9CD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0.85</w:t>
            </w:r>
          </w:p>
        </w:tc>
        <w:tc>
          <w:tcPr>
            <w:tcW w:w="436" w:type="pct"/>
            <w:tcBorders>
              <w:top w:val="nil"/>
              <w:left w:val="nil"/>
              <w:bottom w:val="single" w:color="auto" w:sz="4" w:space="0"/>
              <w:right w:val="single" w:color="auto" w:sz="4" w:space="0"/>
            </w:tcBorders>
            <w:vAlign w:val="center"/>
          </w:tcPr>
          <w:p w14:paraId="370EB60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0.89</w:t>
            </w:r>
          </w:p>
        </w:tc>
        <w:tc>
          <w:tcPr>
            <w:tcW w:w="436" w:type="pct"/>
            <w:tcBorders>
              <w:top w:val="nil"/>
              <w:left w:val="nil"/>
              <w:bottom w:val="single" w:color="auto" w:sz="4" w:space="0"/>
              <w:right w:val="single" w:color="auto" w:sz="4" w:space="0"/>
            </w:tcBorders>
            <w:vAlign w:val="center"/>
          </w:tcPr>
          <w:p w14:paraId="4A6AC61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0.93</w:t>
            </w:r>
          </w:p>
        </w:tc>
        <w:tc>
          <w:tcPr>
            <w:tcW w:w="436" w:type="pct"/>
            <w:tcBorders>
              <w:top w:val="nil"/>
              <w:left w:val="nil"/>
              <w:bottom w:val="single" w:color="auto" w:sz="4" w:space="0"/>
              <w:right w:val="single" w:color="auto" w:sz="4" w:space="0"/>
            </w:tcBorders>
            <w:vAlign w:val="center"/>
          </w:tcPr>
          <w:p w14:paraId="7D3D86F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0.96</w:t>
            </w:r>
          </w:p>
        </w:tc>
        <w:tc>
          <w:tcPr>
            <w:tcW w:w="436" w:type="pct"/>
            <w:tcBorders>
              <w:top w:val="nil"/>
              <w:left w:val="nil"/>
              <w:bottom w:val="single" w:color="auto" w:sz="4" w:space="0"/>
              <w:right w:val="single" w:color="auto" w:sz="4" w:space="0"/>
            </w:tcBorders>
            <w:vAlign w:val="center"/>
          </w:tcPr>
          <w:p w14:paraId="3C6F972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0.95</w:t>
            </w:r>
          </w:p>
        </w:tc>
        <w:tc>
          <w:tcPr>
            <w:tcW w:w="1664" w:type="pct"/>
            <w:tcBorders>
              <w:top w:val="nil"/>
              <w:left w:val="nil"/>
              <w:bottom w:val="single" w:color="auto" w:sz="4" w:space="0"/>
              <w:right w:val="single" w:color="auto" w:sz="4" w:space="0"/>
            </w:tcBorders>
            <w:noWrap/>
            <w:vAlign w:val="bottom"/>
          </w:tcPr>
          <w:p w14:paraId="2007BDD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Revenue / Total Assets</w:t>
            </w:r>
          </w:p>
        </w:tc>
      </w:tr>
      <w:tr w14:paraId="0D879469">
        <w:tblPrEx>
          <w:tblCellMar>
            <w:top w:w="0" w:type="dxa"/>
            <w:left w:w="108" w:type="dxa"/>
            <w:bottom w:w="0" w:type="dxa"/>
            <w:right w:w="108" w:type="dxa"/>
          </w:tblCellMar>
        </w:tblPrEx>
        <w:trPr>
          <w:trHeight w:val="300" w:hRule="atLeast"/>
        </w:trPr>
        <w:tc>
          <w:tcPr>
            <w:tcW w:w="3336" w:type="pct"/>
            <w:gridSpan w:val="6"/>
            <w:tcBorders>
              <w:top w:val="single" w:color="auto" w:sz="4" w:space="0"/>
              <w:left w:val="single" w:color="auto" w:sz="4" w:space="0"/>
              <w:bottom w:val="single" w:color="auto" w:sz="4" w:space="0"/>
              <w:right w:val="single" w:color="auto" w:sz="4" w:space="0"/>
            </w:tcBorders>
            <w:noWrap/>
            <w:vAlign w:val="bottom"/>
          </w:tcPr>
          <w:p w14:paraId="667C68A9">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Gearing Ratios</w:t>
            </w:r>
          </w:p>
        </w:tc>
        <w:tc>
          <w:tcPr>
            <w:tcW w:w="1664" w:type="pct"/>
            <w:tcBorders>
              <w:top w:val="nil"/>
              <w:left w:val="nil"/>
              <w:bottom w:val="nil"/>
              <w:right w:val="nil"/>
            </w:tcBorders>
            <w:noWrap/>
            <w:vAlign w:val="bottom"/>
          </w:tcPr>
          <w:p w14:paraId="4DC8057E">
            <w:pPr>
              <w:spacing w:after="240" w:line="360" w:lineRule="auto"/>
              <w:rPr>
                <w:rFonts w:hint="default" w:ascii="Arial" w:hAnsi="Arial" w:eastAsia="Times New Roman" w:cs="Arial"/>
                <w:color w:val="000000"/>
                <w:sz w:val="24"/>
                <w:szCs w:val="24"/>
                <w:lang w:val="en-US"/>
              </w:rPr>
            </w:pPr>
          </w:p>
        </w:tc>
      </w:tr>
      <w:tr w14:paraId="1BF8D25A">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2555274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Debt Ratio</w:t>
            </w:r>
          </w:p>
        </w:tc>
        <w:tc>
          <w:tcPr>
            <w:tcW w:w="436" w:type="pct"/>
            <w:tcBorders>
              <w:top w:val="nil"/>
              <w:left w:val="nil"/>
              <w:bottom w:val="single" w:color="auto" w:sz="4" w:space="0"/>
              <w:right w:val="single" w:color="auto" w:sz="4" w:space="0"/>
            </w:tcBorders>
            <w:vAlign w:val="center"/>
          </w:tcPr>
          <w:p w14:paraId="4ECFE1C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0.48</w:t>
            </w:r>
          </w:p>
        </w:tc>
        <w:tc>
          <w:tcPr>
            <w:tcW w:w="436" w:type="pct"/>
            <w:tcBorders>
              <w:top w:val="nil"/>
              <w:left w:val="nil"/>
              <w:bottom w:val="single" w:color="auto" w:sz="4" w:space="0"/>
              <w:right w:val="single" w:color="auto" w:sz="4" w:space="0"/>
            </w:tcBorders>
            <w:vAlign w:val="center"/>
          </w:tcPr>
          <w:p w14:paraId="181537C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0.50</w:t>
            </w:r>
          </w:p>
        </w:tc>
        <w:tc>
          <w:tcPr>
            <w:tcW w:w="436" w:type="pct"/>
            <w:tcBorders>
              <w:top w:val="nil"/>
              <w:left w:val="nil"/>
              <w:bottom w:val="single" w:color="auto" w:sz="4" w:space="0"/>
              <w:right w:val="single" w:color="auto" w:sz="4" w:space="0"/>
            </w:tcBorders>
            <w:vAlign w:val="center"/>
          </w:tcPr>
          <w:p w14:paraId="0108C44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0.53</w:t>
            </w:r>
          </w:p>
        </w:tc>
        <w:tc>
          <w:tcPr>
            <w:tcW w:w="436" w:type="pct"/>
            <w:tcBorders>
              <w:top w:val="nil"/>
              <w:left w:val="nil"/>
              <w:bottom w:val="single" w:color="auto" w:sz="4" w:space="0"/>
              <w:right w:val="single" w:color="auto" w:sz="4" w:space="0"/>
            </w:tcBorders>
            <w:vAlign w:val="center"/>
          </w:tcPr>
          <w:p w14:paraId="485D9C9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0.55</w:t>
            </w:r>
          </w:p>
        </w:tc>
        <w:tc>
          <w:tcPr>
            <w:tcW w:w="436" w:type="pct"/>
            <w:tcBorders>
              <w:top w:val="nil"/>
              <w:left w:val="nil"/>
              <w:bottom w:val="single" w:color="auto" w:sz="4" w:space="0"/>
              <w:right w:val="single" w:color="auto" w:sz="4" w:space="0"/>
            </w:tcBorders>
            <w:vAlign w:val="center"/>
          </w:tcPr>
          <w:p w14:paraId="4A4E63A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0.59</w:t>
            </w:r>
          </w:p>
        </w:tc>
        <w:tc>
          <w:tcPr>
            <w:tcW w:w="1664" w:type="pct"/>
            <w:tcBorders>
              <w:top w:val="single" w:color="auto" w:sz="4" w:space="0"/>
              <w:left w:val="nil"/>
              <w:bottom w:val="single" w:color="auto" w:sz="4" w:space="0"/>
              <w:right w:val="single" w:color="auto" w:sz="4" w:space="0"/>
            </w:tcBorders>
            <w:noWrap/>
            <w:vAlign w:val="bottom"/>
          </w:tcPr>
          <w:p w14:paraId="3C5174C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Debt / Total Assets</w:t>
            </w:r>
          </w:p>
        </w:tc>
      </w:tr>
      <w:tr w14:paraId="7286C44D">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33AA900D">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Long-Term Debt Ratio</w:t>
            </w:r>
          </w:p>
        </w:tc>
        <w:tc>
          <w:tcPr>
            <w:tcW w:w="436" w:type="pct"/>
            <w:tcBorders>
              <w:top w:val="nil"/>
              <w:left w:val="nil"/>
              <w:bottom w:val="single" w:color="auto" w:sz="4" w:space="0"/>
              <w:right w:val="single" w:color="auto" w:sz="4" w:space="0"/>
            </w:tcBorders>
            <w:vAlign w:val="center"/>
          </w:tcPr>
          <w:p w14:paraId="316515E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0.44</w:t>
            </w:r>
          </w:p>
        </w:tc>
        <w:tc>
          <w:tcPr>
            <w:tcW w:w="436" w:type="pct"/>
            <w:tcBorders>
              <w:top w:val="nil"/>
              <w:left w:val="nil"/>
              <w:bottom w:val="single" w:color="auto" w:sz="4" w:space="0"/>
              <w:right w:val="single" w:color="auto" w:sz="4" w:space="0"/>
            </w:tcBorders>
            <w:vAlign w:val="center"/>
          </w:tcPr>
          <w:p w14:paraId="0E05BD7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0.45</w:t>
            </w:r>
          </w:p>
        </w:tc>
        <w:tc>
          <w:tcPr>
            <w:tcW w:w="436" w:type="pct"/>
            <w:tcBorders>
              <w:top w:val="nil"/>
              <w:left w:val="nil"/>
              <w:bottom w:val="single" w:color="auto" w:sz="4" w:space="0"/>
              <w:right w:val="single" w:color="auto" w:sz="4" w:space="0"/>
            </w:tcBorders>
            <w:vAlign w:val="center"/>
          </w:tcPr>
          <w:p w14:paraId="0D4379A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0.48</w:t>
            </w:r>
          </w:p>
        </w:tc>
        <w:tc>
          <w:tcPr>
            <w:tcW w:w="436" w:type="pct"/>
            <w:tcBorders>
              <w:top w:val="nil"/>
              <w:left w:val="nil"/>
              <w:bottom w:val="single" w:color="auto" w:sz="4" w:space="0"/>
              <w:right w:val="single" w:color="auto" w:sz="4" w:space="0"/>
            </w:tcBorders>
            <w:vAlign w:val="center"/>
          </w:tcPr>
          <w:p w14:paraId="709F685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0.50</w:t>
            </w:r>
          </w:p>
        </w:tc>
        <w:tc>
          <w:tcPr>
            <w:tcW w:w="436" w:type="pct"/>
            <w:tcBorders>
              <w:top w:val="nil"/>
              <w:left w:val="nil"/>
              <w:bottom w:val="single" w:color="auto" w:sz="4" w:space="0"/>
              <w:right w:val="single" w:color="auto" w:sz="4" w:space="0"/>
            </w:tcBorders>
            <w:vAlign w:val="center"/>
          </w:tcPr>
          <w:p w14:paraId="2E73B06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0.54</w:t>
            </w:r>
          </w:p>
        </w:tc>
        <w:tc>
          <w:tcPr>
            <w:tcW w:w="1664" w:type="pct"/>
            <w:tcBorders>
              <w:top w:val="nil"/>
              <w:left w:val="nil"/>
              <w:bottom w:val="single" w:color="auto" w:sz="4" w:space="0"/>
              <w:right w:val="single" w:color="auto" w:sz="4" w:space="0"/>
            </w:tcBorders>
            <w:noWrap/>
            <w:vAlign w:val="bottom"/>
          </w:tcPr>
          <w:p w14:paraId="2743E3C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Long-Term Debt / Total Assets</w:t>
            </w:r>
          </w:p>
        </w:tc>
      </w:tr>
      <w:tr w14:paraId="26812418">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3725AAD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Interest Coverage</w:t>
            </w:r>
          </w:p>
        </w:tc>
        <w:tc>
          <w:tcPr>
            <w:tcW w:w="436" w:type="pct"/>
            <w:tcBorders>
              <w:top w:val="nil"/>
              <w:left w:val="nil"/>
              <w:bottom w:val="single" w:color="auto" w:sz="4" w:space="0"/>
              <w:right w:val="single" w:color="auto" w:sz="4" w:space="0"/>
            </w:tcBorders>
            <w:vAlign w:val="center"/>
          </w:tcPr>
          <w:p w14:paraId="3B17F77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6.56</w:t>
            </w:r>
          </w:p>
        </w:tc>
        <w:tc>
          <w:tcPr>
            <w:tcW w:w="436" w:type="pct"/>
            <w:tcBorders>
              <w:top w:val="nil"/>
              <w:left w:val="nil"/>
              <w:bottom w:val="single" w:color="auto" w:sz="4" w:space="0"/>
              <w:right w:val="single" w:color="auto" w:sz="4" w:space="0"/>
            </w:tcBorders>
            <w:vAlign w:val="center"/>
          </w:tcPr>
          <w:p w14:paraId="217D3F4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6.76</w:t>
            </w:r>
          </w:p>
        </w:tc>
        <w:tc>
          <w:tcPr>
            <w:tcW w:w="436" w:type="pct"/>
            <w:tcBorders>
              <w:top w:val="nil"/>
              <w:left w:val="nil"/>
              <w:bottom w:val="single" w:color="auto" w:sz="4" w:space="0"/>
              <w:right w:val="single" w:color="auto" w:sz="4" w:space="0"/>
            </w:tcBorders>
            <w:vAlign w:val="center"/>
          </w:tcPr>
          <w:p w14:paraId="5CF1B00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6.84</w:t>
            </w:r>
          </w:p>
        </w:tc>
        <w:tc>
          <w:tcPr>
            <w:tcW w:w="436" w:type="pct"/>
            <w:tcBorders>
              <w:top w:val="nil"/>
              <w:left w:val="nil"/>
              <w:bottom w:val="single" w:color="auto" w:sz="4" w:space="0"/>
              <w:right w:val="single" w:color="auto" w:sz="4" w:space="0"/>
            </w:tcBorders>
            <w:vAlign w:val="center"/>
          </w:tcPr>
          <w:p w14:paraId="3EFBEF7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5.42</w:t>
            </w:r>
          </w:p>
        </w:tc>
        <w:tc>
          <w:tcPr>
            <w:tcW w:w="436" w:type="pct"/>
            <w:tcBorders>
              <w:top w:val="nil"/>
              <w:left w:val="nil"/>
              <w:bottom w:val="single" w:color="auto" w:sz="4" w:space="0"/>
              <w:right w:val="single" w:color="auto" w:sz="4" w:space="0"/>
            </w:tcBorders>
            <w:vAlign w:val="center"/>
          </w:tcPr>
          <w:p w14:paraId="621D7A2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5.12</w:t>
            </w:r>
          </w:p>
        </w:tc>
        <w:tc>
          <w:tcPr>
            <w:tcW w:w="1664" w:type="pct"/>
            <w:tcBorders>
              <w:top w:val="nil"/>
              <w:left w:val="nil"/>
              <w:bottom w:val="single" w:color="auto" w:sz="4" w:space="0"/>
              <w:right w:val="single" w:color="auto" w:sz="4" w:space="0"/>
            </w:tcBorders>
            <w:noWrap/>
            <w:vAlign w:val="bottom"/>
          </w:tcPr>
          <w:p w14:paraId="1FE4C5B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Income / Interest Expense</w:t>
            </w:r>
          </w:p>
        </w:tc>
      </w:tr>
      <w:tr w14:paraId="06771B30">
        <w:tblPrEx>
          <w:tblCellMar>
            <w:top w:w="0" w:type="dxa"/>
            <w:left w:w="108" w:type="dxa"/>
            <w:bottom w:w="0" w:type="dxa"/>
            <w:right w:w="108" w:type="dxa"/>
          </w:tblCellMar>
        </w:tblPrEx>
        <w:trPr>
          <w:trHeight w:val="300" w:hRule="atLeast"/>
        </w:trPr>
        <w:tc>
          <w:tcPr>
            <w:tcW w:w="3336" w:type="pct"/>
            <w:gridSpan w:val="6"/>
            <w:tcBorders>
              <w:top w:val="single" w:color="auto" w:sz="4" w:space="0"/>
              <w:left w:val="single" w:color="auto" w:sz="4" w:space="0"/>
              <w:bottom w:val="single" w:color="auto" w:sz="4" w:space="0"/>
              <w:right w:val="single" w:color="auto" w:sz="4" w:space="0"/>
            </w:tcBorders>
            <w:noWrap/>
            <w:vAlign w:val="bottom"/>
          </w:tcPr>
          <w:p w14:paraId="43526BC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Investment Ratios</w:t>
            </w:r>
          </w:p>
        </w:tc>
        <w:tc>
          <w:tcPr>
            <w:tcW w:w="1664" w:type="pct"/>
            <w:tcBorders>
              <w:top w:val="nil"/>
              <w:left w:val="nil"/>
              <w:bottom w:val="nil"/>
              <w:right w:val="nil"/>
            </w:tcBorders>
            <w:noWrap/>
            <w:vAlign w:val="bottom"/>
          </w:tcPr>
          <w:p w14:paraId="4BFEBBCA">
            <w:pPr>
              <w:spacing w:after="240" w:line="360" w:lineRule="auto"/>
              <w:rPr>
                <w:rFonts w:hint="default" w:ascii="Arial" w:hAnsi="Arial" w:eastAsia="Times New Roman" w:cs="Arial"/>
                <w:color w:val="000000"/>
                <w:sz w:val="24"/>
                <w:szCs w:val="24"/>
                <w:lang w:val="en-US"/>
              </w:rPr>
            </w:pPr>
          </w:p>
        </w:tc>
      </w:tr>
      <w:tr w14:paraId="4283194C">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225ABC0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EPS</w:t>
            </w:r>
          </w:p>
        </w:tc>
        <w:tc>
          <w:tcPr>
            <w:tcW w:w="436" w:type="pct"/>
            <w:tcBorders>
              <w:top w:val="nil"/>
              <w:left w:val="nil"/>
              <w:bottom w:val="single" w:color="auto" w:sz="4" w:space="0"/>
              <w:right w:val="single" w:color="auto" w:sz="4" w:space="0"/>
            </w:tcBorders>
            <w:vAlign w:val="center"/>
          </w:tcPr>
          <w:p w14:paraId="0DEB5BB7">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6.75</w:t>
            </w:r>
          </w:p>
        </w:tc>
        <w:tc>
          <w:tcPr>
            <w:tcW w:w="436" w:type="pct"/>
            <w:tcBorders>
              <w:top w:val="nil"/>
              <w:left w:val="nil"/>
              <w:bottom w:val="single" w:color="auto" w:sz="4" w:space="0"/>
              <w:right w:val="single" w:color="auto" w:sz="4" w:space="0"/>
            </w:tcBorders>
            <w:vAlign w:val="center"/>
          </w:tcPr>
          <w:p w14:paraId="192A3DCB">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8.8</w:t>
            </w:r>
            <w:r>
              <w:rPr>
                <w:rFonts w:hint="default" w:ascii="Arial" w:hAnsi="Arial" w:eastAsia="Times New Roman" w:cs="Arial"/>
                <w:color w:val="000000"/>
                <w:sz w:val="24"/>
                <w:szCs w:val="24"/>
                <w:lang w:val="en-US"/>
              </w:rPr>
              <w:t>5</w:t>
            </w:r>
          </w:p>
        </w:tc>
        <w:tc>
          <w:tcPr>
            <w:tcW w:w="436" w:type="pct"/>
            <w:tcBorders>
              <w:top w:val="nil"/>
              <w:left w:val="nil"/>
              <w:bottom w:val="single" w:color="auto" w:sz="4" w:space="0"/>
              <w:right w:val="single" w:color="auto" w:sz="4" w:space="0"/>
            </w:tcBorders>
            <w:vAlign w:val="center"/>
          </w:tcPr>
          <w:p w14:paraId="0491651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w:t>
            </w:r>
            <w:r>
              <w:rPr>
                <w:rFonts w:hint="default" w:eastAsia="Times New Roman" w:cs="Arial"/>
                <w:color w:val="000000"/>
                <w:sz w:val="24"/>
                <w:szCs w:val="24"/>
                <w:lang w:val="en-US"/>
              </w:rPr>
              <w:t>0.18</w:t>
            </w:r>
          </w:p>
        </w:tc>
        <w:tc>
          <w:tcPr>
            <w:tcW w:w="436" w:type="pct"/>
            <w:tcBorders>
              <w:top w:val="nil"/>
              <w:left w:val="nil"/>
              <w:bottom w:val="single" w:color="auto" w:sz="4" w:space="0"/>
              <w:right w:val="single" w:color="auto" w:sz="4" w:space="0"/>
            </w:tcBorders>
            <w:vAlign w:val="center"/>
          </w:tcPr>
          <w:p w14:paraId="58DF329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8.33</w:t>
            </w:r>
          </w:p>
        </w:tc>
        <w:tc>
          <w:tcPr>
            <w:tcW w:w="436" w:type="pct"/>
            <w:tcBorders>
              <w:top w:val="nil"/>
              <w:left w:val="nil"/>
              <w:bottom w:val="single" w:color="auto" w:sz="4" w:space="0"/>
              <w:right w:val="single" w:color="auto" w:sz="4" w:space="0"/>
            </w:tcBorders>
            <w:vAlign w:val="center"/>
          </w:tcPr>
          <w:p w14:paraId="05A49689">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9.51</w:t>
            </w:r>
          </w:p>
        </w:tc>
        <w:tc>
          <w:tcPr>
            <w:tcW w:w="1664" w:type="pct"/>
            <w:tcBorders>
              <w:top w:val="single" w:color="auto" w:sz="4" w:space="0"/>
              <w:left w:val="nil"/>
              <w:bottom w:val="single" w:color="auto" w:sz="4" w:space="0"/>
              <w:right w:val="single" w:color="auto" w:sz="4" w:space="0"/>
            </w:tcBorders>
            <w:noWrap/>
            <w:vAlign w:val="bottom"/>
          </w:tcPr>
          <w:p w14:paraId="162FCAC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Given from Annual Report</w:t>
            </w:r>
          </w:p>
        </w:tc>
      </w:tr>
      <w:tr w14:paraId="0C4717B0">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3A6E4CC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Dividend Payout</w:t>
            </w:r>
          </w:p>
        </w:tc>
        <w:tc>
          <w:tcPr>
            <w:tcW w:w="436" w:type="pct"/>
            <w:tcBorders>
              <w:top w:val="nil"/>
              <w:left w:val="nil"/>
              <w:bottom w:val="single" w:color="auto" w:sz="4" w:space="0"/>
              <w:right w:val="single" w:color="auto" w:sz="4" w:space="0"/>
            </w:tcBorders>
            <w:vAlign w:val="center"/>
          </w:tcPr>
          <w:p w14:paraId="3483614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0.20</w:t>
            </w:r>
          </w:p>
        </w:tc>
        <w:tc>
          <w:tcPr>
            <w:tcW w:w="436" w:type="pct"/>
            <w:tcBorders>
              <w:top w:val="nil"/>
              <w:left w:val="nil"/>
              <w:bottom w:val="single" w:color="auto" w:sz="4" w:space="0"/>
              <w:right w:val="single" w:color="auto" w:sz="4" w:space="0"/>
            </w:tcBorders>
            <w:vAlign w:val="center"/>
          </w:tcPr>
          <w:p w14:paraId="2F37C07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0.18</w:t>
            </w:r>
          </w:p>
        </w:tc>
        <w:tc>
          <w:tcPr>
            <w:tcW w:w="436" w:type="pct"/>
            <w:tcBorders>
              <w:top w:val="nil"/>
              <w:left w:val="nil"/>
              <w:bottom w:val="single" w:color="auto" w:sz="4" w:space="0"/>
              <w:right w:val="single" w:color="auto" w:sz="4" w:space="0"/>
            </w:tcBorders>
            <w:vAlign w:val="center"/>
          </w:tcPr>
          <w:p w14:paraId="08DFE07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0.19</w:t>
            </w:r>
          </w:p>
        </w:tc>
        <w:tc>
          <w:tcPr>
            <w:tcW w:w="436" w:type="pct"/>
            <w:tcBorders>
              <w:top w:val="nil"/>
              <w:left w:val="nil"/>
              <w:bottom w:val="single" w:color="auto" w:sz="4" w:space="0"/>
              <w:right w:val="single" w:color="auto" w:sz="4" w:space="0"/>
            </w:tcBorders>
            <w:vAlign w:val="center"/>
          </w:tcPr>
          <w:p w14:paraId="0FB1F38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0.29</w:t>
            </w:r>
          </w:p>
        </w:tc>
        <w:tc>
          <w:tcPr>
            <w:tcW w:w="436" w:type="pct"/>
            <w:tcBorders>
              <w:top w:val="nil"/>
              <w:left w:val="nil"/>
              <w:bottom w:val="single" w:color="auto" w:sz="4" w:space="0"/>
              <w:right w:val="single" w:color="auto" w:sz="4" w:space="0"/>
            </w:tcBorders>
            <w:vAlign w:val="center"/>
          </w:tcPr>
          <w:p w14:paraId="38D8E09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0.28</w:t>
            </w:r>
          </w:p>
        </w:tc>
        <w:tc>
          <w:tcPr>
            <w:tcW w:w="1664" w:type="pct"/>
            <w:tcBorders>
              <w:top w:val="nil"/>
              <w:left w:val="nil"/>
              <w:bottom w:val="single" w:color="auto" w:sz="4" w:space="0"/>
              <w:right w:val="single" w:color="auto" w:sz="4" w:space="0"/>
            </w:tcBorders>
            <w:noWrap/>
            <w:vAlign w:val="bottom"/>
          </w:tcPr>
          <w:p w14:paraId="732C79B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DPS / EPS</w:t>
            </w:r>
          </w:p>
        </w:tc>
      </w:tr>
      <w:tr w14:paraId="59013E68">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1E646E1E">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Dividend Cover</w:t>
            </w:r>
          </w:p>
        </w:tc>
        <w:tc>
          <w:tcPr>
            <w:tcW w:w="436" w:type="pct"/>
            <w:tcBorders>
              <w:top w:val="nil"/>
              <w:left w:val="nil"/>
              <w:bottom w:val="single" w:color="auto" w:sz="4" w:space="0"/>
              <w:right w:val="single" w:color="auto" w:sz="4" w:space="0"/>
            </w:tcBorders>
            <w:vAlign w:val="center"/>
          </w:tcPr>
          <w:p w14:paraId="0DE12AB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5.11</w:t>
            </w:r>
          </w:p>
        </w:tc>
        <w:tc>
          <w:tcPr>
            <w:tcW w:w="436" w:type="pct"/>
            <w:tcBorders>
              <w:top w:val="nil"/>
              <w:left w:val="nil"/>
              <w:bottom w:val="single" w:color="auto" w:sz="4" w:space="0"/>
              <w:right w:val="single" w:color="auto" w:sz="4" w:space="0"/>
            </w:tcBorders>
            <w:vAlign w:val="center"/>
          </w:tcPr>
          <w:p w14:paraId="122FD88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5.67</w:t>
            </w:r>
          </w:p>
        </w:tc>
        <w:tc>
          <w:tcPr>
            <w:tcW w:w="436" w:type="pct"/>
            <w:tcBorders>
              <w:top w:val="nil"/>
              <w:left w:val="nil"/>
              <w:bottom w:val="single" w:color="auto" w:sz="4" w:space="0"/>
              <w:right w:val="single" w:color="auto" w:sz="4" w:space="0"/>
            </w:tcBorders>
            <w:vAlign w:val="center"/>
          </w:tcPr>
          <w:p w14:paraId="5092F2D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5.19</w:t>
            </w:r>
          </w:p>
        </w:tc>
        <w:tc>
          <w:tcPr>
            <w:tcW w:w="436" w:type="pct"/>
            <w:tcBorders>
              <w:top w:val="nil"/>
              <w:left w:val="nil"/>
              <w:bottom w:val="single" w:color="auto" w:sz="4" w:space="0"/>
              <w:right w:val="single" w:color="auto" w:sz="4" w:space="0"/>
            </w:tcBorders>
            <w:vAlign w:val="center"/>
          </w:tcPr>
          <w:p w14:paraId="307BBBC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3.46</w:t>
            </w:r>
          </w:p>
        </w:tc>
        <w:tc>
          <w:tcPr>
            <w:tcW w:w="436" w:type="pct"/>
            <w:tcBorders>
              <w:top w:val="nil"/>
              <w:left w:val="nil"/>
              <w:bottom w:val="single" w:color="auto" w:sz="4" w:space="0"/>
              <w:right w:val="single" w:color="auto" w:sz="4" w:space="0"/>
            </w:tcBorders>
            <w:vAlign w:val="center"/>
          </w:tcPr>
          <w:p w14:paraId="15DEF98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3.60</w:t>
            </w:r>
          </w:p>
        </w:tc>
        <w:tc>
          <w:tcPr>
            <w:tcW w:w="1664" w:type="pct"/>
            <w:tcBorders>
              <w:top w:val="nil"/>
              <w:left w:val="nil"/>
              <w:bottom w:val="single" w:color="auto" w:sz="4" w:space="0"/>
              <w:right w:val="single" w:color="auto" w:sz="4" w:space="0"/>
            </w:tcBorders>
            <w:noWrap/>
            <w:vAlign w:val="bottom"/>
          </w:tcPr>
          <w:p w14:paraId="2616EFFB">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EPS / DPS</w:t>
            </w:r>
          </w:p>
        </w:tc>
      </w:tr>
      <w:tr w14:paraId="60C5CE49">
        <w:tblPrEx>
          <w:tblCellMar>
            <w:top w:w="0" w:type="dxa"/>
            <w:left w:w="108" w:type="dxa"/>
            <w:bottom w:w="0" w:type="dxa"/>
            <w:right w:w="108" w:type="dxa"/>
          </w:tblCellMar>
        </w:tblPrEx>
        <w:trPr>
          <w:trHeight w:val="300" w:hRule="atLeast"/>
        </w:trPr>
        <w:tc>
          <w:tcPr>
            <w:tcW w:w="3336" w:type="pct"/>
            <w:gridSpan w:val="6"/>
            <w:tcBorders>
              <w:top w:val="single" w:color="auto" w:sz="4" w:space="0"/>
              <w:left w:val="single" w:color="auto" w:sz="4" w:space="0"/>
              <w:bottom w:val="single" w:color="auto" w:sz="4" w:space="0"/>
              <w:right w:val="single" w:color="auto" w:sz="4" w:space="0"/>
            </w:tcBorders>
            <w:noWrap/>
            <w:vAlign w:val="bottom"/>
          </w:tcPr>
          <w:p w14:paraId="1FC40DE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Cash Flow Ratios</w:t>
            </w:r>
          </w:p>
        </w:tc>
        <w:tc>
          <w:tcPr>
            <w:tcW w:w="1664" w:type="pct"/>
            <w:tcBorders>
              <w:top w:val="nil"/>
              <w:left w:val="nil"/>
              <w:bottom w:val="nil"/>
              <w:right w:val="nil"/>
            </w:tcBorders>
            <w:noWrap/>
            <w:vAlign w:val="bottom"/>
          </w:tcPr>
          <w:p w14:paraId="3F55FC88">
            <w:pPr>
              <w:spacing w:after="240" w:line="360" w:lineRule="auto"/>
              <w:rPr>
                <w:rFonts w:hint="default" w:ascii="Arial" w:hAnsi="Arial" w:eastAsia="Times New Roman" w:cs="Arial"/>
                <w:color w:val="000000"/>
                <w:sz w:val="24"/>
                <w:szCs w:val="24"/>
                <w:lang w:val="en-US"/>
              </w:rPr>
            </w:pPr>
          </w:p>
        </w:tc>
      </w:tr>
      <w:tr w14:paraId="028D9C0C">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1F87C16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OCF Ratio</w:t>
            </w:r>
          </w:p>
        </w:tc>
        <w:tc>
          <w:tcPr>
            <w:tcW w:w="436" w:type="pct"/>
            <w:tcBorders>
              <w:top w:val="nil"/>
              <w:left w:val="nil"/>
              <w:bottom w:val="single" w:color="auto" w:sz="4" w:space="0"/>
              <w:right w:val="single" w:color="auto" w:sz="4" w:space="0"/>
            </w:tcBorders>
            <w:vAlign w:val="center"/>
          </w:tcPr>
          <w:p w14:paraId="3613621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0.35</w:t>
            </w:r>
          </w:p>
        </w:tc>
        <w:tc>
          <w:tcPr>
            <w:tcW w:w="436" w:type="pct"/>
            <w:tcBorders>
              <w:top w:val="nil"/>
              <w:left w:val="nil"/>
              <w:bottom w:val="single" w:color="auto" w:sz="4" w:space="0"/>
              <w:right w:val="single" w:color="auto" w:sz="4" w:space="0"/>
            </w:tcBorders>
            <w:vAlign w:val="center"/>
          </w:tcPr>
          <w:p w14:paraId="20A5CAE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0.36</w:t>
            </w:r>
          </w:p>
        </w:tc>
        <w:tc>
          <w:tcPr>
            <w:tcW w:w="436" w:type="pct"/>
            <w:tcBorders>
              <w:top w:val="nil"/>
              <w:left w:val="nil"/>
              <w:bottom w:val="single" w:color="auto" w:sz="4" w:space="0"/>
              <w:right w:val="single" w:color="auto" w:sz="4" w:space="0"/>
            </w:tcBorders>
            <w:vAlign w:val="center"/>
          </w:tcPr>
          <w:p w14:paraId="136566D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0.39</w:t>
            </w:r>
          </w:p>
        </w:tc>
        <w:tc>
          <w:tcPr>
            <w:tcW w:w="436" w:type="pct"/>
            <w:tcBorders>
              <w:top w:val="nil"/>
              <w:left w:val="nil"/>
              <w:bottom w:val="single" w:color="auto" w:sz="4" w:space="0"/>
              <w:right w:val="single" w:color="auto" w:sz="4" w:space="0"/>
            </w:tcBorders>
            <w:vAlign w:val="center"/>
          </w:tcPr>
          <w:p w14:paraId="34263F8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0.32</w:t>
            </w:r>
          </w:p>
        </w:tc>
        <w:tc>
          <w:tcPr>
            <w:tcW w:w="436" w:type="pct"/>
            <w:tcBorders>
              <w:top w:val="nil"/>
              <w:left w:val="nil"/>
              <w:bottom w:val="single" w:color="auto" w:sz="4" w:space="0"/>
              <w:right w:val="single" w:color="auto" w:sz="4" w:space="0"/>
            </w:tcBorders>
            <w:vAlign w:val="center"/>
          </w:tcPr>
          <w:p w14:paraId="3A603BE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0.38</w:t>
            </w:r>
          </w:p>
        </w:tc>
        <w:tc>
          <w:tcPr>
            <w:tcW w:w="1664" w:type="pct"/>
            <w:tcBorders>
              <w:top w:val="single" w:color="auto" w:sz="4" w:space="0"/>
              <w:left w:val="nil"/>
              <w:bottom w:val="single" w:color="auto" w:sz="4" w:space="0"/>
              <w:right w:val="single" w:color="auto" w:sz="4" w:space="0"/>
            </w:tcBorders>
            <w:noWrap/>
            <w:vAlign w:val="center"/>
          </w:tcPr>
          <w:p w14:paraId="18E77559">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Cash Flow / Current Liabilities</w:t>
            </w:r>
          </w:p>
        </w:tc>
      </w:tr>
      <w:tr w14:paraId="7F3D6A62">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0DA81B2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Cash Flow Margin</w:t>
            </w:r>
          </w:p>
        </w:tc>
        <w:tc>
          <w:tcPr>
            <w:tcW w:w="436" w:type="pct"/>
            <w:tcBorders>
              <w:top w:val="nil"/>
              <w:left w:val="nil"/>
              <w:bottom w:val="single" w:color="auto" w:sz="4" w:space="0"/>
              <w:right w:val="single" w:color="auto" w:sz="4" w:space="0"/>
            </w:tcBorders>
            <w:vAlign w:val="center"/>
          </w:tcPr>
          <w:p w14:paraId="05257F4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0.12</w:t>
            </w:r>
          </w:p>
        </w:tc>
        <w:tc>
          <w:tcPr>
            <w:tcW w:w="436" w:type="pct"/>
            <w:tcBorders>
              <w:top w:val="nil"/>
              <w:left w:val="nil"/>
              <w:bottom w:val="single" w:color="auto" w:sz="4" w:space="0"/>
              <w:right w:val="single" w:color="auto" w:sz="4" w:space="0"/>
            </w:tcBorders>
            <w:vAlign w:val="center"/>
          </w:tcPr>
          <w:p w14:paraId="0A8FCF4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0.13</w:t>
            </w:r>
          </w:p>
        </w:tc>
        <w:tc>
          <w:tcPr>
            <w:tcW w:w="436" w:type="pct"/>
            <w:tcBorders>
              <w:top w:val="nil"/>
              <w:left w:val="nil"/>
              <w:bottom w:val="single" w:color="auto" w:sz="4" w:space="0"/>
              <w:right w:val="single" w:color="auto" w:sz="4" w:space="0"/>
            </w:tcBorders>
            <w:vAlign w:val="center"/>
          </w:tcPr>
          <w:p w14:paraId="4A0FE1D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0.13</w:t>
            </w:r>
          </w:p>
        </w:tc>
        <w:tc>
          <w:tcPr>
            <w:tcW w:w="436" w:type="pct"/>
            <w:tcBorders>
              <w:top w:val="nil"/>
              <w:left w:val="nil"/>
              <w:bottom w:val="single" w:color="auto" w:sz="4" w:space="0"/>
              <w:right w:val="single" w:color="auto" w:sz="4" w:space="0"/>
            </w:tcBorders>
            <w:vAlign w:val="center"/>
          </w:tcPr>
          <w:p w14:paraId="5E58938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0.11</w:t>
            </w:r>
          </w:p>
        </w:tc>
        <w:tc>
          <w:tcPr>
            <w:tcW w:w="436" w:type="pct"/>
            <w:tcBorders>
              <w:top w:val="nil"/>
              <w:left w:val="nil"/>
              <w:bottom w:val="single" w:color="auto" w:sz="4" w:space="0"/>
              <w:right w:val="single" w:color="auto" w:sz="4" w:space="0"/>
            </w:tcBorders>
            <w:vAlign w:val="center"/>
          </w:tcPr>
          <w:p w14:paraId="0721983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0.12</w:t>
            </w:r>
          </w:p>
        </w:tc>
        <w:tc>
          <w:tcPr>
            <w:tcW w:w="1664" w:type="pct"/>
            <w:tcBorders>
              <w:top w:val="nil"/>
              <w:left w:val="nil"/>
              <w:bottom w:val="single" w:color="auto" w:sz="4" w:space="0"/>
              <w:right w:val="single" w:color="auto" w:sz="4" w:space="0"/>
            </w:tcBorders>
            <w:noWrap/>
            <w:vAlign w:val="center"/>
          </w:tcPr>
          <w:p w14:paraId="2EDA13F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Cash Flow / Revenue</w:t>
            </w:r>
          </w:p>
        </w:tc>
      </w:tr>
      <w:tr w14:paraId="1C6915FA">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7227288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Free Cash Flow</w:t>
            </w:r>
          </w:p>
        </w:tc>
        <w:tc>
          <w:tcPr>
            <w:tcW w:w="436" w:type="pct"/>
            <w:tcBorders>
              <w:top w:val="nil"/>
              <w:left w:val="nil"/>
              <w:bottom w:val="single" w:color="auto" w:sz="4" w:space="0"/>
              <w:right w:val="single" w:color="auto" w:sz="4" w:space="0"/>
            </w:tcBorders>
            <w:vAlign w:val="center"/>
          </w:tcPr>
          <w:p w14:paraId="634A0D9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2070.00</w:t>
            </w:r>
          </w:p>
        </w:tc>
        <w:tc>
          <w:tcPr>
            <w:tcW w:w="436" w:type="pct"/>
            <w:tcBorders>
              <w:top w:val="nil"/>
              <w:left w:val="nil"/>
              <w:bottom w:val="single" w:color="auto" w:sz="4" w:space="0"/>
              <w:right w:val="single" w:color="auto" w:sz="4" w:space="0"/>
            </w:tcBorders>
            <w:vAlign w:val="center"/>
          </w:tcPr>
          <w:p w14:paraId="2AF9531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2430.00</w:t>
            </w:r>
          </w:p>
        </w:tc>
        <w:tc>
          <w:tcPr>
            <w:tcW w:w="436" w:type="pct"/>
            <w:tcBorders>
              <w:top w:val="nil"/>
              <w:left w:val="nil"/>
              <w:bottom w:val="single" w:color="auto" w:sz="4" w:space="0"/>
              <w:right w:val="single" w:color="auto" w:sz="4" w:space="0"/>
            </w:tcBorders>
            <w:vAlign w:val="center"/>
          </w:tcPr>
          <w:p w14:paraId="39F6953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2718.00</w:t>
            </w:r>
          </w:p>
        </w:tc>
        <w:tc>
          <w:tcPr>
            <w:tcW w:w="436" w:type="pct"/>
            <w:tcBorders>
              <w:top w:val="nil"/>
              <w:left w:val="nil"/>
              <w:bottom w:val="single" w:color="auto" w:sz="4" w:space="0"/>
              <w:right w:val="single" w:color="auto" w:sz="4" w:space="0"/>
            </w:tcBorders>
            <w:vAlign w:val="center"/>
          </w:tcPr>
          <w:p w14:paraId="43C8423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1999.00</w:t>
            </w:r>
          </w:p>
        </w:tc>
        <w:tc>
          <w:tcPr>
            <w:tcW w:w="436" w:type="pct"/>
            <w:tcBorders>
              <w:top w:val="nil"/>
              <w:left w:val="nil"/>
              <w:bottom w:val="single" w:color="auto" w:sz="4" w:space="0"/>
              <w:right w:val="single" w:color="auto" w:sz="4" w:space="0"/>
            </w:tcBorders>
            <w:vAlign w:val="center"/>
          </w:tcPr>
          <w:p w14:paraId="74A117E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2608.00</w:t>
            </w:r>
          </w:p>
        </w:tc>
        <w:tc>
          <w:tcPr>
            <w:tcW w:w="1664" w:type="pct"/>
            <w:tcBorders>
              <w:top w:val="nil"/>
              <w:left w:val="nil"/>
              <w:bottom w:val="single" w:color="auto" w:sz="4" w:space="0"/>
              <w:right w:val="single" w:color="auto" w:sz="4" w:space="0"/>
            </w:tcBorders>
            <w:noWrap/>
            <w:vAlign w:val="center"/>
          </w:tcPr>
          <w:p w14:paraId="631E4C7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Cash Flow - Capital Expenditure</w:t>
            </w:r>
          </w:p>
        </w:tc>
      </w:tr>
      <w:tr w14:paraId="479A5D92">
        <w:tblPrEx>
          <w:tblCellMar>
            <w:top w:w="0" w:type="dxa"/>
            <w:left w:w="108" w:type="dxa"/>
            <w:bottom w:w="0" w:type="dxa"/>
            <w:right w:w="108" w:type="dxa"/>
          </w:tblCellMar>
        </w:tblPrEx>
        <w:trPr>
          <w:trHeight w:val="300" w:hRule="atLeast"/>
        </w:trPr>
        <w:tc>
          <w:tcPr>
            <w:tcW w:w="1155" w:type="pct"/>
            <w:tcBorders>
              <w:top w:val="nil"/>
              <w:left w:val="single" w:color="auto" w:sz="4" w:space="0"/>
              <w:bottom w:val="single" w:color="auto" w:sz="4" w:space="0"/>
              <w:right w:val="single" w:color="auto" w:sz="4" w:space="0"/>
            </w:tcBorders>
            <w:vAlign w:val="center"/>
          </w:tcPr>
          <w:p w14:paraId="067CE500">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OCF to Debt</w:t>
            </w:r>
          </w:p>
        </w:tc>
        <w:tc>
          <w:tcPr>
            <w:tcW w:w="436" w:type="pct"/>
            <w:tcBorders>
              <w:top w:val="nil"/>
              <w:left w:val="nil"/>
              <w:bottom w:val="single" w:color="auto" w:sz="4" w:space="0"/>
              <w:right w:val="single" w:color="auto" w:sz="4" w:space="0"/>
            </w:tcBorders>
            <w:vAlign w:val="center"/>
          </w:tcPr>
          <w:p w14:paraId="0069E7E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0.21</w:t>
            </w:r>
          </w:p>
        </w:tc>
        <w:tc>
          <w:tcPr>
            <w:tcW w:w="436" w:type="pct"/>
            <w:tcBorders>
              <w:top w:val="nil"/>
              <w:left w:val="nil"/>
              <w:bottom w:val="single" w:color="auto" w:sz="4" w:space="0"/>
              <w:right w:val="single" w:color="auto" w:sz="4" w:space="0"/>
            </w:tcBorders>
            <w:vAlign w:val="center"/>
          </w:tcPr>
          <w:p w14:paraId="79F3280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0.23</w:t>
            </w:r>
          </w:p>
        </w:tc>
        <w:tc>
          <w:tcPr>
            <w:tcW w:w="436" w:type="pct"/>
            <w:tcBorders>
              <w:top w:val="nil"/>
              <w:left w:val="nil"/>
              <w:bottom w:val="single" w:color="auto" w:sz="4" w:space="0"/>
              <w:right w:val="single" w:color="auto" w:sz="4" w:space="0"/>
            </w:tcBorders>
            <w:vAlign w:val="center"/>
          </w:tcPr>
          <w:p w14:paraId="005409A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0.23</w:t>
            </w:r>
          </w:p>
        </w:tc>
        <w:tc>
          <w:tcPr>
            <w:tcW w:w="436" w:type="pct"/>
            <w:tcBorders>
              <w:top w:val="nil"/>
              <w:left w:val="nil"/>
              <w:bottom w:val="single" w:color="auto" w:sz="4" w:space="0"/>
              <w:right w:val="single" w:color="auto" w:sz="4" w:space="0"/>
            </w:tcBorders>
            <w:vAlign w:val="center"/>
          </w:tcPr>
          <w:p w14:paraId="330279C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0.19</w:t>
            </w:r>
          </w:p>
        </w:tc>
        <w:tc>
          <w:tcPr>
            <w:tcW w:w="436" w:type="pct"/>
            <w:tcBorders>
              <w:top w:val="nil"/>
              <w:left w:val="nil"/>
              <w:bottom w:val="single" w:color="auto" w:sz="4" w:space="0"/>
              <w:right w:val="single" w:color="auto" w:sz="4" w:space="0"/>
            </w:tcBorders>
            <w:vAlign w:val="center"/>
          </w:tcPr>
          <w:p w14:paraId="0106665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0.20</w:t>
            </w:r>
          </w:p>
        </w:tc>
        <w:tc>
          <w:tcPr>
            <w:tcW w:w="1664" w:type="pct"/>
            <w:tcBorders>
              <w:top w:val="nil"/>
              <w:left w:val="nil"/>
              <w:bottom w:val="single" w:color="auto" w:sz="4" w:space="0"/>
              <w:right w:val="single" w:color="auto" w:sz="4" w:space="0"/>
            </w:tcBorders>
            <w:noWrap/>
            <w:vAlign w:val="bottom"/>
          </w:tcPr>
          <w:p w14:paraId="6D8FFAEE">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Operating Cash Flow / Total Debt</w:t>
            </w:r>
          </w:p>
        </w:tc>
      </w:tr>
    </w:tbl>
    <w:p w14:paraId="00000075">
      <w:pPr>
        <w:spacing w:after="240" w:line="360" w:lineRule="auto"/>
        <w:jc w:val="both"/>
        <w:rPr>
          <w:rFonts w:hint="default" w:ascii="Arial" w:hAnsi="Arial" w:eastAsia="Times New Roman" w:cs="Arial"/>
          <w:sz w:val="24"/>
          <w:szCs w:val="24"/>
        </w:rPr>
      </w:pPr>
    </w:p>
    <w:p w14:paraId="7C4BAEE6">
      <w:pPr>
        <w:spacing w:after="240" w:line="360" w:lineRule="auto"/>
        <w:jc w:val="both"/>
        <w:rPr>
          <w:rFonts w:hint="default" w:ascii="Arial" w:hAnsi="Arial" w:eastAsia="Times New Roman" w:cs="Arial"/>
          <w:b/>
          <w:bCs/>
          <w:i/>
          <w:iCs/>
          <w:sz w:val="24"/>
          <w:szCs w:val="24"/>
        </w:rPr>
      </w:pPr>
    </w:p>
    <w:p w14:paraId="54CCF5FF">
      <w:pPr>
        <w:spacing w:after="240" w:line="360" w:lineRule="auto"/>
        <w:jc w:val="both"/>
        <w:rPr>
          <w:rFonts w:hint="default" w:ascii="Arial" w:hAnsi="Arial" w:eastAsia="Times New Roman" w:cs="Arial"/>
          <w:b/>
          <w:bCs/>
          <w:i/>
          <w:iCs/>
          <w:sz w:val="24"/>
          <w:szCs w:val="24"/>
        </w:rPr>
      </w:pPr>
    </w:p>
    <w:p w14:paraId="276D9F80">
      <w:pPr>
        <w:spacing w:after="240" w:line="360" w:lineRule="auto"/>
        <w:jc w:val="both"/>
        <w:rPr>
          <w:rFonts w:hint="default" w:ascii="Arial" w:hAnsi="Arial" w:eastAsia="Times New Roman" w:cs="Arial"/>
          <w:b/>
          <w:bCs/>
          <w:i/>
          <w:iCs/>
          <w:sz w:val="24"/>
          <w:szCs w:val="24"/>
        </w:rPr>
      </w:pPr>
    </w:p>
    <w:p w14:paraId="0325F810">
      <w:pPr>
        <w:spacing w:after="240" w:line="360" w:lineRule="auto"/>
        <w:jc w:val="both"/>
        <w:rPr>
          <w:rFonts w:hint="default" w:ascii="Arial" w:hAnsi="Arial" w:eastAsia="Times New Roman" w:cs="Arial"/>
          <w:b/>
          <w:bCs/>
          <w:i/>
          <w:iCs/>
          <w:sz w:val="24"/>
          <w:szCs w:val="24"/>
        </w:rPr>
      </w:pPr>
    </w:p>
    <w:p w14:paraId="4C4442DA">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Operating Profit Graph </w:t>
      </w:r>
    </w:p>
    <w:p w14:paraId="029DBE67">
      <w:pPr>
        <w:spacing w:after="240" w:line="360" w:lineRule="auto"/>
        <w:jc w:val="center"/>
        <w:rPr>
          <w:rFonts w:hint="default" w:ascii="Arial" w:hAnsi="Arial" w:eastAsia="Times New Roman" w:cs="Arial"/>
          <w:sz w:val="24"/>
          <w:szCs w:val="24"/>
        </w:rPr>
      </w:pPr>
      <w:r>
        <w:rPr>
          <w:rFonts w:hint="default" w:ascii="Arial" w:hAnsi="Arial" w:cs="Arial"/>
          <w:sz w:val="24"/>
          <w:szCs w:val="24"/>
          <w:lang w:val="en-US"/>
        </w:rPr>
        <w:drawing>
          <wp:inline distT="0" distB="0" distL="0" distR="0">
            <wp:extent cx="4572000" cy="2743200"/>
            <wp:effectExtent l="4445" t="4445" r="10795" b="10795"/>
            <wp:docPr id="154334613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7401E2A">
      <w:pPr>
        <w:spacing w:after="240" w:line="360" w:lineRule="auto"/>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Receivable Turnover </w:t>
      </w:r>
    </w:p>
    <w:p w14:paraId="5C12A3DA">
      <w:pPr>
        <w:spacing w:after="240" w:line="360" w:lineRule="auto"/>
        <w:jc w:val="center"/>
        <w:rPr>
          <w:rFonts w:hint="default" w:ascii="Arial" w:hAnsi="Arial" w:eastAsia="Times New Roman" w:cs="Arial"/>
          <w:sz w:val="24"/>
          <w:szCs w:val="24"/>
        </w:rPr>
      </w:pPr>
      <w:r>
        <w:rPr>
          <w:rFonts w:hint="default" w:ascii="Arial" w:hAnsi="Arial" w:cs="Arial"/>
          <w:sz w:val="24"/>
          <w:szCs w:val="24"/>
          <w:lang w:val="en-US"/>
        </w:rPr>
        <w:drawing>
          <wp:inline distT="0" distB="0" distL="0" distR="0">
            <wp:extent cx="4572000" cy="2743200"/>
            <wp:effectExtent l="4445" t="4445" r="10795" b="10795"/>
            <wp:docPr id="142063274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EB98EE9">
      <w:pPr>
        <w:spacing w:after="240" w:line="360" w:lineRule="auto"/>
        <w:rPr>
          <w:rFonts w:hint="default" w:ascii="Arial" w:hAnsi="Arial" w:eastAsia="Times New Roman" w:cs="Arial"/>
          <w:b/>
          <w:bCs/>
          <w:i/>
          <w:iCs/>
          <w:sz w:val="24"/>
          <w:szCs w:val="24"/>
        </w:rPr>
      </w:pPr>
    </w:p>
    <w:p w14:paraId="3ACC48AD">
      <w:pPr>
        <w:spacing w:after="240" w:line="360" w:lineRule="auto"/>
        <w:rPr>
          <w:rFonts w:hint="default" w:ascii="Arial" w:hAnsi="Arial" w:eastAsia="Times New Roman" w:cs="Arial"/>
          <w:b/>
          <w:bCs/>
          <w:i/>
          <w:iCs/>
          <w:sz w:val="24"/>
          <w:szCs w:val="24"/>
        </w:rPr>
      </w:pPr>
    </w:p>
    <w:p w14:paraId="73506DF2">
      <w:pPr>
        <w:spacing w:after="240" w:line="360" w:lineRule="auto"/>
        <w:rPr>
          <w:rFonts w:hint="default" w:ascii="Arial" w:hAnsi="Arial" w:eastAsia="Times New Roman" w:cs="Arial"/>
          <w:b/>
          <w:bCs/>
          <w:i/>
          <w:iCs/>
          <w:sz w:val="24"/>
          <w:szCs w:val="24"/>
        </w:rPr>
      </w:pPr>
    </w:p>
    <w:p w14:paraId="5F7CFB96">
      <w:pPr>
        <w:spacing w:after="240" w:line="360" w:lineRule="auto"/>
        <w:rPr>
          <w:rFonts w:hint="default" w:ascii="Arial" w:hAnsi="Arial" w:eastAsia="Times New Roman" w:cs="Arial"/>
          <w:b/>
          <w:bCs/>
          <w:i/>
          <w:iCs/>
          <w:sz w:val="24"/>
          <w:szCs w:val="24"/>
        </w:rPr>
      </w:pPr>
    </w:p>
    <w:p w14:paraId="4E797338">
      <w:pPr>
        <w:spacing w:after="240" w:line="360" w:lineRule="auto"/>
        <w:rPr>
          <w:rFonts w:hint="default" w:ascii="Arial" w:hAnsi="Arial" w:eastAsia="Times New Roman" w:cs="Arial"/>
          <w:b/>
          <w:bCs/>
          <w:i/>
          <w:iCs/>
          <w:sz w:val="24"/>
          <w:szCs w:val="24"/>
        </w:rPr>
      </w:pPr>
    </w:p>
    <w:p w14:paraId="65206524">
      <w:pPr>
        <w:spacing w:after="240" w:line="360" w:lineRule="auto"/>
        <w:rPr>
          <w:rFonts w:hint="default" w:ascii="Arial" w:hAnsi="Arial" w:eastAsia="Times New Roman" w:cs="Arial"/>
          <w:b/>
          <w:bCs/>
          <w:i/>
          <w:iCs/>
          <w:sz w:val="24"/>
          <w:szCs w:val="24"/>
        </w:rPr>
      </w:pPr>
    </w:p>
    <w:p w14:paraId="4FBA1342">
      <w:pPr>
        <w:spacing w:after="240" w:line="360" w:lineRule="auto"/>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EPS Growth </w:t>
      </w:r>
    </w:p>
    <w:p w14:paraId="1EA4E771">
      <w:pPr>
        <w:spacing w:after="240" w:line="360" w:lineRule="auto"/>
        <w:jc w:val="center"/>
        <w:rPr>
          <w:rFonts w:hint="default" w:ascii="Arial" w:hAnsi="Arial" w:eastAsia="Times New Roman" w:cs="Arial"/>
          <w:sz w:val="24"/>
          <w:szCs w:val="24"/>
        </w:rPr>
      </w:pPr>
      <w:r>
        <w:rPr>
          <w:rFonts w:hint="default" w:ascii="Arial" w:hAnsi="Arial" w:cs="Arial"/>
          <w:sz w:val="24"/>
          <w:szCs w:val="24"/>
          <w:lang w:val="en-US"/>
        </w:rPr>
        <w:drawing>
          <wp:inline distT="0" distB="0" distL="0" distR="0">
            <wp:extent cx="4572000" cy="2743200"/>
            <wp:effectExtent l="4445" t="4445" r="10795" b="10795"/>
            <wp:docPr id="85161353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60FA10">
      <w:pPr>
        <w:spacing w:after="240" w:line="360" w:lineRule="auto"/>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Free Cash Flow Graph </w:t>
      </w:r>
    </w:p>
    <w:p w14:paraId="3CA9DEAF">
      <w:pPr>
        <w:spacing w:after="240" w:line="360" w:lineRule="auto"/>
        <w:jc w:val="center"/>
        <w:rPr>
          <w:rFonts w:hint="default" w:ascii="Arial" w:hAnsi="Arial" w:eastAsia="Times New Roman" w:cs="Arial"/>
          <w:sz w:val="24"/>
          <w:szCs w:val="24"/>
        </w:rPr>
      </w:pPr>
      <w:r>
        <w:rPr>
          <w:rFonts w:hint="default" w:ascii="Arial" w:hAnsi="Arial" w:cs="Arial"/>
          <w:sz w:val="24"/>
          <w:szCs w:val="24"/>
          <w:lang w:val="en-US"/>
        </w:rPr>
        <w:drawing>
          <wp:inline distT="0" distB="0" distL="0" distR="0">
            <wp:extent cx="4572000" cy="2743200"/>
            <wp:effectExtent l="4445" t="4445" r="10795" b="10795"/>
            <wp:docPr id="169492800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47FCDE">
      <w:pPr>
        <w:spacing w:after="240" w:line="360" w:lineRule="auto"/>
        <w:rPr>
          <w:rFonts w:hint="default" w:ascii="Arial" w:hAnsi="Arial" w:eastAsia="Times New Roman" w:cs="Arial"/>
          <w:sz w:val="24"/>
          <w:szCs w:val="24"/>
        </w:rPr>
      </w:pPr>
      <w:r>
        <w:rPr>
          <w:rFonts w:hint="default" w:ascii="Arial" w:hAnsi="Arial" w:eastAsia="Times New Roman" w:cs="Arial"/>
          <w:sz w:val="24"/>
          <w:szCs w:val="24"/>
        </w:rPr>
        <w:br w:type="page"/>
      </w:r>
    </w:p>
    <w:p w14:paraId="00000076">
      <w:pPr>
        <w:pStyle w:val="3"/>
        <w:spacing w:after="240"/>
        <w:rPr>
          <w:rFonts w:hint="default" w:ascii="Arial" w:hAnsi="Arial" w:cs="Arial"/>
          <w:sz w:val="24"/>
          <w:szCs w:val="24"/>
        </w:rPr>
      </w:pPr>
      <w:bookmarkStart w:id="26" w:name="_Toc231843855"/>
      <w:r>
        <w:rPr>
          <w:rFonts w:hint="default" w:ascii="Arial" w:hAnsi="Arial" w:cs="Arial"/>
          <w:sz w:val="24"/>
          <w:szCs w:val="24"/>
        </w:rPr>
        <w:t>Appendix B: Investment appraisal calculations</w:t>
      </w:r>
      <w:bookmarkEnd w:id="26"/>
    </w:p>
    <w:tbl>
      <w:tblPr>
        <w:tblStyle w:val="8"/>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22"/>
        <w:gridCol w:w="6823"/>
      </w:tblGrid>
      <w:tr w14:paraId="01D09A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1FC3E62D">
            <w:pPr>
              <w:spacing w:after="240" w:line="360" w:lineRule="auto"/>
              <w:rPr>
                <w:rFonts w:hint="default" w:ascii="Arial" w:hAnsi="Arial" w:eastAsia="Times New Roman" w:cs="Arial"/>
                <w:sz w:val="24"/>
                <w:szCs w:val="24"/>
                <w:lang w:val="en-US"/>
              </w:rPr>
            </w:pPr>
          </w:p>
        </w:tc>
        <w:tc>
          <w:tcPr>
            <w:tcW w:w="3679" w:type="pct"/>
            <w:noWrap/>
          </w:tcPr>
          <w:p w14:paraId="39620E6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Formula</w:t>
            </w:r>
          </w:p>
        </w:tc>
      </w:tr>
      <w:tr w14:paraId="1FA832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3AB4D939">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Discount Factor</w:t>
            </w:r>
          </w:p>
        </w:tc>
        <w:tc>
          <w:tcPr>
            <w:tcW w:w="3679" w:type="pct"/>
            <w:noWrap/>
          </w:tcPr>
          <w:p w14:paraId="46FE2A4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 / (1 + Discount Rate) ^Year</w:t>
            </w:r>
          </w:p>
        </w:tc>
      </w:tr>
      <w:tr w14:paraId="22E12C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12B62E6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Present Value (PV)</w:t>
            </w:r>
          </w:p>
        </w:tc>
        <w:tc>
          <w:tcPr>
            <w:tcW w:w="3679" w:type="pct"/>
            <w:noWrap/>
          </w:tcPr>
          <w:p w14:paraId="721ECE6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Cash Flow × Discount Factor</w:t>
            </w:r>
          </w:p>
        </w:tc>
      </w:tr>
      <w:tr w14:paraId="787E90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3387012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Cumulative Cash Flow</w:t>
            </w:r>
          </w:p>
        </w:tc>
        <w:tc>
          <w:tcPr>
            <w:tcW w:w="3679" w:type="pct"/>
            <w:noWrap/>
          </w:tcPr>
          <w:p w14:paraId="5D43436D">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Previous Cumulative Cash Flow + Current Year Cash Flow</w:t>
            </w:r>
          </w:p>
        </w:tc>
      </w:tr>
      <w:tr w14:paraId="5F2097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2A84F684">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Cash Inflows</w:t>
            </w:r>
          </w:p>
        </w:tc>
        <w:tc>
          <w:tcPr>
            <w:tcW w:w="3679" w:type="pct"/>
            <w:noWrap/>
          </w:tcPr>
          <w:p w14:paraId="49F1DFB9">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1 Cash Flow + Year 2 Cash Flow + Year 3 Cash Flow + Year 4 Cash Flow + Year 5 Cash Flow</w:t>
            </w:r>
          </w:p>
        </w:tc>
      </w:tr>
      <w:tr w14:paraId="2EC8BE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006B3910">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Annual Cash Inflow</w:t>
            </w:r>
          </w:p>
        </w:tc>
        <w:tc>
          <w:tcPr>
            <w:tcW w:w="3679" w:type="pct"/>
            <w:noWrap/>
          </w:tcPr>
          <w:p w14:paraId="2C78BBC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Cash Inflows / Number of Years</w:t>
            </w:r>
          </w:p>
        </w:tc>
      </w:tr>
      <w:tr w14:paraId="223D31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6641077B">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Investment</w:t>
            </w:r>
          </w:p>
        </w:tc>
        <w:tc>
          <w:tcPr>
            <w:tcW w:w="3679" w:type="pct"/>
            <w:noWrap/>
          </w:tcPr>
          <w:p w14:paraId="67C8ED1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Initial Investment / 2</w:t>
            </w:r>
          </w:p>
        </w:tc>
      </w:tr>
      <w:tr w14:paraId="05595D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209640A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Accounting Rate of Return (ARR)</w:t>
            </w:r>
          </w:p>
        </w:tc>
        <w:tc>
          <w:tcPr>
            <w:tcW w:w="3679" w:type="pct"/>
            <w:noWrap/>
          </w:tcPr>
          <w:p w14:paraId="3F3C3F6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Annual Accounting Profit / Average Investment) × 100</w:t>
            </w:r>
          </w:p>
        </w:tc>
      </w:tr>
      <w:tr w14:paraId="2EA36E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506CDC4B">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Present Value of Inflows</w:t>
            </w:r>
          </w:p>
        </w:tc>
        <w:tc>
          <w:tcPr>
            <w:tcW w:w="3679" w:type="pct"/>
            <w:noWrap/>
          </w:tcPr>
          <w:p w14:paraId="7B4C068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Sum of Present Values of Years 1-5</w:t>
            </w:r>
          </w:p>
        </w:tc>
      </w:tr>
      <w:tr w14:paraId="0D4760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4EDB3E1E">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Present Value (NPV)</w:t>
            </w:r>
          </w:p>
        </w:tc>
        <w:tc>
          <w:tcPr>
            <w:tcW w:w="3679" w:type="pct"/>
            <w:noWrap/>
          </w:tcPr>
          <w:p w14:paraId="4BEAE45B">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Present Value of Inflow - Initial Investment</w:t>
            </w:r>
          </w:p>
        </w:tc>
      </w:tr>
      <w:tr w14:paraId="79F14A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0652FE1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Profitability Index (PI)</w:t>
            </w:r>
          </w:p>
        </w:tc>
        <w:tc>
          <w:tcPr>
            <w:tcW w:w="3679" w:type="pct"/>
            <w:noWrap/>
          </w:tcPr>
          <w:p w14:paraId="38E9BC80">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Present Value of Inflows / Initial Investment</w:t>
            </w:r>
          </w:p>
        </w:tc>
      </w:tr>
      <w:tr w14:paraId="300B4F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38CA8FF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Internal Rate of Return (IRR)</w:t>
            </w:r>
          </w:p>
        </w:tc>
        <w:tc>
          <w:tcPr>
            <w:tcW w:w="3679" w:type="pct"/>
            <w:noWrap/>
          </w:tcPr>
          <w:p w14:paraId="4E01A45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Discount Rate at which NPV = 0</w:t>
            </w:r>
          </w:p>
        </w:tc>
      </w:tr>
      <w:tr w14:paraId="4F49F8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321" w:type="pct"/>
            <w:noWrap/>
          </w:tcPr>
          <w:p w14:paraId="3CE30E04">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Payback Period (PBP)</w:t>
            </w:r>
          </w:p>
        </w:tc>
        <w:tc>
          <w:tcPr>
            <w:tcW w:w="3679" w:type="pct"/>
            <w:noWrap/>
          </w:tcPr>
          <w:p w14:paraId="6D9D86D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Years Before Recovery + (Unrecovered Investment / Cash Flow in Recovery Year)</w:t>
            </w:r>
          </w:p>
        </w:tc>
      </w:tr>
    </w:tbl>
    <w:p w14:paraId="22B8CCEE">
      <w:pPr>
        <w:spacing w:after="240" w:line="360" w:lineRule="auto"/>
        <w:jc w:val="both"/>
        <w:rPr>
          <w:rFonts w:hint="default" w:ascii="Arial" w:hAnsi="Arial" w:eastAsia="Times New Roman" w:cs="Arial"/>
          <w:sz w:val="24"/>
          <w:szCs w:val="24"/>
        </w:rPr>
      </w:pPr>
    </w:p>
    <w:p w14:paraId="060FE71C">
      <w:pPr>
        <w:spacing w:after="240" w:line="360" w:lineRule="auto"/>
        <w:jc w:val="both"/>
        <w:rPr>
          <w:rFonts w:hint="default" w:ascii="Arial" w:hAnsi="Arial" w:eastAsia="Times New Roman" w:cs="Arial"/>
          <w:b/>
          <w:bCs/>
          <w:i/>
          <w:iCs/>
          <w:sz w:val="24"/>
          <w:szCs w:val="24"/>
        </w:rPr>
      </w:pPr>
    </w:p>
    <w:p w14:paraId="5435284B">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Project A: </w:t>
      </w:r>
    </w:p>
    <w:tbl>
      <w:tblPr>
        <w:tblStyle w:val="5"/>
        <w:tblW w:w="4693" w:type="pct"/>
        <w:tblInd w:w="0" w:type="dxa"/>
        <w:tblLayout w:type="autofit"/>
        <w:tblCellMar>
          <w:top w:w="0" w:type="dxa"/>
          <w:left w:w="108" w:type="dxa"/>
          <w:bottom w:w="0" w:type="dxa"/>
          <w:right w:w="108" w:type="dxa"/>
        </w:tblCellMar>
      </w:tblPr>
      <w:tblGrid>
        <w:gridCol w:w="1451"/>
        <w:gridCol w:w="1296"/>
        <w:gridCol w:w="1723"/>
        <w:gridCol w:w="1532"/>
        <w:gridCol w:w="2124"/>
        <w:gridCol w:w="1119"/>
      </w:tblGrid>
      <w:tr w14:paraId="0C0A2208">
        <w:tblPrEx>
          <w:tblCellMar>
            <w:top w:w="0" w:type="dxa"/>
            <w:left w:w="108" w:type="dxa"/>
            <w:bottom w:w="0" w:type="dxa"/>
            <w:right w:w="108" w:type="dxa"/>
          </w:tblCellMar>
        </w:tblPrEx>
        <w:trPr>
          <w:trHeight w:val="354" w:hRule="atLeast"/>
        </w:trPr>
        <w:tc>
          <w:tcPr>
            <w:tcW w:w="777" w:type="pct"/>
            <w:tcBorders>
              <w:top w:val="single" w:color="auto" w:sz="4" w:space="0"/>
              <w:left w:val="single" w:color="auto" w:sz="4" w:space="0"/>
              <w:bottom w:val="single" w:color="auto" w:sz="4" w:space="0"/>
              <w:right w:val="single" w:color="auto" w:sz="4" w:space="0"/>
            </w:tcBorders>
            <w:noWrap/>
            <w:vAlign w:val="bottom"/>
          </w:tcPr>
          <w:p w14:paraId="4639FE7E">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Particulars</w:t>
            </w:r>
          </w:p>
        </w:tc>
        <w:tc>
          <w:tcPr>
            <w:tcW w:w="694" w:type="pct"/>
            <w:tcBorders>
              <w:top w:val="single" w:color="auto" w:sz="4" w:space="0"/>
              <w:left w:val="nil"/>
              <w:bottom w:val="single" w:color="auto" w:sz="4" w:space="0"/>
              <w:right w:val="single" w:color="auto" w:sz="4" w:space="0"/>
            </w:tcBorders>
            <w:noWrap/>
            <w:vAlign w:val="bottom"/>
          </w:tcPr>
          <w:p w14:paraId="39E506A2">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Value (£m)</w:t>
            </w:r>
          </w:p>
        </w:tc>
        <w:tc>
          <w:tcPr>
            <w:tcW w:w="966" w:type="pct"/>
            <w:tcBorders>
              <w:top w:val="nil"/>
              <w:left w:val="nil"/>
              <w:bottom w:val="nil"/>
              <w:right w:val="nil"/>
            </w:tcBorders>
            <w:noWrap/>
            <w:vAlign w:val="bottom"/>
          </w:tcPr>
          <w:p w14:paraId="223C4D0B">
            <w:pPr>
              <w:spacing w:after="240" w:line="360" w:lineRule="auto"/>
              <w:jc w:val="center"/>
              <w:rPr>
                <w:rFonts w:hint="default" w:ascii="Arial" w:hAnsi="Arial" w:eastAsia="Times New Roman" w:cs="Arial"/>
                <w:b/>
                <w:bCs/>
                <w:i/>
                <w:iCs/>
                <w:color w:val="000000"/>
                <w:sz w:val="24"/>
                <w:szCs w:val="24"/>
                <w:lang w:val="en-US"/>
              </w:rPr>
            </w:pPr>
          </w:p>
        </w:tc>
        <w:tc>
          <w:tcPr>
            <w:tcW w:w="821" w:type="pct"/>
            <w:tcBorders>
              <w:top w:val="nil"/>
              <w:left w:val="nil"/>
              <w:bottom w:val="nil"/>
              <w:right w:val="nil"/>
            </w:tcBorders>
            <w:noWrap/>
            <w:vAlign w:val="bottom"/>
          </w:tcPr>
          <w:p w14:paraId="7E6470D0">
            <w:pPr>
              <w:spacing w:after="240" w:line="360" w:lineRule="auto"/>
              <w:rPr>
                <w:rFonts w:hint="default" w:ascii="Arial" w:hAnsi="Arial" w:eastAsia="Times New Roman" w:cs="Arial"/>
                <w:sz w:val="24"/>
                <w:szCs w:val="24"/>
                <w:lang w:val="en-US"/>
              </w:rPr>
            </w:pPr>
          </w:p>
        </w:tc>
        <w:tc>
          <w:tcPr>
            <w:tcW w:w="1138" w:type="pct"/>
            <w:tcBorders>
              <w:top w:val="nil"/>
              <w:left w:val="nil"/>
              <w:bottom w:val="nil"/>
              <w:right w:val="nil"/>
            </w:tcBorders>
            <w:noWrap/>
            <w:vAlign w:val="bottom"/>
          </w:tcPr>
          <w:p w14:paraId="6E48E940">
            <w:pPr>
              <w:spacing w:after="240" w:line="360" w:lineRule="auto"/>
              <w:rPr>
                <w:rFonts w:hint="default" w:ascii="Arial" w:hAnsi="Arial" w:eastAsia="Times New Roman" w:cs="Arial"/>
                <w:sz w:val="24"/>
                <w:szCs w:val="24"/>
                <w:lang w:val="en-US"/>
              </w:rPr>
            </w:pPr>
          </w:p>
        </w:tc>
        <w:tc>
          <w:tcPr>
            <w:tcW w:w="600" w:type="pct"/>
            <w:tcBorders>
              <w:top w:val="nil"/>
              <w:left w:val="nil"/>
              <w:bottom w:val="nil"/>
              <w:right w:val="nil"/>
            </w:tcBorders>
            <w:noWrap/>
            <w:vAlign w:val="bottom"/>
          </w:tcPr>
          <w:p w14:paraId="7E2928AB">
            <w:pPr>
              <w:spacing w:after="240" w:line="360" w:lineRule="auto"/>
              <w:rPr>
                <w:rFonts w:hint="default" w:ascii="Arial" w:hAnsi="Arial" w:eastAsia="Times New Roman" w:cs="Arial"/>
                <w:sz w:val="24"/>
                <w:szCs w:val="24"/>
                <w:lang w:val="en-US"/>
              </w:rPr>
            </w:pPr>
          </w:p>
        </w:tc>
      </w:tr>
      <w:tr w14:paraId="31759E59">
        <w:tblPrEx>
          <w:tblCellMar>
            <w:top w:w="0" w:type="dxa"/>
            <w:left w:w="108" w:type="dxa"/>
            <w:bottom w:w="0" w:type="dxa"/>
            <w:right w:w="108" w:type="dxa"/>
          </w:tblCellMar>
        </w:tblPrEx>
        <w:trPr>
          <w:trHeight w:val="354" w:hRule="atLeast"/>
        </w:trPr>
        <w:tc>
          <w:tcPr>
            <w:tcW w:w="777" w:type="pct"/>
            <w:tcBorders>
              <w:top w:val="nil"/>
              <w:left w:val="single" w:color="auto" w:sz="4" w:space="0"/>
              <w:bottom w:val="single" w:color="auto" w:sz="4" w:space="0"/>
              <w:right w:val="single" w:color="auto" w:sz="4" w:space="0"/>
            </w:tcBorders>
            <w:noWrap/>
            <w:vAlign w:val="bottom"/>
          </w:tcPr>
          <w:p w14:paraId="7BC854C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Initial Investment</w:t>
            </w:r>
          </w:p>
        </w:tc>
        <w:tc>
          <w:tcPr>
            <w:tcW w:w="694" w:type="pct"/>
            <w:tcBorders>
              <w:top w:val="nil"/>
              <w:left w:val="nil"/>
              <w:bottom w:val="single" w:color="auto" w:sz="4" w:space="0"/>
              <w:right w:val="single" w:color="auto" w:sz="4" w:space="0"/>
            </w:tcBorders>
            <w:noWrap/>
            <w:vAlign w:val="bottom"/>
          </w:tcPr>
          <w:p w14:paraId="4F689E1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966" w:type="pct"/>
            <w:tcBorders>
              <w:top w:val="nil"/>
              <w:left w:val="nil"/>
              <w:bottom w:val="nil"/>
              <w:right w:val="nil"/>
            </w:tcBorders>
            <w:noWrap/>
            <w:vAlign w:val="bottom"/>
          </w:tcPr>
          <w:p w14:paraId="7B85F63A">
            <w:pPr>
              <w:spacing w:after="240" w:line="360" w:lineRule="auto"/>
              <w:jc w:val="right"/>
              <w:rPr>
                <w:rFonts w:hint="default" w:ascii="Arial" w:hAnsi="Arial" w:eastAsia="Times New Roman" w:cs="Arial"/>
                <w:color w:val="000000"/>
                <w:sz w:val="24"/>
                <w:szCs w:val="24"/>
                <w:lang w:val="en-US"/>
              </w:rPr>
            </w:pPr>
          </w:p>
        </w:tc>
        <w:tc>
          <w:tcPr>
            <w:tcW w:w="821" w:type="pct"/>
            <w:tcBorders>
              <w:top w:val="nil"/>
              <w:left w:val="nil"/>
              <w:bottom w:val="nil"/>
              <w:right w:val="nil"/>
            </w:tcBorders>
            <w:noWrap/>
            <w:vAlign w:val="bottom"/>
          </w:tcPr>
          <w:p w14:paraId="5D440468">
            <w:pPr>
              <w:spacing w:after="240" w:line="360" w:lineRule="auto"/>
              <w:rPr>
                <w:rFonts w:hint="default" w:ascii="Arial" w:hAnsi="Arial" w:eastAsia="Times New Roman" w:cs="Arial"/>
                <w:sz w:val="24"/>
                <w:szCs w:val="24"/>
                <w:lang w:val="en-US"/>
              </w:rPr>
            </w:pPr>
          </w:p>
        </w:tc>
        <w:tc>
          <w:tcPr>
            <w:tcW w:w="1138" w:type="pct"/>
            <w:tcBorders>
              <w:top w:val="nil"/>
              <w:left w:val="nil"/>
              <w:bottom w:val="nil"/>
              <w:right w:val="nil"/>
            </w:tcBorders>
            <w:noWrap/>
            <w:vAlign w:val="bottom"/>
          </w:tcPr>
          <w:p w14:paraId="1569F502">
            <w:pPr>
              <w:spacing w:after="240" w:line="360" w:lineRule="auto"/>
              <w:rPr>
                <w:rFonts w:hint="default" w:ascii="Arial" w:hAnsi="Arial" w:eastAsia="Times New Roman" w:cs="Arial"/>
                <w:sz w:val="24"/>
                <w:szCs w:val="24"/>
                <w:lang w:val="en-US"/>
              </w:rPr>
            </w:pPr>
          </w:p>
        </w:tc>
        <w:tc>
          <w:tcPr>
            <w:tcW w:w="600" w:type="pct"/>
            <w:tcBorders>
              <w:top w:val="nil"/>
              <w:left w:val="nil"/>
              <w:bottom w:val="nil"/>
              <w:right w:val="nil"/>
            </w:tcBorders>
            <w:noWrap/>
            <w:vAlign w:val="bottom"/>
          </w:tcPr>
          <w:p w14:paraId="1CE8FE6F">
            <w:pPr>
              <w:spacing w:after="240" w:line="360" w:lineRule="auto"/>
              <w:rPr>
                <w:rFonts w:hint="default" w:ascii="Arial" w:hAnsi="Arial" w:eastAsia="Times New Roman" w:cs="Arial"/>
                <w:sz w:val="24"/>
                <w:szCs w:val="24"/>
                <w:lang w:val="en-US"/>
              </w:rPr>
            </w:pPr>
          </w:p>
        </w:tc>
      </w:tr>
      <w:tr w14:paraId="673F2F9B">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084894C0">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1 Cash Inflow</w:t>
            </w:r>
          </w:p>
        </w:tc>
        <w:tc>
          <w:tcPr>
            <w:tcW w:w="694" w:type="pct"/>
            <w:tcBorders>
              <w:top w:val="nil"/>
              <w:left w:val="nil"/>
              <w:bottom w:val="single" w:color="auto" w:sz="4" w:space="0"/>
              <w:right w:val="single" w:color="auto" w:sz="4" w:space="0"/>
            </w:tcBorders>
            <w:noWrap/>
            <w:vAlign w:val="bottom"/>
          </w:tcPr>
          <w:p w14:paraId="637F4A1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w:t>
            </w:r>
          </w:p>
        </w:tc>
        <w:tc>
          <w:tcPr>
            <w:tcW w:w="966" w:type="pct"/>
            <w:tcBorders>
              <w:top w:val="nil"/>
              <w:left w:val="nil"/>
              <w:bottom w:val="nil"/>
              <w:right w:val="nil"/>
            </w:tcBorders>
            <w:noWrap/>
            <w:vAlign w:val="bottom"/>
          </w:tcPr>
          <w:p w14:paraId="254B1580">
            <w:pPr>
              <w:spacing w:after="240" w:line="360" w:lineRule="auto"/>
              <w:jc w:val="right"/>
              <w:rPr>
                <w:rFonts w:hint="default" w:ascii="Arial" w:hAnsi="Arial" w:eastAsia="Times New Roman" w:cs="Arial"/>
                <w:color w:val="000000"/>
                <w:sz w:val="24"/>
                <w:szCs w:val="24"/>
                <w:lang w:val="en-US"/>
              </w:rPr>
            </w:pPr>
          </w:p>
        </w:tc>
        <w:tc>
          <w:tcPr>
            <w:tcW w:w="821" w:type="pct"/>
            <w:tcBorders>
              <w:top w:val="nil"/>
              <w:left w:val="nil"/>
              <w:bottom w:val="nil"/>
              <w:right w:val="nil"/>
            </w:tcBorders>
            <w:noWrap/>
            <w:vAlign w:val="bottom"/>
          </w:tcPr>
          <w:p w14:paraId="4C84969B">
            <w:pPr>
              <w:spacing w:after="240" w:line="360" w:lineRule="auto"/>
              <w:rPr>
                <w:rFonts w:hint="default" w:ascii="Arial" w:hAnsi="Arial" w:eastAsia="Times New Roman" w:cs="Arial"/>
                <w:sz w:val="24"/>
                <w:szCs w:val="24"/>
                <w:lang w:val="en-US"/>
              </w:rPr>
            </w:pPr>
          </w:p>
        </w:tc>
        <w:tc>
          <w:tcPr>
            <w:tcW w:w="1138" w:type="pct"/>
            <w:tcBorders>
              <w:top w:val="nil"/>
              <w:left w:val="nil"/>
              <w:bottom w:val="nil"/>
              <w:right w:val="nil"/>
            </w:tcBorders>
            <w:noWrap/>
            <w:vAlign w:val="bottom"/>
          </w:tcPr>
          <w:p w14:paraId="1592A09D">
            <w:pPr>
              <w:spacing w:after="240" w:line="360" w:lineRule="auto"/>
              <w:rPr>
                <w:rFonts w:hint="default" w:ascii="Arial" w:hAnsi="Arial" w:eastAsia="Times New Roman" w:cs="Arial"/>
                <w:sz w:val="24"/>
                <w:szCs w:val="24"/>
                <w:lang w:val="en-US"/>
              </w:rPr>
            </w:pPr>
          </w:p>
        </w:tc>
        <w:tc>
          <w:tcPr>
            <w:tcW w:w="600" w:type="pct"/>
            <w:tcBorders>
              <w:top w:val="nil"/>
              <w:left w:val="nil"/>
              <w:bottom w:val="nil"/>
              <w:right w:val="nil"/>
            </w:tcBorders>
            <w:noWrap/>
            <w:vAlign w:val="bottom"/>
          </w:tcPr>
          <w:p w14:paraId="35285485">
            <w:pPr>
              <w:spacing w:after="240" w:line="360" w:lineRule="auto"/>
              <w:rPr>
                <w:rFonts w:hint="default" w:ascii="Arial" w:hAnsi="Arial" w:eastAsia="Times New Roman" w:cs="Arial"/>
                <w:sz w:val="24"/>
                <w:szCs w:val="24"/>
                <w:lang w:val="en-US"/>
              </w:rPr>
            </w:pPr>
          </w:p>
        </w:tc>
      </w:tr>
      <w:tr w14:paraId="204D68FD">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7E123D79">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2 Cash Inflow</w:t>
            </w:r>
          </w:p>
        </w:tc>
        <w:tc>
          <w:tcPr>
            <w:tcW w:w="694" w:type="pct"/>
            <w:tcBorders>
              <w:top w:val="nil"/>
              <w:left w:val="nil"/>
              <w:bottom w:val="single" w:color="auto" w:sz="4" w:space="0"/>
              <w:right w:val="single" w:color="auto" w:sz="4" w:space="0"/>
            </w:tcBorders>
            <w:noWrap/>
            <w:vAlign w:val="bottom"/>
          </w:tcPr>
          <w:p w14:paraId="1CCD47F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12</w:t>
            </w:r>
          </w:p>
        </w:tc>
        <w:tc>
          <w:tcPr>
            <w:tcW w:w="966" w:type="pct"/>
            <w:tcBorders>
              <w:top w:val="nil"/>
              <w:left w:val="nil"/>
              <w:bottom w:val="nil"/>
              <w:right w:val="nil"/>
            </w:tcBorders>
            <w:noWrap/>
            <w:vAlign w:val="bottom"/>
          </w:tcPr>
          <w:p w14:paraId="0A4D9B22">
            <w:pPr>
              <w:spacing w:after="240" w:line="360" w:lineRule="auto"/>
              <w:jc w:val="right"/>
              <w:rPr>
                <w:rFonts w:hint="default" w:ascii="Arial" w:hAnsi="Arial" w:eastAsia="Times New Roman" w:cs="Arial"/>
                <w:color w:val="000000"/>
                <w:sz w:val="24"/>
                <w:szCs w:val="24"/>
                <w:lang w:val="en-US"/>
              </w:rPr>
            </w:pPr>
          </w:p>
        </w:tc>
        <w:tc>
          <w:tcPr>
            <w:tcW w:w="821" w:type="pct"/>
            <w:tcBorders>
              <w:top w:val="nil"/>
              <w:left w:val="nil"/>
              <w:bottom w:val="nil"/>
              <w:right w:val="nil"/>
            </w:tcBorders>
            <w:noWrap/>
            <w:vAlign w:val="bottom"/>
          </w:tcPr>
          <w:p w14:paraId="5E450BC4">
            <w:pPr>
              <w:spacing w:after="240" w:line="360" w:lineRule="auto"/>
              <w:rPr>
                <w:rFonts w:hint="default" w:ascii="Arial" w:hAnsi="Arial" w:eastAsia="Times New Roman" w:cs="Arial"/>
                <w:sz w:val="24"/>
                <w:szCs w:val="24"/>
                <w:lang w:val="en-US"/>
              </w:rPr>
            </w:pPr>
          </w:p>
        </w:tc>
        <w:tc>
          <w:tcPr>
            <w:tcW w:w="1138" w:type="pct"/>
            <w:tcBorders>
              <w:top w:val="nil"/>
              <w:left w:val="nil"/>
              <w:bottom w:val="nil"/>
              <w:right w:val="nil"/>
            </w:tcBorders>
            <w:noWrap/>
            <w:vAlign w:val="bottom"/>
          </w:tcPr>
          <w:p w14:paraId="19E142AF">
            <w:pPr>
              <w:spacing w:after="240" w:line="360" w:lineRule="auto"/>
              <w:rPr>
                <w:rFonts w:hint="default" w:ascii="Arial" w:hAnsi="Arial" w:eastAsia="Times New Roman" w:cs="Arial"/>
                <w:sz w:val="24"/>
                <w:szCs w:val="24"/>
                <w:lang w:val="en-US"/>
              </w:rPr>
            </w:pPr>
          </w:p>
        </w:tc>
        <w:tc>
          <w:tcPr>
            <w:tcW w:w="600" w:type="pct"/>
            <w:tcBorders>
              <w:top w:val="nil"/>
              <w:left w:val="nil"/>
              <w:bottom w:val="nil"/>
              <w:right w:val="nil"/>
            </w:tcBorders>
            <w:noWrap/>
            <w:vAlign w:val="bottom"/>
          </w:tcPr>
          <w:p w14:paraId="71C7FD4D">
            <w:pPr>
              <w:spacing w:after="240" w:line="360" w:lineRule="auto"/>
              <w:rPr>
                <w:rFonts w:hint="default" w:ascii="Arial" w:hAnsi="Arial" w:eastAsia="Times New Roman" w:cs="Arial"/>
                <w:sz w:val="24"/>
                <w:szCs w:val="24"/>
                <w:lang w:val="en-US"/>
              </w:rPr>
            </w:pPr>
          </w:p>
        </w:tc>
      </w:tr>
      <w:tr w14:paraId="4D1665DC">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54C168A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3 Cash Inflow</w:t>
            </w:r>
          </w:p>
        </w:tc>
        <w:tc>
          <w:tcPr>
            <w:tcW w:w="694" w:type="pct"/>
            <w:tcBorders>
              <w:top w:val="nil"/>
              <w:left w:val="nil"/>
              <w:bottom w:val="single" w:color="auto" w:sz="4" w:space="0"/>
              <w:right w:val="single" w:color="auto" w:sz="4" w:space="0"/>
            </w:tcBorders>
            <w:noWrap/>
            <w:vAlign w:val="bottom"/>
          </w:tcPr>
          <w:p w14:paraId="1AD9D2F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14</w:t>
            </w:r>
          </w:p>
        </w:tc>
        <w:tc>
          <w:tcPr>
            <w:tcW w:w="966" w:type="pct"/>
            <w:tcBorders>
              <w:top w:val="nil"/>
              <w:left w:val="nil"/>
              <w:bottom w:val="nil"/>
              <w:right w:val="nil"/>
            </w:tcBorders>
            <w:noWrap/>
            <w:vAlign w:val="bottom"/>
          </w:tcPr>
          <w:p w14:paraId="317E71CB">
            <w:pPr>
              <w:spacing w:after="240" w:line="360" w:lineRule="auto"/>
              <w:jc w:val="right"/>
              <w:rPr>
                <w:rFonts w:hint="default" w:ascii="Arial" w:hAnsi="Arial" w:eastAsia="Times New Roman" w:cs="Arial"/>
                <w:color w:val="000000"/>
                <w:sz w:val="24"/>
                <w:szCs w:val="24"/>
                <w:lang w:val="en-US"/>
              </w:rPr>
            </w:pPr>
          </w:p>
        </w:tc>
        <w:tc>
          <w:tcPr>
            <w:tcW w:w="821" w:type="pct"/>
            <w:tcBorders>
              <w:top w:val="nil"/>
              <w:left w:val="nil"/>
              <w:bottom w:val="nil"/>
              <w:right w:val="nil"/>
            </w:tcBorders>
            <w:noWrap/>
            <w:vAlign w:val="bottom"/>
          </w:tcPr>
          <w:p w14:paraId="5AE05774">
            <w:pPr>
              <w:spacing w:after="240" w:line="360" w:lineRule="auto"/>
              <w:rPr>
                <w:rFonts w:hint="default" w:ascii="Arial" w:hAnsi="Arial" w:eastAsia="Times New Roman" w:cs="Arial"/>
                <w:sz w:val="24"/>
                <w:szCs w:val="24"/>
                <w:lang w:val="en-US"/>
              </w:rPr>
            </w:pPr>
          </w:p>
        </w:tc>
        <w:tc>
          <w:tcPr>
            <w:tcW w:w="1138" w:type="pct"/>
            <w:tcBorders>
              <w:top w:val="nil"/>
              <w:left w:val="nil"/>
              <w:bottom w:val="nil"/>
              <w:right w:val="nil"/>
            </w:tcBorders>
            <w:noWrap/>
            <w:vAlign w:val="bottom"/>
          </w:tcPr>
          <w:p w14:paraId="6B87EDC1">
            <w:pPr>
              <w:spacing w:after="240" w:line="360" w:lineRule="auto"/>
              <w:rPr>
                <w:rFonts w:hint="default" w:ascii="Arial" w:hAnsi="Arial" w:eastAsia="Times New Roman" w:cs="Arial"/>
                <w:sz w:val="24"/>
                <w:szCs w:val="24"/>
                <w:lang w:val="en-US"/>
              </w:rPr>
            </w:pPr>
          </w:p>
        </w:tc>
        <w:tc>
          <w:tcPr>
            <w:tcW w:w="600" w:type="pct"/>
            <w:tcBorders>
              <w:top w:val="nil"/>
              <w:left w:val="nil"/>
              <w:bottom w:val="nil"/>
              <w:right w:val="nil"/>
            </w:tcBorders>
            <w:noWrap/>
            <w:vAlign w:val="bottom"/>
          </w:tcPr>
          <w:p w14:paraId="58B9058A">
            <w:pPr>
              <w:spacing w:after="240" w:line="360" w:lineRule="auto"/>
              <w:rPr>
                <w:rFonts w:hint="default" w:ascii="Arial" w:hAnsi="Arial" w:eastAsia="Times New Roman" w:cs="Arial"/>
                <w:sz w:val="24"/>
                <w:szCs w:val="24"/>
                <w:lang w:val="en-US"/>
              </w:rPr>
            </w:pPr>
          </w:p>
        </w:tc>
      </w:tr>
      <w:tr w14:paraId="64E636D8">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6F4E83E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4 Cash Inflow</w:t>
            </w:r>
          </w:p>
        </w:tc>
        <w:tc>
          <w:tcPr>
            <w:tcW w:w="694" w:type="pct"/>
            <w:tcBorders>
              <w:top w:val="nil"/>
              <w:left w:val="nil"/>
              <w:bottom w:val="single" w:color="auto" w:sz="4" w:space="0"/>
              <w:right w:val="single" w:color="auto" w:sz="4" w:space="0"/>
            </w:tcBorders>
            <w:noWrap/>
            <w:vAlign w:val="bottom"/>
          </w:tcPr>
          <w:p w14:paraId="3226629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w:t>
            </w:r>
          </w:p>
        </w:tc>
        <w:tc>
          <w:tcPr>
            <w:tcW w:w="966" w:type="pct"/>
            <w:tcBorders>
              <w:top w:val="nil"/>
              <w:left w:val="nil"/>
              <w:bottom w:val="nil"/>
              <w:right w:val="nil"/>
            </w:tcBorders>
            <w:noWrap/>
            <w:vAlign w:val="bottom"/>
          </w:tcPr>
          <w:p w14:paraId="05A0636B">
            <w:pPr>
              <w:spacing w:after="240" w:line="360" w:lineRule="auto"/>
              <w:jc w:val="right"/>
              <w:rPr>
                <w:rFonts w:hint="default" w:ascii="Arial" w:hAnsi="Arial" w:eastAsia="Times New Roman" w:cs="Arial"/>
                <w:color w:val="000000"/>
                <w:sz w:val="24"/>
                <w:szCs w:val="24"/>
                <w:lang w:val="en-US"/>
              </w:rPr>
            </w:pPr>
          </w:p>
        </w:tc>
        <w:tc>
          <w:tcPr>
            <w:tcW w:w="821" w:type="pct"/>
            <w:tcBorders>
              <w:top w:val="nil"/>
              <w:left w:val="nil"/>
              <w:bottom w:val="nil"/>
              <w:right w:val="nil"/>
            </w:tcBorders>
            <w:noWrap/>
            <w:vAlign w:val="bottom"/>
          </w:tcPr>
          <w:p w14:paraId="7512B451">
            <w:pPr>
              <w:spacing w:after="240" w:line="360" w:lineRule="auto"/>
              <w:rPr>
                <w:rFonts w:hint="default" w:ascii="Arial" w:hAnsi="Arial" w:eastAsia="Times New Roman" w:cs="Arial"/>
                <w:sz w:val="24"/>
                <w:szCs w:val="24"/>
                <w:lang w:val="en-US"/>
              </w:rPr>
            </w:pPr>
          </w:p>
        </w:tc>
        <w:tc>
          <w:tcPr>
            <w:tcW w:w="1138" w:type="pct"/>
            <w:tcBorders>
              <w:top w:val="nil"/>
              <w:left w:val="nil"/>
              <w:bottom w:val="nil"/>
              <w:right w:val="nil"/>
            </w:tcBorders>
            <w:noWrap/>
            <w:vAlign w:val="bottom"/>
          </w:tcPr>
          <w:p w14:paraId="699C8D52">
            <w:pPr>
              <w:spacing w:after="240" w:line="360" w:lineRule="auto"/>
              <w:rPr>
                <w:rFonts w:hint="default" w:ascii="Arial" w:hAnsi="Arial" w:eastAsia="Times New Roman" w:cs="Arial"/>
                <w:sz w:val="24"/>
                <w:szCs w:val="24"/>
                <w:lang w:val="en-US"/>
              </w:rPr>
            </w:pPr>
          </w:p>
        </w:tc>
        <w:tc>
          <w:tcPr>
            <w:tcW w:w="600" w:type="pct"/>
            <w:tcBorders>
              <w:top w:val="nil"/>
              <w:left w:val="nil"/>
              <w:bottom w:val="nil"/>
              <w:right w:val="nil"/>
            </w:tcBorders>
            <w:noWrap/>
            <w:vAlign w:val="bottom"/>
          </w:tcPr>
          <w:p w14:paraId="35E67368">
            <w:pPr>
              <w:spacing w:after="240" w:line="360" w:lineRule="auto"/>
              <w:rPr>
                <w:rFonts w:hint="default" w:ascii="Arial" w:hAnsi="Arial" w:eastAsia="Times New Roman" w:cs="Arial"/>
                <w:sz w:val="24"/>
                <w:szCs w:val="24"/>
                <w:lang w:val="en-US"/>
              </w:rPr>
            </w:pPr>
          </w:p>
        </w:tc>
      </w:tr>
      <w:tr w14:paraId="535CC038">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6ED2E30B">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5 Cash Inflow</w:t>
            </w:r>
          </w:p>
        </w:tc>
        <w:tc>
          <w:tcPr>
            <w:tcW w:w="694" w:type="pct"/>
            <w:tcBorders>
              <w:top w:val="nil"/>
              <w:left w:val="nil"/>
              <w:bottom w:val="single" w:color="auto" w:sz="4" w:space="0"/>
              <w:right w:val="single" w:color="auto" w:sz="4" w:space="0"/>
            </w:tcBorders>
            <w:noWrap/>
            <w:vAlign w:val="bottom"/>
          </w:tcPr>
          <w:p w14:paraId="2B5D106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w:t>
            </w:r>
          </w:p>
        </w:tc>
        <w:tc>
          <w:tcPr>
            <w:tcW w:w="966" w:type="pct"/>
            <w:tcBorders>
              <w:top w:val="nil"/>
              <w:left w:val="nil"/>
              <w:bottom w:val="nil"/>
              <w:right w:val="nil"/>
            </w:tcBorders>
            <w:noWrap/>
            <w:vAlign w:val="bottom"/>
          </w:tcPr>
          <w:p w14:paraId="2C4A7551">
            <w:pPr>
              <w:spacing w:after="240" w:line="360" w:lineRule="auto"/>
              <w:jc w:val="right"/>
              <w:rPr>
                <w:rFonts w:hint="default" w:ascii="Arial" w:hAnsi="Arial" w:eastAsia="Times New Roman" w:cs="Arial"/>
                <w:color w:val="000000"/>
                <w:sz w:val="24"/>
                <w:szCs w:val="24"/>
                <w:lang w:val="en-US"/>
              </w:rPr>
            </w:pPr>
          </w:p>
        </w:tc>
        <w:tc>
          <w:tcPr>
            <w:tcW w:w="821" w:type="pct"/>
            <w:tcBorders>
              <w:top w:val="nil"/>
              <w:left w:val="nil"/>
              <w:bottom w:val="nil"/>
              <w:right w:val="nil"/>
            </w:tcBorders>
            <w:noWrap/>
            <w:vAlign w:val="bottom"/>
          </w:tcPr>
          <w:p w14:paraId="3F83659D">
            <w:pPr>
              <w:spacing w:after="240" w:line="360" w:lineRule="auto"/>
              <w:rPr>
                <w:rFonts w:hint="default" w:ascii="Arial" w:hAnsi="Arial" w:eastAsia="Times New Roman" w:cs="Arial"/>
                <w:sz w:val="24"/>
                <w:szCs w:val="24"/>
                <w:lang w:val="en-US"/>
              </w:rPr>
            </w:pPr>
          </w:p>
        </w:tc>
        <w:tc>
          <w:tcPr>
            <w:tcW w:w="1138" w:type="pct"/>
            <w:tcBorders>
              <w:top w:val="nil"/>
              <w:left w:val="nil"/>
              <w:bottom w:val="nil"/>
              <w:right w:val="nil"/>
            </w:tcBorders>
            <w:noWrap/>
            <w:vAlign w:val="bottom"/>
          </w:tcPr>
          <w:p w14:paraId="2EDE12ED">
            <w:pPr>
              <w:spacing w:after="240" w:line="360" w:lineRule="auto"/>
              <w:rPr>
                <w:rFonts w:hint="default" w:ascii="Arial" w:hAnsi="Arial" w:eastAsia="Times New Roman" w:cs="Arial"/>
                <w:sz w:val="24"/>
                <w:szCs w:val="24"/>
                <w:lang w:val="en-US"/>
              </w:rPr>
            </w:pPr>
          </w:p>
        </w:tc>
        <w:tc>
          <w:tcPr>
            <w:tcW w:w="600" w:type="pct"/>
            <w:tcBorders>
              <w:top w:val="nil"/>
              <w:left w:val="nil"/>
              <w:bottom w:val="nil"/>
              <w:right w:val="nil"/>
            </w:tcBorders>
            <w:noWrap/>
            <w:vAlign w:val="bottom"/>
          </w:tcPr>
          <w:p w14:paraId="1888CE3D">
            <w:pPr>
              <w:spacing w:after="240" w:line="360" w:lineRule="auto"/>
              <w:rPr>
                <w:rFonts w:hint="default" w:ascii="Arial" w:hAnsi="Arial" w:eastAsia="Times New Roman" w:cs="Arial"/>
                <w:sz w:val="24"/>
                <w:szCs w:val="24"/>
                <w:lang w:val="en-US"/>
              </w:rPr>
            </w:pPr>
          </w:p>
        </w:tc>
      </w:tr>
      <w:tr w14:paraId="6DCF3DB4">
        <w:tblPrEx>
          <w:tblCellMar>
            <w:top w:w="0" w:type="dxa"/>
            <w:left w:w="108" w:type="dxa"/>
            <w:bottom w:w="0" w:type="dxa"/>
            <w:right w:w="108" w:type="dxa"/>
          </w:tblCellMar>
        </w:tblPrEx>
        <w:trPr>
          <w:trHeight w:val="218" w:hRule="atLeast"/>
        </w:trPr>
        <w:tc>
          <w:tcPr>
            <w:tcW w:w="777" w:type="pct"/>
            <w:tcBorders>
              <w:top w:val="nil"/>
              <w:left w:val="nil"/>
              <w:bottom w:val="nil"/>
              <w:right w:val="nil"/>
            </w:tcBorders>
            <w:noWrap/>
            <w:vAlign w:val="bottom"/>
          </w:tcPr>
          <w:p w14:paraId="2846F7D1">
            <w:pPr>
              <w:spacing w:after="240" w:line="360" w:lineRule="auto"/>
              <w:rPr>
                <w:rFonts w:hint="default" w:ascii="Arial" w:hAnsi="Arial" w:eastAsia="Times New Roman" w:cs="Arial"/>
                <w:sz w:val="24"/>
                <w:szCs w:val="24"/>
                <w:lang w:val="en-US"/>
              </w:rPr>
            </w:pPr>
          </w:p>
        </w:tc>
        <w:tc>
          <w:tcPr>
            <w:tcW w:w="694" w:type="pct"/>
            <w:tcBorders>
              <w:top w:val="nil"/>
              <w:left w:val="nil"/>
              <w:bottom w:val="nil"/>
              <w:right w:val="nil"/>
            </w:tcBorders>
            <w:noWrap/>
            <w:vAlign w:val="bottom"/>
          </w:tcPr>
          <w:p w14:paraId="459DCDBD">
            <w:pPr>
              <w:spacing w:after="240" w:line="360" w:lineRule="auto"/>
              <w:rPr>
                <w:rFonts w:hint="default" w:ascii="Arial" w:hAnsi="Arial" w:eastAsia="Times New Roman" w:cs="Arial"/>
                <w:sz w:val="24"/>
                <w:szCs w:val="24"/>
                <w:lang w:val="en-US"/>
              </w:rPr>
            </w:pPr>
          </w:p>
        </w:tc>
        <w:tc>
          <w:tcPr>
            <w:tcW w:w="966" w:type="pct"/>
            <w:tcBorders>
              <w:top w:val="nil"/>
              <w:left w:val="nil"/>
              <w:bottom w:val="nil"/>
              <w:right w:val="nil"/>
            </w:tcBorders>
            <w:noWrap/>
            <w:vAlign w:val="bottom"/>
          </w:tcPr>
          <w:p w14:paraId="51EAAA12">
            <w:pPr>
              <w:spacing w:after="240" w:line="360" w:lineRule="auto"/>
              <w:rPr>
                <w:rFonts w:hint="default" w:ascii="Arial" w:hAnsi="Arial" w:eastAsia="Times New Roman" w:cs="Arial"/>
                <w:sz w:val="24"/>
                <w:szCs w:val="24"/>
                <w:lang w:val="en-US"/>
              </w:rPr>
            </w:pPr>
          </w:p>
        </w:tc>
        <w:tc>
          <w:tcPr>
            <w:tcW w:w="821" w:type="pct"/>
            <w:tcBorders>
              <w:top w:val="nil"/>
              <w:left w:val="nil"/>
              <w:bottom w:val="nil"/>
              <w:right w:val="nil"/>
            </w:tcBorders>
            <w:noWrap/>
            <w:vAlign w:val="bottom"/>
          </w:tcPr>
          <w:p w14:paraId="328B4949">
            <w:pPr>
              <w:spacing w:after="240" w:line="360" w:lineRule="auto"/>
              <w:rPr>
                <w:rFonts w:hint="default" w:ascii="Arial" w:hAnsi="Arial" w:eastAsia="Times New Roman" w:cs="Arial"/>
                <w:sz w:val="24"/>
                <w:szCs w:val="24"/>
                <w:lang w:val="en-US"/>
              </w:rPr>
            </w:pPr>
          </w:p>
        </w:tc>
        <w:tc>
          <w:tcPr>
            <w:tcW w:w="1138" w:type="pct"/>
            <w:tcBorders>
              <w:top w:val="nil"/>
              <w:left w:val="nil"/>
              <w:bottom w:val="nil"/>
              <w:right w:val="nil"/>
            </w:tcBorders>
            <w:noWrap/>
            <w:vAlign w:val="bottom"/>
          </w:tcPr>
          <w:p w14:paraId="248739B5">
            <w:pPr>
              <w:spacing w:after="240" w:line="360" w:lineRule="auto"/>
              <w:rPr>
                <w:rFonts w:hint="default" w:ascii="Arial" w:hAnsi="Arial" w:eastAsia="Times New Roman" w:cs="Arial"/>
                <w:sz w:val="24"/>
                <w:szCs w:val="24"/>
                <w:lang w:val="en-US"/>
              </w:rPr>
            </w:pPr>
          </w:p>
        </w:tc>
        <w:tc>
          <w:tcPr>
            <w:tcW w:w="600" w:type="pct"/>
            <w:tcBorders>
              <w:top w:val="nil"/>
              <w:left w:val="nil"/>
              <w:bottom w:val="nil"/>
              <w:right w:val="nil"/>
            </w:tcBorders>
            <w:noWrap/>
            <w:vAlign w:val="bottom"/>
          </w:tcPr>
          <w:p w14:paraId="72BD9377">
            <w:pPr>
              <w:spacing w:after="240" w:line="360" w:lineRule="auto"/>
              <w:rPr>
                <w:rFonts w:hint="default" w:ascii="Arial" w:hAnsi="Arial" w:eastAsia="Times New Roman" w:cs="Arial"/>
                <w:sz w:val="24"/>
                <w:szCs w:val="24"/>
                <w:lang w:val="en-US"/>
              </w:rPr>
            </w:pPr>
          </w:p>
        </w:tc>
      </w:tr>
      <w:tr w14:paraId="1287221D">
        <w:tblPrEx>
          <w:tblCellMar>
            <w:top w:w="0" w:type="dxa"/>
            <w:left w:w="108" w:type="dxa"/>
            <w:bottom w:w="0" w:type="dxa"/>
            <w:right w:w="108" w:type="dxa"/>
          </w:tblCellMar>
        </w:tblPrEx>
        <w:trPr>
          <w:trHeight w:val="490" w:hRule="atLeast"/>
        </w:trPr>
        <w:tc>
          <w:tcPr>
            <w:tcW w:w="777" w:type="pct"/>
            <w:tcBorders>
              <w:top w:val="single" w:color="auto" w:sz="4" w:space="0"/>
              <w:left w:val="single" w:color="auto" w:sz="4" w:space="0"/>
              <w:bottom w:val="single" w:color="auto" w:sz="4" w:space="0"/>
              <w:right w:val="single" w:color="auto" w:sz="4" w:space="0"/>
            </w:tcBorders>
            <w:noWrap/>
            <w:vAlign w:val="center"/>
          </w:tcPr>
          <w:p w14:paraId="427F1DCC">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Year</w:t>
            </w:r>
          </w:p>
        </w:tc>
        <w:tc>
          <w:tcPr>
            <w:tcW w:w="694" w:type="pct"/>
            <w:tcBorders>
              <w:top w:val="single" w:color="auto" w:sz="4" w:space="0"/>
              <w:left w:val="nil"/>
              <w:bottom w:val="single" w:color="auto" w:sz="4" w:space="0"/>
              <w:right w:val="single" w:color="auto" w:sz="4" w:space="0"/>
            </w:tcBorders>
            <w:noWrap/>
            <w:vAlign w:val="center"/>
          </w:tcPr>
          <w:p w14:paraId="21A6FB3F">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Cash Flow (£m)</w:t>
            </w:r>
          </w:p>
        </w:tc>
        <w:tc>
          <w:tcPr>
            <w:tcW w:w="966" w:type="pct"/>
            <w:tcBorders>
              <w:top w:val="single" w:color="auto" w:sz="4" w:space="0"/>
              <w:left w:val="nil"/>
              <w:bottom w:val="single" w:color="auto" w:sz="4" w:space="0"/>
              <w:right w:val="single" w:color="auto" w:sz="4" w:space="0"/>
            </w:tcBorders>
            <w:noWrap/>
            <w:vAlign w:val="center"/>
          </w:tcPr>
          <w:p w14:paraId="1E015517">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Discount Factor @</w:t>
            </w:r>
            <w:r>
              <w:rPr>
                <w:rFonts w:hint="default" w:eastAsia="Times New Roman" w:cs="Arial"/>
                <w:b/>
                <w:bCs/>
                <w:i/>
                <w:iCs/>
                <w:color w:val="000000"/>
                <w:sz w:val="24"/>
                <w:szCs w:val="24"/>
                <w:lang w:val="en-US"/>
              </w:rPr>
              <w:t>8</w:t>
            </w:r>
            <w:r>
              <w:rPr>
                <w:rFonts w:hint="default" w:ascii="Arial" w:hAnsi="Arial" w:eastAsia="Times New Roman" w:cs="Arial"/>
                <w:b/>
                <w:bCs/>
                <w:i/>
                <w:iCs/>
                <w:color w:val="000000"/>
                <w:sz w:val="24"/>
                <w:szCs w:val="24"/>
                <w:lang w:val="en-US"/>
              </w:rPr>
              <w:t>%</w:t>
            </w:r>
          </w:p>
        </w:tc>
        <w:tc>
          <w:tcPr>
            <w:tcW w:w="821" w:type="pct"/>
            <w:tcBorders>
              <w:top w:val="single" w:color="auto" w:sz="4" w:space="0"/>
              <w:left w:val="nil"/>
              <w:bottom w:val="single" w:color="auto" w:sz="4" w:space="0"/>
              <w:right w:val="single" w:color="auto" w:sz="4" w:space="0"/>
            </w:tcBorders>
            <w:noWrap/>
            <w:vAlign w:val="center"/>
          </w:tcPr>
          <w:p w14:paraId="342A057C">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Present Value (£m)</w:t>
            </w:r>
          </w:p>
        </w:tc>
        <w:tc>
          <w:tcPr>
            <w:tcW w:w="1138" w:type="pct"/>
            <w:tcBorders>
              <w:top w:val="single" w:color="auto" w:sz="4" w:space="0"/>
              <w:left w:val="nil"/>
              <w:bottom w:val="single" w:color="auto" w:sz="4" w:space="0"/>
              <w:right w:val="single" w:color="auto" w:sz="4" w:space="0"/>
            </w:tcBorders>
            <w:noWrap/>
            <w:vAlign w:val="center"/>
          </w:tcPr>
          <w:p w14:paraId="4B212D61">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Cumulative Cash Flow (£m)</w:t>
            </w:r>
          </w:p>
        </w:tc>
        <w:tc>
          <w:tcPr>
            <w:tcW w:w="600" w:type="pct"/>
            <w:tcBorders>
              <w:top w:val="single" w:color="auto" w:sz="4" w:space="0"/>
              <w:left w:val="nil"/>
              <w:bottom w:val="single" w:color="auto" w:sz="4" w:space="0"/>
              <w:right w:val="single" w:color="auto" w:sz="4" w:space="0"/>
            </w:tcBorders>
            <w:noWrap/>
            <w:vAlign w:val="center"/>
          </w:tcPr>
          <w:p w14:paraId="52D6B914">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PV</w:t>
            </w:r>
          </w:p>
        </w:tc>
      </w:tr>
      <w:tr w14:paraId="36380517">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653470F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w:t>
            </w:r>
          </w:p>
        </w:tc>
        <w:tc>
          <w:tcPr>
            <w:tcW w:w="694" w:type="pct"/>
            <w:tcBorders>
              <w:top w:val="nil"/>
              <w:left w:val="nil"/>
              <w:bottom w:val="single" w:color="auto" w:sz="4" w:space="0"/>
              <w:right w:val="single" w:color="auto" w:sz="4" w:space="0"/>
            </w:tcBorders>
            <w:noWrap/>
            <w:vAlign w:val="bottom"/>
          </w:tcPr>
          <w:p w14:paraId="27DDFFE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966" w:type="pct"/>
            <w:tcBorders>
              <w:top w:val="nil"/>
              <w:left w:val="nil"/>
              <w:bottom w:val="single" w:color="auto" w:sz="4" w:space="0"/>
              <w:right w:val="single" w:color="auto" w:sz="4" w:space="0"/>
            </w:tcBorders>
            <w:noWrap/>
            <w:vAlign w:val="bottom"/>
          </w:tcPr>
          <w:p w14:paraId="0AAE404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w:t>
            </w:r>
          </w:p>
        </w:tc>
        <w:tc>
          <w:tcPr>
            <w:tcW w:w="821" w:type="pct"/>
            <w:tcBorders>
              <w:top w:val="nil"/>
              <w:left w:val="nil"/>
              <w:bottom w:val="single" w:color="auto" w:sz="4" w:space="0"/>
              <w:right w:val="single" w:color="auto" w:sz="4" w:space="0"/>
            </w:tcBorders>
            <w:noWrap/>
            <w:vAlign w:val="bottom"/>
          </w:tcPr>
          <w:p w14:paraId="59E44F4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1138" w:type="pct"/>
            <w:tcBorders>
              <w:top w:val="nil"/>
              <w:left w:val="nil"/>
              <w:bottom w:val="single" w:color="auto" w:sz="4" w:space="0"/>
              <w:right w:val="single" w:color="auto" w:sz="4" w:space="0"/>
            </w:tcBorders>
            <w:noWrap/>
            <w:vAlign w:val="bottom"/>
          </w:tcPr>
          <w:p w14:paraId="26C1A00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600" w:type="pct"/>
            <w:tcBorders>
              <w:top w:val="nil"/>
              <w:left w:val="nil"/>
              <w:bottom w:val="single" w:color="auto" w:sz="4" w:space="0"/>
              <w:right w:val="single" w:color="auto" w:sz="4" w:space="0"/>
            </w:tcBorders>
            <w:noWrap/>
            <w:vAlign w:val="bottom"/>
          </w:tcPr>
          <w:p w14:paraId="6D24C21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-40.74074074</w:t>
            </w:r>
          </w:p>
        </w:tc>
      </w:tr>
      <w:tr w14:paraId="6CB872D2">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1E28178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w:t>
            </w:r>
          </w:p>
        </w:tc>
        <w:tc>
          <w:tcPr>
            <w:tcW w:w="694" w:type="pct"/>
            <w:tcBorders>
              <w:top w:val="nil"/>
              <w:left w:val="nil"/>
              <w:bottom w:val="single" w:color="auto" w:sz="4" w:space="0"/>
              <w:right w:val="single" w:color="auto" w:sz="4" w:space="0"/>
            </w:tcBorders>
            <w:noWrap/>
            <w:vAlign w:val="bottom"/>
          </w:tcPr>
          <w:p w14:paraId="031A62A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w:t>
            </w:r>
          </w:p>
        </w:tc>
        <w:tc>
          <w:tcPr>
            <w:tcW w:w="1723" w:type="dxa"/>
            <w:tcBorders>
              <w:top w:val="nil"/>
              <w:left w:val="nil"/>
              <w:bottom w:val="single" w:color="auto" w:sz="4" w:space="0"/>
              <w:right w:val="single" w:color="auto" w:sz="4" w:space="0"/>
            </w:tcBorders>
            <w:noWrap/>
            <w:vAlign w:val="bottom"/>
          </w:tcPr>
          <w:p w14:paraId="2647F37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w:t>
            </w:r>
            <w:r>
              <w:rPr>
                <w:rFonts w:hint="default" w:eastAsia="Times New Roman" w:cs="Arial"/>
                <w:color w:val="000000"/>
                <w:sz w:val="24"/>
                <w:szCs w:val="24"/>
                <w:lang w:val="en-US"/>
              </w:rPr>
              <w:t>259</w:t>
            </w:r>
          </w:p>
        </w:tc>
        <w:tc>
          <w:tcPr>
            <w:tcW w:w="821" w:type="pct"/>
            <w:tcBorders>
              <w:top w:val="nil"/>
              <w:left w:val="nil"/>
              <w:bottom w:val="single" w:color="auto" w:sz="4" w:space="0"/>
              <w:right w:val="single" w:color="auto" w:sz="4" w:space="0"/>
            </w:tcBorders>
            <w:noWrap/>
            <w:vAlign w:val="bottom"/>
          </w:tcPr>
          <w:p w14:paraId="31530E2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9.</w:t>
            </w:r>
            <w:r>
              <w:rPr>
                <w:rFonts w:hint="default" w:eastAsia="Times New Roman" w:cs="Arial"/>
                <w:color w:val="000000"/>
                <w:sz w:val="24"/>
                <w:szCs w:val="24"/>
                <w:lang w:val="en-US"/>
              </w:rPr>
              <w:t>259</w:t>
            </w:r>
          </w:p>
        </w:tc>
        <w:tc>
          <w:tcPr>
            <w:tcW w:w="1138" w:type="pct"/>
            <w:tcBorders>
              <w:top w:val="nil"/>
              <w:left w:val="nil"/>
              <w:bottom w:val="single" w:color="auto" w:sz="4" w:space="0"/>
              <w:right w:val="single" w:color="auto" w:sz="4" w:space="0"/>
            </w:tcBorders>
            <w:noWrap/>
            <w:vAlign w:val="bottom"/>
          </w:tcPr>
          <w:p w14:paraId="5A53697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9.259259259</w:t>
            </w:r>
          </w:p>
        </w:tc>
        <w:tc>
          <w:tcPr>
            <w:tcW w:w="600" w:type="pct"/>
            <w:tcBorders>
              <w:top w:val="nil"/>
              <w:left w:val="nil"/>
              <w:bottom w:val="single" w:color="auto" w:sz="4" w:space="0"/>
              <w:right w:val="single" w:color="auto" w:sz="4" w:space="0"/>
            </w:tcBorders>
            <w:noWrap/>
            <w:vAlign w:val="bottom"/>
          </w:tcPr>
          <w:p w14:paraId="4D024FB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-31.48148148</w:t>
            </w:r>
          </w:p>
        </w:tc>
      </w:tr>
      <w:tr w14:paraId="252A8C70">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7B19D89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w:t>
            </w:r>
          </w:p>
        </w:tc>
        <w:tc>
          <w:tcPr>
            <w:tcW w:w="694" w:type="pct"/>
            <w:tcBorders>
              <w:top w:val="nil"/>
              <w:left w:val="nil"/>
              <w:bottom w:val="single" w:color="auto" w:sz="4" w:space="0"/>
              <w:right w:val="single" w:color="auto" w:sz="4" w:space="0"/>
            </w:tcBorders>
            <w:noWrap/>
            <w:vAlign w:val="bottom"/>
          </w:tcPr>
          <w:p w14:paraId="29975E9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12</w:t>
            </w:r>
          </w:p>
        </w:tc>
        <w:tc>
          <w:tcPr>
            <w:tcW w:w="1723" w:type="dxa"/>
            <w:tcBorders>
              <w:top w:val="nil"/>
              <w:left w:val="nil"/>
              <w:bottom w:val="single" w:color="auto" w:sz="4" w:space="0"/>
              <w:right w:val="single" w:color="auto" w:sz="4" w:space="0"/>
            </w:tcBorders>
            <w:noWrap/>
            <w:vAlign w:val="bottom"/>
          </w:tcPr>
          <w:p w14:paraId="2F14AE2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w:t>
            </w:r>
            <w:r>
              <w:rPr>
                <w:rFonts w:hint="default" w:eastAsia="Times New Roman" w:cs="Arial"/>
                <w:color w:val="000000"/>
                <w:sz w:val="24"/>
                <w:szCs w:val="24"/>
                <w:lang w:val="en-US"/>
              </w:rPr>
              <w:t>573</w:t>
            </w:r>
          </w:p>
        </w:tc>
        <w:tc>
          <w:tcPr>
            <w:tcW w:w="821" w:type="pct"/>
            <w:tcBorders>
              <w:top w:val="nil"/>
              <w:left w:val="nil"/>
              <w:bottom w:val="single" w:color="auto" w:sz="4" w:space="0"/>
              <w:right w:val="single" w:color="auto" w:sz="4" w:space="0"/>
            </w:tcBorders>
            <w:noWrap/>
            <w:vAlign w:val="bottom"/>
          </w:tcPr>
          <w:p w14:paraId="476B070F">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10.288</w:t>
            </w:r>
          </w:p>
        </w:tc>
        <w:tc>
          <w:tcPr>
            <w:tcW w:w="1138" w:type="pct"/>
            <w:tcBorders>
              <w:top w:val="nil"/>
              <w:left w:val="nil"/>
              <w:bottom w:val="single" w:color="auto" w:sz="4" w:space="0"/>
              <w:right w:val="single" w:color="auto" w:sz="4" w:space="0"/>
            </w:tcBorders>
            <w:noWrap/>
            <w:vAlign w:val="bottom"/>
          </w:tcPr>
          <w:p w14:paraId="6FFA96F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10.28806584</w:t>
            </w:r>
          </w:p>
        </w:tc>
        <w:tc>
          <w:tcPr>
            <w:tcW w:w="600" w:type="pct"/>
            <w:tcBorders>
              <w:top w:val="nil"/>
              <w:left w:val="nil"/>
              <w:bottom w:val="single" w:color="auto" w:sz="4" w:space="0"/>
              <w:right w:val="single" w:color="auto" w:sz="4" w:space="0"/>
            </w:tcBorders>
            <w:noWrap/>
            <w:vAlign w:val="bottom"/>
          </w:tcPr>
          <w:p w14:paraId="7B7DD39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-21.19341564</w:t>
            </w:r>
          </w:p>
        </w:tc>
      </w:tr>
      <w:tr w14:paraId="073CD616">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6C5A7D0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w:t>
            </w:r>
          </w:p>
        </w:tc>
        <w:tc>
          <w:tcPr>
            <w:tcW w:w="694" w:type="pct"/>
            <w:tcBorders>
              <w:top w:val="nil"/>
              <w:left w:val="nil"/>
              <w:bottom w:val="single" w:color="auto" w:sz="4" w:space="0"/>
              <w:right w:val="single" w:color="auto" w:sz="4" w:space="0"/>
            </w:tcBorders>
            <w:noWrap/>
            <w:vAlign w:val="bottom"/>
          </w:tcPr>
          <w:p w14:paraId="667B554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14</w:t>
            </w:r>
          </w:p>
        </w:tc>
        <w:tc>
          <w:tcPr>
            <w:tcW w:w="1723" w:type="dxa"/>
            <w:tcBorders>
              <w:top w:val="nil"/>
              <w:left w:val="nil"/>
              <w:bottom w:val="single" w:color="auto" w:sz="4" w:space="0"/>
              <w:right w:val="single" w:color="auto" w:sz="4" w:space="0"/>
            </w:tcBorders>
            <w:noWrap/>
            <w:vAlign w:val="bottom"/>
          </w:tcPr>
          <w:p w14:paraId="24844A3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0.7</w:t>
            </w:r>
            <w:r>
              <w:rPr>
                <w:rFonts w:hint="default" w:eastAsia="Times New Roman" w:cs="Arial"/>
                <w:color w:val="000000"/>
                <w:sz w:val="24"/>
                <w:szCs w:val="24"/>
                <w:lang w:val="en-US"/>
              </w:rPr>
              <w:t>938</w:t>
            </w:r>
          </w:p>
        </w:tc>
        <w:tc>
          <w:tcPr>
            <w:tcW w:w="821" w:type="pct"/>
            <w:tcBorders>
              <w:top w:val="nil"/>
              <w:left w:val="nil"/>
              <w:bottom w:val="single" w:color="auto" w:sz="4" w:space="0"/>
              <w:right w:val="single" w:color="auto" w:sz="4" w:space="0"/>
            </w:tcBorders>
            <w:noWrap/>
            <w:vAlign w:val="bottom"/>
          </w:tcPr>
          <w:p w14:paraId="021FA7E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11.113</w:t>
            </w:r>
          </w:p>
        </w:tc>
        <w:tc>
          <w:tcPr>
            <w:tcW w:w="1138" w:type="pct"/>
            <w:tcBorders>
              <w:top w:val="nil"/>
              <w:left w:val="nil"/>
              <w:bottom w:val="single" w:color="auto" w:sz="4" w:space="0"/>
              <w:right w:val="single" w:color="auto" w:sz="4" w:space="0"/>
            </w:tcBorders>
            <w:noWrap/>
            <w:vAlign w:val="bottom"/>
          </w:tcPr>
          <w:p w14:paraId="1379EC5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11.11365137</w:t>
            </w:r>
          </w:p>
        </w:tc>
        <w:tc>
          <w:tcPr>
            <w:tcW w:w="600" w:type="pct"/>
            <w:tcBorders>
              <w:top w:val="nil"/>
              <w:left w:val="nil"/>
              <w:bottom w:val="single" w:color="auto" w:sz="4" w:space="0"/>
              <w:right w:val="single" w:color="auto" w:sz="4" w:space="0"/>
            </w:tcBorders>
            <w:noWrap/>
            <w:vAlign w:val="bottom"/>
          </w:tcPr>
          <w:p w14:paraId="476BA24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-10.07976426</w:t>
            </w:r>
          </w:p>
        </w:tc>
      </w:tr>
      <w:tr w14:paraId="0AB1476F">
        <w:tblPrEx>
          <w:tblCellMar>
            <w:top w:w="0" w:type="dxa"/>
            <w:left w:w="108" w:type="dxa"/>
            <w:bottom w:w="0" w:type="dxa"/>
            <w:right w:w="108" w:type="dxa"/>
          </w:tblCellMar>
        </w:tblPrEx>
        <w:trPr>
          <w:trHeight w:val="490" w:hRule="atLeast"/>
        </w:trPr>
        <w:tc>
          <w:tcPr>
            <w:tcW w:w="777" w:type="pct"/>
            <w:tcBorders>
              <w:top w:val="nil"/>
              <w:left w:val="single" w:color="auto" w:sz="4" w:space="0"/>
              <w:bottom w:val="single" w:color="auto" w:sz="4" w:space="0"/>
              <w:right w:val="single" w:color="auto" w:sz="4" w:space="0"/>
            </w:tcBorders>
            <w:noWrap/>
            <w:vAlign w:val="bottom"/>
          </w:tcPr>
          <w:p w14:paraId="43EDB32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w:t>
            </w:r>
          </w:p>
        </w:tc>
        <w:tc>
          <w:tcPr>
            <w:tcW w:w="694" w:type="pct"/>
            <w:tcBorders>
              <w:top w:val="nil"/>
              <w:left w:val="nil"/>
              <w:bottom w:val="single" w:color="auto" w:sz="4" w:space="0"/>
              <w:right w:val="single" w:color="auto" w:sz="4" w:space="0"/>
            </w:tcBorders>
            <w:noWrap/>
            <w:vAlign w:val="bottom"/>
          </w:tcPr>
          <w:p w14:paraId="10FDC81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w:t>
            </w:r>
          </w:p>
        </w:tc>
        <w:tc>
          <w:tcPr>
            <w:tcW w:w="1723" w:type="dxa"/>
            <w:tcBorders>
              <w:top w:val="nil"/>
              <w:left w:val="nil"/>
              <w:bottom w:val="single" w:color="auto" w:sz="4" w:space="0"/>
              <w:right w:val="single" w:color="auto" w:sz="4" w:space="0"/>
            </w:tcBorders>
            <w:noWrap/>
            <w:vAlign w:val="bottom"/>
          </w:tcPr>
          <w:p w14:paraId="72F2D32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w:t>
            </w:r>
            <w:r>
              <w:rPr>
                <w:rFonts w:hint="default" w:eastAsia="Times New Roman" w:cs="Arial"/>
                <w:color w:val="000000"/>
                <w:sz w:val="24"/>
                <w:szCs w:val="24"/>
                <w:lang w:val="en-US"/>
              </w:rPr>
              <w:t>735</w:t>
            </w:r>
          </w:p>
        </w:tc>
        <w:tc>
          <w:tcPr>
            <w:tcW w:w="821" w:type="pct"/>
            <w:tcBorders>
              <w:top w:val="nil"/>
              <w:left w:val="nil"/>
              <w:bottom w:val="single" w:color="auto" w:sz="4" w:space="0"/>
              <w:right w:val="single" w:color="auto" w:sz="4" w:space="0"/>
            </w:tcBorders>
            <w:noWrap/>
            <w:vAlign w:val="bottom"/>
          </w:tcPr>
          <w:p w14:paraId="689C72F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7.350</w:t>
            </w:r>
          </w:p>
        </w:tc>
        <w:tc>
          <w:tcPr>
            <w:tcW w:w="1138" w:type="pct"/>
            <w:tcBorders>
              <w:top w:val="nil"/>
              <w:left w:val="nil"/>
              <w:bottom w:val="single" w:color="auto" w:sz="4" w:space="0"/>
              <w:right w:val="single" w:color="auto" w:sz="4" w:space="0"/>
            </w:tcBorders>
            <w:noWrap/>
            <w:vAlign w:val="bottom"/>
          </w:tcPr>
          <w:p w14:paraId="54F32CE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7.350298528</w:t>
            </w:r>
          </w:p>
        </w:tc>
        <w:tc>
          <w:tcPr>
            <w:tcW w:w="600" w:type="pct"/>
            <w:tcBorders>
              <w:top w:val="nil"/>
              <w:left w:val="nil"/>
              <w:bottom w:val="single" w:color="auto" w:sz="4" w:space="0"/>
              <w:right w:val="single" w:color="auto" w:sz="4" w:space="0"/>
            </w:tcBorders>
            <w:noWrap/>
            <w:vAlign w:val="bottom"/>
          </w:tcPr>
          <w:p w14:paraId="100E2BC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-2.729465736</w:t>
            </w:r>
          </w:p>
        </w:tc>
      </w:tr>
      <w:tr w14:paraId="00849DB9">
        <w:tblPrEx>
          <w:tblCellMar>
            <w:top w:w="0" w:type="dxa"/>
            <w:left w:w="108" w:type="dxa"/>
            <w:bottom w:w="0" w:type="dxa"/>
            <w:right w:w="108" w:type="dxa"/>
          </w:tblCellMar>
        </w:tblPrEx>
        <w:trPr>
          <w:trHeight w:val="354" w:hRule="atLeast"/>
        </w:trPr>
        <w:tc>
          <w:tcPr>
            <w:tcW w:w="777" w:type="pct"/>
            <w:tcBorders>
              <w:top w:val="nil"/>
              <w:left w:val="single" w:color="auto" w:sz="4" w:space="0"/>
              <w:bottom w:val="single" w:color="auto" w:sz="4" w:space="0"/>
              <w:right w:val="single" w:color="auto" w:sz="4" w:space="0"/>
            </w:tcBorders>
            <w:noWrap/>
            <w:vAlign w:val="bottom"/>
          </w:tcPr>
          <w:p w14:paraId="4E0E294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w:t>
            </w:r>
          </w:p>
        </w:tc>
        <w:tc>
          <w:tcPr>
            <w:tcW w:w="694" w:type="pct"/>
            <w:tcBorders>
              <w:top w:val="nil"/>
              <w:left w:val="nil"/>
              <w:bottom w:val="single" w:color="auto" w:sz="4" w:space="0"/>
              <w:right w:val="single" w:color="auto" w:sz="4" w:space="0"/>
            </w:tcBorders>
            <w:noWrap/>
            <w:vAlign w:val="bottom"/>
          </w:tcPr>
          <w:p w14:paraId="1051FB8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w:t>
            </w:r>
          </w:p>
        </w:tc>
        <w:tc>
          <w:tcPr>
            <w:tcW w:w="1723" w:type="dxa"/>
            <w:tcBorders>
              <w:top w:val="nil"/>
              <w:left w:val="nil"/>
              <w:bottom w:val="single" w:color="auto" w:sz="4" w:space="0"/>
              <w:right w:val="single" w:color="auto" w:sz="4" w:space="0"/>
            </w:tcBorders>
            <w:noWrap/>
            <w:vAlign w:val="bottom"/>
          </w:tcPr>
          <w:p w14:paraId="342B647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0.6</w:t>
            </w:r>
            <w:r>
              <w:rPr>
                <w:rFonts w:hint="default" w:eastAsia="Times New Roman" w:cs="Arial"/>
                <w:color w:val="000000"/>
                <w:sz w:val="24"/>
                <w:szCs w:val="24"/>
                <w:lang w:val="en-US"/>
              </w:rPr>
              <w:t>806</w:t>
            </w:r>
          </w:p>
        </w:tc>
        <w:tc>
          <w:tcPr>
            <w:tcW w:w="821" w:type="pct"/>
            <w:tcBorders>
              <w:top w:val="nil"/>
              <w:left w:val="nil"/>
              <w:bottom w:val="single" w:color="auto" w:sz="4" w:space="0"/>
              <w:right w:val="single" w:color="auto" w:sz="4" w:space="0"/>
            </w:tcBorders>
            <w:noWrap/>
            <w:vAlign w:val="bottom"/>
          </w:tcPr>
          <w:p w14:paraId="7FBA6E83">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5.445</w:t>
            </w:r>
          </w:p>
        </w:tc>
        <w:tc>
          <w:tcPr>
            <w:tcW w:w="1138" w:type="pct"/>
            <w:tcBorders>
              <w:top w:val="nil"/>
              <w:left w:val="nil"/>
              <w:bottom w:val="single" w:color="auto" w:sz="4" w:space="0"/>
              <w:right w:val="single" w:color="auto" w:sz="4" w:space="0"/>
            </w:tcBorders>
            <w:noWrap/>
            <w:vAlign w:val="bottom"/>
          </w:tcPr>
          <w:p w14:paraId="2E2EA1C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5.444665576</w:t>
            </w:r>
          </w:p>
        </w:tc>
        <w:tc>
          <w:tcPr>
            <w:tcW w:w="600" w:type="pct"/>
            <w:tcBorders>
              <w:top w:val="nil"/>
              <w:left w:val="nil"/>
              <w:bottom w:val="single" w:color="auto" w:sz="4" w:space="0"/>
              <w:right w:val="single" w:color="auto" w:sz="4" w:space="0"/>
            </w:tcBorders>
            <w:noWrap/>
            <w:vAlign w:val="bottom"/>
          </w:tcPr>
          <w:p w14:paraId="4E00673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2.715199841</w:t>
            </w:r>
          </w:p>
        </w:tc>
      </w:tr>
      <w:tr w14:paraId="2A125E09">
        <w:tblPrEx>
          <w:tblCellMar>
            <w:top w:w="0" w:type="dxa"/>
            <w:left w:w="108" w:type="dxa"/>
            <w:bottom w:w="0" w:type="dxa"/>
            <w:right w:w="108" w:type="dxa"/>
          </w:tblCellMar>
        </w:tblPrEx>
        <w:trPr>
          <w:trHeight w:val="218"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7AA37588">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Technique</w:t>
            </w:r>
          </w:p>
        </w:tc>
        <w:tc>
          <w:tcPr>
            <w:tcW w:w="3527" w:type="pct"/>
            <w:gridSpan w:val="4"/>
            <w:tcBorders>
              <w:top w:val="single" w:color="auto" w:sz="4" w:space="0"/>
              <w:left w:val="nil"/>
              <w:bottom w:val="single" w:color="auto" w:sz="4" w:space="0"/>
              <w:right w:val="single" w:color="auto" w:sz="4" w:space="0"/>
            </w:tcBorders>
            <w:noWrap/>
            <w:vAlign w:val="bottom"/>
          </w:tcPr>
          <w:p w14:paraId="6BE0CC81">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Result</w:t>
            </w:r>
          </w:p>
        </w:tc>
      </w:tr>
      <w:tr w14:paraId="36708F52">
        <w:tblPrEx>
          <w:tblCellMar>
            <w:top w:w="0" w:type="dxa"/>
            <w:left w:w="108" w:type="dxa"/>
            <w:bottom w:w="0" w:type="dxa"/>
            <w:right w:w="108" w:type="dxa"/>
          </w:tblCellMar>
        </w:tblPrEx>
        <w:trPr>
          <w:trHeight w:val="218"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1DAE4BC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Payback Period (PBP)</w:t>
            </w:r>
          </w:p>
        </w:tc>
        <w:tc>
          <w:tcPr>
            <w:tcW w:w="3527" w:type="pct"/>
            <w:gridSpan w:val="4"/>
            <w:tcBorders>
              <w:top w:val="single" w:color="auto" w:sz="4" w:space="0"/>
              <w:left w:val="nil"/>
              <w:bottom w:val="single" w:color="auto" w:sz="4" w:space="0"/>
              <w:right w:val="single" w:color="auto" w:sz="4" w:space="0"/>
            </w:tcBorders>
            <w:noWrap/>
            <w:vAlign w:val="bottom"/>
          </w:tcPr>
          <w:p w14:paraId="429DAFDD">
            <w:pPr>
              <w:wordWrap w:val="0"/>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4.5 Years</w:t>
            </w:r>
          </w:p>
        </w:tc>
      </w:tr>
      <w:tr w14:paraId="37227E95">
        <w:tblPrEx>
          <w:tblCellMar>
            <w:top w:w="0" w:type="dxa"/>
            <w:left w:w="108" w:type="dxa"/>
            <w:bottom w:w="0" w:type="dxa"/>
            <w:right w:w="108" w:type="dxa"/>
          </w:tblCellMar>
        </w:tblPrEx>
        <w:trPr>
          <w:trHeight w:val="354"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1737150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Annual Cash Inflow</w:t>
            </w:r>
          </w:p>
        </w:tc>
        <w:tc>
          <w:tcPr>
            <w:tcW w:w="3527" w:type="pct"/>
            <w:gridSpan w:val="4"/>
            <w:tcBorders>
              <w:top w:val="single" w:color="auto" w:sz="4" w:space="0"/>
              <w:left w:val="nil"/>
              <w:bottom w:val="single" w:color="auto" w:sz="4" w:space="0"/>
              <w:right w:val="single" w:color="auto" w:sz="4" w:space="0"/>
            </w:tcBorders>
            <w:noWrap/>
            <w:vAlign w:val="bottom"/>
          </w:tcPr>
          <w:p w14:paraId="372F92E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10.8</w:t>
            </w:r>
          </w:p>
        </w:tc>
      </w:tr>
      <w:tr w14:paraId="2204A706">
        <w:tblPrEx>
          <w:tblCellMar>
            <w:top w:w="0" w:type="dxa"/>
            <w:left w:w="108" w:type="dxa"/>
            <w:bottom w:w="0" w:type="dxa"/>
            <w:right w:w="108" w:type="dxa"/>
          </w:tblCellMar>
        </w:tblPrEx>
        <w:trPr>
          <w:trHeight w:val="218"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415EE07D">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Investment</w:t>
            </w:r>
          </w:p>
        </w:tc>
        <w:tc>
          <w:tcPr>
            <w:tcW w:w="3527" w:type="pct"/>
            <w:gridSpan w:val="4"/>
            <w:tcBorders>
              <w:top w:val="single" w:color="auto" w:sz="4" w:space="0"/>
              <w:left w:val="nil"/>
              <w:bottom w:val="single" w:color="auto" w:sz="4" w:space="0"/>
              <w:right w:val="single" w:color="auto" w:sz="4" w:space="0"/>
            </w:tcBorders>
            <w:noWrap/>
            <w:vAlign w:val="bottom"/>
          </w:tcPr>
          <w:p w14:paraId="6FD6E46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w:t>
            </w:r>
          </w:p>
        </w:tc>
      </w:tr>
      <w:tr w14:paraId="4E6867D0">
        <w:tblPrEx>
          <w:tblCellMar>
            <w:top w:w="0" w:type="dxa"/>
            <w:left w:w="108" w:type="dxa"/>
            <w:bottom w:w="0" w:type="dxa"/>
            <w:right w:w="108" w:type="dxa"/>
          </w:tblCellMar>
        </w:tblPrEx>
        <w:trPr>
          <w:trHeight w:val="354"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27884ACD">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Accounting Rate of Return (ARR)</w:t>
            </w:r>
          </w:p>
        </w:tc>
        <w:tc>
          <w:tcPr>
            <w:tcW w:w="3527" w:type="pct"/>
            <w:gridSpan w:val="4"/>
            <w:tcBorders>
              <w:top w:val="single" w:color="auto" w:sz="4" w:space="0"/>
              <w:left w:val="nil"/>
              <w:bottom w:val="single" w:color="auto" w:sz="4" w:space="0"/>
              <w:right w:val="single" w:color="auto" w:sz="4" w:space="0"/>
            </w:tcBorders>
            <w:noWrap/>
            <w:vAlign w:val="bottom"/>
          </w:tcPr>
          <w:p w14:paraId="32AA681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3.2</w:t>
            </w:r>
            <w:r>
              <w:rPr>
                <w:rFonts w:hint="default" w:eastAsia="Times New Roman" w:cs="Arial"/>
                <w:color w:val="000000"/>
                <w:sz w:val="24"/>
                <w:szCs w:val="24"/>
                <w:lang w:val="en-US"/>
              </w:rPr>
              <w:t>%</w:t>
            </w:r>
          </w:p>
        </w:tc>
      </w:tr>
      <w:tr w14:paraId="0BE052DE">
        <w:tblPrEx>
          <w:tblCellMar>
            <w:top w:w="0" w:type="dxa"/>
            <w:left w:w="108" w:type="dxa"/>
            <w:bottom w:w="0" w:type="dxa"/>
            <w:right w:w="108" w:type="dxa"/>
          </w:tblCellMar>
        </w:tblPrEx>
        <w:trPr>
          <w:trHeight w:val="218"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1663838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PV of Inflows</w:t>
            </w:r>
          </w:p>
        </w:tc>
        <w:tc>
          <w:tcPr>
            <w:tcW w:w="3527" w:type="pct"/>
            <w:gridSpan w:val="4"/>
            <w:tcBorders>
              <w:top w:val="single" w:color="auto" w:sz="4" w:space="0"/>
              <w:left w:val="nil"/>
              <w:bottom w:val="single" w:color="auto" w:sz="4" w:space="0"/>
              <w:right w:val="single" w:color="auto" w:sz="4" w:space="0"/>
            </w:tcBorders>
            <w:noWrap/>
            <w:vAlign w:val="bottom"/>
          </w:tcPr>
          <w:p w14:paraId="02B8F01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w:t>
            </w:r>
            <w:r>
              <w:rPr>
                <w:rFonts w:hint="default" w:eastAsia="Times New Roman" w:cs="Arial"/>
                <w:color w:val="000000"/>
                <w:sz w:val="24"/>
                <w:szCs w:val="24"/>
                <w:lang w:val="en-US"/>
              </w:rPr>
              <w:t>3.455</w:t>
            </w:r>
          </w:p>
        </w:tc>
      </w:tr>
      <w:tr w14:paraId="4C4769C9">
        <w:tblPrEx>
          <w:tblCellMar>
            <w:top w:w="0" w:type="dxa"/>
            <w:left w:w="108" w:type="dxa"/>
            <w:bottom w:w="0" w:type="dxa"/>
            <w:right w:w="108" w:type="dxa"/>
          </w:tblCellMar>
        </w:tblPrEx>
        <w:trPr>
          <w:trHeight w:val="354"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37D7C95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Present Value (NPV)</w:t>
            </w:r>
          </w:p>
        </w:tc>
        <w:tc>
          <w:tcPr>
            <w:tcW w:w="3527" w:type="pct"/>
            <w:gridSpan w:val="4"/>
            <w:tcBorders>
              <w:top w:val="single" w:color="auto" w:sz="4" w:space="0"/>
              <w:left w:val="nil"/>
              <w:bottom w:val="single" w:color="auto" w:sz="4" w:space="0"/>
              <w:right w:val="single" w:color="auto" w:sz="4" w:space="0"/>
            </w:tcBorders>
            <w:noWrap/>
            <w:vAlign w:val="bottom"/>
          </w:tcPr>
          <w:p w14:paraId="6C5321D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w:t>
            </w:r>
            <w:r>
              <w:rPr>
                <w:rFonts w:hint="default" w:eastAsia="Times New Roman" w:cs="Arial"/>
                <w:color w:val="000000"/>
                <w:sz w:val="24"/>
                <w:szCs w:val="24"/>
                <w:lang w:val="en-US"/>
              </w:rPr>
              <w:t>6.545</w:t>
            </w:r>
          </w:p>
        </w:tc>
      </w:tr>
      <w:tr w14:paraId="5B94D0EE">
        <w:tblPrEx>
          <w:tblCellMar>
            <w:top w:w="0" w:type="dxa"/>
            <w:left w:w="108" w:type="dxa"/>
            <w:bottom w:w="0" w:type="dxa"/>
            <w:right w:w="108" w:type="dxa"/>
          </w:tblCellMar>
        </w:tblPrEx>
        <w:trPr>
          <w:trHeight w:val="218"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6AB234E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Profitability Index (PI)</w:t>
            </w:r>
          </w:p>
        </w:tc>
        <w:tc>
          <w:tcPr>
            <w:tcW w:w="3527" w:type="pct"/>
            <w:gridSpan w:val="4"/>
            <w:tcBorders>
              <w:top w:val="single" w:color="auto" w:sz="4" w:space="0"/>
              <w:left w:val="nil"/>
              <w:bottom w:val="single" w:color="auto" w:sz="4" w:space="0"/>
              <w:right w:val="single" w:color="auto" w:sz="4" w:space="0"/>
            </w:tcBorders>
            <w:noWrap/>
            <w:vAlign w:val="bottom"/>
          </w:tcPr>
          <w:p w14:paraId="51A5AAC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w:t>
            </w:r>
            <w:r>
              <w:rPr>
                <w:rFonts w:hint="default" w:eastAsia="Times New Roman" w:cs="Arial"/>
                <w:color w:val="000000"/>
                <w:sz w:val="24"/>
                <w:szCs w:val="24"/>
                <w:lang w:val="en-US"/>
              </w:rPr>
              <w:t>691</w:t>
            </w:r>
          </w:p>
        </w:tc>
      </w:tr>
      <w:tr w14:paraId="34BFA8F0">
        <w:tblPrEx>
          <w:tblCellMar>
            <w:top w:w="0" w:type="dxa"/>
            <w:left w:w="108" w:type="dxa"/>
            <w:bottom w:w="0" w:type="dxa"/>
            <w:right w:w="108" w:type="dxa"/>
          </w:tblCellMar>
        </w:tblPrEx>
        <w:trPr>
          <w:trHeight w:val="91" w:hRule="atLeast"/>
        </w:trPr>
        <w:tc>
          <w:tcPr>
            <w:tcW w:w="1472" w:type="pct"/>
            <w:gridSpan w:val="2"/>
            <w:tcBorders>
              <w:top w:val="single" w:color="auto" w:sz="4" w:space="0"/>
              <w:left w:val="single" w:color="auto" w:sz="4" w:space="0"/>
              <w:bottom w:val="single" w:color="auto" w:sz="4" w:space="0"/>
              <w:right w:val="single" w:color="auto" w:sz="4" w:space="0"/>
            </w:tcBorders>
            <w:noWrap/>
            <w:vAlign w:val="bottom"/>
          </w:tcPr>
          <w:p w14:paraId="77202F59">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Internal Rate of Return (IRR)</w:t>
            </w:r>
          </w:p>
        </w:tc>
        <w:tc>
          <w:tcPr>
            <w:tcW w:w="3527" w:type="pct"/>
            <w:gridSpan w:val="4"/>
            <w:tcBorders>
              <w:top w:val="single" w:color="auto" w:sz="4" w:space="0"/>
              <w:left w:val="nil"/>
              <w:bottom w:val="single" w:color="auto" w:sz="4" w:space="0"/>
              <w:right w:val="single" w:color="auto" w:sz="4" w:space="0"/>
            </w:tcBorders>
            <w:noWrap/>
            <w:vAlign w:val="bottom"/>
          </w:tcPr>
          <w:p w14:paraId="28C550F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w:t>
            </w:r>
          </w:p>
        </w:tc>
      </w:tr>
    </w:tbl>
    <w:p w14:paraId="05DA512E">
      <w:pPr>
        <w:spacing w:after="240" w:line="360" w:lineRule="auto"/>
        <w:jc w:val="both"/>
        <w:rPr>
          <w:rFonts w:hint="default" w:ascii="Arial" w:hAnsi="Arial" w:eastAsia="Times New Roman" w:cs="Arial"/>
          <w:sz w:val="24"/>
          <w:szCs w:val="24"/>
        </w:rPr>
      </w:pPr>
    </w:p>
    <w:p w14:paraId="7EFB1037">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Project B: </w:t>
      </w:r>
    </w:p>
    <w:tbl>
      <w:tblPr>
        <w:tblStyle w:val="5"/>
        <w:tblW w:w="5000" w:type="pct"/>
        <w:tblInd w:w="0" w:type="dxa"/>
        <w:tblLayout w:type="autofit"/>
        <w:tblCellMar>
          <w:top w:w="0" w:type="dxa"/>
          <w:left w:w="108" w:type="dxa"/>
          <w:bottom w:w="0" w:type="dxa"/>
          <w:right w:w="108" w:type="dxa"/>
        </w:tblCellMar>
      </w:tblPr>
      <w:tblGrid>
        <w:gridCol w:w="1451"/>
        <w:gridCol w:w="1296"/>
        <w:gridCol w:w="1723"/>
        <w:gridCol w:w="1532"/>
        <w:gridCol w:w="2124"/>
        <w:gridCol w:w="1119"/>
      </w:tblGrid>
      <w:tr w14:paraId="782B1B1F">
        <w:tblPrEx>
          <w:tblCellMar>
            <w:top w:w="0" w:type="dxa"/>
            <w:left w:w="108" w:type="dxa"/>
            <w:bottom w:w="0" w:type="dxa"/>
            <w:right w:w="108" w:type="dxa"/>
          </w:tblCellMar>
        </w:tblPrEx>
        <w:trPr>
          <w:trHeight w:val="300" w:hRule="atLeast"/>
        </w:trPr>
        <w:tc>
          <w:tcPr>
            <w:tcW w:w="772" w:type="pct"/>
            <w:tcBorders>
              <w:top w:val="single" w:color="auto" w:sz="4" w:space="0"/>
              <w:left w:val="single" w:color="auto" w:sz="4" w:space="0"/>
              <w:bottom w:val="single" w:color="auto" w:sz="4" w:space="0"/>
              <w:right w:val="single" w:color="auto" w:sz="4" w:space="0"/>
            </w:tcBorders>
            <w:noWrap/>
            <w:vAlign w:val="bottom"/>
          </w:tcPr>
          <w:p w14:paraId="5FDA6C5F">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Particulars</w:t>
            </w:r>
          </w:p>
        </w:tc>
        <w:tc>
          <w:tcPr>
            <w:tcW w:w="679" w:type="pct"/>
            <w:tcBorders>
              <w:top w:val="single" w:color="auto" w:sz="4" w:space="0"/>
              <w:left w:val="nil"/>
              <w:bottom w:val="single" w:color="auto" w:sz="4" w:space="0"/>
              <w:right w:val="single" w:color="auto" w:sz="4" w:space="0"/>
            </w:tcBorders>
            <w:noWrap/>
            <w:vAlign w:val="bottom"/>
          </w:tcPr>
          <w:p w14:paraId="597C64EF">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Value (£m)</w:t>
            </w:r>
          </w:p>
        </w:tc>
        <w:tc>
          <w:tcPr>
            <w:tcW w:w="959" w:type="pct"/>
            <w:tcBorders>
              <w:top w:val="nil"/>
              <w:left w:val="nil"/>
              <w:bottom w:val="nil"/>
              <w:right w:val="nil"/>
            </w:tcBorders>
            <w:noWrap/>
            <w:vAlign w:val="bottom"/>
          </w:tcPr>
          <w:p w14:paraId="1438F84C">
            <w:pPr>
              <w:spacing w:after="240" w:line="360" w:lineRule="auto"/>
              <w:jc w:val="center"/>
              <w:rPr>
                <w:rFonts w:hint="default" w:ascii="Arial" w:hAnsi="Arial" w:eastAsia="Times New Roman" w:cs="Arial"/>
                <w:b/>
                <w:bCs/>
                <w:i/>
                <w:iCs/>
                <w:color w:val="000000"/>
                <w:sz w:val="24"/>
                <w:szCs w:val="24"/>
                <w:lang w:val="en-US"/>
              </w:rPr>
            </w:pPr>
          </w:p>
        </w:tc>
        <w:tc>
          <w:tcPr>
            <w:tcW w:w="831" w:type="pct"/>
            <w:tcBorders>
              <w:top w:val="nil"/>
              <w:left w:val="nil"/>
              <w:bottom w:val="nil"/>
              <w:right w:val="nil"/>
            </w:tcBorders>
            <w:noWrap/>
            <w:vAlign w:val="bottom"/>
          </w:tcPr>
          <w:p w14:paraId="689A3C6C">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000CD9A6">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080663B0">
            <w:pPr>
              <w:spacing w:after="240" w:line="360" w:lineRule="auto"/>
              <w:rPr>
                <w:rFonts w:hint="default" w:ascii="Arial" w:hAnsi="Arial" w:eastAsia="Times New Roman" w:cs="Arial"/>
                <w:sz w:val="24"/>
                <w:szCs w:val="24"/>
                <w:lang w:val="en-US"/>
              </w:rPr>
            </w:pPr>
          </w:p>
        </w:tc>
      </w:tr>
      <w:tr w14:paraId="6D8F2130">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28BC66F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Initial Investment</w:t>
            </w:r>
          </w:p>
        </w:tc>
        <w:tc>
          <w:tcPr>
            <w:tcW w:w="679" w:type="pct"/>
            <w:tcBorders>
              <w:top w:val="nil"/>
              <w:left w:val="nil"/>
              <w:bottom w:val="single" w:color="auto" w:sz="4" w:space="0"/>
              <w:right w:val="single" w:color="auto" w:sz="4" w:space="0"/>
            </w:tcBorders>
            <w:noWrap/>
            <w:vAlign w:val="bottom"/>
          </w:tcPr>
          <w:p w14:paraId="5EC81A4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959" w:type="pct"/>
            <w:tcBorders>
              <w:top w:val="nil"/>
              <w:left w:val="nil"/>
              <w:bottom w:val="nil"/>
              <w:right w:val="nil"/>
            </w:tcBorders>
            <w:noWrap/>
            <w:vAlign w:val="bottom"/>
          </w:tcPr>
          <w:p w14:paraId="3DA5073C">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7F1362C8">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25C198A1">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0F0929A4">
            <w:pPr>
              <w:spacing w:after="240" w:line="360" w:lineRule="auto"/>
              <w:rPr>
                <w:rFonts w:hint="default" w:ascii="Arial" w:hAnsi="Arial" w:eastAsia="Times New Roman" w:cs="Arial"/>
                <w:sz w:val="24"/>
                <w:szCs w:val="24"/>
                <w:lang w:val="en-US"/>
              </w:rPr>
            </w:pPr>
          </w:p>
        </w:tc>
      </w:tr>
      <w:tr w14:paraId="7D12D7A6">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26F9198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1 Cash Inflow</w:t>
            </w:r>
          </w:p>
        </w:tc>
        <w:tc>
          <w:tcPr>
            <w:tcW w:w="679" w:type="pct"/>
            <w:tcBorders>
              <w:top w:val="nil"/>
              <w:left w:val="nil"/>
              <w:bottom w:val="single" w:color="auto" w:sz="4" w:space="0"/>
              <w:right w:val="single" w:color="auto" w:sz="4" w:space="0"/>
            </w:tcBorders>
            <w:noWrap/>
            <w:vAlign w:val="bottom"/>
          </w:tcPr>
          <w:p w14:paraId="3D547FC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nil"/>
              <w:right w:val="nil"/>
            </w:tcBorders>
            <w:noWrap/>
            <w:vAlign w:val="bottom"/>
          </w:tcPr>
          <w:p w14:paraId="6DB77A57">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32DD5584">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702670CF">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0DC29676">
            <w:pPr>
              <w:spacing w:after="240" w:line="360" w:lineRule="auto"/>
              <w:rPr>
                <w:rFonts w:hint="default" w:ascii="Arial" w:hAnsi="Arial" w:eastAsia="Times New Roman" w:cs="Arial"/>
                <w:sz w:val="24"/>
                <w:szCs w:val="24"/>
                <w:lang w:val="en-US"/>
              </w:rPr>
            </w:pPr>
          </w:p>
        </w:tc>
      </w:tr>
      <w:tr w14:paraId="4169E75C">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56E7F0A4">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2 Cash Inflow</w:t>
            </w:r>
          </w:p>
        </w:tc>
        <w:tc>
          <w:tcPr>
            <w:tcW w:w="679" w:type="pct"/>
            <w:tcBorders>
              <w:top w:val="nil"/>
              <w:left w:val="nil"/>
              <w:bottom w:val="single" w:color="auto" w:sz="4" w:space="0"/>
              <w:right w:val="single" w:color="auto" w:sz="4" w:space="0"/>
            </w:tcBorders>
            <w:noWrap/>
            <w:vAlign w:val="bottom"/>
          </w:tcPr>
          <w:p w14:paraId="1B07AEC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nil"/>
              <w:right w:val="nil"/>
            </w:tcBorders>
            <w:noWrap/>
            <w:vAlign w:val="bottom"/>
          </w:tcPr>
          <w:p w14:paraId="10C9C58B">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27AC1B85">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10A895BC">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2E850DA9">
            <w:pPr>
              <w:spacing w:after="240" w:line="360" w:lineRule="auto"/>
              <w:rPr>
                <w:rFonts w:hint="default" w:ascii="Arial" w:hAnsi="Arial" w:eastAsia="Times New Roman" w:cs="Arial"/>
                <w:sz w:val="24"/>
                <w:szCs w:val="24"/>
                <w:lang w:val="en-US"/>
              </w:rPr>
            </w:pPr>
          </w:p>
        </w:tc>
      </w:tr>
      <w:tr w14:paraId="0597B62E">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16DD7B8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3 Cash Inflow</w:t>
            </w:r>
          </w:p>
        </w:tc>
        <w:tc>
          <w:tcPr>
            <w:tcW w:w="679" w:type="pct"/>
            <w:tcBorders>
              <w:top w:val="nil"/>
              <w:left w:val="nil"/>
              <w:bottom w:val="single" w:color="auto" w:sz="4" w:space="0"/>
              <w:right w:val="single" w:color="auto" w:sz="4" w:space="0"/>
            </w:tcBorders>
            <w:noWrap/>
            <w:vAlign w:val="bottom"/>
          </w:tcPr>
          <w:p w14:paraId="49D8D25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nil"/>
              <w:right w:val="nil"/>
            </w:tcBorders>
            <w:noWrap/>
            <w:vAlign w:val="bottom"/>
          </w:tcPr>
          <w:p w14:paraId="1E0A4DD1">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0C580838">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28401626">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3D9E866C">
            <w:pPr>
              <w:spacing w:after="240" w:line="360" w:lineRule="auto"/>
              <w:rPr>
                <w:rFonts w:hint="default" w:ascii="Arial" w:hAnsi="Arial" w:eastAsia="Times New Roman" w:cs="Arial"/>
                <w:sz w:val="24"/>
                <w:szCs w:val="24"/>
                <w:lang w:val="en-US"/>
              </w:rPr>
            </w:pPr>
          </w:p>
        </w:tc>
      </w:tr>
      <w:tr w14:paraId="30A4F3E3">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2834A72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4 Cash Inflow</w:t>
            </w:r>
          </w:p>
        </w:tc>
        <w:tc>
          <w:tcPr>
            <w:tcW w:w="679" w:type="pct"/>
            <w:tcBorders>
              <w:top w:val="nil"/>
              <w:left w:val="nil"/>
              <w:bottom w:val="single" w:color="auto" w:sz="4" w:space="0"/>
              <w:right w:val="single" w:color="auto" w:sz="4" w:space="0"/>
            </w:tcBorders>
            <w:noWrap/>
            <w:vAlign w:val="bottom"/>
          </w:tcPr>
          <w:p w14:paraId="06FC5B1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nil"/>
              <w:right w:val="nil"/>
            </w:tcBorders>
            <w:noWrap/>
            <w:vAlign w:val="bottom"/>
          </w:tcPr>
          <w:p w14:paraId="1A3FE48A">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202F51C9">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526142B7">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7849573F">
            <w:pPr>
              <w:spacing w:after="240" w:line="360" w:lineRule="auto"/>
              <w:rPr>
                <w:rFonts w:hint="default" w:ascii="Arial" w:hAnsi="Arial" w:eastAsia="Times New Roman" w:cs="Arial"/>
                <w:sz w:val="24"/>
                <w:szCs w:val="24"/>
                <w:lang w:val="en-US"/>
              </w:rPr>
            </w:pPr>
          </w:p>
        </w:tc>
      </w:tr>
      <w:tr w14:paraId="4BEE1621">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432D29CD">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5 Cash Inflow</w:t>
            </w:r>
          </w:p>
        </w:tc>
        <w:tc>
          <w:tcPr>
            <w:tcW w:w="679" w:type="pct"/>
            <w:tcBorders>
              <w:top w:val="nil"/>
              <w:left w:val="nil"/>
              <w:bottom w:val="single" w:color="auto" w:sz="4" w:space="0"/>
              <w:right w:val="single" w:color="auto" w:sz="4" w:space="0"/>
            </w:tcBorders>
            <w:noWrap/>
            <w:vAlign w:val="bottom"/>
          </w:tcPr>
          <w:p w14:paraId="36A96B4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nil"/>
              <w:right w:val="nil"/>
            </w:tcBorders>
            <w:noWrap/>
            <w:vAlign w:val="bottom"/>
          </w:tcPr>
          <w:p w14:paraId="1C843E8F">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1860B24B">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50A49F84">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5688749A">
            <w:pPr>
              <w:spacing w:after="240" w:line="360" w:lineRule="auto"/>
              <w:rPr>
                <w:rFonts w:hint="default" w:ascii="Arial" w:hAnsi="Arial" w:eastAsia="Times New Roman" w:cs="Arial"/>
                <w:sz w:val="24"/>
                <w:szCs w:val="24"/>
                <w:lang w:val="en-US"/>
              </w:rPr>
            </w:pPr>
          </w:p>
        </w:tc>
      </w:tr>
      <w:tr w14:paraId="2301D770">
        <w:tblPrEx>
          <w:tblCellMar>
            <w:top w:w="0" w:type="dxa"/>
            <w:left w:w="108" w:type="dxa"/>
            <w:bottom w:w="0" w:type="dxa"/>
            <w:right w:w="108" w:type="dxa"/>
          </w:tblCellMar>
        </w:tblPrEx>
        <w:trPr>
          <w:trHeight w:val="300" w:hRule="atLeast"/>
        </w:trPr>
        <w:tc>
          <w:tcPr>
            <w:tcW w:w="772" w:type="pct"/>
            <w:tcBorders>
              <w:top w:val="nil"/>
              <w:left w:val="nil"/>
              <w:bottom w:val="nil"/>
              <w:right w:val="nil"/>
            </w:tcBorders>
            <w:noWrap/>
            <w:vAlign w:val="bottom"/>
          </w:tcPr>
          <w:p w14:paraId="07D3D632">
            <w:pPr>
              <w:spacing w:after="240" w:line="360" w:lineRule="auto"/>
              <w:rPr>
                <w:rFonts w:hint="default" w:ascii="Arial" w:hAnsi="Arial" w:eastAsia="Times New Roman" w:cs="Arial"/>
                <w:sz w:val="24"/>
                <w:szCs w:val="24"/>
                <w:lang w:val="en-US"/>
              </w:rPr>
            </w:pPr>
          </w:p>
        </w:tc>
        <w:tc>
          <w:tcPr>
            <w:tcW w:w="679" w:type="pct"/>
            <w:tcBorders>
              <w:top w:val="nil"/>
              <w:left w:val="nil"/>
              <w:bottom w:val="nil"/>
              <w:right w:val="nil"/>
            </w:tcBorders>
            <w:noWrap/>
            <w:vAlign w:val="bottom"/>
          </w:tcPr>
          <w:p w14:paraId="64CCE659">
            <w:pPr>
              <w:spacing w:after="240" w:line="360" w:lineRule="auto"/>
              <w:rPr>
                <w:rFonts w:hint="default" w:ascii="Arial" w:hAnsi="Arial" w:eastAsia="Times New Roman" w:cs="Arial"/>
                <w:sz w:val="24"/>
                <w:szCs w:val="24"/>
                <w:lang w:val="en-US"/>
              </w:rPr>
            </w:pPr>
          </w:p>
        </w:tc>
        <w:tc>
          <w:tcPr>
            <w:tcW w:w="959" w:type="pct"/>
            <w:tcBorders>
              <w:top w:val="nil"/>
              <w:left w:val="nil"/>
              <w:bottom w:val="nil"/>
              <w:right w:val="nil"/>
            </w:tcBorders>
            <w:noWrap/>
            <w:vAlign w:val="bottom"/>
          </w:tcPr>
          <w:p w14:paraId="23ADC84A">
            <w:pPr>
              <w:spacing w:after="240" w:line="360" w:lineRule="auto"/>
              <w:rPr>
                <w:rFonts w:hint="default" w:ascii="Arial" w:hAnsi="Arial" w:eastAsia="Times New Roman" w:cs="Arial"/>
                <w:sz w:val="24"/>
                <w:szCs w:val="24"/>
                <w:lang w:val="en-US"/>
              </w:rPr>
            </w:pPr>
          </w:p>
        </w:tc>
        <w:tc>
          <w:tcPr>
            <w:tcW w:w="831" w:type="pct"/>
            <w:tcBorders>
              <w:top w:val="nil"/>
              <w:left w:val="nil"/>
              <w:bottom w:val="nil"/>
              <w:right w:val="nil"/>
            </w:tcBorders>
            <w:noWrap/>
            <w:vAlign w:val="bottom"/>
          </w:tcPr>
          <w:p w14:paraId="5CE97E32">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049B30AA">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50A69DD5">
            <w:pPr>
              <w:spacing w:after="240" w:line="360" w:lineRule="auto"/>
              <w:rPr>
                <w:rFonts w:hint="default" w:ascii="Arial" w:hAnsi="Arial" w:eastAsia="Times New Roman" w:cs="Arial"/>
                <w:sz w:val="24"/>
                <w:szCs w:val="24"/>
                <w:lang w:val="en-US"/>
              </w:rPr>
            </w:pPr>
          </w:p>
        </w:tc>
      </w:tr>
      <w:tr w14:paraId="6C41758A">
        <w:tblPrEx>
          <w:tblCellMar>
            <w:top w:w="0" w:type="dxa"/>
            <w:left w:w="108" w:type="dxa"/>
            <w:bottom w:w="0" w:type="dxa"/>
            <w:right w:w="108" w:type="dxa"/>
          </w:tblCellMar>
        </w:tblPrEx>
        <w:trPr>
          <w:trHeight w:val="300" w:hRule="atLeast"/>
        </w:trPr>
        <w:tc>
          <w:tcPr>
            <w:tcW w:w="772" w:type="pct"/>
            <w:tcBorders>
              <w:top w:val="single" w:color="auto" w:sz="4" w:space="0"/>
              <w:left w:val="single" w:color="auto" w:sz="4" w:space="0"/>
              <w:bottom w:val="single" w:color="auto" w:sz="4" w:space="0"/>
              <w:right w:val="single" w:color="auto" w:sz="4" w:space="0"/>
            </w:tcBorders>
            <w:noWrap/>
            <w:vAlign w:val="bottom"/>
          </w:tcPr>
          <w:p w14:paraId="18B29C1C">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Year</w:t>
            </w:r>
          </w:p>
        </w:tc>
        <w:tc>
          <w:tcPr>
            <w:tcW w:w="679" w:type="pct"/>
            <w:tcBorders>
              <w:top w:val="single" w:color="auto" w:sz="4" w:space="0"/>
              <w:left w:val="nil"/>
              <w:bottom w:val="single" w:color="auto" w:sz="4" w:space="0"/>
              <w:right w:val="single" w:color="auto" w:sz="4" w:space="0"/>
            </w:tcBorders>
            <w:noWrap/>
            <w:vAlign w:val="bottom"/>
          </w:tcPr>
          <w:p w14:paraId="171BAF66">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Cash Flow (£m)</w:t>
            </w:r>
          </w:p>
        </w:tc>
        <w:tc>
          <w:tcPr>
            <w:tcW w:w="959" w:type="pct"/>
            <w:tcBorders>
              <w:top w:val="single" w:color="auto" w:sz="4" w:space="0"/>
              <w:left w:val="nil"/>
              <w:bottom w:val="single" w:color="auto" w:sz="4" w:space="0"/>
              <w:right w:val="single" w:color="auto" w:sz="4" w:space="0"/>
            </w:tcBorders>
            <w:noWrap/>
            <w:vAlign w:val="bottom"/>
          </w:tcPr>
          <w:p w14:paraId="1C248BA3">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Discount Factor @</w:t>
            </w:r>
            <w:r>
              <w:rPr>
                <w:rFonts w:hint="default" w:eastAsia="Times New Roman" w:cs="Arial"/>
                <w:b/>
                <w:bCs/>
                <w:i/>
                <w:iCs/>
                <w:color w:val="000000"/>
                <w:sz w:val="24"/>
                <w:szCs w:val="24"/>
                <w:lang w:val="en-US"/>
              </w:rPr>
              <w:t>8</w:t>
            </w:r>
            <w:r>
              <w:rPr>
                <w:rFonts w:hint="default" w:ascii="Arial" w:hAnsi="Arial" w:eastAsia="Times New Roman" w:cs="Arial"/>
                <w:b/>
                <w:bCs/>
                <w:i/>
                <w:iCs/>
                <w:color w:val="000000"/>
                <w:sz w:val="24"/>
                <w:szCs w:val="24"/>
                <w:lang w:val="en-US"/>
              </w:rPr>
              <w:t>%</w:t>
            </w:r>
          </w:p>
        </w:tc>
        <w:tc>
          <w:tcPr>
            <w:tcW w:w="831" w:type="pct"/>
            <w:tcBorders>
              <w:top w:val="single" w:color="auto" w:sz="4" w:space="0"/>
              <w:left w:val="nil"/>
              <w:bottom w:val="single" w:color="auto" w:sz="4" w:space="0"/>
              <w:right w:val="single" w:color="auto" w:sz="4" w:space="0"/>
            </w:tcBorders>
            <w:noWrap/>
            <w:vAlign w:val="bottom"/>
          </w:tcPr>
          <w:p w14:paraId="410DACCE">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Present Value (£m)</w:t>
            </w:r>
          </w:p>
        </w:tc>
        <w:tc>
          <w:tcPr>
            <w:tcW w:w="1171" w:type="pct"/>
            <w:tcBorders>
              <w:top w:val="single" w:color="auto" w:sz="4" w:space="0"/>
              <w:left w:val="nil"/>
              <w:bottom w:val="single" w:color="auto" w:sz="4" w:space="0"/>
              <w:right w:val="single" w:color="auto" w:sz="4" w:space="0"/>
            </w:tcBorders>
            <w:noWrap/>
            <w:vAlign w:val="bottom"/>
          </w:tcPr>
          <w:p w14:paraId="44AB2457">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Cumulative Cash Flow (£m)</w:t>
            </w:r>
          </w:p>
        </w:tc>
        <w:tc>
          <w:tcPr>
            <w:tcW w:w="588" w:type="pct"/>
            <w:tcBorders>
              <w:top w:val="single" w:color="auto" w:sz="4" w:space="0"/>
              <w:left w:val="nil"/>
              <w:bottom w:val="single" w:color="auto" w:sz="4" w:space="0"/>
              <w:right w:val="single" w:color="auto" w:sz="4" w:space="0"/>
            </w:tcBorders>
            <w:noWrap/>
            <w:vAlign w:val="bottom"/>
          </w:tcPr>
          <w:p w14:paraId="749DFEB6">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PV</w:t>
            </w:r>
          </w:p>
        </w:tc>
      </w:tr>
      <w:tr w14:paraId="617BA8A5">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26471ED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w:t>
            </w:r>
          </w:p>
        </w:tc>
        <w:tc>
          <w:tcPr>
            <w:tcW w:w="679" w:type="pct"/>
            <w:tcBorders>
              <w:top w:val="nil"/>
              <w:left w:val="nil"/>
              <w:bottom w:val="single" w:color="auto" w:sz="4" w:space="0"/>
              <w:right w:val="single" w:color="auto" w:sz="4" w:space="0"/>
            </w:tcBorders>
            <w:noWrap/>
            <w:vAlign w:val="bottom"/>
          </w:tcPr>
          <w:p w14:paraId="1177647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959" w:type="pct"/>
            <w:tcBorders>
              <w:top w:val="nil"/>
              <w:left w:val="nil"/>
              <w:bottom w:val="single" w:color="auto" w:sz="4" w:space="0"/>
              <w:right w:val="single" w:color="auto" w:sz="4" w:space="0"/>
            </w:tcBorders>
            <w:noWrap/>
            <w:vAlign w:val="bottom"/>
          </w:tcPr>
          <w:p w14:paraId="2C55155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w:t>
            </w:r>
          </w:p>
        </w:tc>
        <w:tc>
          <w:tcPr>
            <w:tcW w:w="831" w:type="pct"/>
            <w:tcBorders>
              <w:top w:val="nil"/>
              <w:left w:val="nil"/>
              <w:bottom w:val="single" w:color="auto" w:sz="4" w:space="0"/>
              <w:right w:val="single" w:color="auto" w:sz="4" w:space="0"/>
            </w:tcBorders>
            <w:noWrap/>
            <w:vAlign w:val="bottom"/>
          </w:tcPr>
          <w:p w14:paraId="571FD59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1171" w:type="pct"/>
            <w:tcBorders>
              <w:top w:val="nil"/>
              <w:left w:val="nil"/>
              <w:bottom w:val="single" w:color="auto" w:sz="4" w:space="0"/>
              <w:right w:val="single" w:color="auto" w:sz="4" w:space="0"/>
            </w:tcBorders>
            <w:noWrap/>
            <w:vAlign w:val="bottom"/>
          </w:tcPr>
          <w:p w14:paraId="7B50C8E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588" w:type="pct"/>
            <w:tcBorders>
              <w:top w:val="nil"/>
              <w:left w:val="nil"/>
              <w:bottom w:val="single" w:color="auto" w:sz="4" w:space="0"/>
              <w:right w:val="single" w:color="auto" w:sz="4" w:space="0"/>
            </w:tcBorders>
            <w:noWrap/>
            <w:vAlign w:val="bottom"/>
          </w:tcPr>
          <w:p w14:paraId="6539479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r>
      <w:tr w14:paraId="7D4C042E">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60019E6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w:t>
            </w:r>
          </w:p>
        </w:tc>
        <w:tc>
          <w:tcPr>
            <w:tcW w:w="679" w:type="pct"/>
            <w:tcBorders>
              <w:top w:val="nil"/>
              <w:left w:val="nil"/>
              <w:bottom w:val="single" w:color="auto" w:sz="4" w:space="0"/>
              <w:right w:val="single" w:color="auto" w:sz="4" w:space="0"/>
            </w:tcBorders>
            <w:noWrap/>
            <w:vAlign w:val="bottom"/>
          </w:tcPr>
          <w:p w14:paraId="3926B4C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single" w:color="auto" w:sz="4" w:space="0"/>
              <w:right w:val="single" w:color="auto" w:sz="4" w:space="0"/>
            </w:tcBorders>
            <w:noWrap/>
            <w:vAlign w:val="bottom"/>
          </w:tcPr>
          <w:p w14:paraId="1CF2FF1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w:t>
            </w:r>
            <w:r>
              <w:rPr>
                <w:rFonts w:hint="default" w:eastAsia="Times New Roman" w:cs="Arial"/>
                <w:color w:val="000000"/>
                <w:sz w:val="24"/>
                <w:szCs w:val="24"/>
                <w:lang w:val="en-US"/>
              </w:rPr>
              <w:t>259</w:t>
            </w:r>
          </w:p>
        </w:tc>
        <w:tc>
          <w:tcPr>
            <w:tcW w:w="831" w:type="pct"/>
            <w:tcBorders>
              <w:top w:val="nil"/>
              <w:left w:val="nil"/>
              <w:bottom w:val="single" w:color="auto" w:sz="4" w:space="0"/>
              <w:right w:val="single" w:color="auto" w:sz="4" w:space="0"/>
            </w:tcBorders>
            <w:noWrap/>
            <w:vAlign w:val="bottom"/>
          </w:tcPr>
          <w:p w14:paraId="31307D9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w:t>
            </w:r>
            <w:r>
              <w:rPr>
                <w:rFonts w:hint="default" w:eastAsia="Times New Roman" w:cs="Arial"/>
                <w:color w:val="000000"/>
                <w:sz w:val="24"/>
                <w:szCs w:val="24"/>
                <w:lang w:val="en-US"/>
              </w:rPr>
              <w:t>.185</w:t>
            </w:r>
          </w:p>
        </w:tc>
        <w:tc>
          <w:tcPr>
            <w:tcW w:w="1171" w:type="pct"/>
            <w:tcBorders>
              <w:top w:val="nil"/>
              <w:left w:val="nil"/>
              <w:bottom w:val="single" w:color="auto" w:sz="4" w:space="0"/>
              <w:right w:val="single" w:color="auto" w:sz="4" w:space="0"/>
            </w:tcBorders>
            <w:noWrap/>
            <w:vAlign w:val="bottom"/>
          </w:tcPr>
          <w:p w14:paraId="2C4F66E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10.18518519</w:t>
            </w:r>
          </w:p>
        </w:tc>
        <w:tc>
          <w:tcPr>
            <w:tcW w:w="588" w:type="pct"/>
            <w:tcBorders>
              <w:top w:val="nil"/>
              <w:left w:val="nil"/>
              <w:bottom w:val="single" w:color="auto" w:sz="4" w:space="0"/>
              <w:right w:val="single" w:color="auto" w:sz="4" w:space="0"/>
            </w:tcBorders>
            <w:noWrap/>
            <w:vAlign w:val="bottom"/>
          </w:tcPr>
          <w:p w14:paraId="7D2B32E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-39.81481481</w:t>
            </w:r>
          </w:p>
        </w:tc>
      </w:tr>
      <w:tr w14:paraId="530B73D4">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6849511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w:t>
            </w:r>
          </w:p>
        </w:tc>
        <w:tc>
          <w:tcPr>
            <w:tcW w:w="679" w:type="pct"/>
            <w:tcBorders>
              <w:top w:val="nil"/>
              <w:left w:val="nil"/>
              <w:bottom w:val="single" w:color="auto" w:sz="4" w:space="0"/>
              <w:right w:val="single" w:color="auto" w:sz="4" w:space="0"/>
            </w:tcBorders>
            <w:noWrap/>
            <w:vAlign w:val="bottom"/>
          </w:tcPr>
          <w:p w14:paraId="5FB9E83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single" w:color="auto" w:sz="4" w:space="0"/>
              <w:right w:val="single" w:color="auto" w:sz="4" w:space="0"/>
            </w:tcBorders>
            <w:noWrap/>
            <w:vAlign w:val="bottom"/>
          </w:tcPr>
          <w:p w14:paraId="7A0DF9D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w:t>
            </w:r>
            <w:r>
              <w:rPr>
                <w:rFonts w:hint="default" w:eastAsia="Times New Roman" w:cs="Arial"/>
                <w:color w:val="000000"/>
                <w:sz w:val="24"/>
                <w:szCs w:val="24"/>
                <w:lang w:val="en-US"/>
              </w:rPr>
              <w:t>573</w:t>
            </w:r>
          </w:p>
        </w:tc>
        <w:tc>
          <w:tcPr>
            <w:tcW w:w="831" w:type="pct"/>
            <w:tcBorders>
              <w:top w:val="nil"/>
              <w:left w:val="nil"/>
              <w:bottom w:val="single" w:color="auto" w:sz="4" w:space="0"/>
              <w:right w:val="single" w:color="auto" w:sz="4" w:space="0"/>
            </w:tcBorders>
            <w:noWrap/>
            <w:vAlign w:val="bottom"/>
          </w:tcPr>
          <w:p w14:paraId="05369CF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9.</w:t>
            </w:r>
            <w:r>
              <w:rPr>
                <w:rFonts w:hint="default" w:eastAsia="Times New Roman" w:cs="Arial"/>
                <w:color w:val="000000"/>
                <w:sz w:val="24"/>
                <w:szCs w:val="24"/>
                <w:lang w:val="en-US"/>
              </w:rPr>
              <w:t>430</w:t>
            </w:r>
          </w:p>
        </w:tc>
        <w:tc>
          <w:tcPr>
            <w:tcW w:w="1171" w:type="pct"/>
            <w:tcBorders>
              <w:top w:val="nil"/>
              <w:left w:val="nil"/>
              <w:bottom w:val="single" w:color="auto" w:sz="4" w:space="0"/>
              <w:right w:val="single" w:color="auto" w:sz="4" w:space="0"/>
            </w:tcBorders>
            <w:noWrap/>
            <w:vAlign w:val="bottom"/>
          </w:tcPr>
          <w:p w14:paraId="1B30DDA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9.430727023</w:t>
            </w:r>
          </w:p>
        </w:tc>
        <w:tc>
          <w:tcPr>
            <w:tcW w:w="588" w:type="pct"/>
            <w:tcBorders>
              <w:top w:val="nil"/>
              <w:left w:val="nil"/>
              <w:bottom w:val="single" w:color="auto" w:sz="4" w:space="0"/>
              <w:right w:val="single" w:color="auto" w:sz="4" w:space="0"/>
            </w:tcBorders>
            <w:noWrap/>
            <w:vAlign w:val="bottom"/>
          </w:tcPr>
          <w:p w14:paraId="3CB3A69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-30.38408779</w:t>
            </w:r>
          </w:p>
        </w:tc>
      </w:tr>
      <w:tr w14:paraId="0F3D35BF">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79677EF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w:t>
            </w:r>
          </w:p>
        </w:tc>
        <w:tc>
          <w:tcPr>
            <w:tcW w:w="679" w:type="pct"/>
            <w:tcBorders>
              <w:top w:val="nil"/>
              <w:left w:val="nil"/>
              <w:bottom w:val="single" w:color="auto" w:sz="4" w:space="0"/>
              <w:right w:val="single" w:color="auto" w:sz="4" w:space="0"/>
            </w:tcBorders>
            <w:noWrap/>
            <w:vAlign w:val="bottom"/>
          </w:tcPr>
          <w:p w14:paraId="127E48E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single" w:color="auto" w:sz="4" w:space="0"/>
              <w:right w:val="single" w:color="auto" w:sz="4" w:space="0"/>
            </w:tcBorders>
            <w:noWrap/>
            <w:vAlign w:val="bottom"/>
          </w:tcPr>
          <w:p w14:paraId="11BFC64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0.7</w:t>
            </w:r>
            <w:r>
              <w:rPr>
                <w:rFonts w:hint="default" w:eastAsia="Times New Roman" w:cs="Arial"/>
                <w:color w:val="000000"/>
                <w:sz w:val="24"/>
                <w:szCs w:val="24"/>
                <w:lang w:val="en-US"/>
              </w:rPr>
              <w:t>938</w:t>
            </w:r>
          </w:p>
        </w:tc>
        <w:tc>
          <w:tcPr>
            <w:tcW w:w="831" w:type="pct"/>
            <w:tcBorders>
              <w:top w:val="nil"/>
              <w:left w:val="nil"/>
              <w:bottom w:val="single" w:color="auto" w:sz="4" w:space="0"/>
              <w:right w:val="single" w:color="auto" w:sz="4" w:space="0"/>
            </w:tcBorders>
            <w:noWrap/>
            <w:vAlign w:val="bottom"/>
          </w:tcPr>
          <w:p w14:paraId="052624A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w:t>
            </w:r>
            <w:r>
              <w:rPr>
                <w:rFonts w:hint="default" w:eastAsia="Times New Roman" w:cs="Arial"/>
                <w:color w:val="000000"/>
                <w:sz w:val="24"/>
                <w:szCs w:val="24"/>
                <w:lang w:val="en-US"/>
              </w:rPr>
              <w:t>732</w:t>
            </w:r>
          </w:p>
        </w:tc>
        <w:tc>
          <w:tcPr>
            <w:tcW w:w="1171" w:type="pct"/>
            <w:tcBorders>
              <w:top w:val="nil"/>
              <w:left w:val="nil"/>
              <w:bottom w:val="single" w:color="auto" w:sz="4" w:space="0"/>
              <w:right w:val="single" w:color="auto" w:sz="4" w:space="0"/>
            </w:tcBorders>
            <w:noWrap/>
            <w:vAlign w:val="bottom"/>
          </w:tcPr>
          <w:p w14:paraId="2359D1F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8.732154651</w:t>
            </w:r>
          </w:p>
        </w:tc>
        <w:tc>
          <w:tcPr>
            <w:tcW w:w="588" w:type="pct"/>
            <w:tcBorders>
              <w:top w:val="nil"/>
              <w:left w:val="nil"/>
              <w:bottom w:val="single" w:color="auto" w:sz="4" w:space="0"/>
              <w:right w:val="single" w:color="auto" w:sz="4" w:space="0"/>
            </w:tcBorders>
            <w:noWrap/>
            <w:vAlign w:val="bottom"/>
          </w:tcPr>
          <w:p w14:paraId="47D9F29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-21.65193314</w:t>
            </w:r>
          </w:p>
        </w:tc>
      </w:tr>
      <w:tr w14:paraId="24CDF58B">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3A43A98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w:t>
            </w:r>
          </w:p>
        </w:tc>
        <w:tc>
          <w:tcPr>
            <w:tcW w:w="679" w:type="pct"/>
            <w:tcBorders>
              <w:top w:val="nil"/>
              <w:left w:val="nil"/>
              <w:bottom w:val="single" w:color="auto" w:sz="4" w:space="0"/>
              <w:right w:val="single" w:color="auto" w:sz="4" w:space="0"/>
            </w:tcBorders>
            <w:noWrap/>
            <w:vAlign w:val="bottom"/>
          </w:tcPr>
          <w:p w14:paraId="50CB119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single" w:color="auto" w:sz="4" w:space="0"/>
              <w:right w:val="single" w:color="auto" w:sz="4" w:space="0"/>
            </w:tcBorders>
            <w:noWrap/>
            <w:vAlign w:val="bottom"/>
          </w:tcPr>
          <w:p w14:paraId="196E58C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w:t>
            </w:r>
            <w:r>
              <w:rPr>
                <w:rFonts w:hint="default" w:eastAsia="Times New Roman" w:cs="Arial"/>
                <w:color w:val="000000"/>
                <w:sz w:val="24"/>
                <w:szCs w:val="24"/>
                <w:lang w:val="en-US"/>
              </w:rPr>
              <w:t>735</w:t>
            </w:r>
          </w:p>
        </w:tc>
        <w:tc>
          <w:tcPr>
            <w:tcW w:w="831" w:type="pct"/>
            <w:tcBorders>
              <w:top w:val="nil"/>
              <w:left w:val="nil"/>
              <w:bottom w:val="single" w:color="auto" w:sz="4" w:space="0"/>
              <w:right w:val="single" w:color="auto" w:sz="4" w:space="0"/>
            </w:tcBorders>
            <w:noWrap/>
            <w:vAlign w:val="bottom"/>
          </w:tcPr>
          <w:p w14:paraId="39515184">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8.085</w:t>
            </w:r>
          </w:p>
        </w:tc>
        <w:tc>
          <w:tcPr>
            <w:tcW w:w="1171" w:type="pct"/>
            <w:tcBorders>
              <w:top w:val="nil"/>
              <w:left w:val="nil"/>
              <w:bottom w:val="single" w:color="auto" w:sz="4" w:space="0"/>
              <w:right w:val="single" w:color="auto" w:sz="4" w:space="0"/>
            </w:tcBorders>
            <w:noWrap/>
            <w:vAlign w:val="bottom"/>
          </w:tcPr>
          <w:p w14:paraId="7FB112C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8.085328381</w:t>
            </w:r>
          </w:p>
        </w:tc>
        <w:tc>
          <w:tcPr>
            <w:tcW w:w="588" w:type="pct"/>
            <w:tcBorders>
              <w:top w:val="nil"/>
              <w:left w:val="nil"/>
              <w:bottom w:val="single" w:color="auto" w:sz="4" w:space="0"/>
              <w:right w:val="single" w:color="auto" w:sz="4" w:space="0"/>
            </w:tcBorders>
            <w:noWrap/>
            <w:vAlign w:val="bottom"/>
          </w:tcPr>
          <w:p w14:paraId="4729AC9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-13.56660476</w:t>
            </w:r>
          </w:p>
        </w:tc>
      </w:tr>
      <w:tr w14:paraId="4DEAD7A8">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0C51983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w:t>
            </w:r>
          </w:p>
        </w:tc>
        <w:tc>
          <w:tcPr>
            <w:tcW w:w="679" w:type="pct"/>
            <w:tcBorders>
              <w:top w:val="nil"/>
              <w:left w:val="nil"/>
              <w:bottom w:val="single" w:color="auto" w:sz="4" w:space="0"/>
              <w:right w:val="single" w:color="auto" w:sz="4" w:space="0"/>
            </w:tcBorders>
            <w:noWrap/>
            <w:vAlign w:val="bottom"/>
          </w:tcPr>
          <w:p w14:paraId="31480FE0">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c>
          <w:tcPr>
            <w:tcW w:w="959" w:type="pct"/>
            <w:tcBorders>
              <w:top w:val="nil"/>
              <w:left w:val="nil"/>
              <w:bottom w:val="single" w:color="auto" w:sz="4" w:space="0"/>
              <w:right w:val="single" w:color="auto" w:sz="4" w:space="0"/>
            </w:tcBorders>
            <w:noWrap/>
            <w:vAlign w:val="bottom"/>
          </w:tcPr>
          <w:p w14:paraId="3495E52F">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0.6</w:t>
            </w:r>
            <w:r>
              <w:rPr>
                <w:rFonts w:hint="default" w:eastAsia="Times New Roman" w:cs="Arial"/>
                <w:color w:val="000000"/>
                <w:sz w:val="24"/>
                <w:szCs w:val="24"/>
                <w:lang w:val="en-US"/>
              </w:rPr>
              <w:t>806</w:t>
            </w:r>
          </w:p>
        </w:tc>
        <w:tc>
          <w:tcPr>
            <w:tcW w:w="831" w:type="pct"/>
            <w:tcBorders>
              <w:top w:val="nil"/>
              <w:left w:val="nil"/>
              <w:bottom w:val="single" w:color="auto" w:sz="4" w:space="0"/>
              <w:right w:val="single" w:color="auto" w:sz="4" w:space="0"/>
            </w:tcBorders>
            <w:noWrap/>
            <w:vAlign w:val="bottom"/>
          </w:tcPr>
          <w:p w14:paraId="7586099F">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7.487</w:t>
            </w:r>
          </w:p>
        </w:tc>
        <w:tc>
          <w:tcPr>
            <w:tcW w:w="1171" w:type="pct"/>
            <w:tcBorders>
              <w:top w:val="nil"/>
              <w:left w:val="nil"/>
              <w:bottom w:val="single" w:color="auto" w:sz="4" w:space="0"/>
              <w:right w:val="single" w:color="auto" w:sz="4" w:space="0"/>
            </w:tcBorders>
            <w:noWrap/>
            <w:vAlign w:val="bottom"/>
          </w:tcPr>
          <w:p w14:paraId="322C18E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7.486415167</w:t>
            </w:r>
          </w:p>
        </w:tc>
        <w:tc>
          <w:tcPr>
            <w:tcW w:w="588" w:type="pct"/>
            <w:tcBorders>
              <w:top w:val="nil"/>
              <w:left w:val="nil"/>
              <w:bottom w:val="single" w:color="auto" w:sz="4" w:space="0"/>
              <w:right w:val="single" w:color="auto" w:sz="4" w:space="0"/>
            </w:tcBorders>
            <w:noWrap/>
            <w:vAlign w:val="bottom"/>
          </w:tcPr>
          <w:p w14:paraId="60C3ADA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-6.080189592</w:t>
            </w:r>
          </w:p>
        </w:tc>
      </w:tr>
      <w:tr w14:paraId="2641E182">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45603401">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Technique</w:t>
            </w:r>
          </w:p>
        </w:tc>
        <w:tc>
          <w:tcPr>
            <w:tcW w:w="3549" w:type="pct"/>
            <w:gridSpan w:val="4"/>
            <w:tcBorders>
              <w:top w:val="single" w:color="auto" w:sz="4" w:space="0"/>
              <w:left w:val="nil"/>
              <w:bottom w:val="single" w:color="auto" w:sz="4" w:space="0"/>
              <w:right w:val="single" w:color="auto" w:sz="4" w:space="0"/>
            </w:tcBorders>
            <w:noWrap/>
            <w:vAlign w:val="bottom"/>
          </w:tcPr>
          <w:p w14:paraId="16B7DA64">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Excel Formula</w:t>
            </w:r>
          </w:p>
        </w:tc>
      </w:tr>
      <w:tr w14:paraId="457853D0">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4874EE0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Payback Period (PBP)</w:t>
            </w:r>
          </w:p>
        </w:tc>
        <w:tc>
          <w:tcPr>
            <w:tcW w:w="3549" w:type="pct"/>
            <w:gridSpan w:val="4"/>
            <w:tcBorders>
              <w:top w:val="single" w:color="auto" w:sz="4" w:space="0"/>
              <w:left w:val="nil"/>
              <w:bottom w:val="single" w:color="auto" w:sz="4" w:space="0"/>
              <w:right w:val="single" w:color="auto" w:sz="4" w:space="0"/>
            </w:tcBorders>
            <w:noWrap/>
            <w:vAlign w:val="bottom"/>
          </w:tcPr>
          <w:p w14:paraId="48DC460E">
            <w:pPr>
              <w:wordWrap w:val="0"/>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4.545</w:t>
            </w:r>
            <w:r>
              <w:rPr>
                <w:rFonts w:hint="default" w:eastAsia="Times New Roman" w:cs="Arial"/>
                <w:color w:val="000000"/>
                <w:sz w:val="24"/>
                <w:szCs w:val="24"/>
                <w:lang w:val="en-US"/>
              </w:rPr>
              <w:t>5 Years</w:t>
            </w:r>
          </w:p>
        </w:tc>
      </w:tr>
      <w:tr w14:paraId="7B6C74BE">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34342C6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Annual Cash Inflow</w:t>
            </w:r>
          </w:p>
        </w:tc>
        <w:tc>
          <w:tcPr>
            <w:tcW w:w="3549" w:type="pct"/>
            <w:gridSpan w:val="4"/>
            <w:tcBorders>
              <w:top w:val="single" w:color="auto" w:sz="4" w:space="0"/>
              <w:left w:val="nil"/>
              <w:bottom w:val="single" w:color="auto" w:sz="4" w:space="0"/>
              <w:right w:val="single" w:color="auto" w:sz="4" w:space="0"/>
            </w:tcBorders>
            <w:noWrap/>
            <w:vAlign w:val="bottom"/>
          </w:tcPr>
          <w:p w14:paraId="50983D1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11</w:t>
            </w:r>
          </w:p>
        </w:tc>
      </w:tr>
      <w:tr w14:paraId="5746B45C">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0AC7919E">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Investment</w:t>
            </w:r>
          </w:p>
        </w:tc>
        <w:tc>
          <w:tcPr>
            <w:tcW w:w="3549" w:type="pct"/>
            <w:gridSpan w:val="4"/>
            <w:tcBorders>
              <w:top w:val="single" w:color="auto" w:sz="4" w:space="0"/>
              <w:left w:val="nil"/>
              <w:bottom w:val="single" w:color="auto" w:sz="4" w:space="0"/>
              <w:right w:val="single" w:color="auto" w:sz="4" w:space="0"/>
            </w:tcBorders>
            <w:noWrap/>
            <w:vAlign w:val="bottom"/>
          </w:tcPr>
          <w:p w14:paraId="2529FFC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w:t>
            </w:r>
          </w:p>
        </w:tc>
      </w:tr>
      <w:tr w14:paraId="31209934">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4E820E4E">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Accounting Rate of Return (ARR)</w:t>
            </w:r>
          </w:p>
        </w:tc>
        <w:tc>
          <w:tcPr>
            <w:tcW w:w="3549" w:type="pct"/>
            <w:gridSpan w:val="4"/>
            <w:tcBorders>
              <w:top w:val="single" w:color="auto" w:sz="4" w:space="0"/>
              <w:left w:val="nil"/>
              <w:bottom w:val="single" w:color="auto" w:sz="4" w:space="0"/>
              <w:right w:val="single" w:color="auto" w:sz="4" w:space="0"/>
            </w:tcBorders>
            <w:noWrap/>
            <w:vAlign w:val="bottom"/>
          </w:tcPr>
          <w:p w14:paraId="6E6B9AD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w:t>
            </w:r>
            <w:r>
              <w:rPr>
                <w:rFonts w:hint="default" w:eastAsia="Times New Roman" w:cs="Arial"/>
                <w:color w:val="000000"/>
                <w:sz w:val="24"/>
                <w:szCs w:val="24"/>
                <w:lang w:val="en-US"/>
              </w:rPr>
              <w:t>%</w:t>
            </w:r>
          </w:p>
        </w:tc>
      </w:tr>
      <w:tr w14:paraId="7F6EDD20">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4AA22B0B">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PV of Inflows</w:t>
            </w:r>
          </w:p>
        </w:tc>
        <w:tc>
          <w:tcPr>
            <w:tcW w:w="3549" w:type="pct"/>
            <w:gridSpan w:val="4"/>
            <w:tcBorders>
              <w:top w:val="single" w:color="auto" w:sz="4" w:space="0"/>
              <w:left w:val="nil"/>
              <w:bottom w:val="single" w:color="auto" w:sz="4" w:space="0"/>
              <w:right w:val="single" w:color="auto" w:sz="4" w:space="0"/>
            </w:tcBorders>
            <w:noWrap/>
            <w:vAlign w:val="bottom"/>
          </w:tcPr>
          <w:p w14:paraId="4A5A25F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w:t>
            </w:r>
            <w:r>
              <w:rPr>
                <w:rFonts w:hint="default" w:eastAsia="Times New Roman" w:cs="Arial"/>
                <w:color w:val="000000"/>
                <w:sz w:val="24"/>
                <w:szCs w:val="24"/>
                <w:lang w:val="en-US"/>
              </w:rPr>
              <w:t>3.919</w:t>
            </w:r>
          </w:p>
        </w:tc>
      </w:tr>
      <w:tr w14:paraId="61BF8176">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5B260C82">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Present Value (NPV)</w:t>
            </w:r>
          </w:p>
        </w:tc>
        <w:tc>
          <w:tcPr>
            <w:tcW w:w="3549" w:type="pct"/>
            <w:gridSpan w:val="4"/>
            <w:tcBorders>
              <w:top w:val="single" w:color="auto" w:sz="4" w:space="0"/>
              <w:left w:val="nil"/>
              <w:bottom w:val="single" w:color="auto" w:sz="4" w:space="0"/>
              <w:right w:val="single" w:color="auto" w:sz="4" w:space="0"/>
            </w:tcBorders>
            <w:noWrap/>
            <w:vAlign w:val="bottom"/>
          </w:tcPr>
          <w:p w14:paraId="5DBAC90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w:t>
            </w:r>
            <w:r>
              <w:rPr>
                <w:rFonts w:hint="default" w:eastAsia="Times New Roman" w:cs="Arial"/>
                <w:color w:val="000000"/>
                <w:sz w:val="24"/>
                <w:szCs w:val="24"/>
                <w:lang w:val="en-US"/>
              </w:rPr>
              <w:t>6.081</w:t>
            </w:r>
          </w:p>
        </w:tc>
      </w:tr>
      <w:tr w14:paraId="4EA9EAA8">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0AD67D3D">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Profitability Index (PI)</w:t>
            </w:r>
          </w:p>
        </w:tc>
        <w:tc>
          <w:tcPr>
            <w:tcW w:w="3549" w:type="pct"/>
            <w:gridSpan w:val="4"/>
            <w:tcBorders>
              <w:top w:val="single" w:color="auto" w:sz="4" w:space="0"/>
              <w:left w:val="nil"/>
              <w:bottom w:val="single" w:color="auto" w:sz="4" w:space="0"/>
              <w:right w:val="single" w:color="auto" w:sz="4" w:space="0"/>
            </w:tcBorders>
            <w:noWrap/>
            <w:vAlign w:val="bottom"/>
          </w:tcPr>
          <w:p w14:paraId="618F39D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w:t>
            </w:r>
            <w:r>
              <w:rPr>
                <w:rFonts w:hint="default" w:eastAsia="Times New Roman" w:cs="Arial"/>
                <w:color w:val="000000"/>
                <w:sz w:val="24"/>
                <w:szCs w:val="24"/>
                <w:lang w:val="en-US"/>
              </w:rPr>
              <w:t>878</w:t>
            </w:r>
          </w:p>
        </w:tc>
      </w:tr>
      <w:tr w14:paraId="3BFD1A32">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679BFFCD">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Internal Rate of Return (IRR)</w:t>
            </w:r>
          </w:p>
        </w:tc>
        <w:tc>
          <w:tcPr>
            <w:tcW w:w="3549" w:type="pct"/>
            <w:gridSpan w:val="4"/>
            <w:tcBorders>
              <w:top w:val="single" w:color="auto" w:sz="4" w:space="0"/>
              <w:left w:val="nil"/>
              <w:bottom w:val="single" w:color="auto" w:sz="4" w:space="0"/>
              <w:right w:val="single" w:color="auto" w:sz="4" w:space="0"/>
            </w:tcBorders>
            <w:noWrap/>
            <w:vAlign w:val="bottom"/>
          </w:tcPr>
          <w:p w14:paraId="66B1545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w:t>
            </w:r>
          </w:p>
        </w:tc>
      </w:tr>
    </w:tbl>
    <w:p w14:paraId="0BABF6F8">
      <w:pPr>
        <w:spacing w:after="240" w:line="360" w:lineRule="auto"/>
        <w:jc w:val="both"/>
        <w:rPr>
          <w:rFonts w:hint="default" w:ascii="Arial" w:hAnsi="Arial" w:eastAsia="Times New Roman" w:cs="Arial"/>
          <w:sz w:val="24"/>
          <w:szCs w:val="24"/>
        </w:rPr>
      </w:pPr>
    </w:p>
    <w:p w14:paraId="5E0A0A37">
      <w:pPr>
        <w:spacing w:after="240" w:line="360" w:lineRule="auto"/>
        <w:jc w:val="both"/>
        <w:rPr>
          <w:rFonts w:hint="default" w:ascii="Arial" w:hAnsi="Arial" w:eastAsia="Times New Roman" w:cs="Arial"/>
          <w:b/>
          <w:bCs/>
          <w:i/>
          <w:iCs/>
          <w:sz w:val="24"/>
          <w:szCs w:val="24"/>
        </w:rPr>
      </w:pPr>
      <w:r>
        <w:rPr>
          <w:rFonts w:hint="default" w:ascii="Arial" w:hAnsi="Arial" w:eastAsia="Times New Roman" w:cs="Arial"/>
          <w:b/>
          <w:bCs/>
          <w:i/>
          <w:iCs/>
          <w:sz w:val="24"/>
          <w:szCs w:val="24"/>
        </w:rPr>
        <w:t xml:space="preserve">Project C: </w:t>
      </w:r>
    </w:p>
    <w:tbl>
      <w:tblPr>
        <w:tblStyle w:val="5"/>
        <w:tblW w:w="5000" w:type="pct"/>
        <w:tblInd w:w="0" w:type="dxa"/>
        <w:tblLayout w:type="autofit"/>
        <w:tblCellMar>
          <w:top w:w="0" w:type="dxa"/>
          <w:left w:w="108" w:type="dxa"/>
          <w:bottom w:w="0" w:type="dxa"/>
          <w:right w:w="108" w:type="dxa"/>
        </w:tblCellMar>
      </w:tblPr>
      <w:tblGrid>
        <w:gridCol w:w="1451"/>
        <w:gridCol w:w="1296"/>
        <w:gridCol w:w="1723"/>
        <w:gridCol w:w="1532"/>
        <w:gridCol w:w="2124"/>
        <w:gridCol w:w="1119"/>
      </w:tblGrid>
      <w:tr w14:paraId="778CFFD1">
        <w:tblPrEx>
          <w:tblCellMar>
            <w:top w:w="0" w:type="dxa"/>
            <w:left w:w="108" w:type="dxa"/>
            <w:bottom w:w="0" w:type="dxa"/>
            <w:right w:w="108" w:type="dxa"/>
          </w:tblCellMar>
        </w:tblPrEx>
        <w:trPr>
          <w:trHeight w:val="300" w:hRule="atLeast"/>
        </w:trPr>
        <w:tc>
          <w:tcPr>
            <w:tcW w:w="772" w:type="pct"/>
            <w:tcBorders>
              <w:top w:val="single" w:color="auto" w:sz="4" w:space="0"/>
              <w:left w:val="single" w:color="auto" w:sz="4" w:space="0"/>
              <w:bottom w:val="single" w:color="auto" w:sz="4" w:space="0"/>
              <w:right w:val="single" w:color="auto" w:sz="4" w:space="0"/>
            </w:tcBorders>
            <w:noWrap/>
            <w:vAlign w:val="bottom"/>
          </w:tcPr>
          <w:p w14:paraId="206241F4">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Particulars</w:t>
            </w:r>
          </w:p>
        </w:tc>
        <w:tc>
          <w:tcPr>
            <w:tcW w:w="679" w:type="pct"/>
            <w:tcBorders>
              <w:top w:val="single" w:color="auto" w:sz="4" w:space="0"/>
              <w:left w:val="nil"/>
              <w:bottom w:val="single" w:color="auto" w:sz="4" w:space="0"/>
              <w:right w:val="single" w:color="auto" w:sz="4" w:space="0"/>
            </w:tcBorders>
            <w:noWrap/>
            <w:vAlign w:val="bottom"/>
          </w:tcPr>
          <w:p w14:paraId="7488E935">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Value (£m)</w:t>
            </w:r>
          </w:p>
        </w:tc>
        <w:tc>
          <w:tcPr>
            <w:tcW w:w="959" w:type="pct"/>
            <w:tcBorders>
              <w:top w:val="nil"/>
              <w:left w:val="nil"/>
              <w:bottom w:val="nil"/>
              <w:right w:val="nil"/>
            </w:tcBorders>
            <w:noWrap/>
            <w:vAlign w:val="bottom"/>
          </w:tcPr>
          <w:p w14:paraId="43677F9A">
            <w:pPr>
              <w:spacing w:after="240" w:line="360" w:lineRule="auto"/>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74971FC4">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64AAA6D3">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01CED9FA">
            <w:pPr>
              <w:spacing w:after="240" w:line="360" w:lineRule="auto"/>
              <w:rPr>
                <w:rFonts w:hint="default" w:ascii="Arial" w:hAnsi="Arial" w:eastAsia="Times New Roman" w:cs="Arial"/>
                <w:sz w:val="24"/>
                <w:szCs w:val="24"/>
                <w:lang w:val="en-US"/>
              </w:rPr>
            </w:pPr>
          </w:p>
        </w:tc>
      </w:tr>
      <w:tr w14:paraId="63FA60BF">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773EF760">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Initial Investment</w:t>
            </w:r>
          </w:p>
        </w:tc>
        <w:tc>
          <w:tcPr>
            <w:tcW w:w="679" w:type="pct"/>
            <w:tcBorders>
              <w:top w:val="nil"/>
              <w:left w:val="nil"/>
              <w:bottom w:val="single" w:color="auto" w:sz="4" w:space="0"/>
              <w:right w:val="single" w:color="auto" w:sz="4" w:space="0"/>
            </w:tcBorders>
            <w:noWrap/>
            <w:vAlign w:val="bottom"/>
          </w:tcPr>
          <w:p w14:paraId="45A517C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959" w:type="pct"/>
            <w:tcBorders>
              <w:top w:val="nil"/>
              <w:left w:val="nil"/>
              <w:bottom w:val="nil"/>
              <w:right w:val="nil"/>
            </w:tcBorders>
            <w:noWrap/>
            <w:vAlign w:val="bottom"/>
          </w:tcPr>
          <w:p w14:paraId="698E41E0">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11820FA3">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459E8AD9">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6E418E3B">
            <w:pPr>
              <w:spacing w:after="240" w:line="360" w:lineRule="auto"/>
              <w:rPr>
                <w:rFonts w:hint="default" w:ascii="Arial" w:hAnsi="Arial" w:eastAsia="Times New Roman" w:cs="Arial"/>
                <w:sz w:val="24"/>
                <w:szCs w:val="24"/>
                <w:lang w:val="en-US"/>
              </w:rPr>
            </w:pPr>
          </w:p>
        </w:tc>
      </w:tr>
      <w:tr w14:paraId="4E5D0A28">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175E6E35">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1 Cash Inflow</w:t>
            </w:r>
          </w:p>
        </w:tc>
        <w:tc>
          <w:tcPr>
            <w:tcW w:w="679" w:type="pct"/>
            <w:tcBorders>
              <w:top w:val="nil"/>
              <w:left w:val="nil"/>
              <w:bottom w:val="single" w:color="auto" w:sz="4" w:space="0"/>
              <w:right w:val="single" w:color="auto" w:sz="4" w:space="0"/>
            </w:tcBorders>
            <w:noWrap/>
            <w:vAlign w:val="bottom"/>
          </w:tcPr>
          <w:p w14:paraId="1CB6B38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w:t>
            </w:r>
          </w:p>
        </w:tc>
        <w:tc>
          <w:tcPr>
            <w:tcW w:w="959" w:type="pct"/>
            <w:tcBorders>
              <w:top w:val="nil"/>
              <w:left w:val="nil"/>
              <w:bottom w:val="nil"/>
              <w:right w:val="nil"/>
            </w:tcBorders>
            <w:noWrap/>
            <w:vAlign w:val="bottom"/>
          </w:tcPr>
          <w:p w14:paraId="28123ECD">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5F000282">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1E6D0C5F">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58805581">
            <w:pPr>
              <w:spacing w:after="240" w:line="360" w:lineRule="auto"/>
              <w:rPr>
                <w:rFonts w:hint="default" w:ascii="Arial" w:hAnsi="Arial" w:eastAsia="Times New Roman" w:cs="Arial"/>
                <w:sz w:val="24"/>
                <w:szCs w:val="24"/>
                <w:lang w:val="en-US"/>
              </w:rPr>
            </w:pPr>
          </w:p>
        </w:tc>
      </w:tr>
      <w:tr w14:paraId="6FC21128">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625B87A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2 Cash Inflow</w:t>
            </w:r>
          </w:p>
        </w:tc>
        <w:tc>
          <w:tcPr>
            <w:tcW w:w="679" w:type="pct"/>
            <w:tcBorders>
              <w:top w:val="nil"/>
              <w:left w:val="nil"/>
              <w:bottom w:val="single" w:color="auto" w:sz="4" w:space="0"/>
              <w:right w:val="single" w:color="auto" w:sz="4" w:space="0"/>
            </w:tcBorders>
            <w:noWrap/>
            <w:vAlign w:val="bottom"/>
          </w:tcPr>
          <w:p w14:paraId="6C6F294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w:t>
            </w:r>
          </w:p>
        </w:tc>
        <w:tc>
          <w:tcPr>
            <w:tcW w:w="959" w:type="pct"/>
            <w:tcBorders>
              <w:top w:val="nil"/>
              <w:left w:val="nil"/>
              <w:bottom w:val="nil"/>
              <w:right w:val="nil"/>
            </w:tcBorders>
            <w:noWrap/>
            <w:vAlign w:val="bottom"/>
          </w:tcPr>
          <w:p w14:paraId="7F8FFB1C">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51A14B7F">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33DA1763">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50BFF90C">
            <w:pPr>
              <w:spacing w:after="240" w:line="360" w:lineRule="auto"/>
              <w:rPr>
                <w:rFonts w:hint="default" w:ascii="Arial" w:hAnsi="Arial" w:eastAsia="Times New Roman" w:cs="Arial"/>
                <w:sz w:val="24"/>
                <w:szCs w:val="24"/>
                <w:lang w:val="en-US"/>
              </w:rPr>
            </w:pPr>
          </w:p>
        </w:tc>
      </w:tr>
      <w:tr w14:paraId="5D5D206B">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03191688">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3 Cash Inflow</w:t>
            </w:r>
          </w:p>
        </w:tc>
        <w:tc>
          <w:tcPr>
            <w:tcW w:w="679" w:type="pct"/>
            <w:tcBorders>
              <w:top w:val="nil"/>
              <w:left w:val="nil"/>
              <w:bottom w:val="single" w:color="auto" w:sz="4" w:space="0"/>
              <w:right w:val="single" w:color="auto" w:sz="4" w:space="0"/>
            </w:tcBorders>
            <w:noWrap/>
            <w:vAlign w:val="bottom"/>
          </w:tcPr>
          <w:p w14:paraId="7482219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20</w:t>
            </w:r>
          </w:p>
        </w:tc>
        <w:tc>
          <w:tcPr>
            <w:tcW w:w="959" w:type="pct"/>
            <w:tcBorders>
              <w:top w:val="nil"/>
              <w:left w:val="nil"/>
              <w:bottom w:val="nil"/>
              <w:right w:val="nil"/>
            </w:tcBorders>
            <w:noWrap/>
            <w:vAlign w:val="bottom"/>
          </w:tcPr>
          <w:p w14:paraId="3F4EA06E">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466D63F8">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6DA0E9EC">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513AF1DA">
            <w:pPr>
              <w:spacing w:after="240" w:line="360" w:lineRule="auto"/>
              <w:rPr>
                <w:rFonts w:hint="default" w:ascii="Arial" w:hAnsi="Arial" w:eastAsia="Times New Roman" w:cs="Arial"/>
                <w:sz w:val="24"/>
                <w:szCs w:val="24"/>
                <w:lang w:val="en-US"/>
              </w:rPr>
            </w:pPr>
          </w:p>
        </w:tc>
      </w:tr>
      <w:tr w14:paraId="7C652074">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58B19C1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4 Cash Inflow</w:t>
            </w:r>
          </w:p>
        </w:tc>
        <w:tc>
          <w:tcPr>
            <w:tcW w:w="679" w:type="pct"/>
            <w:tcBorders>
              <w:top w:val="nil"/>
              <w:left w:val="nil"/>
              <w:bottom w:val="single" w:color="auto" w:sz="4" w:space="0"/>
              <w:right w:val="single" w:color="auto" w:sz="4" w:space="0"/>
            </w:tcBorders>
            <w:noWrap/>
            <w:vAlign w:val="bottom"/>
          </w:tcPr>
          <w:p w14:paraId="30BEC5F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w:t>
            </w:r>
          </w:p>
        </w:tc>
        <w:tc>
          <w:tcPr>
            <w:tcW w:w="959" w:type="pct"/>
            <w:tcBorders>
              <w:top w:val="nil"/>
              <w:left w:val="nil"/>
              <w:bottom w:val="nil"/>
              <w:right w:val="nil"/>
            </w:tcBorders>
            <w:noWrap/>
            <w:vAlign w:val="bottom"/>
          </w:tcPr>
          <w:p w14:paraId="21BCC4B6">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61D32DE4">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7D94715F">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42CE38C8">
            <w:pPr>
              <w:spacing w:after="240" w:line="360" w:lineRule="auto"/>
              <w:rPr>
                <w:rFonts w:hint="default" w:ascii="Arial" w:hAnsi="Arial" w:eastAsia="Times New Roman" w:cs="Arial"/>
                <w:sz w:val="24"/>
                <w:szCs w:val="24"/>
                <w:lang w:val="en-US"/>
              </w:rPr>
            </w:pPr>
          </w:p>
        </w:tc>
      </w:tr>
      <w:tr w14:paraId="12A55722">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4E9AED23">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Year 5 Cash Inflow</w:t>
            </w:r>
          </w:p>
        </w:tc>
        <w:tc>
          <w:tcPr>
            <w:tcW w:w="679" w:type="pct"/>
            <w:tcBorders>
              <w:top w:val="nil"/>
              <w:left w:val="nil"/>
              <w:bottom w:val="single" w:color="auto" w:sz="4" w:space="0"/>
              <w:right w:val="single" w:color="auto" w:sz="4" w:space="0"/>
            </w:tcBorders>
            <w:noWrap/>
            <w:vAlign w:val="bottom"/>
          </w:tcPr>
          <w:p w14:paraId="2888403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w:t>
            </w:r>
          </w:p>
        </w:tc>
        <w:tc>
          <w:tcPr>
            <w:tcW w:w="959" w:type="pct"/>
            <w:tcBorders>
              <w:top w:val="nil"/>
              <w:left w:val="nil"/>
              <w:bottom w:val="nil"/>
              <w:right w:val="nil"/>
            </w:tcBorders>
            <w:noWrap/>
            <w:vAlign w:val="bottom"/>
          </w:tcPr>
          <w:p w14:paraId="0E154CEA">
            <w:pPr>
              <w:spacing w:after="240" w:line="360" w:lineRule="auto"/>
              <w:jc w:val="right"/>
              <w:rPr>
                <w:rFonts w:hint="default" w:ascii="Arial" w:hAnsi="Arial" w:eastAsia="Times New Roman" w:cs="Arial"/>
                <w:color w:val="000000"/>
                <w:sz w:val="24"/>
                <w:szCs w:val="24"/>
                <w:lang w:val="en-US"/>
              </w:rPr>
            </w:pPr>
          </w:p>
        </w:tc>
        <w:tc>
          <w:tcPr>
            <w:tcW w:w="831" w:type="pct"/>
            <w:tcBorders>
              <w:top w:val="nil"/>
              <w:left w:val="nil"/>
              <w:bottom w:val="nil"/>
              <w:right w:val="nil"/>
            </w:tcBorders>
            <w:noWrap/>
            <w:vAlign w:val="bottom"/>
          </w:tcPr>
          <w:p w14:paraId="62345DEF">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0E048B1F">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5F59C9F3">
            <w:pPr>
              <w:spacing w:after="240" w:line="360" w:lineRule="auto"/>
              <w:rPr>
                <w:rFonts w:hint="default" w:ascii="Arial" w:hAnsi="Arial" w:eastAsia="Times New Roman" w:cs="Arial"/>
                <w:sz w:val="24"/>
                <w:szCs w:val="24"/>
                <w:lang w:val="en-US"/>
              </w:rPr>
            </w:pPr>
          </w:p>
        </w:tc>
      </w:tr>
      <w:tr w14:paraId="1482BF7D">
        <w:tblPrEx>
          <w:tblCellMar>
            <w:top w:w="0" w:type="dxa"/>
            <w:left w:w="108" w:type="dxa"/>
            <w:bottom w:w="0" w:type="dxa"/>
            <w:right w:w="108" w:type="dxa"/>
          </w:tblCellMar>
        </w:tblPrEx>
        <w:trPr>
          <w:trHeight w:val="300" w:hRule="atLeast"/>
        </w:trPr>
        <w:tc>
          <w:tcPr>
            <w:tcW w:w="772" w:type="pct"/>
            <w:tcBorders>
              <w:top w:val="nil"/>
              <w:left w:val="nil"/>
              <w:bottom w:val="nil"/>
              <w:right w:val="nil"/>
            </w:tcBorders>
            <w:noWrap/>
            <w:vAlign w:val="bottom"/>
          </w:tcPr>
          <w:p w14:paraId="6C0C5D62">
            <w:pPr>
              <w:spacing w:after="240" w:line="360" w:lineRule="auto"/>
              <w:rPr>
                <w:rFonts w:hint="default" w:ascii="Arial" w:hAnsi="Arial" w:eastAsia="Times New Roman" w:cs="Arial"/>
                <w:sz w:val="24"/>
                <w:szCs w:val="24"/>
                <w:lang w:val="en-US"/>
              </w:rPr>
            </w:pPr>
          </w:p>
        </w:tc>
        <w:tc>
          <w:tcPr>
            <w:tcW w:w="679" w:type="pct"/>
            <w:tcBorders>
              <w:top w:val="nil"/>
              <w:left w:val="nil"/>
              <w:bottom w:val="nil"/>
              <w:right w:val="nil"/>
            </w:tcBorders>
            <w:noWrap/>
            <w:vAlign w:val="bottom"/>
          </w:tcPr>
          <w:p w14:paraId="316774FC">
            <w:pPr>
              <w:spacing w:after="240" w:line="360" w:lineRule="auto"/>
              <w:rPr>
                <w:rFonts w:hint="default" w:ascii="Arial" w:hAnsi="Arial" w:eastAsia="Times New Roman" w:cs="Arial"/>
                <w:sz w:val="24"/>
                <w:szCs w:val="24"/>
                <w:lang w:val="en-US"/>
              </w:rPr>
            </w:pPr>
          </w:p>
        </w:tc>
        <w:tc>
          <w:tcPr>
            <w:tcW w:w="959" w:type="pct"/>
            <w:tcBorders>
              <w:top w:val="nil"/>
              <w:left w:val="nil"/>
              <w:bottom w:val="nil"/>
              <w:right w:val="nil"/>
            </w:tcBorders>
            <w:noWrap/>
            <w:vAlign w:val="bottom"/>
          </w:tcPr>
          <w:p w14:paraId="68FFAF1A">
            <w:pPr>
              <w:spacing w:after="240" w:line="360" w:lineRule="auto"/>
              <w:rPr>
                <w:rFonts w:hint="default" w:ascii="Arial" w:hAnsi="Arial" w:eastAsia="Times New Roman" w:cs="Arial"/>
                <w:sz w:val="24"/>
                <w:szCs w:val="24"/>
                <w:lang w:val="en-US"/>
              </w:rPr>
            </w:pPr>
          </w:p>
        </w:tc>
        <w:tc>
          <w:tcPr>
            <w:tcW w:w="831" w:type="pct"/>
            <w:tcBorders>
              <w:top w:val="nil"/>
              <w:left w:val="nil"/>
              <w:bottom w:val="nil"/>
              <w:right w:val="nil"/>
            </w:tcBorders>
            <w:noWrap/>
            <w:vAlign w:val="bottom"/>
          </w:tcPr>
          <w:p w14:paraId="33ED6431">
            <w:pPr>
              <w:spacing w:after="240" w:line="360" w:lineRule="auto"/>
              <w:rPr>
                <w:rFonts w:hint="default" w:ascii="Arial" w:hAnsi="Arial" w:eastAsia="Times New Roman" w:cs="Arial"/>
                <w:sz w:val="24"/>
                <w:szCs w:val="24"/>
                <w:lang w:val="en-US"/>
              </w:rPr>
            </w:pPr>
          </w:p>
        </w:tc>
        <w:tc>
          <w:tcPr>
            <w:tcW w:w="1171" w:type="pct"/>
            <w:tcBorders>
              <w:top w:val="nil"/>
              <w:left w:val="nil"/>
              <w:bottom w:val="nil"/>
              <w:right w:val="nil"/>
            </w:tcBorders>
            <w:noWrap/>
            <w:vAlign w:val="bottom"/>
          </w:tcPr>
          <w:p w14:paraId="35298D49">
            <w:pPr>
              <w:spacing w:after="240" w:line="360" w:lineRule="auto"/>
              <w:rPr>
                <w:rFonts w:hint="default" w:ascii="Arial" w:hAnsi="Arial" w:eastAsia="Times New Roman" w:cs="Arial"/>
                <w:sz w:val="24"/>
                <w:szCs w:val="24"/>
                <w:lang w:val="en-US"/>
              </w:rPr>
            </w:pPr>
          </w:p>
        </w:tc>
        <w:tc>
          <w:tcPr>
            <w:tcW w:w="588" w:type="pct"/>
            <w:tcBorders>
              <w:top w:val="nil"/>
              <w:left w:val="nil"/>
              <w:bottom w:val="nil"/>
              <w:right w:val="nil"/>
            </w:tcBorders>
            <w:noWrap/>
            <w:vAlign w:val="bottom"/>
          </w:tcPr>
          <w:p w14:paraId="161DE910">
            <w:pPr>
              <w:spacing w:after="240" w:line="360" w:lineRule="auto"/>
              <w:rPr>
                <w:rFonts w:hint="default" w:ascii="Arial" w:hAnsi="Arial" w:eastAsia="Times New Roman" w:cs="Arial"/>
                <w:sz w:val="24"/>
                <w:szCs w:val="24"/>
                <w:lang w:val="en-US"/>
              </w:rPr>
            </w:pPr>
          </w:p>
        </w:tc>
      </w:tr>
      <w:tr w14:paraId="17FE45C4">
        <w:tblPrEx>
          <w:tblCellMar>
            <w:top w:w="0" w:type="dxa"/>
            <w:left w:w="108" w:type="dxa"/>
            <w:bottom w:w="0" w:type="dxa"/>
            <w:right w:w="108" w:type="dxa"/>
          </w:tblCellMar>
        </w:tblPrEx>
        <w:trPr>
          <w:trHeight w:val="300" w:hRule="atLeast"/>
        </w:trPr>
        <w:tc>
          <w:tcPr>
            <w:tcW w:w="772" w:type="pct"/>
            <w:tcBorders>
              <w:top w:val="single" w:color="auto" w:sz="4" w:space="0"/>
              <w:left w:val="single" w:color="auto" w:sz="4" w:space="0"/>
              <w:bottom w:val="single" w:color="auto" w:sz="4" w:space="0"/>
              <w:right w:val="single" w:color="auto" w:sz="4" w:space="0"/>
            </w:tcBorders>
            <w:noWrap/>
            <w:vAlign w:val="bottom"/>
          </w:tcPr>
          <w:p w14:paraId="76F8EC7B">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Year</w:t>
            </w:r>
          </w:p>
        </w:tc>
        <w:tc>
          <w:tcPr>
            <w:tcW w:w="679" w:type="pct"/>
            <w:tcBorders>
              <w:top w:val="single" w:color="auto" w:sz="4" w:space="0"/>
              <w:left w:val="nil"/>
              <w:bottom w:val="single" w:color="auto" w:sz="4" w:space="0"/>
              <w:right w:val="single" w:color="auto" w:sz="4" w:space="0"/>
            </w:tcBorders>
            <w:noWrap/>
            <w:vAlign w:val="bottom"/>
          </w:tcPr>
          <w:p w14:paraId="4695353A">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Cash Flow (£m)</w:t>
            </w:r>
          </w:p>
        </w:tc>
        <w:tc>
          <w:tcPr>
            <w:tcW w:w="959" w:type="pct"/>
            <w:tcBorders>
              <w:top w:val="single" w:color="auto" w:sz="4" w:space="0"/>
              <w:left w:val="nil"/>
              <w:bottom w:val="single" w:color="auto" w:sz="4" w:space="0"/>
              <w:right w:val="single" w:color="auto" w:sz="4" w:space="0"/>
            </w:tcBorders>
            <w:noWrap/>
            <w:vAlign w:val="bottom"/>
          </w:tcPr>
          <w:p w14:paraId="6527C65D">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Discount Factor @</w:t>
            </w:r>
            <w:r>
              <w:rPr>
                <w:rFonts w:hint="default" w:eastAsia="Times New Roman" w:cs="Arial"/>
                <w:b/>
                <w:bCs/>
                <w:i/>
                <w:iCs/>
                <w:color w:val="000000"/>
                <w:sz w:val="24"/>
                <w:szCs w:val="24"/>
                <w:lang w:val="en-US"/>
              </w:rPr>
              <w:t>8</w:t>
            </w:r>
            <w:r>
              <w:rPr>
                <w:rFonts w:hint="default" w:ascii="Arial" w:hAnsi="Arial" w:eastAsia="Times New Roman" w:cs="Arial"/>
                <w:b/>
                <w:bCs/>
                <w:i/>
                <w:iCs/>
                <w:color w:val="000000"/>
                <w:sz w:val="24"/>
                <w:szCs w:val="24"/>
                <w:lang w:val="en-US"/>
              </w:rPr>
              <w:t>%</w:t>
            </w:r>
          </w:p>
        </w:tc>
        <w:tc>
          <w:tcPr>
            <w:tcW w:w="831" w:type="pct"/>
            <w:tcBorders>
              <w:top w:val="single" w:color="auto" w:sz="4" w:space="0"/>
              <w:left w:val="nil"/>
              <w:bottom w:val="single" w:color="auto" w:sz="4" w:space="0"/>
              <w:right w:val="single" w:color="auto" w:sz="4" w:space="0"/>
            </w:tcBorders>
            <w:noWrap/>
            <w:vAlign w:val="bottom"/>
          </w:tcPr>
          <w:p w14:paraId="41F1C4E3">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Present Value (£m)</w:t>
            </w:r>
          </w:p>
        </w:tc>
        <w:tc>
          <w:tcPr>
            <w:tcW w:w="1171" w:type="pct"/>
            <w:tcBorders>
              <w:top w:val="single" w:color="auto" w:sz="4" w:space="0"/>
              <w:left w:val="nil"/>
              <w:bottom w:val="single" w:color="auto" w:sz="4" w:space="0"/>
              <w:right w:val="single" w:color="auto" w:sz="4" w:space="0"/>
            </w:tcBorders>
            <w:noWrap/>
            <w:vAlign w:val="bottom"/>
          </w:tcPr>
          <w:p w14:paraId="731B0FE7">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Cumulative Cash Flow (£m)</w:t>
            </w:r>
          </w:p>
        </w:tc>
        <w:tc>
          <w:tcPr>
            <w:tcW w:w="588" w:type="pct"/>
            <w:tcBorders>
              <w:top w:val="single" w:color="auto" w:sz="4" w:space="0"/>
              <w:left w:val="nil"/>
              <w:bottom w:val="single" w:color="auto" w:sz="4" w:space="0"/>
              <w:right w:val="single" w:color="auto" w:sz="4" w:space="0"/>
            </w:tcBorders>
            <w:noWrap/>
            <w:vAlign w:val="bottom"/>
          </w:tcPr>
          <w:p w14:paraId="703E1025">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PV</w:t>
            </w:r>
          </w:p>
        </w:tc>
      </w:tr>
      <w:tr w14:paraId="6CC91F8C">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10C7407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w:t>
            </w:r>
          </w:p>
        </w:tc>
        <w:tc>
          <w:tcPr>
            <w:tcW w:w="679" w:type="pct"/>
            <w:tcBorders>
              <w:top w:val="nil"/>
              <w:left w:val="nil"/>
              <w:bottom w:val="single" w:color="auto" w:sz="4" w:space="0"/>
              <w:right w:val="single" w:color="auto" w:sz="4" w:space="0"/>
            </w:tcBorders>
            <w:noWrap/>
            <w:vAlign w:val="bottom"/>
          </w:tcPr>
          <w:p w14:paraId="47006A3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959" w:type="pct"/>
            <w:tcBorders>
              <w:top w:val="nil"/>
              <w:left w:val="nil"/>
              <w:bottom w:val="single" w:color="auto" w:sz="4" w:space="0"/>
              <w:right w:val="single" w:color="auto" w:sz="4" w:space="0"/>
            </w:tcBorders>
            <w:noWrap/>
            <w:vAlign w:val="bottom"/>
          </w:tcPr>
          <w:p w14:paraId="75F7DC8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w:t>
            </w:r>
          </w:p>
        </w:tc>
        <w:tc>
          <w:tcPr>
            <w:tcW w:w="831" w:type="pct"/>
            <w:tcBorders>
              <w:top w:val="nil"/>
              <w:left w:val="nil"/>
              <w:bottom w:val="single" w:color="auto" w:sz="4" w:space="0"/>
              <w:right w:val="single" w:color="auto" w:sz="4" w:space="0"/>
            </w:tcBorders>
            <w:noWrap/>
            <w:vAlign w:val="bottom"/>
          </w:tcPr>
          <w:p w14:paraId="40D32BDC">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1171" w:type="pct"/>
            <w:tcBorders>
              <w:top w:val="nil"/>
              <w:left w:val="nil"/>
              <w:bottom w:val="single" w:color="auto" w:sz="4" w:space="0"/>
              <w:right w:val="single" w:color="auto" w:sz="4" w:space="0"/>
            </w:tcBorders>
            <w:noWrap/>
            <w:vAlign w:val="bottom"/>
          </w:tcPr>
          <w:p w14:paraId="00467F7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c>
          <w:tcPr>
            <w:tcW w:w="588" w:type="pct"/>
            <w:tcBorders>
              <w:top w:val="nil"/>
              <w:left w:val="nil"/>
              <w:bottom w:val="single" w:color="auto" w:sz="4" w:space="0"/>
              <w:right w:val="single" w:color="auto" w:sz="4" w:space="0"/>
            </w:tcBorders>
            <w:noWrap/>
            <w:vAlign w:val="bottom"/>
          </w:tcPr>
          <w:p w14:paraId="2B94212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-50</w:t>
            </w:r>
          </w:p>
        </w:tc>
      </w:tr>
      <w:tr w14:paraId="4391AE19">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7ACC3D89">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w:t>
            </w:r>
          </w:p>
        </w:tc>
        <w:tc>
          <w:tcPr>
            <w:tcW w:w="679" w:type="pct"/>
            <w:tcBorders>
              <w:top w:val="nil"/>
              <w:left w:val="nil"/>
              <w:bottom w:val="single" w:color="auto" w:sz="4" w:space="0"/>
              <w:right w:val="single" w:color="auto" w:sz="4" w:space="0"/>
            </w:tcBorders>
            <w:noWrap/>
            <w:vAlign w:val="bottom"/>
          </w:tcPr>
          <w:p w14:paraId="08619E6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w:t>
            </w:r>
          </w:p>
        </w:tc>
        <w:tc>
          <w:tcPr>
            <w:tcW w:w="959" w:type="pct"/>
            <w:tcBorders>
              <w:top w:val="nil"/>
              <w:left w:val="nil"/>
              <w:bottom w:val="single" w:color="auto" w:sz="4" w:space="0"/>
              <w:right w:val="single" w:color="auto" w:sz="4" w:space="0"/>
            </w:tcBorders>
            <w:noWrap/>
            <w:vAlign w:val="bottom"/>
          </w:tcPr>
          <w:p w14:paraId="2406324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0.9091</w:t>
            </w:r>
          </w:p>
        </w:tc>
        <w:tc>
          <w:tcPr>
            <w:tcW w:w="831" w:type="pct"/>
            <w:tcBorders>
              <w:top w:val="nil"/>
              <w:left w:val="nil"/>
              <w:bottom w:val="single" w:color="auto" w:sz="4" w:space="0"/>
              <w:right w:val="single" w:color="auto" w:sz="4" w:space="0"/>
            </w:tcBorders>
            <w:noWrap/>
            <w:vAlign w:val="bottom"/>
          </w:tcPr>
          <w:p w14:paraId="1CC3A05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w:t>
            </w:r>
            <w:r>
              <w:rPr>
                <w:rFonts w:hint="default" w:eastAsia="Times New Roman" w:cs="Arial"/>
                <w:color w:val="000000"/>
                <w:sz w:val="24"/>
                <w:szCs w:val="24"/>
                <w:lang w:val="en-US"/>
              </w:rPr>
              <w:t>630</w:t>
            </w:r>
          </w:p>
        </w:tc>
        <w:tc>
          <w:tcPr>
            <w:tcW w:w="1171" w:type="pct"/>
            <w:tcBorders>
              <w:top w:val="nil"/>
              <w:left w:val="nil"/>
              <w:bottom w:val="single" w:color="auto" w:sz="4" w:space="0"/>
              <w:right w:val="single" w:color="auto" w:sz="4" w:space="0"/>
            </w:tcBorders>
            <w:noWrap/>
            <w:vAlign w:val="bottom"/>
          </w:tcPr>
          <w:p w14:paraId="17EBF01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4.62962963</w:t>
            </w:r>
          </w:p>
        </w:tc>
        <w:tc>
          <w:tcPr>
            <w:tcW w:w="588" w:type="pct"/>
            <w:tcBorders>
              <w:top w:val="nil"/>
              <w:left w:val="nil"/>
              <w:bottom w:val="single" w:color="auto" w:sz="4" w:space="0"/>
              <w:right w:val="single" w:color="auto" w:sz="4" w:space="0"/>
            </w:tcBorders>
            <w:noWrap/>
            <w:vAlign w:val="bottom"/>
          </w:tcPr>
          <w:p w14:paraId="5165A5A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-45.37037037</w:t>
            </w:r>
          </w:p>
        </w:tc>
      </w:tr>
      <w:tr w14:paraId="4B038294">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46D0BD2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w:t>
            </w:r>
          </w:p>
        </w:tc>
        <w:tc>
          <w:tcPr>
            <w:tcW w:w="679" w:type="pct"/>
            <w:tcBorders>
              <w:top w:val="nil"/>
              <w:left w:val="nil"/>
              <w:bottom w:val="single" w:color="auto" w:sz="4" w:space="0"/>
              <w:right w:val="single" w:color="auto" w:sz="4" w:space="0"/>
            </w:tcBorders>
            <w:noWrap/>
            <w:vAlign w:val="bottom"/>
          </w:tcPr>
          <w:p w14:paraId="50F5C40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10</w:t>
            </w:r>
          </w:p>
        </w:tc>
        <w:tc>
          <w:tcPr>
            <w:tcW w:w="959" w:type="pct"/>
            <w:tcBorders>
              <w:top w:val="nil"/>
              <w:left w:val="nil"/>
              <w:bottom w:val="single" w:color="auto" w:sz="4" w:space="0"/>
              <w:right w:val="single" w:color="auto" w:sz="4" w:space="0"/>
            </w:tcBorders>
            <w:noWrap/>
            <w:vAlign w:val="bottom"/>
          </w:tcPr>
          <w:p w14:paraId="7F6F381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0.8264</w:t>
            </w:r>
          </w:p>
        </w:tc>
        <w:tc>
          <w:tcPr>
            <w:tcW w:w="831" w:type="pct"/>
            <w:tcBorders>
              <w:top w:val="nil"/>
              <w:left w:val="nil"/>
              <w:bottom w:val="single" w:color="auto" w:sz="4" w:space="0"/>
              <w:right w:val="single" w:color="auto" w:sz="4" w:space="0"/>
            </w:tcBorders>
            <w:noWrap/>
            <w:vAlign w:val="bottom"/>
          </w:tcPr>
          <w:p w14:paraId="68C7662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w:t>
            </w:r>
            <w:r>
              <w:rPr>
                <w:rFonts w:hint="default" w:eastAsia="Times New Roman" w:cs="Arial"/>
                <w:color w:val="000000"/>
                <w:sz w:val="24"/>
                <w:szCs w:val="24"/>
                <w:lang w:val="en-US"/>
              </w:rPr>
              <w:t>573</w:t>
            </w:r>
          </w:p>
        </w:tc>
        <w:tc>
          <w:tcPr>
            <w:tcW w:w="1171" w:type="pct"/>
            <w:tcBorders>
              <w:top w:val="nil"/>
              <w:left w:val="nil"/>
              <w:bottom w:val="single" w:color="auto" w:sz="4" w:space="0"/>
              <w:right w:val="single" w:color="auto" w:sz="4" w:space="0"/>
            </w:tcBorders>
            <w:noWrap/>
            <w:vAlign w:val="bottom"/>
          </w:tcPr>
          <w:p w14:paraId="44A6CEF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8.573388203</w:t>
            </w:r>
          </w:p>
        </w:tc>
        <w:tc>
          <w:tcPr>
            <w:tcW w:w="588" w:type="pct"/>
            <w:tcBorders>
              <w:top w:val="nil"/>
              <w:left w:val="nil"/>
              <w:bottom w:val="single" w:color="auto" w:sz="4" w:space="0"/>
              <w:right w:val="single" w:color="auto" w:sz="4" w:space="0"/>
            </w:tcBorders>
            <w:noWrap/>
            <w:vAlign w:val="bottom"/>
          </w:tcPr>
          <w:p w14:paraId="4E5FC48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-36.79698217</w:t>
            </w:r>
          </w:p>
        </w:tc>
      </w:tr>
      <w:tr w14:paraId="5B1F6EA0">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60B5343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w:t>
            </w:r>
          </w:p>
        </w:tc>
        <w:tc>
          <w:tcPr>
            <w:tcW w:w="679" w:type="pct"/>
            <w:tcBorders>
              <w:top w:val="nil"/>
              <w:left w:val="nil"/>
              <w:bottom w:val="single" w:color="auto" w:sz="4" w:space="0"/>
              <w:right w:val="single" w:color="auto" w:sz="4" w:space="0"/>
            </w:tcBorders>
            <w:noWrap/>
            <w:vAlign w:val="bottom"/>
          </w:tcPr>
          <w:p w14:paraId="22A0202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20</w:t>
            </w:r>
          </w:p>
        </w:tc>
        <w:tc>
          <w:tcPr>
            <w:tcW w:w="959" w:type="pct"/>
            <w:tcBorders>
              <w:top w:val="nil"/>
              <w:left w:val="nil"/>
              <w:bottom w:val="single" w:color="auto" w:sz="4" w:space="0"/>
              <w:right w:val="single" w:color="auto" w:sz="4" w:space="0"/>
            </w:tcBorders>
            <w:noWrap/>
            <w:vAlign w:val="bottom"/>
          </w:tcPr>
          <w:p w14:paraId="73FD7424">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0.7513</w:t>
            </w:r>
          </w:p>
        </w:tc>
        <w:tc>
          <w:tcPr>
            <w:tcW w:w="831" w:type="pct"/>
            <w:tcBorders>
              <w:top w:val="nil"/>
              <w:left w:val="nil"/>
              <w:bottom w:val="single" w:color="auto" w:sz="4" w:space="0"/>
              <w:right w:val="single" w:color="auto" w:sz="4" w:space="0"/>
            </w:tcBorders>
            <w:noWrap/>
            <w:vAlign w:val="bottom"/>
          </w:tcPr>
          <w:p w14:paraId="5D5D875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15.</w:t>
            </w:r>
            <w:r>
              <w:rPr>
                <w:rFonts w:hint="default" w:eastAsia="Times New Roman" w:cs="Arial"/>
                <w:color w:val="000000"/>
                <w:sz w:val="24"/>
                <w:szCs w:val="24"/>
                <w:lang w:val="en-US"/>
              </w:rPr>
              <w:t>876</w:t>
            </w:r>
          </w:p>
        </w:tc>
        <w:tc>
          <w:tcPr>
            <w:tcW w:w="1171" w:type="pct"/>
            <w:tcBorders>
              <w:top w:val="nil"/>
              <w:left w:val="nil"/>
              <w:bottom w:val="single" w:color="auto" w:sz="4" w:space="0"/>
              <w:right w:val="single" w:color="auto" w:sz="4" w:space="0"/>
            </w:tcBorders>
            <w:noWrap/>
            <w:vAlign w:val="bottom"/>
          </w:tcPr>
          <w:p w14:paraId="681DA44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15.87664482</w:t>
            </w:r>
          </w:p>
        </w:tc>
        <w:tc>
          <w:tcPr>
            <w:tcW w:w="588" w:type="pct"/>
            <w:tcBorders>
              <w:top w:val="nil"/>
              <w:left w:val="nil"/>
              <w:bottom w:val="single" w:color="auto" w:sz="4" w:space="0"/>
              <w:right w:val="single" w:color="auto" w:sz="4" w:space="0"/>
            </w:tcBorders>
            <w:noWrap/>
            <w:vAlign w:val="bottom"/>
          </w:tcPr>
          <w:p w14:paraId="54339D1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-20.92033735</w:t>
            </w:r>
          </w:p>
        </w:tc>
      </w:tr>
      <w:tr w14:paraId="14B4B3B0">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5FE3CB1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w:t>
            </w:r>
          </w:p>
        </w:tc>
        <w:tc>
          <w:tcPr>
            <w:tcW w:w="679" w:type="pct"/>
            <w:tcBorders>
              <w:top w:val="nil"/>
              <w:left w:val="nil"/>
              <w:bottom w:val="single" w:color="auto" w:sz="4" w:space="0"/>
              <w:right w:val="single" w:color="auto" w:sz="4" w:space="0"/>
            </w:tcBorders>
            <w:noWrap/>
            <w:vAlign w:val="bottom"/>
          </w:tcPr>
          <w:p w14:paraId="40F2F87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w:t>
            </w:r>
          </w:p>
        </w:tc>
        <w:tc>
          <w:tcPr>
            <w:tcW w:w="959" w:type="pct"/>
            <w:tcBorders>
              <w:top w:val="nil"/>
              <w:left w:val="nil"/>
              <w:bottom w:val="single" w:color="auto" w:sz="4" w:space="0"/>
              <w:right w:val="single" w:color="auto" w:sz="4" w:space="0"/>
            </w:tcBorders>
            <w:noWrap/>
            <w:vAlign w:val="bottom"/>
          </w:tcPr>
          <w:p w14:paraId="4432AF2B">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0.683</w:t>
            </w:r>
          </w:p>
        </w:tc>
        <w:tc>
          <w:tcPr>
            <w:tcW w:w="831" w:type="pct"/>
            <w:tcBorders>
              <w:top w:val="nil"/>
              <w:left w:val="nil"/>
              <w:bottom w:val="single" w:color="auto" w:sz="4" w:space="0"/>
              <w:right w:val="single" w:color="auto" w:sz="4" w:space="0"/>
            </w:tcBorders>
            <w:noWrap/>
            <w:vAlign w:val="bottom"/>
          </w:tcPr>
          <w:p w14:paraId="6776D87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w:t>
            </w:r>
            <w:r>
              <w:rPr>
                <w:rFonts w:hint="default" w:eastAsia="Times New Roman" w:cs="Arial"/>
                <w:color w:val="000000"/>
                <w:sz w:val="24"/>
                <w:szCs w:val="24"/>
                <w:lang w:val="en-US"/>
              </w:rPr>
              <w:t>8.375</w:t>
            </w:r>
          </w:p>
        </w:tc>
        <w:tc>
          <w:tcPr>
            <w:tcW w:w="1171" w:type="pct"/>
            <w:tcBorders>
              <w:top w:val="nil"/>
              <w:left w:val="nil"/>
              <w:bottom w:val="single" w:color="auto" w:sz="4" w:space="0"/>
              <w:right w:val="single" w:color="auto" w:sz="4" w:space="0"/>
            </w:tcBorders>
            <w:noWrap/>
            <w:vAlign w:val="bottom"/>
          </w:tcPr>
          <w:p w14:paraId="555B30E2">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18.37574632</w:t>
            </w:r>
          </w:p>
        </w:tc>
        <w:tc>
          <w:tcPr>
            <w:tcW w:w="588" w:type="pct"/>
            <w:tcBorders>
              <w:top w:val="nil"/>
              <w:left w:val="nil"/>
              <w:bottom w:val="single" w:color="auto" w:sz="4" w:space="0"/>
              <w:right w:val="single" w:color="auto" w:sz="4" w:space="0"/>
            </w:tcBorders>
            <w:noWrap/>
            <w:vAlign w:val="bottom"/>
          </w:tcPr>
          <w:p w14:paraId="266F3E4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-2.544591027</w:t>
            </w:r>
          </w:p>
        </w:tc>
      </w:tr>
      <w:tr w14:paraId="6431A1E3">
        <w:tblPrEx>
          <w:tblCellMar>
            <w:top w:w="0" w:type="dxa"/>
            <w:left w:w="108" w:type="dxa"/>
            <w:bottom w:w="0" w:type="dxa"/>
            <w:right w:w="108" w:type="dxa"/>
          </w:tblCellMar>
        </w:tblPrEx>
        <w:trPr>
          <w:trHeight w:val="300" w:hRule="atLeast"/>
        </w:trPr>
        <w:tc>
          <w:tcPr>
            <w:tcW w:w="772" w:type="pct"/>
            <w:tcBorders>
              <w:top w:val="nil"/>
              <w:left w:val="single" w:color="auto" w:sz="4" w:space="0"/>
              <w:bottom w:val="single" w:color="auto" w:sz="4" w:space="0"/>
              <w:right w:val="single" w:color="auto" w:sz="4" w:space="0"/>
            </w:tcBorders>
            <w:noWrap/>
            <w:vAlign w:val="bottom"/>
          </w:tcPr>
          <w:p w14:paraId="735E1983">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w:t>
            </w:r>
          </w:p>
        </w:tc>
        <w:tc>
          <w:tcPr>
            <w:tcW w:w="679" w:type="pct"/>
            <w:tcBorders>
              <w:top w:val="nil"/>
              <w:left w:val="nil"/>
              <w:bottom w:val="single" w:color="auto" w:sz="4" w:space="0"/>
              <w:right w:val="single" w:color="auto" w:sz="4" w:space="0"/>
            </w:tcBorders>
            <w:noWrap/>
            <w:vAlign w:val="bottom"/>
          </w:tcPr>
          <w:p w14:paraId="7C05A7BA">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5</w:t>
            </w:r>
          </w:p>
        </w:tc>
        <w:tc>
          <w:tcPr>
            <w:tcW w:w="959" w:type="pct"/>
            <w:tcBorders>
              <w:top w:val="nil"/>
              <w:left w:val="nil"/>
              <w:bottom w:val="single" w:color="auto" w:sz="4" w:space="0"/>
              <w:right w:val="single" w:color="auto" w:sz="4" w:space="0"/>
            </w:tcBorders>
            <w:noWrap/>
            <w:vAlign w:val="bottom"/>
          </w:tcPr>
          <w:p w14:paraId="00009591">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0.6209</w:t>
            </w:r>
          </w:p>
        </w:tc>
        <w:tc>
          <w:tcPr>
            <w:tcW w:w="831" w:type="pct"/>
            <w:tcBorders>
              <w:top w:val="nil"/>
              <w:left w:val="nil"/>
              <w:bottom w:val="single" w:color="auto" w:sz="4" w:space="0"/>
              <w:right w:val="single" w:color="auto" w:sz="4" w:space="0"/>
            </w:tcBorders>
            <w:noWrap/>
            <w:vAlign w:val="bottom"/>
          </w:tcPr>
          <w:p w14:paraId="31768D0E">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w:t>
            </w:r>
            <w:r>
              <w:rPr>
                <w:rFonts w:hint="default" w:eastAsia="Times New Roman" w:cs="Arial"/>
                <w:color w:val="000000"/>
                <w:sz w:val="24"/>
                <w:szCs w:val="24"/>
                <w:lang w:val="en-US"/>
              </w:rPr>
              <w:t>403</w:t>
            </w:r>
            <w:bookmarkStart w:id="28" w:name="_GoBack"/>
            <w:bookmarkEnd w:id="28"/>
          </w:p>
        </w:tc>
        <w:tc>
          <w:tcPr>
            <w:tcW w:w="1171" w:type="pct"/>
            <w:tcBorders>
              <w:top w:val="nil"/>
              <w:left w:val="nil"/>
              <w:bottom w:val="single" w:color="auto" w:sz="4" w:space="0"/>
              <w:right w:val="single" w:color="auto" w:sz="4" w:space="0"/>
            </w:tcBorders>
            <w:noWrap/>
            <w:vAlign w:val="bottom"/>
          </w:tcPr>
          <w:p w14:paraId="2C0E2077">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3.402915985</w:t>
            </w:r>
          </w:p>
        </w:tc>
        <w:tc>
          <w:tcPr>
            <w:tcW w:w="588" w:type="pct"/>
            <w:tcBorders>
              <w:top w:val="nil"/>
              <w:left w:val="nil"/>
              <w:bottom w:val="single" w:color="auto" w:sz="4" w:space="0"/>
              <w:right w:val="single" w:color="auto" w:sz="4" w:space="0"/>
            </w:tcBorders>
            <w:noWrap/>
            <w:vAlign w:val="bottom"/>
          </w:tcPr>
          <w:p w14:paraId="3500365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0.858324958</w:t>
            </w:r>
          </w:p>
        </w:tc>
      </w:tr>
      <w:tr w14:paraId="154F7AA1">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5F1C6C16">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Technique</w:t>
            </w:r>
          </w:p>
        </w:tc>
        <w:tc>
          <w:tcPr>
            <w:tcW w:w="3549" w:type="pct"/>
            <w:gridSpan w:val="4"/>
            <w:tcBorders>
              <w:top w:val="single" w:color="auto" w:sz="4" w:space="0"/>
              <w:left w:val="nil"/>
              <w:bottom w:val="single" w:color="auto" w:sz="4" w:space="0"/>
              <w:right w:val="single" w:color="auto" w:sz="4" w:space="0"/>
            </w:tcBorders>
            <w:noWrap/>
            <w:vAlign w:val="bottom"/>
          </w:tcPr>
          <w:p w14:paraId="606B740A">
            <w:pPr>
              <w:spacing w:after="240" w:line="360" w:lineRule="auto"/>
              <w:jc w:val="center"/>
              <w:rPr>
                <w:rFonts w:hint="default" w:ascii="Arial" w:hAnsi="Arial" w:eastAsia="Times New Roman" w:cs="Arial"/>
                <w:b/>
                <w:bCs/>
                <w:i/>
                <w:iCs/>
                <w:color w:val="000000"/>
                <w:sz w:val="24"/>
                <w:szCs w:val="24"/>
                <w:lang w:val="en-US"/>
              </w:rPr>
            </w:pPr>
            <w:r>
              <w:rPr>
                <w:rFonts w:hint="default" w:ascii="Arial" w:hAnsi="Arial" w:eastAsia="Times New Roman" w:cs="Arial"/>
                <w:b/>
                <w:bCs/>
                <w:i/>
                <w:iCs/>
                <w:color w:val="000000"/>
                <w:sz w:val="24"/>
                <w:szCs w:val="24"/>
                <w:lang w:val="en-US"/>
              </w:rPr>
              <w:t>Excel Formula</w:t>
            </w:r>
          </w:p>
        </w:tc>
      </w:tr>
      <w:tr w14:paraId="74284F41">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2520218C">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Payback Period (PBP)</w:t>
            </w:r>
          </w:p>
        </w:tc>
        <w:tc>
          <w:tcPr>
            <w:tcW w:w="3549" w:type="pct"/>
            <w:gridSpan w:val="4"/>
            <w:tcBorders>
              <w:top w:val="single" w:color="auto" w:sz="4" w:space="0"/>
              <w:left w:val="nil"/>
              <w:bottom w:val="single" w:color="auto" w:sz="4" w:space="0"/>
              <w:right w:val="single" w:color="auto" w:sz="4" w:space="0"/>
            </w:tcBorders>
            <w:noWrap/>
            <w:vAlign w:val="bottom"/>
          </w:tcPr>
          <w:p w14:paraId="5CB3AE08">
            <w:pPr>
              <w:wordWrap w:val="0"/>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3.6 Years</w:t>
            </w:r>
          </w:p>
        </w:tc>
      </w:tr>
      <w:tr w14:paraId="2D53F311">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4975757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Annual Cash Inflow</w:t>
            </w:r>
          </w:p>
        </w:tc>
        <w:tc>
          <w:tcPr>
            <w:tcW w:w="3549" w:type="pct"/>
            <w:gridSpan w:val="4"/>
            <w:tcBorders>
              <w:top w:val="single" w:color="auto" w:sz="4" w:space="0"/>
              <w:left w:val="nil"/>
              <w:bottom w:val="single" w:color="auto" w:sz="4" w:space="0"/>
              <w:right w:val="single" w:color="auto" w:sz="4" w:space="0"/>
            </w:tcBorders>
            <w:noWrap/>
            <w:vAlign w:val="bottom"/>
          </w:tcPr>
          <w:p w14:paraId="3A280BA8">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13</w:t>
            </w:r>
          </w:p>
        </w:tc>
      </w:tr>
      <w:tr w14:paraId="6C61EE0F">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08A08E26">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Average Investment</w:t>
            </w:r>
          </w:p>
        </w:tc>
        <w:tc>
          <w:tcPr>
            <w:tcW w:w="3549" w:type="pct"/>
            <w:gridSpan w:val="4"/>
            <w:tcBorders>
              <w:top w:val="single" w:color="auto" w:sz="4" w:space="0"/>
              <w:left w:val="nil"/>
              <w:bottom w:val="single" w:color="auto" w:sz="4" w:space="0"/>
              <w:right w:val="single" w:color="auto" w:sz="4" w:space="0"/>
            </w:tcBorders>
            <w:noWrap/>
            <w:vAlign w:val="bottom"/>
          </w:tcPr>
          <w:p w14:paraId="1279F969">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ab/>
            </w:r>
            <w:r>
              <w:rPr>
                <w:rFonts w:hint="default" w:eastAsia="Times New Roman" w:cs="Arial"/>
                <w:color w:val="000000"/>
                <w:sz w:val="24"/>
                <w:szCs w:val="24"/>
                <w:lang w:val="en-US"/>
              </w:rPr>
              <w:tab/>
            </w:r>
            <w:r>
              <w:rPr>
                <w:rFonts w:hint="default" w:eastAsia="Times New Roman" w:cs="Arial"/>
                <w:color w:val="000000"/>
                <w:sz w:val="24"/>
                <w:szCs w:val="24"/>
                <w:lang w:val="en-US"/>
              </w:rPr>
              <w:tab/>
            </w:r>
            <w:r>
              <w:rPr>
                <w:rFonts w:hint="default" w:eastAsia="Times New Roman" w:cs="Arial"/>
                <w:color w:val="000000"/>
                <w:sz w:val="24"/>
                <w:szCs w:val="24"/>
                <w:lang w:val="en-US"/>
              </w:rPr>
              <w:tab/>
            </w:r>
            <w:r>
              <w:rPr>
                <w:rFonts w:hint="default" w:ascii="Arial" w:hAnsi="Arial" w:eastAsia="Times New Roman" w:cs="Arial"/>
                <w:color w:val="000000"/>
                <w:sz w:val="24"/>
                <w:szCs w:val="24"/>
                <w:lang w:val="en-US"/>
              </w:rPr>
              <w:t>25</w:t>
            </w:r>
          </w:p>
        </w:tc>
      </w:tr>
      <w:tr w14:paraId="714F6440">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03F6A924">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Accounting Rate of Return (ARR)</w:t>
            </w:r>
          </w:p>
        </w:tc>
        <w:tc>
          <w:tcPr>
            <w:tcW w:w="3549" w:type="pct"/>
            <w:gridSpan w:val="4"/>
            <w:tcBorders>
              <w:top w:val="single" w:color="auto" w:sz="4" w:space="0"/>
              <w:left w:val="nil"/>
              <w:bottom w:val="single" w:color="auto" w:sz="4" w:space="0"/>
              <w:right w:val="single" w:color="auto" w:sz="4" w:space="0"/>
            </w:tcBorders>
            <w:noWrap/>
            <w:vAlign w:val="bottom"/>
          </w:tcPr>
          <w:p w14:paraId="28C38EF0">
            <w:pPr>
              <w:spacing w:after="240" w:line="360" w:lineRule="auto"/>
              <w:jc w:val="right"/>
              <w:rPr>
                <w:rFonts w:hint="default" w:ascii="Arial" w:hAnsi="Arial" w:eastAsia="Times New Roman" w:cs="Arial"/>
                <w:color w:val="000000"/>
                <w:sz w:val="24"/>
                <w:szCs w:val="24"/>
                <w:lang w:val="en-US"/>
              </w:rPr>
            </w:pPr>
            <w:r>
              <w:rPr>
                <w:rFonts w:hint="default" w:eastAsia="Times New Roman" w:cs="Arial"/>
                <w:color w:val="000000"/>
                <w:sz w:val="24"/>
                <w:szCs w:val="24"/>
                <w:lang w:val="en-US"/>
              </w:rPr>
              <w:t>1</w:t>
            </w:r>
            <w:r>
              <w:rPr>
                <w:rFonts w:hint="default" w:ascii="Arial" w:hAnsi="Arial" w:eastAsia="Times New Roman" w:cs="Arial"/>
                <w:color w:val="000000"/>
                <w:sz w:val="24"/>
                <w:szCs w:val="24"/>
                <w:lang w:val="en-US"/>
              </w:rPr>
              <w:t>2</w:t>
            </w:r>
            <w:r>
              <w:rPr>
                <w:rFonts w:hint="default" w:eastAsia="Times New Roman" w:cs="Arial"/>
                <w:color w:val="000000"/>
                <w:sz w:val="24"/>
                <w:szCs w:val="24"/>
                <w:lang w:val="en-US"/>
              </w:rPr>
              <w:t>%</w:t>
            </w:r>
          </w:p>
        </w:tc>
      </w:tr>
      <w:tr w14:paraId="59F7FF1B">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0DC5EE01">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Total PV of Inflows</w:t>
            </w:r>
          </w:p>
        </w:tc>
        <w:tc>
          <w:tcPr>
            <w:tcW w:w="3549" w:type="pct"/>
            <w:gridSpan w:val="4"/>
            <w:tcBorders>
              <w:top w:val="single" w:color="auto" w:sz="4" w:space="0"/>
              <w:left w:val="nil"/>
              <w:bottom w:val="single" w:color="auto" w:sz="4" w:space="0"/>
              <w:right w:val="single" w:color="auto" w:sz="4" w:space="0"/>
            </w:tcBorders>
            <w:noWrap/>
            <w:vAlign w:val="bottom"/>
          </w:tcPr>
          <w:p w14:paraId="7D484E7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48.02</w:t>
            </w:r>
          </w:p>
        </w:tc>
      </w:tr>
      <w:tr w14:paraId="178DD996">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1A0285A7">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Net Present Value (NPV)</w:t>
            </w:r>
          </w:p>
        </w:tc>
        <w:tc>
          <w:tcPr>
            <w:tcW w:w="3549" w:type="pct"/>
            <w:gridSpan w:val="4"/>
            <w:tcBorders>
              <w:top w:val="single" w:color="auto" w:sz="4" w:space="0"/>
              <w:left w:val="nil"/>
              <w:bottom w:val="single" w:color="auto" w:sz="4" w:space="0"/>
              <w:right w:val="single" w:color="auto" w:sz="4" w:space="0"/>
            </w:tcBorders>
            <w:noWrap/>
            <w:vAlign w:val="bottom"/>
          </w:tcPr>
          <w:p w14:paraId="6DCE1F26">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-1.98</w:t>
            </w:r>
          </w:p>
        </w:tc>
      </w:tr>
      <w:tr w14:paraId="732E5451">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37E10ECF">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Profitability Index (PI)</w:t>
            </w:r>
          </w:p>
        </w:tc>
        <w:tc>
          <w:tcPr>
            <w:tcW w:w="3549" w:type="pct"/>
            <w:gridSpan w:val="4"/>
            <w:tcBorders>
              <w:top w:val="single" w:color="auto" w:sz="4" w:space="0"/>
              <w:left w:val="nil"/>
              <w:bottom w:val="single" w:color="auto" w:sz="4" w:space="0"/>
              <w:right w:val="single" w:color="auto" w:sz="4" w:space="0"/>
            </w:tcBorders>
            <w:noWrap/>
            <w:vAlign w:val="bottom"/>
          </w:tcPr>
          <w:p w14:paraId="5001E155">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0.9604</w:t>
            </w:r>
          </w:p>
        </w:tc>
      </w:tr>
      <w:tr w14:paraId="028CDF90">
        <w:tblPrEx>
          <w:tblCellMar>
            <w:top w:w="0" w:type="dxa"/>
            <w:left w:w="108" w:type="dxa"/>
            <w:bottom w:w="0" w:type="dxa"/>
            <w:right w:w="108" w:type="dxa"/>
          </w:tblCellMar>
        </w:tblPrEx>
        <w:trPr>
          <w:trHeight w:val="300" w:hRule="atLeast"/>
        </w:trPr>
        <w:tc>
          <w:tcPr>
            <w:tcW w:w="1451" w:type="pct"/>
            <w:gridSpan w:val="2"/>
            <w:tcBorders>
              <w:top w:val="single" w:color="auto" w:sz="4" w:space="0"/>
              <w:left w:val="single" w:color="auto" w:sz="4" w:space="0"/>
              <w:bottom w:val="single" w:color="auto" w:sz="4" w:space="0"/>
              <w:right w:val="single" w:color="auto" w:sz="4" w:space="0"/>
            </w:tcBorders>
            <w:noWrap/>
            <w:vAlign w:val="bottom"/>
          </w:tcPr>
          <w:p w14:paraId="53658A7B">
            <w:pPr>
              <w:spacing w:after="240" w:line="360" w:lineRule="auto"/>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Internal Rate of Return (IRR)</w:t>
            </w:r>
          </w:p>
        </w:tc>
        <w:tc>
          <w:tcPr>
            <w:tcW w:w="3549" w:type="pct"/>
            <w:gridSpan w:val="4"/>
            <w:tcBorders>
              <w:top w:val="single" w:color="auto" w:sz="4" w:space="0"/>
              <w:left w:val="nil"/>
              <w:bottom w:val="single" w:color="auto" w:sz="4" w:space="0"/>
              <w:right w:val="single" w:color="auto" w:sz="4" w:space="0"/>
            </w:tcBorders>
            <w:noWrap/>
            <w:vAlign w:val="bottom"/>
          </w:tcPr>
          <w:p w14:paraId="797E6F9D">
            <w:pPr>
              <w:spacing w:after="240" w:line="360" w:lineRule="auto"/>
              <w:jc w:val="right"/>
              <w:rPr>
                <w:rFonts w:hint="default" w:ascii="Arial" w:hAnsi="Arial" w:eastAsia="Times New Roman" w:cs="Arial"/>
                <w:color w:val="000000"/>
                <w:sz w:val="24"/>
                <w:szCs w:val="24"/>
                <w:lang w:val="en-US"/>
              </w:rPr>
            </w:pPr>
            <w:r>
              <w:rPr>
                <w:rFonts w:hint="default" w:ascii="Arial" w:hAnsi="Arial" w:eastAsia="Times New Roman" w:cs="Arial"/>
                <w:color w:val="000000"/>
                <w:sz w:val="24"/>
                <w:szCs w:val="24"/>
                <w:lang w:val="en-US"/>
              </w:rPr>
              <w:t>9%</w:t>
            </w:r>
          </w:p>
        </w:tc>
      </w:tr>
    </w:tbl>
    <w:p w14:paraId="564C6E8B">
      <w:pPr>
        <w:spacing w:after="240" w:line="360" w:lineRule="auto"/>
        <w:jc w:val="both"/>
        <w:rPr>
          <w:rFonts w:hint="default" w:ascii="Arial" w:hAnsi="Arial" w:eastAsia="Times New Roman" w:cs="Arial"/>
          <w:sz w:val="24"/>
          <w:szCs w:val="24"/>
        </w:rPr>
      </w:pPr>
    </w:p>
    <w:p w14:paraId="6FABCD1A">
      <w:pPr>
        <w:rPr>
          <w:rFonts w:hint="default" w:ascii="Arial" w:hAnsi="Arial" w:eastAsia="Times New Roman" w:cs="Arial"/>
          <w:sz w:val="24"/>
          <w:szCs w:val="24"/>
        </w:rPr>
      </w:pPr>
      <w:r>
        <w:rPr>
          <w:rFonts w:hint="default" w:ascii="Arial" w:hAnsi="Arial" w:eastAsia="Times New Roman" w:cs="Arial"/>
          <w:sz w:val="24"/>
          <w:szCs w:val="24"/>
        </w:rPr>
        <w:br w:type="page"/>
      </w:r>
    </w:p>
    <w:p w14:paraId="56416852">
      <w:pPr>
        <w:rPr>
          <w:rFonts w:hint="default" w:ascii="Arial" w:hAnsi="Arial" w:cs="Arial"/>
          <w:sz w:val="24"/>
          <w:szCs w:val="24"/>
        </w:rPr>
      </w:pPr>
      <w:bookmarkStart w:id="27" w:name="_Toc231843856"/>
      <w:r>
        <w:rPr>
          <w:rFonts w:hint="default" w:ascii="Arial" w:hAnsi="Arial" w:cs="Arial"/>
          <w:sz w:val="24"/>
          <w:szCs w:val="24"/>
        </w:rPr>
        <w:t>Appendix C: Calculation Excel</w:t>
      </w:r>
      <w:bookmarkEnd w:id="27"/>
    </w:p>
    <w:p w14:paraId="5D3BD875">
      <w:r>
        <w:fldChar w:fldCharType="begin"/>
      </w:r>
      <w:r>
        <w:instrText xml:space="preserve"> HYPERLINK "https://ap.wps.com/l/cbCaeeTDMMNqDVCT" </w:instrText>
      </w:r>
      <w:r>
        <w:fldChar w:fldCharType="separate"/>
      </w:r>
      <w:r>
        <w:rPr>
          <w:rStyle w:val="7"/>
        </w:rPr>
        <w:t>Calcultionss(3).xlsx</w:t>
      </w:r>
      <w:r>
        <w:fldChar w:fldCharType="end"/>
      </w: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sz w:val="20"/>
        <w:szCs w:val="20"/>
      </w:rPr>
      <w:id w:val="147470110"/>
      <w:docPartObj>
        <w:docPartGallery w:val="autotext"/>
      </w:docPartObj>
    </w:sdtPr>
    <w:sdtEndPr>
      <w:rPr>
        <w:rFonts w:ascii="Times New Roman" w:hAnsi="Times New Roman" w:cs="Times New Roman"/>
        <w:sz w:val="20"/>
        <w:szCs w:val="20"/>
      </w:rPr>
    </w:sdtEndPr>
    <w:sdtContent>
      <w:p w14:paraId="1AEED0BD">
        <w:pPr>
          <w:pStyle w:val="6"/>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4</w:t>
        </w:r>
        <w:r>
          <w:rPr>
            <w:rFonts w:ascii="Times New Roman" w:hAnsi="Times New Roman" w:cs="Times New Roman"/>
            <w:sz w:val="20"/>
            <w:szCs w:val="20"/>
          </w:rPr>
          <w:fldChar w:fldCharType="end"/>
        </w:r>
      </w:p>
    </w:sdtContent>
  </w:sdt>
  <w:p w14:paraId="6FB6F878">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6"/>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5050D6"/>
    <w:rsid w:val="03633F1C"/>
    <w:rsid w:val="04475814"/>
    <w:rsid w:val="050458D9"/>
    <w:rsid w:val="051538E2"/>
    <w:rsid w:val="05496B0D"/>
    <w:rsid w:val="06713B9F"/>
    <w:rsid w:val="06A92994"/>
    <w:rsid w:val="06A9757C"/>
    <w:rsid w:val="06F366F7"/>
    <w:rsid w:val="0A420FE1"/>
    <w:rsid w:val="0B4B5097"/>
    <w:rsid w:val="0D0D2779"/>
    <w:rsid w:val="0D747B9F"/>
    <w:rsid w:val="0DDB40CB"/>
    <w:rsid w:val="117229AE"/>
    <w:rsid w:val="130B54F4"/>
    <w:rsid w:val="14DC397E"/>
    <w:rsid w:val="1BB67D84"/>
    <w:rsid w:val="1CA97DBE"/>
    <w:rsid w:val="1E82371B"/>
    <w:rsid w:val="1EFE68E7"/>
    <w:rsid w:val="1F6A4413"/>
    <w:rsid w:val="1F7A3050"/>
    <w:rsid w:val="1F8033AC"/>
    <w:rsid w:val="20B27232"/>
    <w:rsid w:val="210459B8"/>
    <w:rsid w:val="26897349"/>
    <w:rsid w:val="2AEB2687"/>
    <w:rsid w:val="2B754F92"/>
    <w:rsid w:val="2BC2085A"/>
    <w:rsid w:val="2DC02C12"/>
    <w:rsid w:val="30C437C2"/>
    <w:rsid w:val="315050D6"/>
    <w:rsid w:val="366A5CD5"/>
    <w:rsid w:val="369C6124"/>
    <w:rsid w:val="384564E0"/>
    <w:rsid w:val="3C57218D"/>
    <w:rsid w:val="3C595690"/>
    <w:rsid w:val="3C985175"/>
    <w:rsid w:val="3D9D4A23"/>
    <w:rsid w:val="3DF144AD"/>
    <w:rsid w:val="3FA318F5"/>
    <w:rsid w:val="411164B8"/>
    <w:rsid w:val="453B0C21"/>
    <w:rsid w:val="46C2619D"/>
    <w:rsid w:val="491C4100"/>
    <w:rsid w:val="49BD4ED7"/>
    <w:rsid w:val="4C940529"/>
    <w:rsid w:val="4D383F40"/>
    <w:rsid w:val="4E7A455F"/>
    <w:rsid w:val="522143CD"/>
    <w:rsid w:val="53250778"/>
    <w:rsid w:val="53792400"/>
    <w:rsid w:val="554E3280"/>
    <w:rsid w:val="57027519"/>
    <w:rsid w:val="581754FA"/>
    <w:rsid w:val="59151B75"/>
    <w:rsid w:val="598B35F5"/>
    <w:rsid w:val="5A6133E3"/>
    <w:rsid w:val="5AD2718F"/>
    <w:rsid w:val="5B4B328F"/>
    <w:rsid w:val="5B97061F"/>
    <w:rsid w:val="5CA529B6"/>
    <w:rsid w:val="5D723C4B"/>
    <w:rsid w:val="5DAF2A40"/>
    <w:rsid w:val="5DE01011"/>
    <w:rsid w:val="5E5A2ED9"/>
    <w:rsid w:val="61F35055"/>
    <w:rsid w:val="62782999"/>
    <w:rsid w:val="650B0753"/>
    <w:rsid w:val="657666FB"/>
    <w:rsid w:val="671343AC"/>
    <w:rsid w:val="6C4910B5"/>
    <w:rsid w:val="6CB923DD"/>
    <w:rsid w:val="6E1B6DB2"/>
    <w:rsid w:val="6FB410D2"/>
    <w:rsid w:val="72D30C6F"/>
    <w:rsid w:val="737F0899"/>
    <w:rsid w:val="737F240C"/>
    <w:rsid w:val="74181306"/>
    <w:rsid w:val="74C4399D"/>
    <w:rsid w:val="74D54F3C"/>
    <w:rsid w:val="75353E32"/>
    <w:rsid w:val="768F5B89"/>
    <w:rsid w:val="779C0BC8"/>
    <w:rsid w:val="77F2716F"/>
    <w:rsid w:val="7CB763AC"/>
    <w:rsid w:val="7CD82516"/>
    <w:rsid w:val="7D0335AA"/>
    <w:rsid w:val="7F182693"/>
    <w:rsid w:val="7F1B36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US" w:bidi="ar-SA"/>
    </w:rPr>
  </w:style>
  <w:style w:type="paragraph" w:styleId="2">
    <w:name w:val="heading 1"/>
    <w:basedOn w:val="1"/>
    <w:next w:val="1"/>
    <w:qFormat/>
    <w:uiPriority w:val="9"/>
    <w:pPr>
      <w:keepNext/>
      <w:keepLines/>
      <w:spacing w:before="120" w:after="120" w:line="360" w:lineRule="auto"/>
      <w:jc w:val="both"/>
      <w:outlineLvl w:val="0"/>
    </w:pPr>
    <w:rPr>
      <w:rFonts w:ascii="Times New Roman" w:hAnsi="Times New Roman"/>
      <w:b/>
      <w:sz w:val="28"/>
      <w:szCs w:val="40"/>
    </w:rPr>
  </w:style>
  <w:style w:type="paragraph" w:styleId="3">
    <w:name w:val="heading 2"/>
    <w:basedOn w:val="1"/>
    <w:next w:val="1"/>
    <w:unhideWhenUsed/>
    <w:qFormat/>
    <w:uiPriority w:val="9"/>
    <w:pPr>
      <w:keepNext/>
      <w:keepLines/>
      <w:spacing w:before="120" w:after="120" w:line="360" w:lineRule="auto"/>
      <w:jc w:val="both"/>
      <w:outlineLvl w:val="1"/>
    </w:pPr>
    <w:rPr>
      <w:rFonts w:ascii="Times New Roman" w:hAnsi="Times New Roman"/>
      <w:b/>
      <w:sz w:val="26"/>
      <w:szCs w:val="32"/>
    </w:rPr>
  </w:style>
  <w:style w:type="character" w:default="1" w:styleId="4">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6">
    <w:name w:val="footer"/>
    <w:basedOn w:val="1"/>
    <w:unhideWhenUsed/>
    <w:qFormat/>
    <w:uiPriority w:val="99"/>
    <w:pPr>
      <w:tabs>
        <w:tab w:val="center" w:pos="4680"/>
        <w:tab w:val="right" w:pos="9360"/>
      </w:tabs>
      <w:spacing w:line="240" w:lineRule="auto"/>
    </w:pPr>
  </w:style>
  <w:style w:type="character" w:styleId="7">
    <w:name w:val="Hyperlink"/>
    <w:basedOn w:val="4"/>
    <w:unhideWhenUsed/>
    <w:qFormat/>
    <w:uiPriority w:val="99"/>
    <w:rPr>
      <w:color w:val="0026E5" w:themeColor="hyperlink"/>
      <w:u w:val="single"/>
      <w14:textFill>
        <w14:solidFill>
          <w14:schemeClr w14:val="hlink"/>
        </w14:solidFill>
      </w14:textFill>
    </w:rPr>
  </w:style>
  <w:style w:type="table" w:styleId="8">
    <w:name w:val="Table Grid"/>
    <w:basedOn w:val="5"/>
    <w:qFormat/>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toc 1"/>
    <w:basedOn w:val="1"/>
    <w:next w:val="1"/>
    <w:unhideWhenUsed/>
    <w:qFormat/>
    <w:uiPriority w:val="39"/>
    <w:pPr>
      <w:spacing w:after="100"/>
    </w:pPr>
  </w:style>
  <w:style w:type="paragraph" w:styleId="10">
    <w:name w:val="toc 2"/>
    <w:basedOn w:val="1"/>
    <w:next w:val="1"/>
    <w:unhideWhenUsed/>
    <w:qFormat/>
    <w:uiPriority w:val="39"/>
    <w:pPr>
      <w:spacing w:after="100"/>
      <w:ind w:left="220"/>
    </w:pPr>
  </w:style>
  <w:style w:type="paragraph" w:customStyle="1" w:styleId="11">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2E54A1"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chart" Target="charts/chart2.xml"/><Relationship Id="rId8" Type="http://schemas.openxmlformats.org/officeDocument/2006/relationships/chart" Target="charts/chart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hart" Target="charts/chart4.xml"/><Relationship Id="rId10" Type="http://schemas.openxmlformats.org/officeDocument/2006/relationships/chart" Target="charts/chart3.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E:\Class%20note\Excel%20-%20Calculations%206.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E:\Class%20note\Excel%20-%20Calculations%206.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E:\Class%20note\Excel%20-%20Calculations%206.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E:\Class%20note\Excel%20-%20Calculations%206.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400" b="0" i="0" u="none" strike="noStrike" kern="1200" spc="0" baseline="0">
              <a:solidFill>
                <a:sysClr val="windowText" lastClr="000000"/>
              </a:solidFill>
              <a:latin typeface="Times New Roman" panose="02020603050405020304" charset="0"/>
              <a:ea typeface="+mn-ea"/>
              <a:cs typeface="Times New Roman" panose="02020603050405020304" charset="0"/>
            </a:defRPr>
          </a:pPr>
        </a:p>
      </c:txPr>
    </c:title>
    <c:autoTitleDeleted val="0"/>
    <c:plotArea>
      <c:layout/>
      <c:areaChart>
        <c:grouping val="stacked"/>
        <c:varyColors val="0"/>
        <c:ser>
          <c:idx val="0"/>
          <c:order val="0"/>
          <c:tx>
            <c:strRef>
              <c:f>'Ratio Analysis'!$A$18</c:f>
              <c:strCache>
                <c:ptCount val="1"/>
                <c:pt idx="0">
                  <c:v>Operating Profit Margin</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'Ratio Analysis'!$B$1:$F$1</c:f>
              <c:numCache>
                <c:formatCode>General</c:formatCode>
                <c:ptCount val="5"/>
                <c:pt idx="0">
                  <c:v>2021</c:v>
                </c:pt>
                <c:pt idx="1">
                  <c:v>2022</c:v>
                </c:pt>
                <c:pt idx="2">
                  <c:v>2023</c:v>
                </c:pt>
                <c:pt idx="3">
                  <c:v>2024</c:v>
                </c:pt>
                <c:pt idx="4">
                  <c:v>2025</c:v>
                </c:pt>
              </c:numCache>
            </c:numRef>
          </c:cat>
          <c:val>
            <c:numRef>
              <c:f>'Ratio Analysis'!$B$18:$F$18</c:f>
              <c:numCache>
                <c:formatCode>0.00</c:formatCode>
                <c:ptCount val="5"/>
                <c:pt idx="0">
                  <c:v>0.14390243902439</c:v>
                </c:pt>
                <c:pt idx="1">
                  <c:v>0.154017857142857</c:v>
                </c:pt>
                <c:pt idx="2">
                  <c:v>0.162948593598448</c:v>
                </c:pt>
                <c:pt idx="3">
                  <c:v>0.1500796812749</c:v>
                </c:pt>
                <c:pt idx="4">
                  <c:v>0.158137936301841</c:v>
                </c:pt>
              </c:numCache>
            </c:numRef>
          </c:val>
        </c:ser>
        <c:dLbls>
          <c:showLegendKey val="0"/>
          <c:showVal val="1"/>
          <c:showCatName val="0"/>
          <c:showSerName val="0"/>
          <c:showPercent val="0"/>
          <c:showBubbleSize val="0"/>
        </c:dLbls>
        <c:axId val="632182736"/>
        <c:axId val="632184176"/>
      </c:areaChart>
      <c:catAx>
        <c:axId val="63218273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crossAx val="632184176"/>
        <c:crosses val="autoZero"/>
        <c:auto val="1"/>
        <c:lblAlgn val="ctr"/>
        <c:lblOffset val="100"/>
        <c:noMultiLvlLbl val="0"/>
      </c:catAx>
      <c:valAx>
        <c:axId val="63218417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crossAx val="632182736"/>
        <c:crosses val="autoZero"/>
        <c:crossBetween val="midCat"/>
      </c:valAx>
      <c:spPr>
        <a:noFill/>
        <a:ln>
          <a:noFill/>
        </a:ln>
        <a:effectLst/>
      </c:spPr>
    </c:plotArea>
    <c:plotVisOnly val="1"/>
    <c:dispBlanksAs val="zero"/>
    <c:showDLblsOverMax val="0"/>
    <c:extLst>
      <c:ext uri="{0b15fc19-7d7d-44ad-8c2d-2c3a37ce22c3}">
        <chartProps xmlns="https://web.wps.cn/et/2018/main" chartId="{e173a7d2-c722-4c1a-b5b4-76418b5ba9d4}"/>
      </c:ext>
    </c:extLst>
  </c:chart>
  <c:spPr>
    <a:solidFill>
      <a:schemeClr val="bg1"/>
    </a:solidFill>
    <a:ln w="9525" cap="flat" cmpd="sng" algn="ctr">
      <a:solidFill>
        <a:schemeClr val="tx1">
          <a:lumMod val="15000"/>
          <a:lumOff val="85000"/>
        </a:schemeClr>
      </a:solidFill>
      <a:round/>
    </a:ln>
    <a:effectLst/>
  </c:spPr>
  <c:txPr>
    <a:bodyPr/>
    <a:lstStyle/>
    <a:p>
      <a:pPr>
        <a:defRPr lang="en-US">
          <a:solidFill>
            <a:sysClr val="windowText" lastClr="000000"/>
          </a:solidFill>
          <a:latin typeface="Times New Roman" panose="02020603050405020304" charset="0"/>
          <a:cs typeface="Times New Roman" panose="02020603050405020304" charset="0"/>
        </a:defRPr>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400" b="0" i="0" u="none" strike="noStrike" kern="1200" spc="0" baseline="0">
              <a:solidFill>
                <a:sysClr val="windowText" lastClr="000000"/>
              </a:solidFill>
              <a:latin typeface="Times New Roman" panose="02020603050405020304" charset="0"/>
              <a:ea typeface="+mn-ea"/>
              <a:cs typeface="Times New Roman" panose="02020603050405020304" charset="0"/>
            </a:defRPr>
          </a:pPr>
        </a:p>
      </c:txPr>
    </c:title>
    <c:autoTitleDeleted val="0"/>
    <c:plotArea>
      <c:layout/>
      <c:lineChart>
        <c:grouping val="standard"/>
        <c:varyColors val="0"/>
        <c:ser>
          <c:idx val="0"/>
          <c:order val="0"/>
          <c:tx>
            <c:strRef>
              <c:f>'Ratio Analysis'!$A$23</c:f>
              <c:strCache>
                <c:ptCount val="1"/>
                <c:pt idx="0">
                  <c:v>Receivable Turnover</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'Ratio Analysis'!$B$1:$F$1</c:f>
              <c:numCache>
                <c:formatCode>General</c:formatCode>
                <c:ptCount val="5"/>
                <c:pt idx="0">
                  <c:v>2021</c:v>
                </c:pt>
                <c:pt idx="1">
                  <c:v>2022</c:v>
                </c:pt>
                <c:pt idx="2">
                  <c:v>2023</c:v>
                </c:pt>
                <c:pt idx="3">
                  <c:v>2024</c:v>
                </c:pt>
                <c:pt idx="4">
                  <c:v>2025</c:v>
                </c:pt>
              </c:numCache>
            </c:numRef>
          </c:cat>
          <c:val>
            <c:numRef>
              <c:f>'Ratio Analysis'!$B$23:$F$23</c:f>
              <c:numCache>
                <c:formatCode>0.00</c:formatCode>
                <c:ptCount val="5"/>
                <c:pt idx="0">
                  <c:v>8.91304347826087</c:v>
                </c:pt>
                <c:pt idx="1">
                  <c:v>8.7843137254902</c:v>
                </c:pt>
                <c:pt idx="2">
                  <c:v>8.84813432835821</c:v>
                </c:pt>
                <c:pt idx="3">
                  <c:v>8.98032200357782</c:v>
                </c:pt>
                <c:pt idx="4">
                  <c:v>9.00171880371262</c:v>
                </c:pt>
              </c:numCache>
            </c:numRef>
          </c:val>
          <c:smooth val="0"/>
        </c:ser>
        <c:dLbls>
          <c:showLegendKey val="0"/>
          <c:showVal val="1"/>
          <c:showCatName val="0"/>
          <c:showSerName val="0"/>
          <c:showPercent val="0"/>
          <c:showBubbleSize val="0"/>
        </c:dLbls>
        <c:marker val="0"/>
        <c:smooth val="0"/>
        <c:axId val="718228192"/>
        <c:axId val="718228672"/>
      </c:lineChart>
      <c:catAx>
        <c:axId val="718228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crossAx val="718228672"/>
        <c:crosses val="autoZero"/>
        <c:auto val="1"/>
        <c:lblAlgn val="ctr"/>
        <c:lblOffset val="100"/>
        <c:noMultiLvlLbl val="0"/>
      </c:catAx>
      <c:valAx>
        <c:axId val="7182286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crossAx val="718228192"/>
        <c:crosses val="autoZero"/>
        <c:crossBetween val="between"/>
      </c:valAx>
      <c:spPr>
        <a:noFill/>
        <a:ln>
          <a:noFill/>
        </a:ln>
        <a:effectLst/>
      </c:spPr>
    </c:plotArea>
    <c:plotVisOnly val="1"/>
    <c:dispBlanksAs val="gap"/>
    <c:showDLblsOverMax val="0"/>
    <c:extLst>
      <c:ext uri="{0b15fc19-7d7d-44ad-8c2d-2c3a37ce22c3}">
        <chartProps xmlns="https://web.wps.cn/et/2018/main" chartId="{e05cd2ef-900e-422f-b09d-7d7e4571baa8}"/>
      </c:ext>
    </c:extLst>
  </c:chart>
  <c:spPr>
    <a:solidFill>
      <a:schemeClr val="bg1"/>
    </a:solidFill>
    <a:ln w="9525" cap="flat" cmpd="sng" algn="ctr">
      <a:solidFill>
        <a:schemeClr val="tx1">
          <a:lumMod val="15000"/>
          <a:lumOff val="85000"/>
        </a:schemeClr>
      </a:solidFill>
      <a:round/>
    </a:ln>
    <a:effectLst/>
  </c:spPr>
  <c:txPr>
    <a:bodyPr/>
    <a:lstStyle/>
    <a:p>
      <a:pPr>
        <a:defRPr lang="en-US">
          <a:solidFill>
            <a:sysClr val="windowText" lastClr="000000"/>
          </a:solidFill>
          <a:latin typeface="Times New Roman" panose="02020603050405020304" charset="0"/>
          <a:cs typeface="Times New Roman" panose="02020603050405020304" charset="0"/>
        </a:defRPr>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400" b="0" i="0" u="none" strike="noStrike" kern="1200" spc="0" baseline="0">
              <a:solidFill>
                <a:sysClr val="windowText" lastClr="000000"/>
              </a:solidFill>
              <a:latin typeface="Times New Roman" panose="02020603050405020304" charset="0"/>
              <a:ea typeface="+mn-ea"/>
              <a:cs typeface="Times New Roman" panose="02020603050405020304" charset="0"/>
            </a:defRPr>
          </a:pPr>
        </a:p>
      </c:txPr>
    </c:title>
    <c:autoTitleDeleted val="0"/>
    <c:plotArea>
      <c:layout/>
      <c:lineChart>
        <c:grouping val="standard"/>
        <c:varyColors val="0"/>
        <c:ser>
          <c:idx val="0"/>
          <c:order val="0"/>
          <c:tx>
            <c:strRef>
              <c:f>'Ratio Analysis'!$A$31</c:f>
              <c:strCache>
                <c:ptCount val="1"/>
                <c:pt idx="0">
                  <c:v>EPS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'Ratio Analysis'!$B$1:$F$1</c:f>
              <c:numCache>
                <c:formatCode>General</c:formatCode>
                <c:ptCount val="5"/>
                <c:pt idx="0">
                  <c:v>2021</c:v>
                </c:pt>
                <c:pt idx="1">
                  <c:v>2022</c:v>
                </c:pt>
                <c:pt idx="2">
                  <c:v>2023</c:v>
                </c:pt>
                <c:pt idx="3">
                  <c:v>2024</c:v>
                </c:pt>
                <c:pt idx="4">
                  <c:v>2025</c:v>
                </c:pt>
              </c:numCache>
            </c:numRef>
          </c:cat>
          <c:val>
            <c:numRef>
              <c:f>'Ratio Analysis'!$B$31:$F$31</c:f>
              <c:numCache>
                <c:formatCode>0.00</c:formatCode>
                <c:ptCount val="5"/>
                <c:pt idx="0">
                  <c:v>2.43</c:v>
                </c:pt>
                <c:pt idx="1">
                  <c:v>9.55</c:v>
                </c:pt>
                <c:pt idx="2">
                  <c:v>9.51</c:v>
                </c:pt>
                <c:pt idx="3">
                  <c:v>8.33</c:v>
                </c:pt>
                <c:pt idx="4">
                  <c:v>10.18</c:v>
                </c:pt>
              </c:numCache>
            </c:numRef>
          </c:val>
          <c:smooth val="0"/>
        </c:ser>
        <c:dLbls>
          <c:showLegendKey val="0"/>
          <c:showVal val="1"/>
          <c:showCatName val="0"/>
          <c:showSerName val="0"/>
          <c:showPercent val="0"/>
          <c:showBubbleSize val="0"/>
        </c:dLbls>
        <c:marker val="0"/>
        <c:smooth val="0"/>
        <c:axId val="619934768"/>
        <c:axId val="619936208"/>
      </c:lineChart>
      <c:catAx>
        <c:axId val="619934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crossAx val="619936208"/>
        <c:crosses val="autoZero"/>
        <c:auto val="1"/>
        <c:lblAlgn val="ctr"/>
        <c:lblOffset val="100"/>
        <c:noMultiLvlLbl val="0"/>
      </c:catAx>
      <c:valAx>
        <c:axId val="61993620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crossAx val="619934768"/>
        <c:crosses val="autoZero"/>
        <c:crossBetween val="between"/>
      </c:valAx>
      <c:spPr>
        <a:noFill/>
        <a:ln>
          <a:noFill/>
        </a:ln>
        <a:effectLst/>
      </c:spPr>
    </c:plotArea>
    <c:plotVisOnly val="1"/>
    <c:dispBlanksAs val="gap"/>
    <c:showDLblsOverMax val="0"/>
    <c:extLst>
      <c:ext uri="{0b15fc19-7d7d-44ad-8c2d-2c3a37ce22c3}">
        <chartProps xmlns="https://web.wps.cn/et/2018/main" chartId="{aa03ce20-9743-4563-9ea3-11fd0ed510be}"/>
      </c:ext>
    </c:extLst>
  </c:chart>
  <c:spPr>
    <a:solidFill>
      <a:schemeClr val="bg1"/>
    </a:solidFill>
    <a:ln w="9525" cap="flat" cmpd="sng" algn="ctr">
      <a:solidFill>
        <a:schemeClr val="tx1">
          <a:lumMod val="15000"/>
          <a:lumOff val="85000"/>
        </a:schemeClr>
      </a:solidFill>
      <a:round/>
    </a:ln>
    <a:effectLst/>
  </c:spPr>
  <c:txPr>
    <a:bodyPr/>
    <a:lstStyle/>
    <a:p>
      <a:pPr>
        <a:defRPr lang="en-US">
          <a:solidFill>
            <a:sysClr val="windowText" lastClr="000000"/>
          </a:solidFill>
          <a:latin typeface="Times New Roman" panose="02020603050405020304" charset="0"/>
          <a:cs typeface="Times New Roman" panose="02020603050405020304" charset="0"/>
        </a:defRPr>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400" b="0" i="0" u="none" strike="noStrike" kern="1200" spc="0" baseline="0">
              <a:solidFill>
                <a:sysClr val="windowText" lastClr="000000"/>
              </a:solidFill>
              <a:latin typeface="Times New Roman" panose="02020603050405020304" charset="0"/>
              <a:ea typeface="+mn-ea"/>
              <a:cs typeface="Times New Roman" panose="02020603050405020304" charset="0"/>
            </a:defRPr>
          </a:pPr>
        </a:p>
      </c:txPr>
    </c:title>
    <c:autoTitleDeleted val="0"/>
    <c:plotArea>
      <c:layout/>
      <c:lineChart>
        <c:grouping val="standard"/>
        <c:varyColors val="0"/>
        <c:ser>
          <c:idx val="0"/>
          <c:order val="0"/>
          <c:tx>
            <c:strRef>
              <c:f>'Ratio Analysis'!$A$37</c:f>
              <c:strCache>
                <c:ptCount val="1"/>
                <c:pt idx="0">
                  <c:v>Free Cash Flow</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'Ratio Analysis'!$B$1:$F$1</c:f>
              <c:numCache>
                <c:formatCode>General</c:formatCode>
                <c:ptCount val="5"/>
                <c:pt idx="0">
                  <c:v>2021</c:v>
                </c:pt>
                <c:pt idx="1">
                  <c:v>2022</c:v>
                </c:pt>
                <c:pt idx="2">
                  <c:v>2023</c:v>
                </c:pt>
                <c:pt idx="3">
                  <c:v>2024</c:v>
                </c:pt>
                <c:pt idx="4">
                  <c:v>2025</c:v>
                </c:pt>
              </c:numCache>
            </c:numRef>
          </c:cat>
          <c:val>
            <c:numRef>
              <c:f>'Ratio Analysis'!$B$37:$F$37</c:f>
              <c:numCache>
                <c:formatCode>0.00</c:formatCode>
                <c:ptCount val="5"/>
                <c:pt idx="0">
                  <c:v>2070</c:v>
                </c:pt>
                <c:pt idx="1">
                  <c:v>2430</c:v>
                </c:pt>
                <c:pt idx="2">
                  <c:v>2718</c:v>
                </c:pt>
                <c:pt idx="3">
                  <c:v>1999</c:v>
                </c:pt>
                <c:pt idx="4">
                  <c:v>2608</c:v>
                </c:pt>
              </c:numCache>
            </c:numRef>
          </c:val>
          <c:smooth val="0"/>
        </c:ser>
        <c:dLbls>
          <c:showLegendKey val="0"/>
          <c:showVal val="1"/>
          <c:showCatName val="0"/>
          <c:showSerName val="0"/>
          <c:showPercent val="0"/>
          <c:showBubbleSize val="0"/>
        </c:dLbls>
        <c:marker val="0"/>
        <c:smooth val="0"/>
        <c:axId val="632178896"/>
        <c:axId val="632175536"/>
      </c:lineChart>
      <c:catAx>
        <c:axId val="632178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crossAx val="632175536"/>
        <c:crosses val="autoZero"/>
        <c:auto val="1"/>
        <c:lblAlgn val="ctr"/>
        <c:lblOffset val="100"/>
        <c:noMultiLvlLbl val="0"/>
      </c:catAx>
      <c:valAx>
        <c:axId val="6321755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charset="0"/>
                <a:ea typeface="+mn-ea"/>
                <a:cs typeface="Times New Roman" panose="02020603050405020304" charset="0"/>
              </a:defRPr>
            </a:pPr>
          </a:p>
        </c:txPr>
        <c:crossAx val="632178896"/>
        <c:crosses val="autoZero"/>
        <c:crossBetween val="between"/>
      </c:valAx>
      <c:spPr>
        <a:noFill/>
        <a:ln>
          <a:noFill/>
        </a:ln>
        <a:effectLst/>
      </c:spPr>
    </c:plotArea>
    <c:plotVisOnly val="1"/>
    <c:dispBlanksAs val="gap"/>
    <c:showDLblsOverMax val="0"/>
    <c:extLst>
      <c:ext uri="{0b15fc19-7d7d-44ad-8c2d-2c3a37ce22c3}">
        <chartProps xmlns="https://web.wps.cn/et/2018/main" chartId="{c301ef31-d770-4cf2-aa59-eca2069d3348}"/>
      </c:ext>
    </c:extLst>
  </c:chart>
  <c:spPr>
    <a:solidFill>
      <a:schemeClr val="bg1"/>
    </a:solidFill>
    <a:ln w="9525" cap="flat" cmpd="sng" algn="ctr">
      <a:solidFill>
        <a:schemeClr val="tx1">
          <a:lumMod val="15000"/>
          <a:lumOff val="85000"/>
        </a:schemeClr>
      </a:solidFill>
      <a:round/>
    </a:ln>
    <a:effectLst/>
  </c:spPr>
  <c:txPr>
    <a:bodyPr/>
    <a:lstStyle/>
    <a:p>
      <a:pPr>
        <a:defRPr lang="en-US">
          <a:solidFill>
            <a:sysClr val="windowText" lastClr="000000"/>
          </a:solidFill>
          <a:latin typeface="Times New Roman" panose="02020603050405020304" charset="0"/>
          <a:cs typeface="Times New Roman" panose="02020603050405020304" charset="0"/>
        </a:defRPr>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38</Pages>
  <Words>5896</Words>
  <Characters>37736</Characters>
  <Lines>0</Lines>
  <Paragraphs>0</Paragraphs>
  <TotalTime>4</TotalTime>
  <ScaleCrop>false</ScaleCrop>
  <LinksUpToDate>false</LinksUpToDate>
  <CharactersWithSpaces>43461</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2026-06-29T15:44:00Z</dcterms:created>
  <dc:creator>Kirti Patel</dc:creator>
  <cp:lastModifiedBy>Kirti Patel</cp:lastModifiedBy>
  <dcterms:modified xsi:type="dcterms:W3CDTF">2026-07-18T16:03:48Z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E5848300E3DF45D081DD696C5DE07069_11</vt:lpwstr>
  </property>
  <property fmtid="{D5CDD505-2E9C-101B-9397-08002B2CF9AE}" pid="4" name="KSOTemplateDocerSaveRecord">
    <vt:lpwstr>eyJoZGlkIjoiZTUzZTNhZDA5MWQ4OWIyNWEyY2ExYzllMWJmYzBjYTAiLCJ1c2VySWQiOiI1NjcxNzg5OTY0MTkifQ==</vt:lpwstr>
  </property>
</Properties>
</file>