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4FAE4" w14:textId="77777777" w:rsidR="00A96628" w:rsidRPr="00474093" w:rsidRDefault="00A96628" w:rsidP="00474093">
      <w:pPr>
        <w:spacing w:after="0" w:line="360" w:lineRule="auto"/>
        <w:jc w:val="both"/>
        <w:rPr>
          <w:rFonts w:ascii="Arial" w:hAnsi="Arial" w:cs="Arial"/>
          <w:sz w:val="24"/>
          <w:szCs w:val="24"/>
        </w:rPr>
      </w:pPr>
    </w:p>
    <w:p w14:paraId="7B7CA73A" w14:textId="77777777" w:rsidR="002D38B9" w:rsidRPr="00474093" w:rsidRDefault="002D38B9" w:rsidP="00474093">
      <w:pPr>
        <w:spacing w:after="0" w:line="360" w:lineRule="auto"/>
        <w:jc w:val="both"/>
        <w:rPr>
          <w:rFonts w:ascii="Arial" w:hAnsi="Arial" w:cs="Arial"/>
          <w:sz w:val="24"/>
          <w:szCs w:val="24"/>
        </w:rPr>
      </w:pPr>
    </w:p>
    <w:p w14:paraId="7F1C39F4" w14:textId="77777777" w:rsidR="00D91FAE" w:rsidRPr="00474093" w:rsidRDefault="00D91FAE" w:rsidP="00474093">
      <w:pPr>
        <w:spacing w:after="0" w:line="360" w:lineRule="auto"/>
        <w:jc w:val="both"/>
        <w:rPr>
          <w:rFonts w:ascii="Arial" w:eastAsia="Times New Roman" w:hAnsi="Arial" w:cs="Arial"/>
          <w:sz w:val="24"/>
          <w:szCs w:val="24"/>
          <w:lang w:val=""/>
        </w:rPr>
      </w:pPr>
      <w:r w:rsidRPr="00474093">
        <w:rPr>
          <w:rFonts w:ascii="Arial" w:hAnsi="Arial" w:cs="Arial"/>
          <w:noProof/>
          <w:sz w:val="24"/>
          <w:szCs w:val="24"/>
        </w:rPr>
        <w:drawing>
          <wp:inline distT="0" distB="0" distL="0" distR="0" wp14:anchorId="33729ADD" wp14:editId="4EABEE05">
            <wp:extent cx="4216400" cy="1399078"/>
            <wp:effectExtent l="0" t="0" r="0" b="0"/>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216400" cy="1399078"/>
                    </a:xfrm>
                    <a:prstGeom prst="rect">
                      <a:avLst/>
                    </a:prstGeom>
                  </pic:spPr>
                </pic:pic>
              </a:graphicData>
            </a:graphic>
          </wp:inline>
        </w:drawing>
      </w:r>
    </w:p>
    <w:p w14:paraId="78E8319C" w14:textId="77777777" w:rsidR="00D91FAE" w:rsidRPr="00474093" w:rsidRDefault="00D91FAE" w:rsidP="00474093">
      <w:pPr>
        <w:spacing w:after="0" w:line="360" w:lineRule="auto"/>
        <w:jc w:val="both"/>
        <w:rPr>
          <w:rFonts w:ascii="Arial" w:eastAsia="Times New Roman" w:hAnsi="Arial" w:cs="Arial"/>
          <w:sz w:val="24"/>
          <w:szCs w:val="24"/>
          <w:lang w:val=""/>
        </w:rPr>
      </w:pPr>
    </w:p>
    <w:p w14:paraId="7EC42421" w14:textId="77777777" w:rsidR="00D91FAE" w:rsidRPr="00474093" w:rsidRDefault="00D91FAE" w:rsidP="00474093">
      <w:pPr>
        <w:spacing w:after="0" w:line="360" w:lineRule="auto"/>
        <w:jc w:val="both"/>
        <w:rPr>
          <w:rFonts w:ascii="Arial" w:eastAsia="Times New Roman" w:hAnsi="Arial" w:cs="Arial"/>
          <w:sz w:val="24"/>
          <w:szCs w:val="24"/>
          <w:lang w:val=""/>
        </w:rPr>
      </w:pPr>
    </w:p>
    <w:p w14:paraId="45AB0CEF" w14:textId="77777777" w:rsidR="00D91FAE" w:rsidRPr="00474093" w:rsidRDefault="00D91FAE" w:rsidP="00474093">
      <w:pPr>
        <w:spacing w:after="0" w:line="360" w:lineRule="auto"/>
        <w:jc w:val="both"/>
        <w:rPr>
          <w:rFonts w:ascii="Arial" w:eastAsia="Times New Roman" w:hAnsi="Arial" w:cs="Arial"/>
          <w:sz w:val="24"/>
          <w:szCs w:val="24"/>
          <w:lang w:val=""/>
        </w:rPr>
      </w:pPr>
    </w:p>
    <w:p w14:paraId="4E1C0BE8" w14:textId="77777777" w:rsidR="00D91FAE" w:rsidRPr="00474093" w:rsidRDefault="00D91FAE" w:rsidP="00474093">
      <w:pPr>
        <w:spacing w:line="360" w:lineRule="auto"/>
        <w:jc w:val="both"/>
        <w:rPr>
          <w:rFonts w:ascii="Arial" w:eastAsia="DengXian" w:hAnsi="Arial" w:cs="Arial"/>
          <w:sz w:val="24"/>
          <w:szCs w:val="24"/>
          <w:lang w:eastAsia="zh-CN"/>
        </w:rPr>
      </w:pPr>
    </w:p>
    <w:p w14:paraId="2501B061" w14:textId="77777777" w:rsidR="00D91FAE" w:rsidRPr="00474093" w:rsidRDefault="00D91FAE" w:rsidP="00474093">
      <w:pPr>
        <w:spacing w:line="360" w:lineRule="auto"/>
        <w:ind w:left="1440" w:firstLine="720"/>
        <w:jc w:val="both"/>
        <w:rPr>
          <w:rFonts w:ascii="Arial" w:eastAsia="DengXian" w:hAnsi="Arial" w:cs="Arial"/>
          <w:sz w:val="24"/>
          <w:szCs w:val="24"/>
          <w:lang w:eastAsia="zh-CN"/>
        </w:rPr>
      </w:pPr>
      <w:r w:rsidRPr="00474093">
        <w:rPr>
          <w:rFonts w:ascii="Arial" w:eastAsia="DengXian" w:hAnsi="Arial" w:cs="Arial"/>
          <w:sz w:val="24"/>
          <w:szCs w:val="24"/>
          <w:lang w:eastAsia="zh-CN"/>
        </w:rPr>
        <w:t xml:space="preserve">       </w:t>
      </w:r>
    </w:p>
    <w:p w14:paraId="4CD83EB2" w14:textId="77777777" w:rsidR="00D91FAE" w:rsidRPr="00474093" w:rsidRDefault="00D91FAE" w:rsidP="00474093">
      <w:pPr>
        <w:spacing w:line="360" w:lineRule="auto"/>
        <w:ind w:left="1440" w:firstLine="720"/>
        <w:jc w:val="both"/>
        <w:rPr>
          <w:rFonts w:ascii="Arial" w:eastAsia="DengXian" w:hAnsi="Arial" w:cs="Arial"/>
          <w:sz w:val="24"/>
          <w:szCs w:val="24"/>
          <w:lang w:eastAsia="zh-CN"/>
        </w:rPr>
      </w:pPr>
      <w:r w:rsidRPr="00474093">
        <w:rPr>
          <w:rFonts w:ascii="Arial" w:eastAsia="DengXian" w:hAnsi="Arial" w:cs="Arial"/>
          <w:sz w:val="24"/>
          <w:szCs w:val="24"/>
          <w:lang w:eastAsia="zh-CN"/>
        </w:rPr>
        <w:t xml:space="preserve">    Assignment 1 </w:t>
      </w:r>
    </w:p>
    <w:p w14:paraId="1EEA1B1E" w14:textId="77777777" w:rsidR="00D91FAE" w:rsidRPr="00474093" w:rsidRDefault="00D91FAE" w:rsidP="00474093">
      <w:pPr>
        <w:spacing w:line="360" w:lineRule="auto"/>
        <w:jc w:val="both"/>
        <w:rPr>
          <w:rFonts w:ascii="Arial" w:eastAsia="DengXian" w:hAnsi="Arial" w:cs="Arial"/>
          <w:sz w:val="24"/>
          <w:szCs w:val="24"/>
          <w:lang w:eastAsia="zh-CN"/>
        </w:rPr>
      </w:pPr>
    </w:p>
    <w:p w14:paraId="161F0952" w14:textId="77777777" w:rsidR="00D91FAE" w:rsidRPr="00474093" w:rsidRDefault="00D91FAE" w:rsidP="00474093">
      <w:pPr>
        <w:spacing w:line="360" w:lineRule="auto"/>
        <w:jc w:val="both"/>
        <w:rPr>
          <w:rFonts w:ascii="Arial" w:eastAsia="DengXian" w:hAnsi="Arial" w:cs="Arial"/>
          <w:sz w:val="24"/>
          <w:szCs w:val="24"/>
          <w:lang w:eastAsia="zh-CN"/>
        </w:rPr>
      </w:pPr>
    </w:p>
    <w:p w14:paraId="3FB543D7" w14:textId="77777777" w:rsidR="00D91FAE" w:rsidRPr="00474093" w:rsidRDefault="00D91FAE" w:rsidP="00474093">
      <w:pPr>
        <w:spacing w:line="360" w:lineRule="auto"/>
        <w:jc w:val="both"/>
        <w:rPr>
          <w:rFonts w:ascii="Arial" w:eastAsia="DengXian" w:hAnsi="Arial" w:cs="Arial"/>
          <w:sz w:val="24"/>
          <w:szCs w:val="24"/>
          <w:lang w:eastAsia="zh-CN"/>
        </w:rPr>
      </w:pPr>
      <w:r w:rsidRPr="00474093">
        <w:rPr>
          <w:rFonts w:ascii="Arial" w:eastAsia="DengXian" w:hAnsi="Arial" w:cs="Arial"/>
          <w:sz w:val="24"/>
          <w:szCs w:val="24"/>
          <w:lang w:eastAsia="zh-CN"/>
        </w:rPr>
        <w:t xml:space="preserve">Name: Stefania-Diana Stanciu </w:t>
      </w:r>
    </w:p>
    <w:p w14:paraId="11767BD9" w14:textId="77777777" w:rsidR="0051328C" w:rsidRPr="00474093" w:rsidRDefault="00D91FAE" w:rsidP="00474093">
      <w:pPr>
        <w:spacing w:line="360" w:lineRule="auto"/>
        <w:jc w:val="both"/>
        <w:rPr>
          <w:rFonts w:ascii="Arial" w:eastAsia="DengXian" w:hAnsi="Arial" w:cs="Arial"/>
          <w:sz w:val="24"/>
          <w:szCs w:val="24"/>
          <w:lang w:eastAsia="zh-CN"/>
        </w:rPr>
      </w:pPr>
      <w:r w:rsidRPr="00474093">
        <w:rPr>
          <w:rFonts w:ascii="Arial" w:eastAsia="DengXian" w:hAnsi="Arial" w:cs="Arial"/>
          <w:sz w:val="24"/>
          <w:szCs w:val="24"/>
          <w:lang w:eastAsia="zh-CN"/>
        </w:rPr>
        <w:t>Student ID: 2234963</w:t>
      </w:r>
    </w:p>
    <w:p w14:paraId="49538E79" w14:textId="38618D4C" w:rsidR="0051328C" w:rsidRPr="00474093" w:rsidRDefault="00D91FAE" w:rsidP="00474093">
      <w:pPr>
        <w:spacing w:line="360" w:lineRule="auto"/>
        <w:jc w:val="both"/>
        <w:rPr>
          <w:rFonts w:ascii="Arial" w:eastAsia="DengXian" w:hAnsi="Arial" w:cs="Arial"/>
          <w:sz w:val="24"/>
          <w:szCs w:val="24"/>
          <w:lang w:eastAsia="zh-CN"/>
        </w:rPr>
      </w:pPr>
      <w:r w:rsidRPr="00474093">
        <w:rPr>
          <w:rFonts w:ascii="Arial" w:eastAsia="DengXian" w:hAnsi="Arial" w:cs="Arial"/>
          <w:sz w:val="24"/>
          <w:szCs w:val="24"/>
          <w:lang w:eastAsia="zh-CN"/>
        </w:rPr>
        <w:t xml:space="preserve">Module code: </w:t>
      </w:r>
      <w:r w:rsidR="0051328C" w:rsidRPr="00474093">
        <w:rPr>
          <w:rFonts w:ascii="Arial" w:hAnsi="Arial" w:cs="Arial"/>
          <w:sz w:val="24"/>
          <w:szCs w:val="24"/>
        </w:rPr>
        <w:t xml:space="preserve">LCBB4002 </w:t>
      </w:r>
    </w:p>
    <w:p w14:paraId="43CB3B30" w14:textId="58D6B0B0" w:rsidR="00D91FAE" w:rsidRPr="00474093" w:rsidRDefault="00D91FAE" w:rsidP="00474093">
      <w:pPr>
        <w:spacing w:line="360" w:lineRule="auto"/>
        <w:jc w:val="both"/>
        <w:rPr>
          <w:rFonts w:ascii="Arial" w:eastAsia="DengXian" w:hAnsi="Arial" w:cs="Arial"/>
          <w:sz w:val="24"/>
          <w:szCs w:val="24"/>
          <w:lang w:eastAsia="zh-CN"/>
        </w:rPr>
      </w:pPr>
      <w:r w:rsidRPr="00474093">
        <w:rPr>
          <w:rFonts w:ascii="Arial" w:eastAsia="DengXian" w:hAnsi="Arial" w:cs="Arial"/>
          <w:sz w:val="24"/>
          <w:szCs w:val="24"/>
          <w:lang w:eastAsia="zh-CN"/>
        </w:rPr>
        <w:t xml:space="preserve">Module name: </w:t>
      </w:r>
      <w:r w:rsidR="0051328C" w:rsidRPr="00474093">
        <w:rPr>
          <w:rFonts w:ascii="Arial" w:hAnsi="Arial" w:cs="Arial"/>
          <w:sz w:val="24"/>
          <w:szCs w:val="24"/>
        </w:rPr>
        <w:t>Community Engagement</w:t>
      </w:r>
    </w:p>
    <w:p w14:paraId="66AA6F09" w14:textId="621DB367" w:rsidR="00D91FAE" w:rsidRPr="00474093" w:rsidRDefault="00D91FAE" w:rsidP="00474093">
      <w:pPr>
        <w:spacing w:line="360" w:lineRule="auto"/>
        <w:jc w:val="both"/>
        <w:rPr>
          <w:rFonts w:ascii="Arial" w:eastAsia="DengXian" w:hAnsi="Arial" w:cs="Arial"/>
          <w:sz w:val="24"/>
          <w:szCs w:val="24"/>
          <w:lang w:eastAsia="zh-CN"/>
        </w:rPr>
      </w:pPr>
      <w:r w:rsidRPr="00474093">
        <w:rPr>
          <w:rFonts w:ascii="Arial" w:eastAsia="DengXian" w:hAnsi="Arial" w:cs="Arial"/>
          <w:sz w:val="24"/>
          <w:szCs w:val="24"/>
          <w:lang w:eastAsia="zh-CN"/>
        </w:rPr>
        <w:t xml:space="preserve">Lecturer: </w:t>
      </w:r>
      <w:r w:rsidR="00FE15FA" w:rsidRPr="00474093">
        <w:rPr>
          <w:rFonts w:ascii="Arial" w:eastAsia="DengXian" w:hAnsi="Arial" w:cs="Arial"/>
          <w:sz w:val="24"/>
          <w:szCs w:val="24"/>
          <w:lang w:eastAsia="zh-CN"/>
        </w:rPr>
        <w:t>Na</w:t>
      </w:r>
      <w:r w:rsidR="008B2EDD" w:rsidRPr="00474093">
        <w:rPr>
          <w:rFonts w:ascii="Arial" w:eastAsia="DengXian" w:hAnsi="Arial" w:cs="Arial"/>
          <w:sz w:val="24"/>
          <w:szCs w:val="24"/>
          <w:lang w:eastAsia="zh-CN"/>
        </w:rPr>
        <w:t>d</w:t>
      </w:r>
      <w:r w:rsidR="00FE15FA" w:rsidRPr="00474093">
        <w:rPr>
          <w:rFonts w:ascii="Arial" w:eastAsia="DengXian" w:hAnsi="Arial" w:cs="Arial"/>
          <w:sz w:val="24"/>
          <w:szCs w:val="24"/>
          <w:lang w:eastAsia="zh-CN"/>
        </w:rPr>
        <w:t xml:space="preserve">eem </w:t>
      </w:r>
      <w:r w:rsidR="008B2EDD" w:rsidRPr="00474093">
        <w:rPr>
          <w:rFonts w:ascii="Arial" w:eastAsia="DengXian" w:hAnsi="Arial" w:cs="Arial"/>
          <w:sz w:val="24"/>
          <w:szCs w:val="24"/>
          <w:lang w:eastAsia="zh-CN"/>
        </w:rPr>
        <w:t xml:space="preserve">Mirza </w:t>
      </w:r>
    </w:p>
    <w:p w14:paraId="3E4C27E8" w14:textId="77777777" w:rsidR="002D38B9" w:rsidRPr="00474093" w:rsidRDefault="002D38B9" w:rsidP="00474093">
      <w:pPr>
        <w:spacing w:after="0" w:line="360" w:lineRule="auto"/>
        <w:jc w:val="both"/>
        <w:rPr>
          <w:rFonts w:ascii="Arial" w:hAnsi="Arial" w:cs="Arial"/>
          <w:sz w:val="24"/>
          <w:szCs w:val="24"/>
        </w:rPr>
      </w:pPr>
    </w:p>
    <w:p w14:paraId="463F94C4" w14:textId="77777777" w:rsidR="002D38B9" w:rsidRPr="00474093" w:rsidRDefault="002D38B9" w:rsidP="00474093">
      <w:pPr>
        <w:spacing w:after="0" w:line="360" w:lineRule="auto"/>
        <w:jc w:val="both"/>
        <w:rPr>
          <w:rFonts w:ascii="Arial" w:hAnsi="Arial" w:cs="Arial"/>
          <w:sz w:val="24"/>
          <w:szCs w:val="24"/>
        </w:rPr>
      </w:pPr>
    </w:p>
    <w:p w14:paraId="3FD13A46" w14:textId="77777777" w:rsidR="002D38B9" w:rsidRPr="00474093" w:rsidRDefault="002D38B9" w:rsidP="00474093">
      <w:pPr>
        <w:spacing w:after="0" w:line="360" w:lineRule="auto"/>
        <w:jc w:val="both"/>
        <w:rPr>
          <w:rFonts w:ascii="Arial" w:hAnsi="Arial" w:cs="Arial"/>
          <w:sz w:val="24"/>
          <w:szCs w:val="24"/>
        </w:rPr>
      </w:pPr>
    </w:p>
    <w:p w14:paraId="440FBCAB" w14:textId="77777777" w:rsidR="002D38B9" w:rsidRPr="00474093" w:rsidRDefault="002D38B9" w:rsidP="00474093">
      <w:pPr>
        <w:spacing w:after="0" w:line="360" w:lineRule="auto"/>
        <w:jc w:val="both"/>
        <w:rPr>
          <w:rFonts w:ascii="Arial" w:hAnsi="Arial" w:cs="Arial"/>
          <w:sz w:val="24"/>
          <w:szCs w:val="24"/>
        </w:rPr>
      </w:pPr>
    </w:p>
    <w:p w14:paraId="7F2E8CB6" w14:textId="77777777" w:rsidR="002D38B9" w:rsidRPr="00474093" w:rsidRDefault="002D38B9" w:rsidP="00474093">
      <w:pPr>
        <w:spacing w:after="0" w:line="360" w:lineRule="auto"/>
        <w:jc w:val="both"/>
        <w:rPr>
          <w:rFonts w:ascii="Arial" w:hAnsi="Arial" w:cs="Arial"/>
          <w:sz w:val="24"/>
          <w:szCs w:val="24"/>
        </w:rPr>
      </w:pPr>
    </w:p>
    <w:p w14:paraId="1D3D959C" w14:textId="77777777" w:rsidR="002D38B9" w:rsidRPr="00474093" w:rsidRDefault="002D38B9" w:rsidP="00474093">
      <w:pPr>
        <w:spacing w:after="0" w:line="360" w:lineRule="auto"/>
        <w:jc w:val="both"/>
        <w:rPr>
          <w:rFonts w:ascii="Arial" w:hAnsi="Arial" w:cs="Arial"/>
          <w:sz w:val="24"/>
          <w:szCs w:val="24"/>
        </w:rPr>
      </w:pPr>
    </w:p>
    <w:p w14:paraId="6E29AECE" w14:textId="77777777" w:rsidR="002D38B9" w:rsidRPr="00474093" w:rsidRDefault="002D38B9" w:rsidP="00474093">
      <w:pPr>
        <w:spacing w:after="0" w:line="360" w:lineRule="auto"/>
        <w:jc w:val="both"/>
        <w:rPr>
          <w:rFonts w:ascii="Arial" w:hAnsi="Arial" w:cs="Arial"/>
          <w:sz w:val="24"/>
          <w:szCs w:val="24"/>
        </w:rPr>
      </w:pPr>
    </w:p>
    <w:p w14:paraId="0FE0F97E" w14:textId="77777777" w:rsidR="002D38B9" w:rsidRPr="00474093" w:rsidRDefault="002D38B9" w:rsidP="00474093">
      <w:pPr>
        <w:spacing w:after="0" w:line="360" w:lineRule="auto"/>
        <w:jc w:val="both"/>
        <w:rPr>
          <w:rFonts w:ascii="Arial" w:hAnsi="Arial" w:cs="Arial"/>
          <w:sz w:val="24"/>
          <w:szCs w:val="24"/>
        </w:rPr>
      </w:pPr>
    </w:p>
    <w:p w14:paraId="1B679DC8" w14:textId="77777777" w:rsidR="008378D9" w:rsidRPr="00474093" w:rsidRDefault="008378D9" w:rsidP="00474093">
      <w:pPr>
        <w:spacing w:line="360" w:lineRule="auto"/>
        <w:jc w:val="both"/>
        <w:rPr>
          <w:rFonts w:ascii="Arial" w:hAnsi="Arial" w:cs="Arial"/>
          <w:sz w:val="24"/>
          <w:szCs w:val="24"/>
        </w:rPr>
      </w:pPr>
    </w:p>
    <w:sdt>
      <w:sdtPr>
        <w:rPr>
          <w:rFonts w:ascii="Arial" w:eastAsiaTheme="minorHAnsi" w:hAnsi="Arial" w:cs="Arial"/>
          <w:color w:val="auto"/>
          <w:kern w:val="2"/>
          <w:sz w:val="24"/>
          <w:szCs w:val="24"/>
          <w:lang w:val="en-GB"/>
          <w14:ligatures w14:val="standardContextual"/>
        </w:rPr>
        <w:id w:val="674688631"/>
        <w:docPartObj>
          <w:docPartGallery w:val="Table of Contents"/>
          <w:docPartUnique/>
        </w:docPartObj>
      </w:sdtPr>
      <w:sdtEndPr>
        <w:rPr>
          <w:noProof/>
        </w:rPr>
      </w:sdtEndPr>
      <w:sdtContent>
        <w:p w14:paraId="5999428C" w14:textId="41B69267" w:rsidR="00F95D47" w:rsidRPr="00474093" w:rsidRDefault="00F95D47" w:rsidP="00474093">
          <w:pPr>
            <w:pStyle w:val="TOCHeading"/>
            <w:spacing w:line="360" w:lineRule="auto"/>
            <w:jc w:val="both"/>
            <w:rPr>
              <w:rFonts w:ascii="Arial" w:hAnsi="Arial" w:cs="Arial"/>
              <w:sz w:val="24"/>
              <w:szCs w:val="24"/>
            </w:rPr>
          </w:pPr>
          <w:r w:rsidRPr="00474093">
            <w:rPr>
              <w:rFonts w:ascii="Arial" w:hAnsi="Arial" w:cs="Arial"/>
              <w:sz w:val="24"/>
              <w:szCs w:val="24"/>
            </w:rPr>
            <w:t>Contents</w:t>
          </w:r>
        </w:p>
        <w:p w14:paraId="1AEC6846" w14:textId="29C9ED79" w:rsidR="008C6BEE" w:rsidRDefault="00F95D47">
          <w:pPr>
            <w:pStyle w:val="TOC1"/>
            <w:rPr>
              <w:rFonts w:asciiTheme="minorHAnsi" w:eastAsiaTheme="minorEastAsia" w:hAnsiTheme="minorHAnsi" w:cstheme="minorBidi"/>
              <w:sz w:val="22"/>
              <w:szCs w:val="22"/>
              <w:lang w:eastAsia="en-GB"/>
            </w:rPr>
          </w:pPr>
          <w:r w:rsidRPr="00474093">
            <w:rPr>
              <w:noProof w:val="0"/>
              <w:sz w:val="24"/>
              <w:szCs w:val="24"/>
            </w:rPr>
            <w:fldChar w:fldCharType="begin"/>
          </w:r>
          <w:r w:rsidRPr="00474093">
            <w:rPr>
              <w:sz w:val="24"/>
              <w:szCs w:val="24"/>
            </w:rPr>
            <w:instrText xml:space="preserve"> TOC \o "1-3" \h \z \u </w:instrText>
          </w:r>
          <w:r w:rsidRPr="00474093">
            <w:rPr>
              <w:noProof w:val="0"/>
              <w:sz w:val="24"/>
              <w:szCs w:val="24"/>
            </w:rPr>
            <w:fldChar w:fldCharType="separate"/>
          </w:r>
          <w:hyperlink w:anchor="_Toc141943152" w:history="1">
            <w:r w:rsidR="008C6BEE" w:rsidRPr="006C283E">
              <w:rPr>
                <w:rStyle w:val="Hyperlink"/>
              </w:rPr>
              <w:t>Introduction</w:t>
            </w:r>
            <w:r w:rsidR="008C6BEE">
              <w:rPr>
                <w:webHidden/>
              </w:rPr>
              <w:tab/>
            </w:r>
            <w:r w:rsidR="008C6BEE">
              <w:rPr>
                <w:webHidden/>
              </w:rPr>
              <w:fldChar w:fldCharType="begin"/>
            </w:r>
            <w:r w:rsidR="008C6BEE">
              <w:rPr>
                <w:webHidden/>
              </w:rPr>
              <w:instrText xml:space="preserve"> PAGEREF _Toc141943152 \h </w:instrText>
            </w:r>
            <w:r w:rsidR="008C6BEE">
              <w:rPr>
                <w:webHidden/>
              </w:rPr>
            </w:r>
            <w:r w:rsidR="008C6BEE">
              <w:rPr>
                <w:webHidden/>
              </w:rPr>
              <w:fldChar w:fldCharType="separate"/>
            </w:r>
            <w:r w:rsidR="008C6BEE">
              <w:rPr>
                <w:webHidden/>
              </w:rPr>
              <w:t>3</w:t>
            </w:r>
            <w:r w:rsidR="008C6BEE">
              <w:rPr>
                <w:webHidden/>
              </w:rPr>
              <w:fldChar w:fldCharType="end"/>
            </w:r>
          </w:hyperlink>
        </w:p>
        <w:p w14:paraId="7A6901AB" w14:textId="31E02127" w:rsidR="008C6BEE" w:rsidRDefault="008C6BEE">
          <w:pPr>
            <w:pStyle w:val="TOC1"/>
            <w:rPr>
              <w:rFonts w:asciiTheme="minorHAnsi" w:eastAsiaTheme="minorEastAsia" w:hAnsiTheme="minorHAnsi" w:cstheme="minorBidi"/>
              <w:sz w:val="22"/>
              <w:szCs w:val="22"/>
              <w:lang w:eastAsia="en-GB"/>
            </w:rPr>
          </w:pPr>
          <w:hyperlink w:anchor="_Toc141943153" w:history="1">
            <w:r w:rsidRPr="006C283E">
              <w:rPr>
                <w:rStyle w:val="Hyperlink"/>
              </w:rPr>
              <w:t>The project</w:t>
            </w:r>
            <w:r>
              <w:rPr>
                <w:webHidden/>
              </w:rPr>
              <w:tab/>
            </w:r>
            <w:r>
              <w:rPr>
                <w:webHidden/>
              </w:rPr>
              <w:fldChar w:fldCharType="begin"/>
            </w:r>
            <w:r>
              <w:rPr>
                <w:webHidden/>
              </w:rPr>
              <w:instrText xml:space="preserve"> PAGEREF _Toc141943153 \h </w:instrText>
            </w:r>
            <w:r>
              <w:rPr>
                <w:webHidden/>
              </w:rPr>
            </w:r>
            <w:r>
              <w:rPr>
                <w:webHidden/>
              </w:rPr>
              <w:fldChar w:fldCharType="separate"/>
            </w:r>
            <w:r>
              <w:rPr>
                <w:webHidden/>
              </w:rPr>
              <w:t>3</w:t>
            </w:r>
            <w:r>
              <w:rPr>
                <w:webHidden/>
              </w:rPr>
              <w:fldChar w:fldCharType="end"/>
            </w:r>
          </w:hyperlink>
        </w:p>
        <w:p w14:paraId="2971FED3" w14:textId="755D4F15" w:rsidR="008C6BEE" w:rsidRDefault="008C6BEE">
          <w:pPr>
            <w:pStyle w:val="TOC1"/>
            <w:rPr>
              <w:rFonts w:asciiTheme="minorHAnsi" w:eastAsiaTheme="minorEastAsia" w:hAnsiTheme="minorHAnsi" w:cstheme="minorBidi"/>
              <w:sz w:val="22"/>
              <w:szCs w:val="22"/>
              <w:lang w:eastAsia="en-GB"/>
            </w:rPr>
          </w:pPr>
          <w:hyperlink w:anchor="_Toc141943154" w:history="1">
            <w:r w:rsidRPr="006C283E">
              <w:rPr>
                <w:rStyle w:val="Hyperlink"/>
              </w:rPr>
              <w:t>Best Practices and Stakeholder Engagement</w:t>
            </w:r>
            <w:r>
              <w:rPr>
                <w:webHidden/>
              </w:rPr>
              <w:tab/>
            </w:r>
            <w:r>
              <w:rPr>
                <w:webHidden/>
              </w:rPr>
              <w:fldChar w:fldCharType="begin"/>
            </w:r>
            <w:r>
              <w:rPr>
                <w:webHidden/>
              </w:rPr>
              <w:instrText xml:space="preserve"> PAGEREF _Toc141943154 \h </w:instrText>
            </w:r>
            <w:r>
              <w:rPr>
                <w:webHidden/>
              </w:rPr>
            </w:r>
            <w:r>
              <w:rPr>
                <w:webHidden/>
              </w:rPr>
              <w:fldChar w:fldCharType="separate"/>
            </w:r>
            <w:r>
              <w:rPr>
                <w:webHidden/>
              </w:rPr>
              <w:t>4</w:t>
            </w:r>
            <w:r>
              <w:rPr>
                <w:webHidden/>
              </w:rPr>
              <w:fldChar w:fldCharType="end"/>
            </w:r>
          </w:hyperlink>
        </w:p>
        <w:p w14:paraId="1549A851" w14:textId="484A16F8" w:rsidR="008C6BEE" w:rsidRDefault="008C6BEE">
          <w:pPr>
            <w:pStyle w:val="TOC2"/>
            <w:tabs>
              <w:tab w:val="right" w:leader="dot" w:pos="9016"/>
            </w:tabs>
            <w:rPr>
              <w:rFonts w:eastAsiaTheme="minorEastAsia"/>
              <w:noProof/>
              <w:lang w:eastAsia="en-GB"/>
            </w:rPr>
          </w:pPr>
          <w:hyperlink w:anchor="_Toc141943155" w:history="1">
            <w:r w:rsidRPr="006C283E">
              <w:rPr>
                <w:rStyle w:val="Hyperlink"/>
                <w:rFonts w:ascii="Arial" w:hAnsi="Arial" w:cs="Arial"/>
                <w:noProof/>
              </w:rPr>
              <w:t>Community Members:</w:t>
            </w:r>
            <w:r>
              <w:rPr>
                <w:noProof/>
                <w:webHidden/>
              </w:rPr>
              <w:tab/>
            </w:r>
            <w:r>
              <w:rPr>
                <w:noProof/>
                <w:webHidden/>
              </w:rPr>
              <w:fldChar w:fldCharType="begin"/>
            </w:r>
            <w:r>
              <w:rPr>
                <w:noProof/>
                <w:webHidden/>
              </w:rPr>
              <w:instrText xml:space="preserve"> PAGEREF _Toc141943155 \h </w:instrText>
            </w:r>
            <w:r>
              <w:rPr>
                <w:noProof/>
                <w:webHidden/>
              </w:rPr>
            </w:r>
            <w:r>
              <w:rPr>
                <w:noProof/>
                <w:webHidden/>
              </w:rPr>
              <w:fldChar w:fldCharType="separate"/>
            </w:r>
            <w:r>
              <w:rPr>
                <w:noProof/>
                <w:webHidden/>
              </w:rPr>
              <w:t>4</w:t>
            </w:r>
            <w:r>
              <w:rPr>
                <w:noProof/>
                <w:webHidden/>
              </w:rPr>
              <w:fldChar w:fldCharType="end"/>
            </w:r>
          </w:hyperlink>
        </w:p>
        <w:p w14:paraId="45CADFBA" w14:textId="5166997E" w:rsidR="008C6BEE" w:rsidRDefault="008C6BEE">
          <w:pPr>
            <w:pStyle w:val="TOC2"/>
            <w:tabs>
              <w:tab w:val="right" w:leader="dot" w:pos="9016"/>
            </w:tabs>
            <w:rPr>
              <w:rFonts w:eastAsiaTheme="minorEastAsia"/>
              <w:noProof/>
              <w:lang w:eastAsia="en-GB"/>
            </w:rPr>
          </w:pPr>
          <w:hyperlink w:anchor="_Toc141943156" w:history="1">
            <w:r w:rsidRPr="006C283E">
              <w:rPr>
                <w:rStyle w:val="Hyperlink"/>
                <w:rFonts w:ascii="Arial" w:hAnsi="Arial" w:cs="Arial"/>
                <w:noProof/>
              </w:rPr>
              <w:t>Local Authorities:</w:t>
            </w:r>
            <w:r>
              <w:rPr>
                <w:noProof/>
                <w:webHidden/>
              </w:rPr>
              <w:tab/>
            </w:r>
            <w:r>
              <w:rPr>
                <w:noProof/>
                <w:webHidden/>
              </w:rPr>
              <w:fldChar w:fldCharType="begin"/>
            </w:r>
            <w:r>
              <w:rPr>
                <w:noProof/>
                <w:webHidden/>
              </w:rPr>
              <w:instrText xml:space="preserve"> PAGEREF _Toc141943156 \h </w:instrText>
            </w:r>
            <w:r>
              <w:rPr>
                <w:noProof/>
                <w:webHidden/>
              </w:rPr>
            </w:r>
            <w:r>
              <w:rPr>
                <w:noProof/>
                <w:webHidden/>
              </w:rPr>
              <w:fldChar w:fldCharType="separate"/>
            </w:r>
            <w:r>
              <w:rPr>
                <w:noProof/>
                <w:webHidden/>
              </w:rPr>
              <w:t>5</w:t>
            </w:r>
            <w:r>
              <w:rPr>
                <w:noProof/>
                <w:webHidden/>
              </w:rPr>
              <w:fldChar w:fldCharType="end"/>
            </w:r>
          </w:hyperlink>
        </w:p>
        <w:p w14:paraId="12F5B42C" w14:textId="1F59D4F1" w:rsidR="008C6BEE" w:rsidRDefault="008C6BEE">
          <w:pPr>
            <w:pStyle w:val="TOC2"/>
            <w:tabs>
              <w:tab w:val="right" w:leader="dot" w:pos="9016"/>
            </w:tabs>
            <w:rPr>
              <w:rFonts w:eastAsiaTheme="minorEastAsia"/>
              <w:noProof/>
              <w:lang w:eastAsia="en-GB"/>
            </w:rPr>
          </w:pPr>
          <w:hyperlink w:anchor="_Toc141943157" w:history="1">
            <w:r w:rsidRPr="006C283E">
              <w:rPr>
                <w:rStyle w:val="Hyperlink"/>
                <w:rFonts w:ascii="Arial" w:hAnsi="Arial" w:cs="Arial"/>
                <w:noProof/>
              </w:rPr>
              <w:t>Non-Governmental Organizations (NGOs</w:t>
            </w:r>
            <w:r>
              <w:rPr>
                <w:noProof/>
                <w:webHidden/>
              </w:rPr>
              <w:tab/>
            </w:r>
            <w:r>
              <w:rPr>
                <w:noProof/>
                <w:webHidden/>
              </w:rPr>
              <w:fldChar w:fldCharType="begin"/>
            </w:r>
            <w:r>
              <w:rPr>
                <w:noProof/>
                <w:webHidden/>
              </w:rPr>
              <w:instrText xml:space="preserve"> PAGEREF _Toc141943157 \h </w:instrText>
            </w:r>
            <w:r>
              <w:rPr>
                <w:noProof/>
                <w:webHidden/>
              </w:rPr>
            </w:r>
            <w:r>
              <w:rPr>
                <w:noProof/>
                <w:webHidden/>
              </w:rPr>
              <w:fldChar w:fldCharType="separate"/>
            </w:r>
            <w:r>
              <w:rPr>
                <w:noProof/>
                <w:webHidden/>
              </w:rPr>
              <w:t>5</w:t>
            </w:r>
            <w:r>
              <w:rPr>
                <w:noProof/>
                <w:webHidden/>
              </w:rPr>
              <w:fldChar w:fldCharType="end"/>
            </w:r>
          </w:hyperlink>
        </w:p>
        <w:p w14:paraId="770DA80A" w14:textId="7863084F" w:rsidR="008C6BEE" w:rsidRDefault="008C6BEE">
          <w:pPr>
            <w:pStyle w:val="TOC2"/>
            <w:tabs>
              <w:tab w:val="right" w:leader="dot" w:pos="9016"/>
            </w:tabs>
            <w:rPr>
              <w:rFonts w:eastAsiaTheme="minorEastAsia"/>
              <w:noProof/>
              <w:lang w:eastAsia="en-GB"/>
            </w:rPr>
          </w:pPr>
          <w:hyperlink w:anchor="_Toc141943158" w:history="1">
            <w:r w:rsidRPr="006C283E">
              <w:rPr>
                <w:rStyle w:val="Hyperlink"/>
                <w:rFonts w:ascii="Arial" w:hAnsi="Arial" w:cs="Arial"/>
                <w:noProof/>
              </w:rPr>
              <w:t>Other Organizations:</w:t>
            </w:r>
            <w:r>
              <w:rPr>
                <w:noProof/>
                <w:webHidden/>
              </w:rPr>
              <w:tab/>
            </w:r>
            <w:r>
              <w:rPr>
                <w:noProof/>
                <w:webHidden/>
              </w:rPr>
              <w:fldChar w:fldCharType="begin"/>
            </w:r>
            <w:r>
              <w:rPr>
                <w:noProof/>
                <w:webHidden/>
              </w:rPr>
              <w:instrText xml:space="preserve"> PAGEREF _Toc141943158 \h </w:instrText>
            </w:r>
            <w:r>
              <w:rPr>
                <w:noProof/>
                <w:webHidden/>
              </w:rPr>
            </w:r>
            <w:r>
              <w:rPr>
                <w:noProof/>
                <w:webHidden/>
              </w:rPr>
              <w:fldChar w:fldCharType="separate"/>
            </w:r>
            <w:r>
              <w:rPr>
                <w:noProof/>
                <w:webHidden/>
              </w:rPr>
              <w:t>5</w:t>
            </w:r>
            <w:r>
              <w:rPr>
                <w:noProof/>
                <w:webHidden/>
              </w:rPr>
              <w:fldChar w:fldCharType="end"/>
            </w:r>
          </w:hyperlink>
        </w:p>
        <w:p w14:paraId="61F48057" w14:textId="71965BE0" w:rsidR="008C6BEE" w:rsidRDefault="008C6BEE">
          <w:pPr>
            <w:pStyle w:val="TOC1"/>
            <w:rPr>
              <w:rFonts w:asciiTheme="minorHAnsi" w:eastAsiaTheme="minorEastAsia" w:hAnsiTheme="minorHAnsi" w:cstheme="minorBidi"/>
              <w:sz w:val="22"/>
              <w:szCs w:val="22"/>
              <w:lang w:eastAsia="en-GB"/>
            </w:rPr>
          </w:pPr>
          <w:hyperlink w:anchor="_Toc141943159" w:history="1">
            <w:r w:rsidRPr="006C283E">
              <w:rPr>
                <w:rStyle w:val="Hyperlink"/>
              </w:rPr>
              <w:t>Evaluation of community engagement</w:t>
            </w:r>
            <w:r>
              <w:rPr>
                <w:webHidden/>
              </w:rPr>
              <w:tab/>
            </w:r>
            <w:r>
              <w:rPr>
                <w:webHidden/>
              </w:rPr>
              <w:fldChar w:fldCharType="begin"/>
            </w:r>
            <w:r>
              <w:rPr>
                <w:webHidden/>
              </w:rPr>
              <w:instrText xml:space="preserve"> PAGEREF _Toc141943159 \h </w:instrText>
            </w:r>
            <w:r>
              <w:rPr>
                <w:webHidden/>
              </w:rPr>
            </w:r>
            <w:r>
              <w:rPr>
                <w:webHidden/>
              </w:rPr>
              <w:fldChar w:fldCharType="separate"/>
            </w:r>
            <w:r>
              <w:rPr>
                <w:webHidden/>
              </w:rPr>
              <w:t>6</w:t>
            </w:r>
            <w:r>
              <w:rPr>
                <w:webHidden/>
              </w:rPr>
              <w:fldChar w:fldCharType="end"/>
            </w:r>
          </w:hyperlink>
        </w:p>
        <w:p w14:paraId="7BEC7B6B" w14:textId="3EAD1B19" w:rsidR="008C6BEE" w:rsidRDefault="008C6BEE">
          <w:pPr>
            <w:pStyle w:val="TOC1"/>
            <w:rPr>
              <w:rFonts w:asciiTheme="minorHAnsi" w:eastAsiaTheme="minorEastAsia" w:hAnsiTheme="minorHAnsi" w:cstheme="minorBidi"/>
              <w:sz w:val="22"/>
              <w:szCs w:val="22"/>
              <w:lang w:eastAsia="en-GB"/>
            </w:rPr>
          </w:pPr>
          <w:hyperlink w:anchor="_Toc141943160" w:history="1">
            <w:r w:rsidRPr="006C283E">
              <w:rPr>
                <w:rStyle w:val="Hyperlink"/>
              </w:rPr>
              <w:t>Potential benefits and impact:</w:t>
            </w:r>
            <w:r>
              <w:rPr>
                <w:webHidden/>
              </w:rPr>
              <w:tab/>
            </w:r>
            <w:r>
              <w:rPr>
                <w:webHidden/>
              </w:rPr>
              <w:fldChar w:fldCharType="begin"/>
            </w:r>
            <w:r>
              <w:rPr>
                <w:webHidden/>
              </w:rPr>
              <w:instrText xml:space="preserve"> PAGEREF _Toc141943160 \h </w:instrText>
            </w:r>
            <w:r>
              <w:rPr>
                <w:webHidden/>
              </w:rPr>
            </w:r>
            <w:r>
              <w:rPr>
                <w:webHidden/>
              </w:rPr>
              <w:fldChar w:fldCharType="separate"/>
            </w:r>
            <w:r>
              <w:rPr>
                <w:webHidden/>
              </w:rPr>
              <w:t>7</w:t>
            </w:r>
            <w:r>
              <w:rPr>
                <w:webHidden/>
              </w:rPr>
              <w:fldChar w:fldCharType="end"/>
            </w:r>
          </w:hyperlink>
        </w:p>
        <w:p w14:paraId="3A47B4B4" w14:textId="5DE9C2EB" w:rsidR="008C6BEE" w:rsidRDefault="008C6BEE">
          <w:pPr>
            <w:pStyle w:val="TOC1"/>
            <w:rPr>
              <w:rFonts w:asciiTheme="minorHAnsi" w:eastAsiaTheme="minorEastAsia" w:hAnsiTheme="minorHAnsi" w:cstheme="minorBidi"/>
              <w:sz w:val="22"/>
              <w:szCs w:val="22"/>
              <w:lang w:eastAsia="en-GB"/>
            </w:rPr>
          </w:pPr>
          <w:hyperlink w:anchor="_Toc141943161" w:history="1">
            <w:r w:rsidRPr="006C283E">
              <w:rPr>
                <w:rStyle w:val="Hyperlink"/>
              </w:rPr>
              <w:t>Social Media and Outreach</w:t>
            </w:r>
            <w:r>
              <w:rPr>
                <w:webHidden/>
              </w:rPr>
              <w:tab/>
            </w:r>
            <w:r>
              <w:rPr>
                <w:webHidden/>
              </w:rPr>
              <w:fldChar w:fldCharType="begin"/>
            </w:r>
            <w:r>
              <w:rPr>
                <w:webHidden/>
              </w:rPr>
              <w:instrText xml:space="preserve"> PAGEREF _Toc141943161 \h </w:instrText>
            </w:r>
            <w:r>
              <w:rPr>
                <w:webHidden/>
              </w:rPr>
            </w:r>
            <w:r>
              <w:rPr>
                <w:webHidden/>
              </w:rPr>
              <w:fldChar w:fldCharType="separate"/>
            </w:r>
            <w:r>
              <w:rPr>
                <w:webHidden/>
              </w:rPr>
              <w:t>8</w:t>
            </w:r>
            <w:r>
              <w:rPr>
                <w:webHidden/>
              </w:rPr>
              <w:fldChar w:fldCharType="end"/>
            </w:r>
          </w:hyperlink>
        </w:p>
        <w:p w14:paraId="6BEC288B" w14:textId="3DE24C10" w:rsidR="008C6BEE" w:rsidRDefault="008C6BEE">
          <w:pPr>
            <w:pStyle w:val="TOC1"/>
            <w:rPr>
              <w:rFonts w:asciiTheme="minorHAnsi" w:eastAsiaTheme="minorEastAsia" w:hAnsiTheme="minorHAnsi" w:cstheme="minorBidi"/>
              <w:sz w:val="22"/>
              <w:szCs w:val="22"/>
              <w:lang w:eastAsia="en-GB"/>
            </w:rPr>
          </w:pPr>
          <w:hyperlink w:anchor="_Toc141943162" w:history="1">
            <w:r w:rsidRPr="006C283E">
              <w:rPr>
                <w:rStyle w:val="Hyperlink"/>
              </w:rPr>
              <w:t>Lessons Learned and Post-Project Plan</w:t>
            </w:r>
            <w:r>
              <w:rPr>
                <w:webHidden/>
              </w:rPr>
              <w:tab/>
            </w:r>
            <w:r>
              <w:rPr>
                <w:webHidden/>
              </w:rPr>
              <w:fldChar w:fldCharType="begin"/>
            </w:r>
            <w:r>
              <w:rPr>
                <w:webHidden/>
              </w:rPr>
              <w:instrText xml:space="preserve"> PAGEREF _Toc141943162 \h </w:instrText>
            </w:r>
            <w:r>
              <w:rPr>
                <w:webHidden/>
              </w:rPr>
            </w:r>
            <w:r>
              <w:rPr>
                <w:webHidden/>
              </w:rPr>
              <w:fldChar w:fldCharType="separate"/>
            </w:r>
            <w:r>
              <w:rPr>
                <w:webHidden/>
              </w:rPr>
              <w:t>9</w:t>
            </w:r>
            <w:r>
              <w:rPr>
                <w:webHidden/>
              </w:rPr>
              <w:fldChar w:fldCharType="end"/>
            </w:r>
          </w:hyperlink>
        </w:p>
        <w:p w14:paraId="5DDC3D74" w14:textId="7B9A3348" w:rsidR="008C6BEE" w:rsidRDefault="008C6BEE">
          <w:pPr>
            <w:pStyle w:val="TOC1"/>
            <w:rPr>
              <w:rFonts w:asciiTheme="minorHAnsi" w:eastAsiaTheme="minorEastAsia" w:hAnsiTheme="minorHAnsi" w:cstheme="minorBidi"/>
              <w:sz w:val="22"/>
              <w:szCs w:val="22"/>
              <w:lang w:eastAsia="en-GB"/>
            </w:rPr>
          </w:pPr>
          <w:hyperlink w:anchor="_Toc141943163" w:history="1">
            <w:r w:rsidRPr="006C283E">
              <w:rPr>
                <w:rStyle w:val="Hyperlink"/>
              </w:rPr>
              <w:t>Conclusion</w:t>
            </w:r>
            <w:r>
              <w:rPr>
                <w:webHidden/>
              </w:rPr>
              <w:tab/>
            </w:r>
            <w:r>
              <w:rPr>
                <w:webHidden/>
              </w:rPr>
              <w:fldChar w:fldCharType="begin"/>
            </w:r>
            <w:r>
              <w:rPr>
                <w:webHidden/>
              </w:rPr>
              <w:instrText xml:space="preserve"> PAGEREF _Toc141943163 \h </w:instrText>
            </w:r>
            <w:r>
              <w:rPr>
                <w:webHidden/>
              </w:rPr>
            </w:r>
            <w:r>
              <w:rPr>
                <w:webHidden/>
              </w:rPr>
              <w:fldChar w:fldCharType="separate"/>
            </w:r>
            <w:r>
              <w:rPr>
                <w:webHidden/>
              </w:rPr>
              <w:t>10</w:t>
            </w:r>
            <w:r>
              <w:rPr>
                <w:webHidden/>
              </w:rPr>
              <w:fldChar w:fldCharType="end"/>
            </w:r>
          </w:hyperlink>
        </w:p>
        <w:p w14:paraId="652E66C7" w14:textId="6F812768" w:rsidR="008C6BEE" w:rsidRDefault="008C6BEE">
          <w:pPr>
            <w:pStyle w:val="TOC1"/>
            <w:rPr>
              <w:rFonts w:asciiTheme="minorHAnsi" w:eastAsiaTheme="minorEastAsia" w:hAnsiTheme="minorHAnsi" w:cstheme="minorBidi"/>
              <w:sz w:val="22"/>
              <w:szCs w:val="22"/>
              <w:lang w:eastAsia="en-GB"/>
            </w:rPr>
          </w:pPr>
          <w:hyperlink w:anchor="_Toc141943164" w:history="1">
            <w:r w:rsidRPr="006C283E">
              <w:rPr>
                <w:rStyle w:val="Hyperlink"/>
              </w:rPr>
              <w:t>References</w:t>
            </w:r>
            <w:r>
              <w:rPr>
                <w:webHidden/>
              </w:rPr>
              <w:tab/>
            </w:r>
            <w:r>
              <w:rPr>
                <w:webHidden/>
              </w:rPr>
              <w:fldChar w:fldCharType="begin"/>
            </w:r>
            <w:r>
              <w:rPr>
                <w:webHidden/>
              </w:rPr>
              <w:instrText xml:space="preserve"> PAGEREF _Toc141943164 \h </w:instrText>
            </w:r>
            <w:r>
              <w:rPr>
                <w:webHidden/>
              </w:rPr>
            </w:r>
            <w:r>
              <w:rPr>
                <w:webHidden/>
              </w:rPr>
              <w:fldChar w:fldCharType="separate"/>
            </w:r>
            <w:r>
              <w:rPr>
                <w:webHidden/>
              </w:rPr>
              <w:t>11</w:t>
            </w:r>
            <w:r>
              <w:rPr>
                <w:webHidden/>
              </w:rPr>
              <w:fldChar w:fldCharType="end"/>
            </w:r>
          </w:hyperlink>
        </w:p>
        <w:p w14:paraId="4F442246" w14:textId="4029BFC0" w:rsidR="00F95D47" w:rsidRPr="00474093" w:rsidRDefault="00F95D47" w:rsidP="00474093">
          <w:pPr>
            <w:spacing w:line="360" w:lineRule="auto"/>
            <w:jc w:val="both"/>
            <w:rPr>
              <w:rFonts w:ascii="Arial" w:hAnsi="Arial" w:cs="Arial"/>
              <w:noProof/>
              <w:sz w:val="24"/>
              <w:szCs w:val="24"/>
            </w:rPr>
          </w:pPr>
          <w:r w:rsidRPr="00474093">
            <w:rPr>
              <w:rFonts w:ascii="Arial" w:hAnsi="Arial" w:cs="Arial"/>
              <w:noProof/>
              <w:sz w:val="24"/>
              <w:szCs w:val="24"/>
            </w:rPr>
            <w:fldChar w:fldCharType="end"/>
          </w:r>
        </w:p>
      </w:sdtContent>
    </w:sdt>
    <w:p w14:paraId="48F6CE11" w14:textId="77777777" w:rsidR="00493DA6" w:rsidRPr="00474093" w:rsidRDefault="00493DA6" w:rsidP="00474093">
      <w:pPr>
        <w:spacing w:line="360" w:lineRule="auto"/>
        <w:jc w:val="both"/>
        <w:rPr>
          <w:rFonts w:ascii="Arial" w:hAnsi="Arial" w:cs="Arial"/>
          <w:sz w:val="24"/>
          <w:szCs w:val="24"/>
        </w:rPr>
      </w:pPr>
    </w:p>
    <w:p w14:paraId="6C2865CB" w14:textId="77777777" w:rsidR="00493DA6" w:rsidRPr="00474093" w:rsidRDefault="00493DA6" w:rsidP="00474093">
      <w:pPr>
        <w:spacing w:line="360" w:lineRule="auto"/>
        <w:jc w:val="both"/>
        <w:rPr>
          <w:rFonts w:ascii="Arial" w:hAnsi="Arial" w:cs="Arial"/>
          <w:sz w:val="24"/>
          <w:szCs w:val="24"/>
        </w:rPr>
      </w:pPr>
    </w:p>
    <w:p w14:paraId="02CB82EE" w14:textId="77777777" w:rsidR="00493DA6" w:rsidRPr="00474093" w:rsidRDefault="00493DA6" w:rsidP="00474093">
      <w:pPr>
        <w:spacing w:line="360" w:lineRule="auto"/>
        <w:jc w:val="both"/>
        <w:rPr>
          <w:rFonts w:ascii="Arial" w:hAnsi="Arial" w:cs="Arial"/>
          <w:sz w:val="24"/>
          <w:szCs w:val="24"/>
        </w:rPr>
      </w:pPr>
    </w:p>
    <w:p w14:paraId="1587E411" w14:textId="77777777" w:rsidR="00493DA6" w:rsidRPr="00474093" w:rsidRDefault="00493DA6" w:rsidP="00474093">
      <w:pPr>
        <w:spacing w:line="360" w:lineRule="auto"/>
        <w:jc w:val="both"/>
        <w:rPr>
          <w:rFonts w:ascii="Arial" w:hAnsi="Arial" w:cs="Arial"/>
          <w:sz w:val="24"/>
          <w:szCs w:val="24"/>
        </w:rPr>
      </w:pPr>
    </w:p>
    <w:p w14:paraId="0BFE2919" w14:textId="77777777" w:rsidR="00493DA6" w:rsidRPr="00474093" w:rsidRDefault="00493DA6" w:rsidP="00474093">
      <w:pPr>
        <w:spacing w:line="360" w:lineRule="auto"/>
        <w:jc w:val="both"/>
        <w:rPr>
          <w:rFonts w:ascii="Arial" w:hAnsi="Arial" w:cs="Arial"/>
          <w:sz w:val="24"/>
          <w:szCs w:val="24"/>
        </w:rPr>
      </w:pPr>
    </w:p>
    <w:p w14:paraId="09CBF8BE" w14:textId="77777777" w:rsidR="00493DA6" w:rsidRPr="00474093" w:rsidRDefault="00493DA6" w:rsidP="00474093">
      <w:pPr>
        <w:spacing w:line="360" w:lineRule="auto"/>
        <w:jc w:val="both"/>
        <w:rPr>
          <w:rFonts w:ascii="Arial" w:hAnsi="Arial" w:cs="Arial"/>
          <w:sz w:val="24"/>
          <w:szCs w:val="24"/>
        </w:rPr>
      </w:pPr>
    </w:p>
    <w:p w14:paraId="63F4BE84" w14:textId="77777777" w:rsidR="00493DA6" w:rsidRPr="00474093" w:rsidRDefault="00493DA6" w:rsidP="00474093">
      <w:pPr>
        <w:spacing w:line="360" w:lineRule="auto"/>
        <w:jc w:val="both"/>
        <w:rPr>
          <w:rFonts w:ascii="Arial" w:hAnsi="Arial" w:cs="Arial"/>
          <w:sz w:val="24"/>
          <w:szCs w:val="24"/>
        </w:rPr>
      </w:pPr>
    </w:p>
    <w:p w14:paraId="3EB9419F" w14:textId="77777777" w:rsidR="00493DA6" w:rsidRPr="00474093" w:rsidRDefault="00493DA6" w:rsidP="00474093">
      <w:pPr>
        <w:spacing w:line="360" w:lineRule="auto"/>
        <w:jc w:val="both"/>
        <w:rPr>
          <w:rFonts w:ascii="Arial" w:hAnsi="Arial" w:cs="Arial"/>
          <w:sz w:val="24"/>
          <w:szCs w:val="24"/>
        </w:rPr>
      </w:pPr>
    </w:p>
    <w:p w14:paraId="6B371765" w14:textId="77777777" w:rsidR="00493DA6" w:rsidRPr="00474093" w:rsidRDefault="00493DA6" w:rsidP="00474093">
      <w:pPr>
        <w:spacing w:line="360" w:lineRule="auto"/>
        <w:jc w:val="both"/>
        <w:rPr>
          <w:rFonts w:ascii="Arial" w:hAnsi="Arial" w:cs="Arial"/>
          <w:sz w:val="24"/>
          <w:szCs w:val="24"/>
        </w:rPr>
      </w:pPr>
    </w:p>
    <w:p w14:paraId="1F79C7F3" w14:textId="77777777" w:rsidR="00493DA6" w:rsidRPr="00474093" w:rsidRDefault="00493DA6" w:rsidP="00474093">
      <w:pPr>
        <w:spacing w:line="360" w:lineRule="auto"/>
        <w:jc w:val="both"/>
        <w:rPr>
          <w:rFonts w:ascii="Arial" w:hAnsi="Arial" w:cs="Arial"/>
          <w:sz w:val="24"/>
          <w:szCs w:val="24"/>
        </w:rPr>
      </w:pPr>
    </w:p>
    <w:p w14:paraId="54407340" w14:textId="77777777" w:rsidR="00493DA6" w:rsidRPr="00474093" w:rsidRDefault="00493DA6" w:rsidP="00474093">
      <w:pPr>
        <w:spacing w:line="360" w:lineRule="auto"/>
        <w:jc w:val="both"/>
        <w:rPr>
          <w:rFonts w:ascii="Arial" w:hAnsi="Arial" w:cs="Arial"/>
          <w:sz w:val="24"/>
          <w:szCs w:val="24"/>
        </w:rPr>
      </w:pPr>
    </w:p>
    <w:p w14:paraId="3C7B03BC" w14:textId="3F2A4907" w:rsidR="007E306A" w:rsidRPr="00474093" w:rsidRDefault="007E306A" w:rsidP="00474093">
      <w:pPr>
        <w:pStyle w:val="Heading1"/>
        <w:spacing w:line="360" w:lineRule="auto"/>
        <w:jc w:val="both"/>
        <w:rPr>
          <w:rFonts w:ascii="Arial" w:hAnsi="Arial" w:cs="Arial"/>
          <w:sz w:val="24"/>
          <w:szCs w:val="24"/>
        </w:rPr>
      </w:pPr>
      <w:bookmarkStart w:id="0" w:name="_Toc141943152"/>
      <w:r w:rsidRPr="00474093">
        <w:rPr>
          <w:rFonts w:ascii="Arial" w:hAnsi="Arial" w:cs="Arial"/>
          <w:sz w:val="24"/>
          <w:szCs w:val="24"/>
        </w:rPr>
        <w:lastRenderedPageBreak/>
        <w:t>Introduction</w:t>
      </w:r>
      <w:bookmarkEnd w:id="0"/>
      <w:r w:rsidRPr="00474093">
        <w:rPr>
          <w:rFonts w:ascii="Arial" w:hAnsi="Arial" w:cs="Arial"/>
          <w:sz w:val="24"/>
          <w:szCs w:val="24"/>
        </w:rPr>
        <w:t xml:space="preserve"> </w:t>
      </w:r>
    </w:p>
    <w:p w14:paraId="016677D6" w14:textId="77777777" w:rsidR="007E306A" w:rsidRPr="00474093" w:rsidRDefault="007E306A" w:rsidP="00474093">
      <w:pPr>
        <w:spacing w:after="0" w:line="360" w:lineRule="auto"/>
        <w:jc w:val="both"/>
        <w:rPr>
          <w:rFonts w:ascii="Arial" w:hAnsi="Arial" w:cs="Arial"/>
          <w:sz w:val="24"/>
          <w:szCs w:val="24"/>
        </w:rPr>
      </w:pPr>
    </w:p>
    <w:p w14:paraId="11D79E65" w14:textId="77054B18" w:rsidR="007E306A" w:rsidRPr="00474093" w:rsidRDefault="007E306A" w:rsidP="00474093">
      <w:pPr>
        <w:spacing w:after="0" w:line="360" w:lineRule="auto"/>
        <w:jc w:val="both"/>
        <w:rPr>
          <w:rFonts w:ascii="Arial" w:hAnsi="Arial" w:cs="Arial"/>
          <w:sz w:val="24"/>
          <w:szCs w:val="24"/>
        </w:rPr>
      </w:pPr>
      <w:r w:rsidRPr="00474093">
        <w:rPr>
          <w:rFonts w:ascii="Arial" w:hAnsi="Arial" w:cs="Arial"/>
          <w:sz w:val="24"/>
          <w:szCs w:val="24"/>
        </w:rPr>
        <w:t>The purpose of this r</w:t>
      </w:r>
      <w:r w:rsidR="00B90092" w:rsidRPr="00474093">
        <w:rPr>
          <w:rFonts w:ascii="Arial" w:hAnsi="Arial" w:cs="Arial"/>
          <w:sz w:val="24"/>
          <w:szCs w:val="24"/>
        </w:rPr>
        <w:t>eport</w:t>
      </w:r>
      <w:r w:rsidRPr="00474093">
        <w:rPr>
          <w:rFonts w:ascii="Arial" w:hAnsi="Arial" w:cs="Arial"/>
          <w:sz w:val="24"/>
          <w:szCs w:val="24"/>
        </w:rPr>
        <w:t xml:space="preserve"> is to analyse and assess the Charlton Community Gardens project from the standpoint of a community engagement practitioner. The initiative was started to address certain problems in the neighbourhood and enhance everyone's wellbeing. This report will explore the project's goals, key stakeholders, possible advantages, community participation initiatives, methods,</w:t>
      </w:r>
      <w:r w:rsidR="00B90092" w:rsidRPr="00474093">
        <w:rPr>
          <w:rFonts w:ascii="Arial" w:hAnsi="Arial" w:cs="Arial"/>
          <w:sz w:val="24"/>
          <w:szCs w:val="24"/>
        </w:rPr>
        <w:t xml:space="preserve"> </w:t>
      </w:r>
      <w:r w:rsidRPr="00474093">
        <w:rPr>
          <w:rFonts w:ascii="Arial" w:hAnsi="Arial" w:cs="Arial"/>
          <w:sz w:val="24"/>
          <w:szCs w:val="24"/>
        </w:rPr>
        <w:t>empowerment, diversity, inclusion, and cooperation with other agencies, the analysis will be based on published material and personal experiences.</w:t>
      </w:r>
    </w:p>
    <w:p w14:paraId="23F1290D" w14:textId="77777777" w:rsidR="00B90092" w:rsidRPr="00474093" w:rsidRDefault="00B90092" w:rsidP="00474093">
      <w:pPr>
        <w:spacing w:after="0" w:line="360" w:lineRule="auto"/>
        <w:jc w:val="both"/>
        <w:rPr>
          <w:rFonts w:ascii="Arial" w:hAnsi="Arial" w:cs="Arial"/>
          <w:sz w:val="24"/>
          <w:szCs w:val="24"/>
        </w:rPr>
      </w:pPr>
    </w:p>
    <w:p w14:paraId="7A8008F7" w14:textId="6E6411B9" w:rsidR="00B90092" w:rsidRPr="00474093" w:rsidRDefault="00950CD6" w:rsidP="00474093">
      <w:pPr>
        <w:pStyle w:val="Heading1"/>
        <w:spacing w:line="360" w:lineRule="auto"/>
        <w:jc w:val="both"/>
        <w:rPr>
          <w:rFonts w:ascii="Arial" w:hAnsi="Arial" w:cs="Arial"/>
          <w:sz w:val="24"/>
          <w:szCs w:val="24"/>
        </w:rPr>
      </w:pPr>
      <w:bookmarkStart w:id="1" w:name="_Toc141943153"/>
      <w:r w:rsidRPr="00474093">
        <w:rPr>
          <w:rFonts w:ascii="Arial" w:hAnsi="Arial" w:cs="Arial"/>
          <w:sz w:val="24"/>
          <w:szCs w:val="24"/>
        </w:rPr>
        <w:t>The project</w:t>
      </w:r>
      <w:bookmarkEnd w:id="1"/>
      <w:r w:rsidRPr="00474093">
        <w:rPr>
          <w:rFonts w:ascii="Arial" w:hAnsi="Arial" w:cs="Arial"/>
          <w:sz w:val="24"/>
          <w:szCs w:val="24"/>
        </w:rPr>
        <w:t xml:space="preserve"> </w:t>
      </w:r>
      <w:r w:rsidR="00B90092" w:rsidRPr="00474093">
        <w:rPr>
          <w:rFonts w:ascii="Arial" w:hAnsi="Arial" w:cs="Arial"/>
          <w:sz w:val="24"/>
          <w:szCs w:val="24"/>
        </w:rPr>
        <w:t xml:space="preserve"> </w:t>
      </w:r>
    </w:p>
    <w:p w14:paraId="40625448" w14:textId="77777777" w:rsidR="003E5A71" w:rsidRPr="00474093" w:rsidRDefault="003E5A71" w:rsidP="00474093">
      <w:pPr>
        <w:spacing w:after="0" w:line="360" w:lineRule="auto"/>
        <w:jc w:val="both"/>
        <w:rPr>
          <w:rFonts w:ascii="Arial" w:hAnsi="Arial" w:cs="Arial"/>
          <w:sz w:val="24"/>
          <w:szCs w:val="24"/>
        </w:rPr>
      </w:pPr>
    </w:p>
    <w:p w14:paraId="76A11F1E" w14:textId="7C9B4D17" w:rsidR="003771D8" w:rsidRPr="00474093" w:rsidRDefault="003771D8" w:rsidP="00474093">
      <w:pPr>
        <w:spacing w:after="0" w:line="360" w:lineRule="auto"/>
        <w:jc w:val="both"/>
        <w:rPr>
          <w:rFonts w:ascii="Arial" w:hAnsi="Arial" w:cs="Arial"/>
          <w:sz w:val="24"/>
          <w:szCs w:val="24"/>
        </w:rPr>
      </w:pPr>
      <w:r w:rsidRPr="00474093">
        <w:rPr>
          <w:rFonts w:ascii="Arial" w:hAnsi="Arial" w:cs="Arial"/>
          <w:sz w:val="24"/>
          <w:szCs w:val="24"/>
        </w:rPr>
        <w:t>"</w:t>
      </w:r>
      <w:r w:rsidR="00A64744" w:rsidRPr="00474093">
        <w:rPr>
          <w:rFonts w:ascii="Arial" w:hAnsi="Arial" w:cs="Arial"/>
          <w:sz w:val="24"/>
          <w:szCs w:val="24"/>
        </w:rPr>
        <w:t>Charlton Community Garden</w:t>
      </w:r>
      <w:r w:rsidRPr="00474093">
        <w:rPr>
          <w:rFonts w:ascii="Arial" w:hAnsi="Arial" w:cs="Arial"/>
          <w:sz w:val="24"/>
          <w:szCs w:val="24"/>
        </w:rPr>
        <w:t xml:space="preserve">" is the local </w:t>
      </w:r>
      <w:r w:rsidR="00B4685C" w:rsidRPr="00474093">
        <w:rPr>
          <w:rFonts w:ascii="Arial" w:hAnsi="Arial" w:cs="Arial"/>
          <w:sz w:val="24"/>
          <w:szCs w:val="24"/>
        </w:rPr>
        <w:t>Greenwich</w:t>
      </w:r>
      <w:r w:rsidRPr="00474093">
        <w:rPr>
          <w:rFonts w:ascii="Arial" w:hAnsi="Arial" w:cs="Arial"/>
          <w:sz w:val="24"/>
          <w:szCs w:val="24"/>
        </w:rPr>
        <w:t xml:space="preserve"> social development project. Urban community gardens promote sustainable living, food security</w:t>
      </w:r>
      <w:r w:rsidR="00860C39" w:rsidRPr="00474093">
        <w:rPr>
          <w:rFonts w:ascii="Arial" w:hAnsi="Arial" w:cs="Arial"/>
          <w:sz w:val="24"/>
          <w:szCs w:val="24"/>
        </w:rPr>
        <w:t xml:space="preserve"> grown in small places</w:t>
      </w:r>
      <w:r w:rsidRPr="00474093">
        <w:rPr>
          <w:rFonts w:ascii="Arial" w:hAnsi="Arial" w:cs="Arial"/>
          <w:sz w:val="24"/>
          <w:szCs w:val="24"/>
        </w:rPr>
        <w:t>,</w:t>
      </w:r>
      <w:r w:rsidR="00236402" w:rsidRPr="00474093">
        <w:rPr>
          <w:rFonts w:ascii="Arial" w:hAnsi="Arial" w:cs="Arial"/>
          <w:sz w:val="24"/>
          <w:szCs w:val="24"/>
        </w:rPr>
        <w:t xml:space="preserve"> </w:t>
      </w:r>
      <w:r w:rsidR="002264FF" w:rsidRPr="00474093">
        <w:rPr>
          <w:rFonts w:ascii="Arial" w:hAnsi="Arial" w:cs="Arial"/>
          <w:sz w:val="24"/>
          <w:szCs w:val="24"/>
        </w:rPr>
        <w:t>animal habits</w:t>
      </w:r>
      <w:r w:rsidRPr="00474093">
        <w:rPr>
          <w:rFonts w:ascii="Arial" w:hAnsi="Arial" w:cs="Arial"/>
          <w:sz w:val="24"/>
          <w:szCs w:val="24"/>
        </w:rPr>
        <w:t xml:space="preserve"> and community</w:t>
      </w:r>
      <w:r w:rsidR="00860C39" w:rsidRPr="00474093">
        <w:rPr>
          <w:rFonts w:ascii="Arial" w:hAnsi="Arial" w:cs="Arial"/>
          <w:sz w:val="24"/>
          <w:szCs w:val="24"/>
        </w:rPr>
        <w:t xml:space="preserve"> in the area</w:t>
      </w:r>
      <w:r w:rsidRPr="00474093">
        <w:rPr>
          <w:rFonts w:ascii="Arial" w:hAnsi="Arial" w:cs="Arial"/>
          <w:sz w:val="24"/>
          <w:szCs w:val="24"/>
        </w:rPr>
        <w:t>. The initiative encourages neighbourhood members to grow and manage gardens on underused property. "</w:t>
      </w:r>
      <w:r w:rsidR="00A64744" w:rsidRPr="00474093">
        <w:rPr>
          <w:rFonts w:ascii="Arial" w:hAnsi="Arial" w:cs="Arial"/>
          <w:sz w:val="24"/>
          <w:szCs w:val="24"/>
        </w:rPr>
        <w:t>Charlton Community Garden</w:t>
      </w:r>
      <w:r w:rsidRPr="00474093">
        <w:rPr>
          <w:rFonts w:ascii="Arial" w:hAnsi="Arial" w:cs="Arial"/>
          <w:sz w:val="24"/>
          <w:szCs w:val="24"/>
        </w:rPr>
        <w:t>" has several objectives. It promotes local food production and fresh, Second, incorporating locals in garden design, development, and care fosters community ownership and participation (Fisher and Russel, 2019). The initiative also educates residents about sustainable gardening and its environmental benefits. The project's goal is to improve communal well-being.</w:t>
      </w:r>
    </w:p>
    <w:p w14:paraId="63429CD6" w14:textId="74578D5F" w:rsidR="001D78B7" w:rsidRPr="00474093" w:rsidRDefault="003771D8" w:rsidP="00474093">
      <w:pPr>
        <w:spacing w:after="0" w:line="360" w:lineRule="auto"/>
        <w:jc w:val="both"/>
        <w:rPr>
          <w:rFonts w:ascii="Arial" w:hAnsi="Arial" w:cs="Arial"/>
          <w:sz w:val="24"/>
          <w:szCs w:val="24"/>
        </w:rPr>
      </w:pPr>
      <w:r w:rsidRPr="00474093">
        <w:rPr>
          <w:rFonts w:ascii="Arial" w:hAnsi="Arial" w:cs="Arial"/>
          <w:sz w:val="24"/>
          <w:szCs w:val="24"/>
        </w:rPr>
        <w:t>"</w:t>
      </w:r>
      <w:r w:rsidR="00472E57" w:rsidRPr="00474093">
        <w:rPr>
          <w:rFonts w:ascii="Arial" w:hAnsi="Arial" w:cs="Arial"/>
          <w:sz w:val="24"/>
          <w:szCs w:val="24"/>
        </w:rPr>
        <w:t xml:space="preserve"> Charlton Community Garden </w:t>
      </w:r>
      <w:r w:rsidRPr="00474093">
        <w:rPr>
          <w:rFonts w:ascii="Arial" w:hAnsi="Arial" w:cs="Arial"/>
          <w:sz w:val="24"/>
          <w:szCs w:val="24"/>
        </w:rPr>
        <w:t>" solves various community issues. Fresh, healthy food is scarce. This initiative helps neighbourhood people cultivate their own food to reduce food insecurity. The concept also creates common areas for inhabitants to socialise, cooperate, and make friends to combat social isolation and disengagement. It addresses the shortage of community areas in metropolitan neighbourhoods, which may cause social isolation (Sallis and Glanz, 2019). "</w:t>
      </w:r>
      <w:r w:rsidR="00A8336C" w:rsidRPr="00474093">
        <w:rPr>
          <w:rFonts w:ascii="Arial" w:hAnsi="Arial" w:cs="Arial"/>
          <w:sz w:val="24"/>
          <w:szCs w:val="24"/>
        </w:rPr>
        <w:t xml:space="preserve"> Charlton Community Garden </w:t>
      </w:r>
      <w:r w:rsidRPr="00474093">
        <w:rPr>
          <w:rFonts w:ascii="Arial" w:hAnsi="Arial" w:cs="Arial"/>
          <w:sz w:val="24"/>
          <w:szCs w:val="24"/>
        </w:rPr>
        <w:t>" targets local individuals, community organisations, local government bodies, and educational institutions. Local communities get fresh fruit, better social contacts, and a feeling of empowerment. Community organisations may use gardens for skill-</w:t>
      </w:r>
      <w:r w:rsidRPr="00474093">
        <w:rPr>
          <w:rFonts w:ascii="Arial" w:hAnsi="Arial" w:cs="Arial"/>
          <w:sz w:val="24"/>
          <w:szCs w:val="24"/>
        </w:rPr>
        <w:lastRenderedPageBreak/>
        <w:t>building, community development, and cooperation.</w:t>
      </w:r>
      <w:r w:rsidR="003D3891" w:rsidRPr="00474093">
        <w:rPr>
          <w:rFonts w:ascii="Arial" w:hAnsi="Arial" w:cs="Arial"/>
          <w:noProof/>
          <w:sz w:val="24"/>
          <w:szCs w:val="24"/>
        </w:rPr>
        <w:drawing>
          <wp:inline distT="0" distB="0" distL="0" distR="0" wp14:anchorId="5DD76AEC" wp14:editId="31C7B77F">
            <wp:extent cx="6445250" cy="2793758"/>
            <wp:effectExtent l="0" t="0" r="0" b="6985"/>
            <wp:docPr id="165845732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457323" name="Picture 1" descr="A close-up of a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637256" cy="2876985"/>
                    </a:xfrm>
                    <a:prstGeom prst="rect">
                      <a:avLst/>
                    </a:prstGeom>
                  </pic:spPr>
                </pic:pic>
              </a:graphicData>
            </a:graphic>
          </wp:inline>
        </w:drawing>
      </w:r>
    </w:p>
    <w:p w14:paraId="445E6101" w14:textId="795D6218" w:rsidR="00AD75AF" w:rsidRPr="00474093" w:rsidRDefault="002E0F58" w:rsidP="00474093">
      <w:pPr>
        <w:spacing w:after="0" w:line="360" w:lineRule="auto"/>
        <w:jc w:val="both"/>
        <w:rPr>
          <w:rFonts w:ascii="Arial" w:hAnsi="Arial" w:cs="Arial"/>
          <w:sz w:val="24"/>
          <w:szCs w:val="24"/>
        </w:rPr>
      </w:pPr>
      <w:r w:rsidRPr="00474093">
        <w:rPr>
          <w:rFonts w:ascii="Arial" w:hAnsi="Arial" w:cs="Arial"/>
          <w:sz w:val="24"/>
          <w:szCs w:val="24"/>
        </w:rPr>
        <w:t>(Charlton Community Gardens</w:t>
      </w:r>
      <w:r w:rsidR="00474093" w:rsidRPr="00474093">
        <w:rPr>
          <w:rFonts w:ascii="Arial" w:hAnsi="Arial" w:cs="Arial"/>
          <w:sz w:val="24"/>
          <w:szCs w:val="24"/>
        </w:rPr>
        <w:t xml:space="preserve">, </w:t>
      </w:r>
      <w:proofErr w:type="spellStart"/>
      <w:r w:rsidR="00474093" w:rsidRPr="00474093">
        <w:rPr>
          <w:rFonts w:ascii="Arial" w:hAnsi="Arial" w:cs="Arial"/>
          <w:sz w:val="24"/>
          <w:szCs w:val="24"/>
        </w:rPr>
        <w:t>n.d</w:t>
      </w:r>
      <w:proofErr w:type="spellEnd"/>
      <w:r w:rsidR="00474093" w:rsidRPr="00474093">
        <w:rPr>
          <w:rFonts w:ascii="Arial" w:hAnsi="Arial" w:cs="Arial"/>
          <w:sz w:val="24"/>
          <w:szCs w:val="24"/>
        </w:rPr>
        <w:t>)</w:t>
      </w:r>
    </w:p>
    <w:p w14:paraId="0758D97D" w14:textId="77777777" w:rsidR="000113F7" w:rsidRPr="00474093" w:rsidRDefault="000113F7" w:rsidP="00474093">
      <w:pPr>
        <w:pStyle w:val="Heading1"/>
        <w:spacing w:before="0" w:line="360" w:lineRule="auto"/>
        <w:jc w:val="both"/>
        <w:rPr>
          <w:rFonts w:ascii="Arial" w:hAnsi="Arial" w:cs="Arial"/>
          <w:sz w:val="24"/>
          <w:szCs w:val="24"/>
        </w:rPr>
      </w:pPr>
      <w:bookmarkStart w:id="2" w:name="_Toc140260701"/>
      <w:bookmarkStart w:id="3" w:name="_Toc141943154"/>
      <w:r w:rsidRPr="00474093">
        <w:rPr>
          <w:rFonts w:ascii="Arial" w:hAnsi="Arial" w:cs="Arial"/>
          <w:sz w:val="24"/>
          <w:szCs w:val="24"/>
        </w:rPr>
        <w:t>Best Practices and Stakeholder Engagement</w:t>
      </w:r>
      <w:bookmarkEnd w:id="2"/>
      <w:bookmarkEnd w:id="3"/>
    </w:p>
    <w:p w14:paraId="1CBC459D" w14:textId="77777777" w:rsidR="00686B7F" w:rsidRPr="00474093" w:rsidRDefault="00686B7F" w:rsidP="00474093">
      <w:pPr>
        <w:spacing w:line="360" w:lineRule="auto"/>
        <w:jc w:val="both"/>
        <w:rPr>
          <w:rFonts w:ascii="Arial" w:hAnsi="Arial" w:cs="Arial"/>
          <w:sz w:val="24"/>
          <w:szCs w:val="24"/>
        </w:rPr>
      </w:pPr>
      <w:r w:rsidRPr="00474093">
        <w:rPr>
          <w:rFonts w:ascii="Arial" w:hAnsi="Arial" w:cs="Arial"/>
          <w:sz w:val="24"/>
          <w:szCs w:val="24"/>
        </w:rPr>
        <w:t xml:space="preserve">The Charlton Community Gardens project has been a success due to its best practices in community engagement and stakeholder involvement, it follows best practises for stakeholder involvement. The initiative followed inclusion, openness, and cooperation. They were transparent about project goals, progress, and decision-making. </w:t>
      </w:r>
    </w:p>
    <w:p w14:paraId="7DC76249" w14:textId="77777777" w:rsidR="00686B7F" w:rsidRPr="00474093" w:rsidRDefault="00686B7F" w:rsidP="00474093">
      <w:pPr>
        <w:spacing w:line="360" w:lineRule="auto"/>
        <w:jc w:val="both"/>
        <w:rPr>
          <w:rFonts w:ascii="Arial" w:hAnsi="Arial" w:cs="Arial"/>
          <w:sz w:val="24"/>
          <w:szCs w:val="24"/>
        </w:rPr>
      </w:pPr>
      <w:r w:rsidRPr="00474093">
        <w:rPr>
          <w:rFonts w:ascii="Arial" w:hAnsi="Arial" w:cs="Arial"/>
          <w:sz w:val="24"/>
          <w:szCs w:val="24"/>
        </w:rPr>
        <w:t>Project stakeholders were broad and active. Residents, community organisations, local government, and educational institutions were actively involved. Residents gardened, attended classes, and gave comments (Pretty and Smith, 2017). Community organisations provided resources, knowledge, and support for the project. Local governments provided permits, infrastructure, and policy direction. Curriculum integration, research partnerships, and student participation contributed.</w:t>
      </w:r>
    </w:p>
    <w:p w14:paraId="40E2DF80" w14:textId="49B52A42" w:rsidR="00D77FAA" w:rsidRPr="00474093" w:rsidRDefault="00D77FAA" w:rsidP="00474093">
      <w:pPr>
        <w:spacing w:line="360" w:lineRule="auto"/>
        <w:jc w:val="both"/>
        <w:rPr>
          <w:rFonts w:ascii="Arial" w:hAnsi="Arial" w:cs="Arial"/>
          <w:sz w:val="24"/>
          <w:szCs w:val="24"/>
        </w:rPr>
      </w:pPr>
      <w:r w:rsidRPr="00474093">
        <w:rPr>
          <w:rFonts w:ascii="Arial" w:hAnsi="Arial" w:cs="Arial"/>
          <w:sz w:val="24"/>
          <w:szCs w:val="24"/>
        </w:rPr>
        <w:br/>
      </w:r>
      <w:bookmarkStart w:id="4" w:name="_Toc141943155"/>
      <w:r w:rsidRPr="00474093">
        <w:rPr>
          <w:rStyle w:val="Heading2Char"/>
          <w:rFonts w:ascii="Arial" w:hAnsi="Arial" w:cs="Arial"/>
          <w:sz w:val="24"/>
          <w:szCs w:val="24"/>
        </w:rPr>
        <w:t>Community Members:</w:t>
      </w:r>
      <w:bookmarkEnd w:id="4"/>
      <w:r w:rsidRPr="00474093">
        <w:rPr>
          <w:rFonts w:ascii="Arial" w:hAnsi="Arial" w:cs="Arial"/>
          <w:sz w:val="24"/>
          <w:szCs w:val="24"/>
        </w:rPr>
        <w:t xml:space="preserve"> As the primary beneficiaries of the project, community members play a central role in its success. Their active involvement and participation are crucial to ensure the project's sustainability and long-term impact. The report assesses the extent of community members' engagement, ranging from their participation in decision-making processes, to their involvement in the planning and implementation of the gardens. By examining the level of ownership community members have in the project, the report can gauge the degree of their commitment to its success</w:t>
      </w:r>
      <w:r w:rsidR="00451668" w:rsidRPr="00474093">
        <w:rPr>
          <w:rFonts w:ascii="Arial" w:hAnsi="Arial" w:cs="Arial"/>
          <w:sz w:val="24"/>
          <w:szCs w:val="24"/>
        </w:rPr>
        <w:t xml:space="preserve"> (Macmillan and Osborne, 2019).</w:t>
      </w:r>
    </w:p>
    <w:p w14:paraId="35EBF118" w14:textId="2DD5F15B" w:rsidR="00D77FAA" w:rsidRPr="00474093" w:rsidRDefault="00D77FAA" w:rsidP="00474093">
      <w:pPr>
        <w:spacing w:line="360" w:lineRule="auto"/>
        <w:jc w:val="both"/>
        <w:rPr>
          <w:rFonts w:ascii="Arial" w:hAnsi="Arial" w:cs="Arial"/>
          <w:sz w:val="24"/>
          <w:szCs w:val="24"/>
        </w:rPr>
      </w:pPr>
      <w:bookmarkStart w:id="5" w:name="_Toc141943156"/>
      <w:r w:rsidRPr="00474093">
        <w:rPr>
          <w:rStyle w:val="Heading2Char"/>
          <w:rFonts w:ascii="Arial" w:hAnsi="Arial" w:cs="Arial"/>
          <w:sz w:val="24"/>
          <w:szCs w:val="24"/>
        </w:rPr>
        <w:lastRenderedPageBreak/>
        <w:t>Local Authorities:</w:t>
      </w:r>
      <w:bookmarkEnd w:id="5"/>
      <w:r w:rsidRPr="00474093">
        <w:rPr>
          <w:rFonts w:ascii="Arial" w:hAnsi="Arial" w:cs="Arial"/>
          <w:sz w:val="24"/>
          <w:szCs w:val="24"/>
        </w:rPr>
        <w:t xml:space="preserve"> Local authorities, such as the </w:t>
      </w:r>
      <w:r w:rsidR="009E3117" w:rsidRPr="00474093">
        <w:rPr>
          <w:rFonts w:ascii="Arial" w:hAnsi="Arial" w:cs="Arial"/>
          <w:sz w:val="24"/>
          <w:szCs w:val="24"/>
        </w:rPr>
        <w:t xml:space="preserve">Greenwich </w:t>
      </w:r>
      <w:r w:rsidRPr="00474093">
        <w:rPr>
          <w:rFonts w:ascii="Arial" w:hAnsi="Arial" w:cs="Arial"/>
          <w:sz w:val="24"/>
          <w:szCs w:val="24"/>
        </w:rPr>
        <w:t>Council, are key stakeholders in the project. They may provide support, funding, and necessary permits for the implementation of the community gardens. The report evaluates the nature of their engagement in the project, including the level of collaboration with community members and the degree of responsiveness to the community's needs and aspirations. Effective collaboration with local authorities ensures that the project is aligned with broader development plans and regulatory requirements</w:t>
      </w:r>
      <w:r w:rsidR="00451668" w:rsidRPr="00474093">
        <w:rPr>
          <w:rFonts w:ascii="Arial" w:hAnsi="Arial" w:cs="Arial"/>
          <w:sz w:val="24"/>
          <w:szCs w:val="24"/>
        </w:rPr>
        <w:t xml:space="preserve"> (Macmillan and Osborne, 2019).</w:t>
      </w:r>
    </w:p>
    <w:p w14:paraId="3498B6FF" w14:textId="2EC9D29F" w:rsidR="00D77FAA" w:rsidRPr="00474093" w:rsidRDefault="00D77FAA" w:rsidP="00474093">
      <w:pPr>
        <w:spacing w:line="360" w:lineRule="auto"/>
        <w:jc w:val="both"/>
        <w:rPr>
          <w:rFonts w:ascii="Arial" w:hAnsi="Arial" w:cs="Arial"/>
          <w:sz w:val="24"/>
          <w:szCs w:val="24"/>
        </w:rPr>
      </w:pPr>
      <w:r w:rsidRPr="00474093">
        <w:rPr>
          <w:rStyle w:val="Heading2Char"/>
          <w:rFonts w:ascii="Arial" w:hAnsi="Arial" w:cs="Arial"/>
          <w:sz w:val="24"/>
          <w:szCs w:val="24"/>
        </w:rPr>
        <w:t xml:space="preserve"> </w:t>
      </w:r>
      <w:bookmarkStart w:id="6" w:name="_Toc141943157"/>
      <w:r w:rsidRPr="00474093">
        <w:rPr>
          <w:rStyle w:val="Heading2Char"/>
          <w:rFonts w:ascii="Arial" w:hAnsi="Arial" w:cs="Arial"/>
          <w:sz w:val="24"/>
          <w:szCs w:val="24"/>
        </w:rPr>
        <w:t>Non-Governmental Organizations (NGOs</w:t>
      </w:r>
      <w:bookmarkEnd w:id="6"/>
      <w:r w:rsidRPr="00474093">
        <w:rPr>
          <w:rFonts w:ascii="Arial" w:hAnsi="Arial" w:cs="Arial"/>
          <w:sz w:val="24"/>
          <w:szCs w:val="24"/>
        </w:rPr>
        <w:t>): NGOs often play a vital role in community development initiatives. In the context of the Charlton Community Gardens project, NGOs may provide technical expertise, resources, or assistance in organizing workshops and training programs. The report examines the partnerships forged with NGOs and their contributions to the project's success. The extent of cooperation and shared objectives with NGOs can amplify the project's impact and reach</w:t>
      </w:r>
      <w:r w:rsidR="00451668" w:rsidRPr="00474093">
        <w:rPr>
          <w:rFonts w:ascii="Arial" w:hAnsi="Arial" w:cs="Arial"/>
          <w:sz w:val="24"/>
          <w:szCs w:val="24"/>
        </w:rPr>
        <w:t xml:space="preserve"> (Macmillan and Osborne, 2019).</w:t>
      </w:r>
    </w:p>
    <w:p w14:paraId="4610DB67" w14:textId="2A9C8C3A" w:rsidR="00D77FAA" w:rsidRPr="00474093" w:rsidRDefault="00D77FAA" w:rsidP="00474093">
      <w:pPr>
        <w:spacing w:line="360" w:lineRule="auto"/>
        <w:jc w:val="both"/>
        <w:rPr>
          <w:rFonts w:ascii="Arial" w:hAnsi="Arial" w:cs="Arial"/>
          <w:sz w:val="24"/>
          <w:szCs w:val="24"/>
        </w:rPr>
      </w:pPr>
      <w:r w:rsidRPr="00474093">
        <w:rPr>
          <w:rStyle w:val="Heading2Char"/>
          <w:rFonts w:ascii="Arial" w:hAnsi="Arial" w:cs="Arial"/>
          <w:sz w:val="24"/>
          <w:szCs w:val="24"/>
        </w:rPr>
        <w:t xml:space="preserve"> </w:t>
      </w:r>
      <w:bookmarkStart w:id="7" w:name="_Toc141943158"/>
      <w:r w:rsidRPr="00474093">
        <w:rPr>
          <w:rStyle w:val="Heading2Char"/>
          <w:rFonts w:ascii="Arial" w:hAnsi="Arial" w:cs="Arial"/>
          <w:sz w:val="24"/>
          <w:szCs w:val="24"/>
        </w:rPr>
        <w:t>Other Organizations:</w:t>
      </w:r>
      <w:bookmarkEnd w:id="7"/>
      <w:r w:rsidRPr="00474093">
        <w:rPr>
          <w:rFonts w:ascii="Arial" w:hAnsi="Arial" w:cs="Arial"/>
          <w:sz w:val="24"/>
          <w:szCs w:val="24"/>
        </w:rPr>
        <w:t xml:space="preserve"> Besides local authorities and NGOs, the report also identifies other relevant organizations that may be involved in the project. These could include educational institutions, businesses, or community-based organizations. Understanding the roles and contributions of these organizations helps paint a holistic</w:t>
      </w:r>
      <w:r w:rsidR="004E1F68" w:rsidRPr="00474093">
        <w:rPr>
          <w:rFonts w:ascii="Arial" w:hAnsi="Arial" w:cs="Arial"/>
          <w:sz w:val="24"/>
          <w:szCs w:val="24"/>
        </w:rPr>
        <w:t xml:space="preserve"> </w:t>
      </w:r>
      <w:r w:rsidRPr="00474093">
        <w:rPr>
          <w:rFonts w:ascii="Arial" w:hAnsi="Arial" w:cs="Arial"/>
          <w:sz w:val="24"/>
          <w:szCs w:val="24"/>
        </w:rPr>
        <w:lastRenderedPageBreak/>
        <w:t>picture of the project's support network</w:t>
      </w:r>
      <w:r w:rsidR="00451668" w:rsidRPr="00474093">
        <w:rPr>
          <w:rFonts w:ascii="Arial" w:hAnsi="Arial" w:cs="Arial"/>
          <w:sz w:val="24"/>
          <w:szCs w:val="24"/>
        </w:rPr>
        <w:t xml:space="preserve"> (Macmillan and Osborne, 2019).</w:t>
      </w:r>
      <w:r w:rsidR="007773F8" w:rsidRPr="00474093">
        <w:rPr>
          <w:rFonts w:ascii="Arial" w:hAnsi="Arial" w:cs="Arial"/>
          <w:noProof/>
          <w:sz w:val="24"/>
          <w:szCs w:val="24"/>
        </w:rPr>
        <w:drawing>
          <wp:inline distT="0" distB="0" distL="0" distR="0" wp14:anchorId="41A3A733" wp14:editId="13980A05">
            <wp:extent cx="5689600" cy="4273522"/>
            <wp:effectExtent l="0" t="0" r="6350" b="0"/>
            <wp:docPr id="53424694" name="Picture 2" descr="A sign in a pla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24694" name="Picture 2" descr="A sign in a plan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04529" cy="4284736"/>
                    </a:xfrm>
                    <a:prstGeom prst="rect">
                      <a:avLst/>
                    </a:prstGeom>
                  </pic:spPr>
                </pic:pic>
              </a:graphicData>
            </a:graphic>
          </wp:inline>
        </w:drawing>
      </w:r>
    </w:p>
    <w:p w14:paraId="420E6710" w14:textId="0B1467DB" w:rsidR="00474093" w:rsidRPr="00474093" w:rsidRDefault="00474093" w:rsidP="00474093">
      <w:pPr>
        <w:spacing w:line="360" w:lineRule="auto"/>
        <w:jc w:val="both"/>
        <w:rPr>
          <w:rFonts w:ascii="Arial" w:hAnsi="Arial" w:cs="Arial"/>
          <w:sz w:val="24"/>
          <w:szCs w:val="24"/>
        </w:rPr>
      </w:pPr>
      <w:r w:rsidRPr="00474093">
        <w:rPr>
          <w:rFonts w:ascii="Arial" w:hAnsi="Arial" w:cs="Arial"/>
          <w:sz w:val="24"/>
          <w:szCs w:val="24"/>
        </w:rPr>
        <w:t xml:space="preserve">(Charlton Community Gardens, </w:t>
      </w:r>
      <w:proofErr w:type="spellStart"/>
      <w:r w:rsidRPr="00474093">
        <w:rPr>
          <w:rFonts w:ascii="Arial" w:hAnsi="Arial" w:cs="Arial"/>
          <w:sz w:val="24"/>
          <w:szCs w:val="24"/>
        </w:rPr>
        <w:t>n.d</w:t>
      </w:r>
      <w:proofErr w:type="spellEnd"/>
      <w:r w:rsidRPr="00474093">
        <w:rPr>
          <w:rFonts w:ascii="Arial" w:hAnsi="Arial" w:cs="Arial"/>
          <w:sz w:val="24"/>
          <w:szCs w:val="24"/>
        </w:rPr>
        <w:t>)</w:t>
      </w:r>
    </w:p>
    <w:p w14:paraId="28945ABA" w14:textId="77777777" w:rsidR="00AD75AF" w:rsidRPr="00474093" w:rsidRDefault="00AD75AF" w:rsidP="00474093">
      <w:pPr>
        <w:pStyle w:val="Heading1"/>
        <w:spacing w:line="360" w:lineRule="auto"/>
        <w:jc w:val="both"/>
        <w:rPr>
          <w:rFonts w:ascii="Arial" w:hAnsi="Arial" w:cs="Arial"/>
          <w:sz w:val="24"/>
          <w:szCs w:val="24"/>
        </w:rPr>
      </w:pPr>
      <w:bookmarkStart w:id="8" w:name="_Toc141943159"/>
      <w:r w:rsidRPr="00474093">
        <w:rPr>
          <w:rFonts w:ascii="Arial" w:hAnsi="Arial" w:cs="Arial"/>
          <w:sz w:val="24"/>
          <w:szCs w:val="24"/>
        </w:rPr>
        <w:t>Evaluation of community engagement</w:t>
      </w:r>
      <w:bookmarkEnd w:id="8"/>
      <w:r w:rsidRPr="00474093">
        <w:rPr>
          <w:rFonts w:ascii="Arial" w:hAnsi="Arial" w:cs="Arial"/>
          <w:sz w:val="24"/>
          <w:szCs w:val="24"/>
        </w:rPr>
        <w:t xml:space="preserve"> </w:t>
      </w:r>
    </w:p>
    <w:p w14:paraId="5E696B08" w14:textId="77777777" w:rsidR="00AD75AF" w:rsidRPr="00474093" w:rsidRDefault="00AD75AF" w:rsidP="00474093">
      <w:pPr>
        <w:spacing w:after="0" w:line="360" w:lineRule="auto"/>
        <w:jc w:val="both"/>
        <w:rPr>
          <w:rFonts w:ascii="Arial" w:hAnsi="Arial" w:cs="Arial"/>
          <w:sz w:val="24"/>
          <w:szCs w:val="24"/>
        </w:rPr>
      </w:pPr>
      <w:r w:rsidRPr="00474093">
        <w:rPr>
          <w:rFonts w:ascii="Arial" w:hAnsi="Arial" w:cs="Arial"/>
          <w:sz w:val="24"/>
          <w:szCs w:val="24"/>
        </w:rPr>
        <w:t xml:space="preserve">Charlton community </w:t>
      </w:r>
      <w:proofErr w:type="spellStart"/>
      <w:r w:rsidRPr="00474093">
        <w:rPr>
          <w:rFonts w:ascii="Arial" w:hAnsi="Arial" w:cs="Arial"/>
          <w:sz w:val="24"/>
          <w:szCs w:val="24"/>
        </w:rPr>
        <w:t>gardens’s</w:t>
      </w:r>
      <w:proofErr w:type="spellEnd"/>
      <w:r w:rsidRPr="00474093">
        <w:rPr>
          <w:rFonts w:ascii="Arial" w:hAnsi="Arial" w:cs="Arial"/>
          <w:sz w:val="24"/>
          <w:szCs w:val="24"/>
        </w:rPr>
        <w:t xml:space="preserve"> research and community interaction were extensive and successful. Before starting the project, the community recognised the necessity of recognising member requirements and preferences. Community members' sustainable gardening knowledge, enthusiasm, and resources were assessed via extensive study. </w:t>
      </w:r>
    </w:p>
    <w:p w14:paraId="0D3C0D77" w14:textId="77777777" w:rsidR="00AD75AF" w:rsidRPr="00474093" w:rsidRDefault="00AD75AF" w:rsidP="00474093">
      <w:pPr>
        <w:spacing w:after="0" w:line="360" w:lineRule="auto"/>
        <w:jc w:val="both"/>
        <w:rPr>
          <w:rFonts w:ascii="Arial" w:hAnsi="Arial" w:cs="Arial"/>
          <w:sz w:val="24"/>
          <w:szCs w:val="24"/>
        </w:rPr>
      </w:pPr>
      <w:r w:rsidRPr="00474093">
        <w:rPr>
          <w:rFonts w:ascii="Arial" w:hAnsi="Arial" w:cs="Arial"/>
          <w:sz w:val="24"/>
          <w:szCs w:val="24"/>
        </w:rPr>
        <w:t>Outreach and education were community priorities. Regular community consultations and meetings were held throughout the planning and implementation stages, fostering a sense of ownership among community members. Volunteer engagement was crucial in the project, as volunteers contributed their time, skills, and labour. Following these activities, the community began operating with a total of 9 people on the committee and a starting list of 100 volunteers.</w:t>
      </w:r>
    </w:p>
    <w:p w14:paraId="53DD55DC" w14:textId="3E03A225" w:rsidR="00AD75AF" w:rsidRPr="00474093" w:rsidRDefault="00AD75AF" w:rsidP="00474093">
      <w:pPr>
        <w:spacing w:after="0" w:line="360" w:lineRule="auto"/>
        <w:jc w:val="both"/>
        <w:rPr>
          <w:rFonts w:ascii="Arial" w:hAnsi="Arial" w:cs="Arial"/>
          <w:sz w:val="24"/>
          <w:szCs w:val="24"/>
        </w:rPr>
      </w:pPr>
      <w:r w:rsidRPr="00474093">
        <w:rPr>
          <w:rFonts w:ascii="Arial" w:hAnsi="Arial" w:cs="Arial"/>
          <w:sz w:val="24"/>
          <w:szCs w:val="24"/>
        </w:rPr>
        <w:t xml:space="preserve">Collaborations with local organizations and authorities, were also established to secure support, resources, and permissions.  Social events and gatherings were </w:t>
      </w:r>
      <w:r w:rsidRPr="00474093">
        <w:rPr>
          <w:rFonts w:ascii="Arial" w:hAnsi="Arial" w:cs="Arial"/>
          <w:sz w:val="24"/>
          <w:szCs w:val="24"/>
        </w:rPr>
        <w:lastRenderedPageBreak/>
        <w:t>organized to foster social interactions and bonding, creating a vibrant and inclusive community atmosphere. Inclusivity and diversity were embraced, ensuring the project was accessible and welcoming to all residents, regardless of age, ethnicity, or socioeconomic background. The community receives financial assistance from the National Gardens Scheme/Royal Horticultural Society Elspeth Thompson Bursary, and Southeastern Railways has allowed it to utilise the station area. The project has secured support from nearby companies to keep the garden up and improve it. The approach depends on collaborating with neighbourhood organisations so that they can</w:t>
      </w:r>
      <w:r w:rsidR="004E1F68" w:rsidRPr="00474093">
        <w:rPr>
          <w:rFonts w:ascii="Arial" w:hAnsi="Arial" w:cs="Arial"/>
          <w:sz w:val="24"/>
          <w:szCs w:val="24"/>
        </w:rPr>
        <w:t xml:space="preserve"> </w:t>
      </w:r>
      <w:r w:rsidRPr="00474093">
        <w:rPr>
          <w:rFonts w:ascii="Arial" w:hAnsi="Arial" w:cs="Arial"/>
          <w:sz w:val="24"/>
          <w:szCs w:val="24"/>
        </w:rPr>
        <w:t>share expertise and experience and create stronger community networks (</w:t>
      </w:r>
      <w:r w:rsidR="00016CD0" w:rsidRPr="00474093">
        <w:rPr>
          <w:rFonts w:ascii="Arial" w:eastAsia="Times New Roman" w:hAnsi="Arial" w:cs="Arial"/>
          <w:color w:val="000000"/>
          <w:sz w:val="24"/>
          <w:szCs w:val="24"/>
        </w:rPr>
        <w:t>Greenwich Community Directory</w:t>
      </w:r>
      <w:r w:rsidRPr="00474093">
        <w:rPr>
          <w:rFonts w:ascii="Arial" w:hAnsi="Arial" w:cs="Arial"/>
          <w:sz w:val="24"/>
          <w:szCs w:val="24"/>
        </w:rPr>
        <w:t xml:space="preserve">, </w:t>
      </w:r>
      <w:proofErr w:type="spellStart"/>
      <w:r w:rsidRPr="00474093">
        <w:rPr>
          <w:rFonts w:ascii="Arial" w:hAnsi="Arial" w:cs="Arial"/>
          <w:sz w:val="24"/>
          <w:szCs w:val="24"/>
        </w:rPr>
        <w:t>n.d</w:t>
      </w:r>
      <w:proofErr w:type="spellEnd"/>
      <w:r w:rsidRPr="00474093">
        <w:rPr>
          <w:rFonts w:ascii="Arial" w:hAnsi="Arial" w:cs="Arial"/>
          <w:sz w:val="24"/>
          <w:szCs w:val="24"/>
        </w:rPr>
        <w:t>).</w:t>
      </w:r>
    </w:p>
    <w:p w14:paraId="2A7DFADA" w14:textId="77777777" w:rsidR="00FE24D0" w:rsidRPr="00474093" w:rsidRDefault="00FE24D0" w:rsidP="00474093">
      <w:pPr>
        <w:spacing w:line="360" w:lineRule="auto"/>
        <w:jc w:val="both"/>
        <w:rPr>
          <w:rFonts w:ascii="Arial" w:hAnsi="Arial" w:cs="Arial"/>
          <w:sz w:val="24"/>
          <w:szCs w:val="24"/>
        </w:rPr>
      </w:pPr>
    </w:p>
    <w:p w14:paraId="19CF2338" w14:textId="29A8D725" w:rsidR="007E306A" w:rsidRPr="00474093" w:rsidRDefault="00FE24D0" w:rsidP="00474093">
      <w:pPr>
        <w:pStyle w:val="Heading1"/>
        <w:spacing w:line="360" w:lineRule="auto"/>
        <w:jc w:val="both"/>
        <w:rPr>
          <w:rFonts w:ascii="Arial" w:hAnsi="Arial" w:cs="Arial"/>
          <w:sz w:val="24"/>
          <w:szCs w:val="24"/>
        </w:rPr>
      </w:pPr>
      <w:bookmarkStart w:id="9" w:name="_Toc141943160"/>
      <w:r w:rsidRPr="00474093">
        <w:rPr>
          <w:rFonts w:ascii="Arial" w:hAnsi="Arial" w:cs="Arial"/>
          <w:sz w:val="24"/>
          <w:szCs w:val="24"/>
        </w:rPr>
        <w:t xml:space="preserve">Potential benefits </w:t>
      </w:r>
      <w:r w:rsidR="00021D9C" w:rsidRPr="00474093">
        <w:rPr>
          <w:rFonts w:ascii="Arial" w:hAnsi="Arial" w:cs="Arial"/>
          <w:sz w:val="24"/>
          <w:szCs w:val="24"/>
        </w:rPr>
        <w:t>and impact</w:t>
      </w:r>
      <w:r w:rsidR="008C2FAD" w:rsidRPr="00474093">
        <w:rPr>
          <w:rFonts w:ascii="Arial" w:hAnsi="Arial" w:cs="Arial"/>
          <w:sz w:val="24"/>
          <w:szCs w:val="24"/>
        </w:rPr>
        <w:t>:</w:t>
      </w:r>
      <w:bookmarkEnd w:id="9"/>
    </w:p>
    <w:p w14:paraId="1A292161" w14:textId="77777777" w:rsidR="008C2FAD" w:rsidRPr="00474093" w:rsidRDefault="008C2FAD" w:rsidP="00474093">
      <w:pPr>
        <w:spacing w:line="360" w:lineRule="auto"/>
        <w:jc w:val="both"/>
        <w:rPr>
          <w:rFonts w:ascii="Arial" w:hAnsi="Arial" w:cs="Arial"/>
          <w:sz w:val="24"/>
          <w:szCs w:val="24"/>
        </w:rPr>
      </w:pPr>
      <w:r w:rsidRPr="00474093">
        <w:rPr>
          <w:rFonts w:ascii="Arial" w:hAnsi="Arial" w:cs="Arial"/>
          <w:sz w:val="24"/>
          <w:szCs w:val="24"/>
        </w:rPr>
        <w:t>Analysing the potential benefits of the Charlton Community Gardens project is crucial in understanding the positive impact it has on both individual residents and the overall neighbourhood. This section of the report delves into the various ways in which the project has contributed to enhancing well-being and community development.</w:t>
      </w:r>
    </w:p>
    <w:p w14:paraId="36F234D8" w14:textId="233BE317" w:rsidR="008C2FAD" w:rsidRPr="00474093" w:rsidRDefault="008C2FAD" w:rsidP="00474093">
      <w:pPr>
        <w:spacing w:line="360" w:lineRule="auto"/>
        <w:jc w:val="both"/>
        <w:rPr>
          <w:rFonts w:ascii="Arial" w:hAnsi="Arial" w:cs="Arial"/>
          <w:sz w:val="24"/>
          <w:szCs w:val="24"/>
        </w:rPr>
      </w:pPr>
      <w:r w:rsidRPr="00474093">
        <w:rPr>
          <w:rFonts w:ascii="Arial" w:hAnsi="Arial" w:cs="Arial"/>
          <w:sz w:val="24"/>
          <w:szCs w:val="24"/>
        </w:rPr>
        <w:t xml:space="preserve">1. Food Security: The establishment of community gardens, rooftop gardens, and community allotments has played a significant role in improving food security within the </w:t>
      </w:r>
      <w:proofErr w:type="spellStart"/>
      <w:r w:rsidRPr="00474093">
        <w:rPr>
          <w:rFonts w:ascii="Arial" w:hAnsi="Arial" w:cs="Arial"/>
          <w:sz w:val="24"/>
          <w:szCs w:val="24"/>
        </w:rPr>
        <w:t>neighborhood</w:t>
      </w:r>
      <w:proofErr w:type="spellEnd"/>
      <w:r w:rsidRPr="00474093">
        <w:rPr>
          <w:rFonts w:ascii="Arial" w:hAnsi="Arial" w:cs="Arial"/>
          <w:sz w:val="24"/>
          <w:szCs w:val="24"/>
        </w:rPr>
        <w:t xml:space="preserve">. By providing residents with access to fresh produce grown locally, the project has reduced their dependence on distant food sources and increased food availability. Community members now </w:t>
      </w:r>
      <w:proofErr w:type="gramStart"/>
      <w:r w:rsidRPr="00474093">
        <w:rPr>
          <w:rFonts w:ascii="Arial" w:hAnsi="Arial" w:cs="Arial"/>
          <w:sz w:val="24"/>
          <w:szCs w:val="24"/>
        </w:rPr>
        <w:t>have the opportunity to</w:t>
      </w:r>
      <w:proofErr w:type="gramEnd"/>
      <w:r w:rsidRPr="00474093">
        <w:rPr>
          <w:rFonts w:ascii="Arial" w:hAnsi="Arial" w:cs="Arial"/>
          <w:sz w:val="24"/>
          <w:szCs w:val="24"/>
        </w:rPr>
        <w:t xml:space="preserve"> grow their own fruits and vegetables, which not only addresses immediate food needs but also fosters a sense of self-reliance and empowerment. The report assesses the impact of these initiatives on reducing food deserts, improving nutrition, and promoting healthier eating habits among residents</w:t>
      </w:r>
      <w:r w:rsidR="007628B8" w:rsidRPr="00474093">
        <w:rPr>
          <w:rFonts w:ascii="Arial" w:hAnsi="Arial" w:cs="Arial"/>
          <w:sz w:val="24"/>
          <w:szCs w:val="24"/>
        </w:rPr>
        <w:t xml:space="preserve"> (Egli </w:t>
      </w:r>
      <w:r w:rsidR="00DD5887" w:rsidRPr="00474093">
        <w:rPr>
          <w:rFonts w:ascii="Arial" w:hAnsi="Arial" w:cs="Arial"/>
          <w:sz w:val="24"/>
          <w:szCs w:val="24"/>
        </w:rPr>
        <w:t>et al., 2016</w:t>
      </w:r>
      <w:r w:rsidR="00344E7D" w:rsidRPr="00474093">
        <w:rPr>
          <w:rFonts w:ascii="Arial" w:hAnsi="Arial" w:cs="Arial"/>
          <w:sz w:val="24"/>
          <w:szCs w:val="24"/>
        </w:rPr>
        <w:t>).</w:t>
      </w:r>
    </w:p>
    <w:p w14:paraId="04E21B90" w14:textId="2EAA7231" w:rsidR="008C2FAD" w:rsidRPr="00474093" w:rsidRDefault="008C2FAD" w:rsidP="00474093">
      <w:pPr>
        <w:spacing w:line="360" w:lineRule="auto"/>
        <w:jc w:val="both"/>
        <w:rPr>
          <w:rFonts w:ascii="Arial" w:hAnsi="Arial" w:cs="Arial"/>
          <w:sz w:val="24"/>
          <w:szCs w:val="24"/>
        </w:rPr>
      </w:pPr>
      <w:r w:rsidRPr="00474093">
        <w:rPr>
          <w:rFonts w:ascii="Arial" w:hAnsi="Arial" w:cs="Arial"/>
          <w:sz w:val="24"/>
          <w:szCs w:val="24"/>
        </w:rPr>
        <w:t>2. Sustainable Agriculture: Through sustainable agriculture workshops and training programs, the project has successfully promoted eco-friendly farming practices among local farmers and urban gardeners. By adopting techniques such as organic farming, composting, and water conservation, the project has contributed to environmental preservation and resource efficiency. The report evaluates the extent to which these sustainable practices have been embraced by participants, thereby enhancing the overall resilience and sustainability of the local agricultural system</w:t>
      </w:r>
      <w:r w:rsidR="00344E7D" w:rsidRPr="00474093">
        <w:rPr>
          <w:rFonts w:ascii="Arial" w:hAnsi="Arial" w:cs="Arial"/>
          <w:sz w:val="24"/>
          <w:szCs w:val="24"/>
        </w:rPr>
        <w:t xml:space="preserve"> (Egli et al., 2016)</w:t>
      </w:r>
      <w:r w:rsidRPr="00474093">
        <w:rPr>
          <w:rFonts w:ascii="Arial" w:hAnsi="Arial" w:cs="Arial"/>
          <w:sz w:val="24"/>
          <w:szCs w:val="24"/>
        </w:rPr>
        <w:t>.</w:t>
      </w:r>
    </w:p>
    <w:p w14:paraId="714815A9" w14:textId="491BD5CF" w:rsidR="008C2FAD" w:rsidRPr="00474093" w:rsidRDefault="008C2FAD" w:rsidP="00474093">
      <w:pPr>
        <w:spacing w:line="360" w:lineRule="auto"/>
        <w:jc w:val="both"/>
        <w:rPr>
          <w:rFonts w:ascii="Arial" w:hAnsi="Arial" w:cs="Arial"/>
          <w:sz w:val="24"/>
          <w:szCs w:val="24"/>
        </w:rPr>
      </w:pPr>
      <w:r w:rsidRPr="00474093">
        <w:rPr>
          <w:rFonts w:ascii="Arial" w:hAnsi="Arial" w:cs="Arial"/>
          <w:sz w:val="24"/>
          <w:szCs w:val="24"/>
        </w:rPr>
        <w:lastRenderedPageBreak/>
        <w:t xml:space="preserve">3. Community Cohesion: The Charlton Community Gardens project has had a positive impact on community cohesion and social interaction within the </w:t>
      </w:r>
      <w:proofErr w:type="spellStart"/>
      <w:r w:rsidRPr="00474093">
        <w:rPr>
          <w:rFonts w:ascii="Arial" w:hAnsi="Arial" w:cs="Arial"/>
          <w:sz w:val="24"/>
          <w:szCs w:val="24"/>
        </w:rPr>
        <w:t>neighborhood</w:t>
      </w:r>
      <w:proofErr w:type="spellEnd"/>
      <w:r w:rsidRPr="00474093">
        <w:rPr>
          <w:rFonts w:ascii="Arial" w:hAnsi="Arial" w:cs="Arial"/>
          <w:sz w:val="24"/>
          <w:szCs w:val="24"/>
        </w:rPr>
        <w:t>. By providing shared spaces for gardening and community gatherings, the project has created opportunities for residents to come together and collaborate. Gardening activities and farmers' markets have become focal points for interactions among community members, fostering a sense of belonging and camaraderie. The report examines the degree to which these community-building initiatives have strengthened social ties and improved overall community well-being</w:t>
      </w:r>
      <w:r w:rsidR="00344E7D" w:rsidRPr="00474093">
        <w:rPr>
          <w:rFonts w:ascii="Arial" w:hAnsi="Arial" w:cs="Arial"/>
          <w:sz w:val="24"/>
          <w:szCs w:val="24"/>
        </w:rPr>
        <w:t xml:space="preserve"> (Egli et al., 2016).</w:t>
      </w:r>
    </w:p>
    <w:p w14:paraId="7573F6FE" w14:textId="04D53544" w:rsidR="008C2FAD" w:rsidRPr="00474093" w:rsidRDefault="008C2FAD" w:rsidP="00474093">
      <w:pPr>
        <w:spacing w:line="360" w:lineRule="auto"/>
        <w:jc w:val="both"/>
        <w:rPr>
          <w:rFonts w:ascii="Arial" w:hAnsi="Arial" w:cs="Arial"/>
          <w:sz w:val="24"/>
          <w:szCs w:val="24"/>
        </w:rPr>
      </w:pPr>
      <w:r w:rsidRPr="00474093">
        <w:rPr>
          <w:rFonts w:ascii="Arial" w:hAnsi="Arial" w:cs="Arial"/>
          <w:sz w:val="24"/>
          <w:szCs w:val="24"/>
        </w:rPr>
        <w:t xml:space="preserve">4. Environmental Benefits: In addition to the direct impacts on food security and sustainable agriculture, the project has generated positive environmental outcomes. The cultivation of community gardens and green spaces has enhanced urban biodiversity and promoted urban greening. These green areas contribute to improved air quality, carbon sequestration, and a more visually appealing environment. The report assesses the project's role in enhancing the </w:t>
      </w:r>
      <w:r w:rsidR="00042C5D" w:rsidRPr="00474093">
        <w:rPr>
          <w:rFonts w:ascii="Arial" w:hAnsi="Arial" w:cs="Arial"/>
          <w:sz w:val="24"/>
          <w:szCs w:val="24"/>
        </w:rPr>
        <w:t>neighbourhood’s</w:t>
      </w:r>
      <w:r w:rsidRPr="00474093">
        <w:rPr>
          <w:rFonts w:ascii="Arial" w:hAnsi="Arial" w:cs="Arial"/>
          <w:sz w:val="24"/>
          <w:szCs w:val="24"/>
        </w:rPr>
        <w:t xml:space="preserve"> ecological resilience and its contribution to broader environmental conservation efforts</w:t>
      </w:r>
      <w:r w:rsidR="00843E07" w:rsidRPr="00474093">
        <w:rPr>
          <w:rFonts w:ascii="Arial" w:hAnsi="Arial" w:cs="Arial"/>
          <w:sz w:val="24"/>
          <w:szCs w:val="24"/>
        </w:rPr>
        <w:t xml:space="preserve"> </w:t>
      </w:r>
      <w:r w:rsidR="00344E7D" w:rsidRPr="00474093">
        <w:rPr>
          <w:rFonts w:ascii="Arial" w:hAnsi="Arial" w:cs="Arial"/>
          <w:sz w:val="24"/>
          <w:szCs w:val="24"/>
        </w:rPr>
        <w:t>(Egli et al., 2016).</w:t>
      </w:r>
    </w:p>
    <w:p w14:paraId="5F2574CC" w14:textId="77777777" w:rsidR="009E45BE" w:rsidRPr="00474093" w:rsidRDefault="009E45BE" w:rsidP="00474093">
      <w:pPr>
        <w:pStyle w:val="Heading1"/>
        <w:spacing w:line="360" w:lineRule="auto"/>
        <w:jc w:val="both"/>
        <w:rPr>
          <w:rFonts w:ascii="Arial" w:hAnsi="Arial" w:cs="Arial"/>
          <w:sz w:val="24"/>
          <w:szCs w:val="24"/>
        </w:rPr>
      </w:pPr>
      <w:r w:rsidRPr="00474093">
        <w:rPr>
          <w:rFonts w:ascii="Arial" w:hAnsi="Arial" w:cs="Arial"/>
          <w:sz w:val="24"/>
          <w:szCs w:val="24"/>
        </w:rPr>
        <w:t xml:space="preserve"> </w:t>
      </w:r>
      <w:bookmarkStart w:id="10" w:name="_Toc140260702"/>
      <w:bookmarkStart w:id="11" w:name="_Toc141943161"/>
      <w:r w:rsidRPr="00474093">
        <w:rPr>
          <w:rFonts w:ascii="Arial" w:hAnsi="Arial" w:cs="Arial"/>
          <w:sz w:val="24"/>
          <w:szCs w:val="24"/>
        </w:rPr>
        <w:t>Social Media and Outreach</w:t>
      </w:r>
      <w:bookmarkEnd w:id="10"/>
      <w:bookmarkEnd w:id="11"/>
    </w:p>
    <w:p w14:paraId="3AFE9D10" w14:textId="1D146F09" w:rsidR="009E45BE" w:rsidRPr="00474093" w:rsidRDefault="009E45BE" w:rsidP="00474093">
      <w:pPr>
        <w:spacing w:line="360" w:lineRule="auto"/>
        <w:jc w:val="both"/>
        <w:rPr>
          <w:rFonts w:ascii="Arial" w:hAnsi="Arial" w:cs="Arial"/>
          <w:sz w:val="24"/>
          <w:szCs w:val="24"/>
        </w:rPr>
      </w:pPr>
      <w:r w:rsidRPr="00474093">
        <w:rPr>
          <w:rFonts w:ascii="Arial" w:hAnsi="Arial" w:cs="Arial"/>
          <w:sz w:val="24"/>
          <w:szCs w:val="24"/>
        </w:rPr>
        <w:t>“Charlton Community Gardens” outreach relies on social media. Project updates, community engagement, and community gardening awareness may be shared on Facebook, Instagram, Twitter, and YouTube. The community may build project pages or accounts on these platforms to share images, videos, and stories about project progress, successes, and planned events. Visual material may attract community members and encourage participation. Social media also facilitates interaction. Live Q&amp;A sessions, virtual seminars, and online conversations may include community members in decision-making and address their concerns (Dignum, Dignum, and Frank, 2020). Sharing gardening advice, tools, and best practises on social media creates a virtual community of practise where people may learn and share.</w:t>
      </w:r>
    </w:p>
    <w:p w14:paraId="54DC3851" w14:textId="77777777" w:rsidR="009E45BE" w:rsidRPr="00474093" w:rsidRDefault="009E45BE" w:rsidP="00474093">
      <w:pPr>
        <w:spacing w:line="360" w:lineRule="auto"/>
        <w:jc w:val="both"/>
        <w:rPr>
          <w:rFonts w:ascii="Arial" w:hAnsi="Arial" w:cs="Arial"/>
          <w:sz w:val="24"/>
          <w:szCs w:val="24"/>
        </w:rPr>
      </w:pPr>
      <w:r w:rsidRPr="00474093">
        <w:rPr>
          <w:rFonts w:ascii="Arial" w:hAnsi="Arial" w:cs="Arial"/>
          <w:sz w:val="24"/>
          <w:szCs w:val="24"/>
        </w:rPr>
        <w:t xml:space="preserve">Social media platforms enable project community engagement, cooperation, diversity, and inclusion. Featuring tales and testimonies from all origins, ages, and abilities may actively support diverse voices and viewpoints. They may demonstrate the project's inclusivity by showcasing the participation of community people from diverse ethnic, cultural, and socioeconomic backgrounds (Frumkin and Vargas, 2018). Local </w:t>
      </w:r>
      <w:r w:rsidRPr="00474093">
        <w:rPr>
          <w:rFonts w:ascii="Arial" w:hAnsi="Arial" w:cs="Arial"/>
          <w:sz w:val="24"/>
          <w:szCs w:val="24"/>
        </w:rPr>
        <w:lastRenderedPageBreak/>
        <w:t>organisations, influencers, and community groups may collaborate on social media. Cross-promotion and shared material may increase project awareness and participation. Volunteers, partners, and stakeholders may be recognised on social media, enhancing collaboration.</w:t>
      </w:r>
    </w:p>
    <w:p w14:paraId="1F695C89" w14:textId="77777777" w:rsidR="009E45BE" w:rsidRPr="00474093" w:rsidRDefault="009E45BE" w:rsidP="00474093">
      <w:pPr>
        <w:spacing w:line="360" w:lineRule="auto"/>
        <w:jc w:val="both"/>
        <w:rPr>
          <w:rFonts w:ascii="Arial" w:hAnsi="Arial" w:cs="Arial"/>
          <w:sz w:val="24"/>
          <w:szCs w:val="24"/>
        </w:rPr>
      </w:pPr>
      <w:r w:rsidRPr="00474093">
        <w:rPr>
          <w:rFonts w:ascii="Arial" w:hAnsi="Arial" w:cs="Arial"/>
          <w:sz w:val="24"/>
          <w:szCs w:val="24"/>
        </w:rPr>
        <w:t>Social media platforms enable cross-cultural discussion, celebration, and exchange. Virtual culinary demos utilising garden vegetables may increase cultural awareness and respect. Social media may encourage community activities that celebrate ethnic variety, creating togetherness and pride.</w:t>
      </w:r>
    </w:p>
    <w:p w14:paraId="280FB6D5" w14:textId="77777777" w:rsidR="009E45BE" w:rsidRPr="00474093" w:rsidRDefault="009E45BE" w:rsidP="00474093">
      <w:pPr>
        <w:spacing w:line="360" w:lineRule="auto"/>
        <w:jc w:val="both"/>
        <w:rPr>
          <w:rFonts w:ascii="Arial" w:hAnsi="Arial" w:cs="Arial"/>
          <w:sz w:val="24"/>
          <w:szCs w:val="24"/>
        </w:rPr>
      </w:pPr>
      <w:r w:rsidRPr="00474093">
        <w:rPr>
          <w:rFonts w:ascii="Arial" w:hAnsi="Arial" w:cs="Arial"/>
          <w:sz w:val="24"/>
          <w:szCs w:val="24"/>
        </w:rPr>
        <w:t>Social media facilitates multi-agency project communication and coordination. Social media updates, resources, and milestones keep stakeholders informed and aligned (Anderson and Tryon, 2022). This platform promotes synergy and maximises the effect of various agencies working towards a single objective by efficiently exchanging ideas, plans, and best practises. Social media platforms support project outreach, community participation, cooperation, and diversity and inclusion. The "Charlton community gardens " initiative may benefit greatly from using these platforms.</w:t>
      </w:r>
    </w:p>
    <w:p w14:paraId="500D7ED2" w14:textId="77777777" w:rsidR="001D61D6" w:rsidRPr="00474093" w:rsidRDefault="001D61D6" w:rsidP="00474093">
      <w:pPr>
        <w:pStyle w:val="Heading1"/>
        <w:spacing w:line="360" w:lineRule="auto"/>
        <w:jc w:val="both"/>
        <w:rPr>
          <w:rFonts w:ascii="Arial" w:hAnsi="Arial" w:cs="Arial"/>
          <w:sz w:val="24"/>
          <w:szCs w:val="24"/>
        </w:rPr>
      </w:pPr>
      <w:bookmarkStart w:id="12" w:name="_Toc140260704"/>
      <w:bookmarkStart w:id="13" w:name="_Toc141943162"/>
      <w:r w:rsidRPr="00474093">
        <w:rPr>
          <w:rFonts w:ascii="Arial" w:hAnsi="Arial" w:cs="Arial"/>
          <w:sz w:val="24"/>
          <w:szCs w:val="24"/>
        </w:rPr>
        <w:t>Lessons Learned and Post-Project Plan</w:t>
      </w:r>
      <w:bookmarkEnd w:id="12"/>
      <w:bookmarkEnd w:id="13"/>
    </w:p>
    <w:p w14:paraId="30C71D86" w14:textId="24545B08" w:rsidR="001D61D6" w:rsidRPr="00474093" w:rsidRDefault="001D61D6" w:rsidP="00474093">
      <w:pPr>
        <w:spacing w:line="360" w:lineRule="auto"/>
        <w:jc w:val="both"/>
        <w:rPr>
          <w:rFonts w:ascii="Arial" w:hAnsi="Arial" w:cs="Arial"/>
          <w:sz w:val="24"/>
          <w:szCs w:val="24"/>
        </w:rPr>
      </w:pPr>
      <w:r w:rsidRPr="00474093">
        <w:rPr>
          <w:rFonts w:ascii="Arial" w:hAnsi="Arial" w:cs="Arial"/>
          <w:sz w:val="24"/>
          <w:szCs w:val="24"/>
        </w:rPr>
        <w:t>Several important takeaways from the "</w:t>
      </w:r>
      <w:r w:rsidR="004E3663" w:rsidRPr="00474093">
        <w:rPr>
          <w:rFonts w:ascii="Arial" w:hAnsi="Arial" w:cs="Arial"/>
          <w:sz w:val="24"/>
          <w:szCs w:val="24"/>
        </w:rPr>
        <w:t>Charlton Community Gardens</w:t>
      </w:r>
      <w:r w:rsidRPr="00474093">
        <w:rPr>
          <w:rFonts w:ascii="Arial" w:hAnsi="Arial" w:cs="Arial"/>
          <w:sz w:val="24"/>
          <w:szCs w:val="24"/>
        </w:rPr>
        <w:t>" initiative may guide future efforts to bring people together. As a first observation, it was made that stakeholders need to be included in from the beginning if community participation is to be successful. Participation from the beginning of a project promotes a feeling of ownership and encourages productive cooperation. Second, the need of being pliable and adaptable was emphasised (Sallis and Glanz, 2019). Extreme weather and a shift in community interests were only two of the surprises that derailed the project. Having the flexibility to make necessary changes to plans and tactics helped overcome these setbacks without derailing progress on the project. The need of establishing solid relationships with local organisations and institutions was another takeaway. By working together, we were able to pool our resources, share our expertise, and increase the project's overall effectiveness. The significance of constant monitoring and response systems was also made clear</w:t>
      </w:r>
      <w:r w:rsidR="008B619E" w:rsidRPr="00474093">
        <w:rPr>
          <w:rFonts w:ascii="Arial" w:hAnsi="Arial" w:cs="Arial"/>
          <w:sz w:val="24"/>
          <w:szCs w:val="24"/>
        </w:rPr>
        <w:t xml:space="preserve">. </w:t>
      </w:r>
      <w:r w:rsidRPr="00474093">
        <w:rPr>
          <w:rFonts w:ascii="Arial" w:hAnsi="Arial" w:cs="Arial"/>
          <w:sz w:val="24"/>
          <w:szCs w:val="24"/>
        </w:rPr>
        <w:t>Constant iteration and fine-tuning based on user feedback were made possible by the system's built-in feedback loops. Progress could be tracked, opportunities for development could be identified, and successes could be recognised due to monitoring and assessment.</w:t>
      </w:r>
    </w:p>
    <w:p w14:paraId="61C47259" w14:textId="4A8C21A6" w:rsidR="001D61D6" w:rsidRPr="00474093" w:rsidRDefault="001D61D6" w:rsidP="00474093">
      <w:pPr>
        <w:spacing w:line="360" w:lineRule="auto"/>
        <w:jc w:val="both"/>
        <w:rPr>
          <w:rFonts w:ascii="Arial" w:hAnsi="Arial" w:cs="Arial"/>
          <w:sz w:val="24"/>
          <w:szCs w:val="24"/>
        </w:rPr>
      </w:pPr>
      <w:r w:rsidRPr="00474093">
        <w:rPr>
          <w:rFonts w:ascii="Arial" w:hAnsi="Arial" w:cs="Arial"/>
          <w:sz w:val="24"/>
          <w:szCs w:val="24"/>
        </w:rPr>
        <w:lastRenderedPageBreak/>
        <w:t>There are several strategies in place to ensure the positive effects of the "</w:t>
      </w:r>
      <w:r w:rsidR="00A93A44" w:rsidRPr="00474093">
        <w:rPr>
          <w:rFonts w:ascii="Arial" w:hAnsi="Arial" w:cs="Arial"/>
          <w:sz w:val="24"/>
          <w:szCs w:val="24"/>
        </w:rPr>
        <w:t>Charlton Community Gardens</w:t>
      </w:r>
      <w:r w:rsidRPr="00474093">
        <w:rPr>
          <w:rFonts w:ascii="Arial" w:hAnsi="Arial" w:cs="Arial"/>
          <w:sz w:val="24"/>
          <w:szCs w:val="24"/>
        </w:rPr>
        <w:t>" project continue long after its completion. The formation of a cooperative or community garden when the project is complete is one option. If the community is interested in keeping the gardens maintained and developing their sustainable living practises, this group may give them with continuing assistance, training, and resources. Additionally, via the creation of instructional materials and tools, the initiative hopes to leave a legacy of knowledge and agency (Lester and Stone, 2017). Community members and future generations might benefit from resources like a gardening guidebook, online lessons, and seminars. Sustainable gardening and environmental education will be included into the curriculum of local schools as part of this initiative. By working together, we can guarantee that future generations keep on the tradition of sustainable living and play an active role in community improvement.</w:t>
      </w:r>
    </w:p>
    <w:p w14:paraId="4863A3E9" w14:textId="77777777" w:rsidR="001D61D6" w:rsidRPr="00474093" w:rsidRDefault="001D61D6" w:rsidP="00474093">
      <w:pPr>
        <w:spacing w:line="360" w:lineRule="auto"/>
        <w:jc w:val="both"/>
        <w:rPr>
          <w:rFonts w:ascii="Arial" w:hAnsi="Arial" w:cs="Arial"/>
          <w:sz w:val="24"/>
          <w:szCs w:val="24"/>
        </w:rPr>
      </w:pPr>
      <w:r w:rsidRPr="00474093">
        <w:rPr>
          <w:rFonts w:ascii="Arial" w:hAnsi="Arial" w:cs="Arial"/>
          <w:sz w:val="24"/>
          <w:szCs w:val="24"/>
        </w:rPr>
        <w:t>The project team also hopes to commemorate the successes and encourage continuous community involvement by organising regular community activities and gatherings, such as harvest festivals or gardening contests. These preparations for when the project is complete are meant to keep people in the community connected and involved in sustainable living practises so that the initiative may last and have a lasting effect.</w:t>
      </w:r>
    </w:p>
    <w:p w14:paraId="31940AD8" w14:textId="77777777" w:rsidR="001D61D6" w:rsidRPr="00474093" w:rsidRDefault="001D61D6" w:rsidP="00474093">
      <w:pPr>
        <w:pStyle w:val="Heading1"/>
        <w:spacing w:line="360" w:lineRule="auto"/>
        <w:jc w:val="both"/>
        <w:rPr>
          <w:rFonts w:ascii="Arial" w:hAnsi="Arial" w:cs="Arial"/>
          <w:sz w:val="24"/>
          <w:szCs w:val="24"/>
        </w:rPr>
      </w:pPr>
      <w:bookmarkStart w:id="14" w:name="_Toc140260705"/>
      <w:bookmarkStart w:id="15" w:name="_Toc141943163"/>
      <w:r w:rsidRPr="00474093">
        <w:rPr>
          <w:rFonts w:ascii="Arial" w:hAnsi="Arial" w:cs="Arial"/>
          <w:sz w:val="24"/>
          <w:szCs w:val="24"/>
        </w:rPr>
        <w:t>Conclusion</w:t>
      </w:r>
      <w:bookmarkEnd w:id="14"/>
      <w:bookmarkEnd w:id="15"/>
    </w:p>
    <w:p w14:paraId="1770DB36" w14:textId="5C32A072" w:rsidR="001D61D6" w:rsidRPr="00474093" w:rsidRDefault="001D61D6" w:rsidP="00474093">
      <w:pPr>
        <w:spacing w:line="360" w:lineRule="auto"/>
        <w:jc w:val="both"/>
        <w:rPr>
          <w:rFonts w:ascii="Arial" w:hAnsi="Arial" w:cs="Arial"/>
          <w:sz w:val="24"/>
          <w:szCs w:val="24"/>
        </w:rPr>
      </w:pPr>
      <w:r w:rsidRPr="00474093">
        <w:rPr>
          <w:rFonts w:ascii="Arial" w:hAnsi="Arial" w:cs="Arial"/>
          <w:sz w:val="24"/>
          <w:szCs w:val="24"/>
        </w:rPr>
        <w:t>In sum, the "</w:t>
      </w:r>
      <w:r w:rsidR="00121C34" w:rsidRPr="00474093">
        <w:rPr>
          <w:rFonts w:ascii="Arial" w:hAnsi="Arial" w:cs="Arial"/>
          <w:sz w:val="24"/>
          <w:szCs w:val="24"/>
        </w:rPr>
        <w:t>Charlton Community Gardens</w:t>
      </w:r>
      <w:r w:rsidRPr="00474093">
        <w:rPr>
          <w:rFonts w:ascii="Arial" w:hAnsi="Arial" w:cs="Arial"/>
          <w:sz w:val="24"/>
          <w:szCs w:val="24"/>
        </w:rPr>
        <w:t>" initiative illustrates the significance of community involvement and the adoption of a prospective strategy in attaining substantive social development. Through broad involvement and coordinated effort, the initiative was able to effectively combat food hunger while also strengthening community bonds and encouraging environmentally responsible lifestyle choices. The lessons learnt about the importance of stakeholder participation, flexibility, and collaborations may be used to similar community engagement projects in the future. The project's sustainability and community members' continuous empowerment are ensured by the post-project plans, which include the creation of a community-led organisation, educational tools, and regular activities. Collective action for a more resilient and inclusive society is highlighted as this project concludes, demonstrating the transformational potential of community participation.</w:t>
      </w:r>
    </w:p>
    <w:p w14:paraId="5F51D40D" w14:textId="77777777" w:rsidR="001D61D6" w:rsidRPr="00474093" w:rsidRDefault="001D61D6" w:rsidP="00474093">
      <w:pPr>
        <w:spacing w:line="360" w:lineRule="auto"/>
        <w:jc w:val="both"/>
        <w:rPr>
          <w:rFonts w:ascii="Arial" w:hAnsi="Arial" w:cs="Arial"/>
          <w:sz w:val="24"/>
          <w:szCs w:val="24"/>
        </w:rPr>
      </w:pPr>
    </w:p>
    <w:p w14:paraId="531788DF" w14:textId="7DE5D2A8" w:rsidR="009E45BE" w:rsidRPr="00474093" w:rsidRDefault="009E45BE" w:rsidP="00474093">
      <w:pPr>
        <w:spacing w:line="360" w:lineRule="auto"/>
        <w:jc w:val="both"/>
        <w:rPr>
          <w:rFonts w:ascii="Arial" w:hAnsi="Arial" w:cs="Arial"/>
          <w:sz w:val="24"/>
          <w:szCs w:val="24"/>
        </w:rPr>
      </w:pPr>
    </w:p>
    <w:p w14:paraId="6CDFEC10" w14:textId="77777777" w:rsidR="008C2FAD" w:rsidRPr="00474093" w:rsidRDefault="008C2FAD" w:rsidP="00474093">
      <w:pPr>
        <w:spacing w:line="360" w:lineRule="auto"/>
        <w:jc w:val="both"/>
        <w:rPr>
          <w:rFonts w:ascii="Arial" w:hAnsi="Arial" w:cs="Arial"/>
          <w:sz w:val="24"/>
          <w:szCs w:val="24"/>
        </w:rPr>
      </w:pPr>
    </w:p>
    <w:p w14:paraId="47D697CE" w14:textId="33EE0728" w:rsidR="00126F87" w:rsidRPr="00474093" w:rsidRDefault="00FA383A" w:rsidP="00474093">
      <w:pPr>
        <w:pStyle w:val="Heading1"/>
        <w:spacing w:line="360" w:lineRule="auto"/>
        <w:jc w:val="both"/>
        <w:rPr>
          <w:rFonts w:ascii="Arial" w:hAnsi="Arial" w:cs="Arial"/>
          <w:sz w:val="24"/>
          <w:szCs w:val="24"/>
        </w:rPr>
      </w:pPr>
      <w:bookmarkStart w:id="16" w:name="_Toc141943164"/>
      <w:r w:rsidRPr="00474093">
        <w:rPr>
          <w:rFonts w:ascii="Arial" w:hAnsi="Arial" w:cs="Arial"/>
          <w:sz w:val="24"/>
          <w:szCs w:val="24"/>
        </w:rPr>
        <w:t>References</w:t>
      </w:r>
      <w:bookmarkEnd w:id="16"/>
    </w:p>
    <w:p w14:paraId="7098D97F" w14:textId="77777777" w:rsidR="00FA383A" w:rsidRPr="00474093" w:rsidRDefault="00FA383A" w:rsidP="00474093">
      <w:pPr>
        <w:spacing w:line="360" w:lineRule="auto"/>
        <w:jc w:val="both"/>
        <w:rPr>
          <w:rFonts w:ascii="Arial" w:hAnsi="Arial" w:cs="Arial"/>
          <w:sz w:val="24"/>
          <w:szCs w:val="24"/>
        </w:rPr>
      </w:pPr>
      <w:r w:rsidRPr="00474093">
        <w:rPr>
          <w:rFonts w:ascii="Arial" w:hAnsi="Arial" w:cs="Arial"/>
          <w:sz w:val="24"/>
          <w:szCs w:val="24"/>
        </w:rPr>
        <w:t xml:space="preserve">Anderson, E., and Tryon, E. (2022). </w:t>
      </w:r>
      <w:r w:rsidRPr="00474093">
        <w:rPr>
          <w:rFonts w:ascii="Arial" w:hAnsi="Arial" w:cs="Arial"/>
          <w:i/>
          <w:iCs/>
          <w:sz w:val="24"/>
          <w:szCs w:val="24"/>
        </w:rPr>
        <w:t>Leveraging social media for community engagement: Strategies and best practices.</w:t>
      </w:r>
      <w:r w:rsidRPr="00474093">
        <w:rPr>
          <w:rFonts w:ascii="Arial" w:hAnsi="Arial" w:cs="Arial"/>
          <w:sz w:val="24"/>
          <w:szCs w:val="24"/>
        </w:rPr>
        <w:t xml:space="preserve"> Nonprofit and Voluntary Sector Quarterly, 51(3), 494-512.</w:t>
      </w:r>
    </w:p>
    <w:p w14:paraId="515BF927" w14:textId="0F9E5D2F" w:rsidR="00390BC2" w:rsidRPr="00474093" w:rsidRDefault="00CB67A6" w:rsidP="00474093">
      <w:pPr>
        <w:shd w:val="clear" w:color="auto" w:fill="FFFFFF"/>
        <w:spacing w:line="360" w:lineRule="auto"/>
        <w:jc w:val="both"/>
        <w:rPr>
          <w:rFonts w:ascii="Arial" w:eastAsia="Times New Roman" w:hAnsi="Arial" w:cs="Arial"/>
          <w:color w:val="000000"/>
          <w:sz w:val="24"/>
          <w:szCs w:val="24"/>
        </w:rPr>
      </w:pPr>
      <w:r w:rsidRPr="00474093">
        <w:rPr>
          <w:rFonts w:ascii="Arial" w:eastAsia="Times New Roman" w:hAnsi="Arial" w:cs="Arial"/>
          <w:color w:val="000000"/>
          <w:sz w:val="24"/>
          <w:szCs w:val="24"/>
        </w:rPr>
        <w:t>Greenwich Community Director</w:t>
      </w:r>
      <w:r w:rsidR="00483F92" w:rsidRPr="00474093">
        <w:rPr>
          <w:rFonts w:ascii="Arial" w:eastAsia="Times New Roman" w:hAnsi="Arial" w:cs="Arial"/>
          <w:color w:val="000000"/>
          <w:sz w:val="24"/>
          <w:szCs w:val="24"/>
        </w:rPr>
        <w:t>y</w:t>
      </w:r>
      <w:r w:rsidR="00390BC2" w:rsidRPr="00474093">
        <w:rPr>
          <w:rFonts w:ascii="Arial" w:eastAsia="Times New Roman" w:hAnsi="Arial" w:cs="Arial"/>
          <w:color w:val="000000"/>
          <w:sz w:val="24"/>
          <w:szCs w:val="24"/>
        </w:rPr>
        <w:t>. (</w:t>
      </w:r>
      <w:proofErr w:type="spellStart"/>
      <w:r w:rsidR="00390BC2" w:rsidRPr="00474093">
        <w:rPr>
          <w:rFonts w:ascii="Arial" w:eastAsia="Times New Roman" w:hAnsi="Arial" w:cs="Arial"/>
          <w:color w:val="000000"/>
          <w:sz w:val="24"/>
          <w:szCs w:val="24"/>
        </w:rPr>
        <w:t>n.d</w:t>
      </w:r>
      <w:proofErr w:type="spellEnd"/>
      <w:r w:rsidR="00390BC2" w:rsidRPr="00474093">
        <w:rPr>
          <w:rFonts w:ascii="Arial" w:eastAsia="Times New Roman" w:hAnsi="Arial" w:cs="Arial"/>
          <w:color w:val="000000"/>
          <w:sz w:val="24"/>
          <w:szCs w:val="24"/>
        </w:rPr>
        <w:t xml:space="preserve">). </w:t>
      </w:r>
      <w:r w:rsidR="00390BC2" w:rsidRPr="00474093">
        <w:rPr>
          <w:rFonts w:ascii="Arial" w:eastAsia="Times New Roman" w:hAnsi="Arial" w:cs="Arial"/>
          <w:i/>
          <w:iCs/>
          <w:color w:val="000000"/>
          <w:sz w:val="24"/>
          <w:szCs w:val="24"/>
        </w:rPr>
        <w:t xml:space="preserve">Charlton community gardens. </w:t>
      </w:r>
      <w:r w:rsidR="00390BC2" w:rsidRPr="00474093">
        <w:rPr>
          <w:rFonts w:ascii="Arial" w:eastAsia="Times New Roman" w:hAnsi="Arial" w:cs="Arial"/>
          <w:color w:val="000000"/>
          <w:sz w:val="24"/>
          <w:szCs w:val="24"/>
        </w:rPr>
        <w:t xml:space="preserve">Available at: https://www.greenwichcommunitydirectory.org.uk/kb5/greenwich/directory/service.page?id=F6o9X7vL7lk (Accessed at: 23 </w:t>
      </w:r>
      <w:proofErr w:type="gramStart"/>
      <w:r w:rsidR="00390BC2" w:rsidRPr="00474093">
        <w:rPr>
          <w:rFonts w:ascii="Arial" w:eastAsia="Times New Roman" w:hAnsi="Arial" w:cs="Arial"/>
          <w:color w:val="000000"/>
          <w:sz w:val="24"/>
          <w:szCs w:val="24"/>
        </w:rPr>
        <w:t>July,</w:t>
      </w:r>
      <w:proofErr w:type="gramEnd"/>
      <w:r w:rsidR="00390BC2" w:rsidRPr="00474093">
        <w:rPr>
          <w:rFonts w:ascii="Arial" w:eastAsia="Times New Roman" w:hAnsi="Arial" w:cs="Arial"/>
          <w:color w:val="000000"/>
          <w:sz w:val="24"/>
          <w:szCs w:val="24"/>
        </w:rPr>
        <w:t xml:space="preserve"> 2023).</w:t>
      </w:r>
    </w:p>
    <w:p w14:paraId="32DCC151" w14:textId="77777777" w:rsidR="00FA383A" w:rsidRPr="00474093" w:rsidRDefault="00FA383A" w:rsidP="00474093">
      <w:pPr>
        <w:spacing w:line="360" w:lineRule="auto"/>
        <w:jc w:val="both"/>
        <w:rPr>
          <w:rFonts w:ascii="Arial" w:hAnsi="Arial" w:cs="Arial"/>
          <w:sz w:val="24"/>
          <w:szCs w:val="24"/>
        </w:rPr>
      </w:pPr>
      <w:r w:rsidRPr="00474093">
        <w:rPr>
          <w:rFonts w:ascii="Arial" w:hAnsi="Arial" w:cs="Arial"/>
          <w:sz w:val="24"/>
          <w:szCs w:val="24"/>
          <w:lang w:val="en-US"/>
        </w:rPr>
        <w:t xml:space="preserve">Dignum, F., Dignum, V., and Frank, L. (2020). </w:t>
      </w:r>
      <w:r w:rsidRPr="00474093">
        <w:rPr>
          <w:rFonts w:ascii="Arial" w:hAnsi="Arial" w:cs="Arial"/>
          <w:i/>
          <w:iCs/>
          <w:sz w:val="24"/>
          <w:szCs w:val="24"/>
        </w:rPr>
        <w:t>Collaboration theory for a data-driven society.</w:t>
      </w:r>
      <w:r w:rsidRPr="00474093">
        <w:rPr>
          <w:rFonts w:ascii="Arial" w:hAnsi="Arial" w:cs="Arial"/>
          <w:sz w:val="24"/>
          <w:szCs w:val="24"/>
        </w:rPr>
        <w:t xml:space="preserve"> AI and Society, 35(2), 295-300.</w:t>
      </w:r>
    </w:p>
    <w:p w14:paraId="59F114B8" w14:textId="77777777" w:rsidR="00FA383A" w:rsidRPr="00474093" w:rsidRDefault="00FA383A" w:rsidP="00474093">
      <w:pPr>
        <w:spacing w:line="360" w:lineRule="auto"/>
        <w:jc w:val="both"/>
        <w:rPr>
          <w:rFonts w:ascii="Arial" w:hAnsi="Arial" w:cs="Arial"/>
          <w:sz w:val="24"/>
          <w:szCs w:val="24"/>
        </w:rPr>
      </w:pPr>
      <w:r w:rsidRPr="00474093">
        <w:rPr>
          <w:rFonts w:ascii="Arial" w:hAnsi="Arial" w:cs="Arial"/>
          <w:sz w:val="24"/>
          <w:szCs w:val="24"/>
        </w:rPr>
        <w:t xml:space="preserve">Egli, V., Oliver, M., Tautolo, E. (2016). </w:t>
      </w:r>
      <w:r w:rsidRPr="00474093">
        <w:rPr>
          <w:rFonts w:ascii="Arial" w:hAnsi="Arial" w:cs="Arial"/>
          <w:i/>
          <w:iCs/>
          <w:sz w:val="24"/>
          <w:szCs w:val="24"/>
        </w:rPr>
        <w:t>The development of a model of community garden benefits to wellbeing.</w:t>
      </w:r>
      <w:r w:rsidRPr="00474093">
        <w:rPr>
          <w:rFonts w:ascii="Arial" w:hAnsi="Arial" w:cs="Arial"/>
          <w:sz w:val="24"/>
          <w:szCs w:val="24"/>
        </w:rPr>
        <w:t xml:space="preserve"> Preventive Medicine reports, 3, 348-352.</w:t>
      </w:r>
    </w:p>
    <w:p w14:paraId="10B4BDF3" w14:textId="77777777" w:rsidR="00FA383A" w:rsidRPr="00474093" w:rsidRDefault="00FA383A" w:rsidP="00474093">
      <w:pPr>
        <w:spacing w:line="360" w:lineRule="auto"/>
        <w:jc w:val="both"/>
        <w:rPr>
          <w:rFonts w:ascii="Arial" w:hAnsi="Arial" w:cs="Arial"/>
          <w:sz w:val="24"/>
          <w:szCs w:val="24"/>
        </w:rPr>
      </w:pPr>
      <w:r w:rsidRPr="00474093">
        <w:rPr>
          <w:rFonts w:ascii="Arial" w:hAnsi="Arial" w:cs="Arial"/>
          <w:sz w:val="24"/>
          <w:szCs w:val="24"/>
        </w:rPr>
        <w:t xml:space="preserve">Fisher, D., and Russel, C. (2019). </w:t>
      </w:r>
      <w:r w:rsidRPr="00474093">
        <w:rPr>
          <w:rFonts w:ascii="Arial" w:hAnsi="Arial" w:cs="Arial"/>
          <w:i/>
          <w:iCs/>
          <w:sz w:val="24"/>
          <w:szCs w:val="24"/>
        </w:rPr>
        <w:t>Forward-looking approaches to community engagement: Lessons from practice.</w:t>
      </w:r>
      <w:r w:rsidRPr="00474093">
        <w:rPr>
          <w:rFonts w:ascii="Arial" w:hAnsi="Arial" w:cs="Arial"/>
          <w:sz w:val="24"/>
          <w:szCs w:val="24"/>
        </w:rPr>
        <w:t xml:space="preserve"> Community Development Journal, 54(3), 396-412.</w:t>
      </w:r>
    </w:p>
    <w:p w14:paraId="00E7C45C" w14:textId="77777777" w:rsidR="00FA383A" w:rsidRPr="00474093" w:rsidRDefault="00FA383A" w:rsidP="00474093">
      <w:pPr>
        <w:spacing w:line="360" w:lineRule="auto"/>
        <w:jc w:val="both"/>
        <w:rPr>
          <w:rFonts w:ascii="Arial" w:hAnsi="Arial" w:cs="Arial"/>
          <w:sz w:val="24"/>
          <w:szCs w:val="24"/>
        </w:rPr>
      </w:pPr>
      <w:r w:rsidRPr="00474093">
        <w:rPr>
          <w:rFonts w:ascii="Arial" w:hAnsi="Arial" w:cs="Arial"/>
          <w:sz w:val="24"/>
          <w:szCs w:val="24"/>
        </w:rPr>
        <w:t xml:space="preserve">Frumkin, H., and Vargas, J. (2018). </w:t>
      </w:r>
      <w:r w:rsidRPr="00474093">
        <w:rPr>
          <w:rFonts w:ascii="Arial" w:hAnsi="Arial" w:cs="Arial"/>
          <w:i/>
          <w:iCs/>
          <w:sz w:val="24"/>
          <w:szCs w:val="24"/>
        </w:rPr>
        <w:t>A case for green space.</w:t>
      </w:r>
      <w:r w:rsidRPr="00474093">
        <w:rPr>
          <w:rFonts w:ascii="Arial" w:hAnsi="Arial" w:cs="Arial"/>
          <w:sz w:val="24"/>
          <w:szCs w:val="24"/>
        </w:rPr>
        <w:t xml:space="preserve"> Public Health Reports, 133(3), 347-350.</w:t>
      </w:r>
    </w:p>
    <w:p w14:paraId="5664AFEC" w14:textId="77777777" w:rsidR="00FA383A" w:rsidRPr="00474093" w:rsidRDefault="00FA383A" w:rsidP="00474093">
      <w:pPr>
        <w:spacing w:line="360" w:lineRule="auto"/>
        <w:jc w:val="both"/>
        <w:rPr>
          <w:rFonts w:ascii="Arial" w:eastAsia="Calibri" w:hAnsi="Arial" w:cs="Arial"/>
          <w:sz w:val="24"/>
          <w:szCs w:val="24"/>
        </w:rPr>
      </w:pPr>
      <w:r w:rsidRPr="00474093">
        <w:rPr>
          <w:rFonts w:ascii="Arial" w:hAnsi="Arial" w:cs="Arial"/>
          <w:sz w:val="24"/>
          <w:szCs w:val="24"/>
        </w:rPr>
        <w:t xml:space="preserve">Lester, R. A., and Stone, M. E. (2017). </w:t>
      </w:r>
      <w:r w:rsidRPr="00474093">
        <w:rPr>
          <w:rFonts w:ascii="Arial" w:hAnsi="Arial" w:cs="Arial"/>
          <w:i/>
          <w:iCs/>
          <w:sz w:val="24"/>
          <w:szCs w:val="24"/>
        </w:rPr>
        <w:t>Principles for effective community engagement in public health programs.</w:t>
      </w:r>
      <w:r w:rsidRPr="00474093">
        <w:rPr>
          <w:rFonts w:ascii="Arial" w:hAnsi="Arial" w:cs="Arial"/>
          <w:sz w:val="24"/>
          <w:szCs w:val="24"/>
        </w:rPr>
        <w:t xml:space="preserve"> Journal of Public Health Management and Practice, 23(1), 80-83.</w:t>
      </w:r>
    </w:p>
    <w:p w14:paraId="6FBDDAE8" w14:textId="77777777" w:rsidR="00FA383A" w:rsidRPr="00474093" w:rsidRDefault="00FA383A" w:rsidP="00474093">
      <w:pPr>
        <w:spacing w:line="360" w:lineRule="auto"/>
        <w:jc w:val="both"/>
        <w:rPr>
          <w:rFonts w:ascii="Arial" w:hAnsi="Arial" w:cs="Arial"/>
          <w:sz w:val="24"/>
          <w:szCs w:val="24"/>
        </w:rPr>
      </w:pPr>
      <w:r w:rsidRPr="00474093">
        <w:rPr>
          <w:rFonts w:ascii="Arial" w:hAnsi="Arial" w:cs="Arial"/>
          <w:sz w:val="24"/>
          <w:szCs w:val="24"/>
        </w:rPr>
        <w:t xml:space="preserve">Macmillan, R., and Osborne, S. P. (2019). </w:t>
      </w:r>
      <w:r w:rsidRPr="00474093">
        <w:rPr>
          <w:rFonts w:ascii="Arial" w:hAnsi="Arial" w:cs="Arial"/>
          <w:i/>
          <w:iCs/>
          <w:sz w:val="24"/>
          <w:szCs w:val="24"/>
        </w:rPr>
        <w:t>The roles of community engagement and social capital in disaster recovery.</w:t>
      </w:r>
      <w:r w:rsidRPr="00474093">
        <w:rPr>
          <w:rFonts w:ascii="Arial" w:hAnsi="Arial" w:cs="Arial"/>
          <w:sz w:val="24"/>
          <w:szCs w:val="24"/>
        </w:rPr>
        <w:t xml:space="preserve"> International Journal of Disaster Risk Reduction, 39, 101187.</w:t>
      </w:r>
    </w:p>
    <w:p w14:paraId="6183EA58" w14:textId="77777777" w:rsidR="00FA383A" w:rsidRPr="00474093" w:rsidRDefault="00FA383A" w:rsidP="00474093">
      <w:pPr>
        <w:spacing w:line="360" w:lineRule="auto"/>
        <w:jc w:val="both"/>
        <w:rPr>
          <w:rFonts w:ascii="Arial" w:hAnsi="Arial" w:cs="Arial"/>
          <w:sz w:val="24"/>
          <w:szCs w:val="24"/>
        </w:rPr>
      </w:pPr>
      <w:r w:rsidRPr="00474093">
        <w:rPr>
          <w:rFonts w:ascii="Arial" w:hAnsi="Arial" w:cs="Arial"/>
          <w:sz w:val="24"/>
          <w:szCs w:val="24"/>
        </w:rPr>
        <w:t xml:space="preserve">Pretty, J., and Smith, D. (2017). </w:t>
      </w:r>
      <w:r w:rsidRPr="00474093">
        <w:rPr>
          <w:rFonts w:ascii="Arial" w:hAnsi="Arial" w:cs="Arial"/>
          <w:i/>
          <w:iCs/>
          <w:sz w:val="24"/>
          <w:szCs w:val="24"/>
        </w:rPr>
        <w:t>Social capital in biodiversity conservation and management.</w:t>
      </w:r>
      <w:r w:rsidRPr="00474093">
        <w:rPr>
          <w:rFonts w:ascii="Arial" w:hAnsi="Arial" w:cs="Arial"/>
          <w:sz w:val="24"/>
          <w:szCs w:val="24"/>
        </w:rPr>
        <w:t xml:space="preserve"> Conservation Biology, 31(6), 1385-1394.</w:t>
      </w:r>
    </w:p>
    <w:p w14:paraId="1CC219BF" w14:textId="77777777" w:rsidR="00FA383A" w:rsidRPr="00474093" w:rsidRDefault="00FA383A" w:rsidP="00474093">
      <w:pPr>
        <w:spacing w:line="360" w:lineRule="auto"/>
        <w:jc w:val="both"/>
        <w:rPr>
          <w:rFonts w:ascii="Arial" w:hAnsi="Arial" w:cs="Arial"/>
          <w:sz w:val="24"/>
          <w:szCs w:val="24"/>
        </w:rPr>
      </w:pPr>
      <w:r w:rsidRPr="00474093">
        <w:rPr>
          <w:rFonts w:ascii="Arial" w:hAnsi="Arial" w:cs="Arial"/>
          <w:sz w:val="24"/>
          <w:szCs w:val="24"/>
        </w:rPr>
        <w:t xml:space="preserve">Sallis, J. F., and Glanz, K. (2019). </w:t>
      </w:r>
      <w:r w:rsidRPr="00474093">
        <w:rPr>
          <w:rFonts w:ascii="Arial" w:hAnsi="Arial" w:cs="Arial"/>
          <w:i/>
          <w:iCs/>
          <w:sz w:val="24"/>
          <w:szCs w:val="24"/>
        </w:rPr>
        <w:t>The role of built environments in physical activity, eating, and obesity in childhood.</w:t>
      </w:r>
      <w:r w:rsidRPr="00474093">
        <w:rPr>
          <w:rFonts w:ascii="Arial" w:hAnsi="Arial" w:cs="Arial"/>
          <w:sz w:val="24"/>
          <w:szCs w:val="24"/>
        </w:rPr>
        <w:t xml:space="preserve"> The Future of Children, 89-108.</w:t>
      </w:r>
    </w:p>
    <w:p w14:paraId="27FCFC31" w14:textId="1F416CE1" w:rsidR="00FA383A" w:rsidRPr="00474093" w:rsidRDefault="00B119F9" w:rsidP="00474093">
      <w:pPr>
        <w:shd w:val="clear" w:color="auto" w:fill="FFFFFF"/>
        <w:spacing w:line="360" w:lineRule="auto"/>
        <w:jc w:val="both"/>
        <w:rPr>
          <w:rFonts w:ascii="Arial" w:eastAsia="Times New Roman" w:hAnsi="Arial" w:cs="Arial"/>
          <w:color w:val="000000"/>
          <w:sz w:val="24"/>
          <w:szCs w:val="24"/>
        </w:rPr>
      </w:pPr>
      <w:r w:rsidRPr="00474093">
        <w:rPr>
          <w:rFonts w:ascii="Arial" w:eastAsia="Times New Roman" w:hAnsi="Arial" w:cs="Arial"/>
          <w:color w:val="000000"/>
          <w:sz w:val="24"/>
          <w:szCs w:val="24"/>
        </w:rPr>
        <w:lastRenderedPageBreak/>
        <w:t>to wellbeing</w:t>
      </w:r>
      <w:r w:rsidR="00FA383A" w:rsidRPr="00474093">
        <w:rPr>
          <w:rFonts w:ascii="Arial" w:eastAsia="Times New Roman" w:hAnsi="Arial" w:cs="Arial"/>
          <w:color w:val="000000"/>
          <w:sz w:val="24"/>
          <w:szCs w:val="24"/>
        </w:rPr>
        <w:t xml:space="preserve">. </w:t>
      </w:r>
      <w:r w:rsidRPr="00474093">
        <w:rPr>
          <w:rFonts w:ascii="Arial" w:eastAsia="Times New Roman" w:hAnsi="Arial" w:cs="Arial"/>
          <w:color w:val="000000"/>
          <w:sz w:val="24"/>
          <w:szCs w:val="24"/>
        </w:rPr>
        <w:t>Preventive Medicine Reports</w:t>
      </w:r>
      <w:r w:rsidR="00FA383A" w:rsidRPr="00474093">
        <w:rPr>
          <w:rFonts w:ascii="Arial" w:eastAsia="Times New Roman" w:hAnsi="Arial" w:cs="Arial"/>
          <w:color w:val="000000"/>
          <w:sz w:val="24"/>
          <w:szCs w:val="24"/>
        </w:rPr>
        <w:t>, 3,</w:t>
      </w:r>
      <w:r w:rsidRPr="00474093">
        <w:rPr>
          <w:rFonts w:ascii="Arial" w:eastAsia="Times New Roman" w:hAnsi="Arial" w:cs="Arial"/>
          <w:color w:val="000000"/>
          <w:sz w:val="24"/>
          <w:szCs w:val="24"/>
        </w:rPr>
        <w:t xml:space="preserve"> </w:t>
      </w:r>
      <w:r w:rsidR="00FA383A" w:rsidRPr="00474093">
        <w:rPr>
          <w:rFonts w:ascii="Arial" w:eastAsia="Times New Roman" w:hAnsi="Arial" w:cs="Arial"/>
          <w:color w:val="000000"/>
          <w:sz w:val="24"/>
          <w:szCs w:val="24"/>
        </w:rPr>
        <w:t xml:space="preserve">348–352. </w:t>
      </w:r>
    </w:p>
    <w:p w14:paraId="52CF2A5B" w14:textId="77777777" w:rsidR="00FA383A" w:rsidRPr="00474093" w:rsidRDefault="00FA383A" w:rsidP="00474093">
      <w:pPr>
        <w:spacing w:line="360" w:lineRule="auto"/>
        <w:jc w:val="both"/>
        <w:rPr>
          <w:rFonts w:ascii="Arial" w:hAnsi="Arial" w:cs="Arial"/>
          <w:sz w:val="24"/>
          <w:szCs w:val="24"/>
        </w:rPr>
      </w:pPr>
    </w:p>
    <w:p w14:paraId="619955DF" w14:textId="77777777" w:rsidR="007E306A" w:rsidRPr="00474093" w:rsidRDefault="007E306A" w:rsidP="00474093">
      <w:pPr>
        <w:spacing w:after="0" w:line="360" w:lineRule="auto"/>
        <w:jc w:val="both"/>
        <w:rPr>
          <w:rFonts w:ascii="Arial" w:hAnsi="Arial" w:cs="Arial"/>
          <w:sz w:val="24"/>
          <w:szCs w:val="24"/>
        </w:rPr>
      </w:pPr>
    </w:p>
    <w:p w14:paraId="1CB9C585" w14:textId="77777777" w:rsidR="007E306A" w:rsidRPr="00474093" w:rsidRDefault="007E306A" w:rsidP="00474093">
      <w:pPr>
        <w:spacing w:after="0" w:line="360" w:lineRule="auto"/>
        <w:jc w:val="both"/>
        <w:rPr>
          <w:rFonts w:ascii="Arial" w:hAnsi="Arial" w:cs="Arial"/>
          <w:sz w:val="24"/>
          <w:szCs w:val="24"/>
        </w:rPr>
      </w:pPr>
    </w:p>
    <w:p w14:paraId="7FF0081E" w14:textId="77777777" w:rsidR="007E306A" w:rsidRPr="00474093" w:rsidRDefault="007E306A" w:rsidP="00474093">
      <w:pPr>
        <w:spacing w:after="0" w:line="360" w:lineRule="auto"/>
        <w:jc w:val="both"/>
        <w:rPr>
          <w:rFonts w:ascii="Arial" w:hAnsi="Arial" w:cs="Arial"/>
          <w:sz w:val="24"/>
          <w:szCs w:val="24"/>
        </w:rPr>
      </w:pPr>
    </w:p>
    <w:p w14:paraId="2D25DAB8" w14:textId="77777777" w:rsidR="007E306A" w:rsidRPr="00474093" w:rsidRDefault="007E306A" w:rsidP="00474093">
      <w:pPr>
        <w:spacing w:after="0" w:line="360" w:lineRule="auto"/>
        <w:jc w:val="both"/>
        <w:rPr>
          <w:rFonts w:ascii="Arial" w:hAnsi="Arial" w:cs="Arial"/>
          <w:sz w:val="24"/>
          <w:szCs w:val="24"/>
        </w:rPr>
      </w:pPr>
    </w:p>
    <w:sectPr w:rsidR="007E306A" w:rsidRPr="00474093" w:rsidSect="00A47250">
      <w:headerReference w:type="default" r:id="rId10"/>
      <w:footerReference w:type="default" r:id="rId11"/>
      <w:pgSz w:w="11906" w:h="16838"/>
      <w:pgMar w:top="1440" w:right="1440" w:bottom="1440" w:left="1440" w:header="708"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4495D" w14:textId="77777777" w:rsidR="00F8369F" w:rsidRDefault="00F8369F" w:rsidP="00DB0808">
      <w:pPr>
        <w:spacing w:after="0" w:line="240" w:lineRule="auto"/>
      </w:pPr>
      <w:r>
        <w:separator/>
      </w:r>
    </w:p>
  </w:endnote>
  <w:endnote w:type="continuationSeparator" w:id="0">
    <w:p w14:paraId="745C3056" w14:textId="77777777" w:rsidR="00F8369F" w:rsidRDefault="00F8369F" w:rsidP="00DB0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7166701"/>
      <w:docPartObj>
        <w:docPartGallery w:val="Page Numbers (Bottom of Page)"/>
        <w:docPartUnique/>
      </w:docPartObj>
    </w:sdtPr>
    <w:sdtEndPr>
      <w:rPr>
        <w:noProof/>
      </w:rPr>
    </w:sdtEndPr>
    <w:sdtContent>
      <w:p w14:paraId="01BC1589" w14:textId="4601869E" w:rsidR="00493DA6" w:rsidRDefault="00493D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992B64" w14:textId="77777777" w:rsidR="00DB0808" w:rsidRDefault="00DB08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ED749" w14:textId="77777777" w:rsidR="00F8369F" w:rsidRDefault="00F8369F" w:rsidP="00DB0808">
      <w:pPr>
        <w:spacing w:after="0" w:line="240" w:lineRule="auto"/>
      </w:pPr>
      <w:r>
        <w:separator/>
      </w:r>
    </w:p>
  </w:footnote>
  <w:footnote w:type="continuationSeparator" w:id="0">
    <w:p w14:paraId="4DAB9305" w14:textId="77777777" w:rsidR="00F8369F" w:rsidRDefault="00F8369F" w:rsidP="00DB08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3332627"/>
      <w:docPartObj>
        <w:docPartGallery w:val="Page Numbers (Top of Page)"/>
        <w:docPartUnique/>
      </w:docPartObj>
    </w:sdtPr>
    <w:sdtEndPr>
      <w:rPr>
        <w:noProof/>
      </w:rPr>
    </w:sdtEndPr>
    <w:sdtContent>
      <w:p w14:paraId="2517174D" w14:textId="2D492FFC" w:rsidR="00A47250" w:rsidRDefault="00493DA6" w:rsidP="00F95D47">
        <w:pPr>
          <w:pStyle w:val="Header"/>
        </w:pPr>
        <w:r>
          <w:t xml:space="preserve">                                                                                </w:t>
        </w:r>
      </w:p>
    </w:sdtContent>
  </w:sdt>
  <w:p w14:paraId="34A20A5B" w14:textId="77777777" w:rsidR="007B1E5D" w:rsidRDefault="007B1E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628"/>
    <w:rsid w:val="000113F7"/>
    <w:rsid w:val="00016CD0"/>
    <w:rsid w:val="000174A5"/>
    <w:rsid w:val="00021D9C"/>
    <w:rsid w:val="00042C5D"/>
    <w:rsid w:val="000B6840"/>
    <w:rsid w:val="00121C34"/>
    <w:rsid w:val="00126F87"/>
    <w:rsid w:val="00135795"/>
    <w:rsid w:val="001D61D6"/>
    <w:rsid w:val="001D78B7"/>
    <w:rsid w:val="001E28D5"/>
    <w:rsid w:val="002264FF"/>
    <w:rsid w:val="00236402"/>
    <w:rsid w:val="002B53C5"/>
    <w:rsid w:val="002D38B9"/>
    <w:rsid w:val="002E0F58"/>
    <w:rsid w:val="00301970"/>
    <w:rsid w:val="00306004"/>
    <w:rsid w:val="00344E7D"/>
    <w:rsid w:val="003771D8"/>
    <w:rsid w:val="00390BC2"/>
    <w:rsid w:val="00394F64"/>
    <w:rsid w:val="003D3891"/>
    <w:rsid w:val="003E5A71"/>
    <w:rsid w:val="00451668"/>
    <w:rsid w:val="00472E57"/>
    <w:rsid w:val="00474093"/>
    <w:rsid w:val="00483F92"/>
    <w:rsid w:val="00493DA6"/>
    <w:rsid w:val="004A2E99"/>
    <w:rsid w:val="004E1F68"/>
    <w:rsid w:val="004E3663"/>
    <w:rsid w:val="0051328C"/>
    <w:rsid w:val="0058284C"/>
    <w:rsid w:val="005F080D"/>
    <w:rsid w:val="0066047C"/>
    <w:rsid w:val="00686B7F"/>
    <w:rsid w:val="006F353B"/>
    <w:rsid w:val="007351CF"/>
    <w:rsid w:val="007628B8"/>
    <w:rsid w:val="00774776"/>
    <w:rsid w:val="007773F8"/>
    <w:rsid w:val="007B1E5D"/>
    <w:rsid w:val="007B760D"/>
    <w:rsid w:val="007E306A"/>
    <w:rsid w:val="007F502D"/>
    <w:rsid w:val="008378D9"/>
    <w:rsid w:val="00842F52"/>
    <w:rsid w:val="00843E07"/>
    <w:rsid w:val="00860C39"/>
    <w:rsid w:val="008B2EDD"/>
    <w:rsid w:val="008B619E"/>
    <w:rsid w:val="008C2FAD"/>
    <w:rsid w:val="008C6BEE"/>
    <w:rsid w:val="0094278E"/>
    <w:rsid w:val="00950CD6"/>
    <w:rsid w:val="009E3117"/>
    <w:rsid w:val="009E45BE"/>
    <w:rsid w:val="009F14D6"/>
    <w:rsid w:val="00A360D0"/>
    <w:rsid w:val="00A47250"/>
    <w:rsid w:val="00A50280"/>
    <w:rsid w:val="00A52CE2"/>
    <w:rsid w:val="00A64744"/>
    <w:rsid w:val="00A8336C"/>
    <w:rsid w:val="00A93A44"/>
    <w:rsid w:val="00A96628"/>
    <w:rsid w:val="00AA1026"/>
    <w:rsid w:val="00AD75AF"/>
    <w:rsid w:val="00B119F9"/>
    <w:rsid w:val="00B1585B"/>
    <w:rsid w:val="00B15E17"/>
    <w:rsid w:val="00B4685C"/>
    <w:rsid w:val="00B90092"/>
    <w:rsid w:val="00C3348B"/>
    <w:rsid w:val="00C72C22"/>
    <w:rsid w:val="00C875FD"/>
    <w:rsid w:val="00CB67A6"/>
    <w:rsid w:val="00D52A90"/>
    <w:rsid w:val="00D77FAA"/>
    <w:rsid w:val="00D91FAE"/>
    <w:rsid w:val="00DB0808"/>
    <w:rsid w:val="00DB2F39"/>
    <w:rsid w:val="00DD5887"/>
    <w:rsid w:val="00F46B38"/>
    <w:rsid w:val="00F70BF1"/>
    <w:rsid w:val="00F74403"/>
    <w:rsid w:val="00F8369F"/>
    <w:rsid w:val="00F95D47"/>
    <w:rsid w:val="00FA383A"/>
    <w:rsid w:val="00FA38DB"/>
    <w:rsid w:val="00FD00BA"/>
    <w:rsid w:val="00FD6F62"/>
    <w:rsid w:val="00FE15FA"/>
    <w:rsid w:val="00FE24D0"/>
    <w:rsid w:val="00FE2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CD586"/>
  <w15:chartTrackingRefBased/>
  <w15:docId w15:val="{DA924E06-24D8-4E1E-A7D1-41FE1A9C7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30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7F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306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77FAA"/>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DB08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808"/>
  </w:style>
  <w:style w:type="paragraph" w:styleId="Footer">
    <w:name w:val="footer"/>
    <w:basedOn w:val="Normal"/>
    <w:link w:val="FooterChar"/>
    <w:uiPriority w:val="99"/>
    <w:unhideWhenUsed/>
    <w:rsid w:val="00DB08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808"/>
  </w:style>
  <w:style w:type="paragraph" w:styleId="TOCHeading">
    <w:name w:val="TOC Heading"/>
    <w:basedOn w:val="Heading1"/>
    <w:next w:val="Normal"/>
    <w:uiPriority w:val="39"/>
    <w:unhideWhenUsed/>
    <w:qFormat/>
    <w:rsid w:val="00B15E17"/>
    <w:pPr>
      <w:outlineLvl w:val="9"/>
    </w:pPr>
    <w:rPr>
      <w:kern w:val="0"/>
      <w:lang w:val="en-US"/>
      <w14:ligatures w14:val="none"/>
    </w:rPr>
  </w:style>
  <w:style w:type="paragraph" w:styleId="TOC1">
    <w:name w:val="toc 1"/>
    <w:basedOn w:val="Normal"/>
    <w:next w:val="Normal"/>
    <w:autoRedefine/>
    <w:uiPriority w:val="39"/>
    <w:unhideWhenUsed/>
    <w:rsid w:val="00B1585B"/>
    <w:pPr>
      <w:tabs>
        <w:tab w:val="right" w:leader="dot" w:pos="9016"/>
      </w:tabs>
      <w:spacing w:after="100"/>
    </w:pPr>
    <w:rPr>
      <w:rFonts w:ascii="Arial" w:hAnsi="Arial" w:cs="Arial"/>
      <w:noProof/>
      <w:sz w:val="36"/>
      <w:szCs w:val="36"/>
    </w:rPr>
  </w:style>
  <w:style w:type="paragraph" w:styleId="TOC2">
    <w:name w:val="toc 2"/>
    <w:basedOn w:val="Normal"/>
    <w:next w:val="Normal"/>
    <w:autoRedefine/>
    <w:uiPriority w:val="39"/>
    <w:unhideWhenUsed/>
    <w:rsid w:val="00B15E17"/>
    <w:pPr>
      <w:spacing w:after="100"/>
      <w:ind w:left="220"/>
    </w:pPr>
  </w:style>
  <w:style w:type="character" w:styleId="Hyperlink">
    <w:name w:val="Hyperlink"/>
    <w:basedOn w:val="DefaultParagraphFont"/>
    <w:uiPriority w:val="99"/>
    <w:unhideWhenUsed/>
    <w:rsid w:val="00B15E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57264">
      <w:bodyDiv w:val="1"/>
      <w:marLeft w:val="0"/>
      <w:marRight w:val="0"/>
      <w:marTop w:val="0"/>
      <w:marBottom w:val="0"/>
      <w:divBdr>
        <w:top w:val="none" w:sz="0" w:space="0" w:color="auto"/>
        <w:left w:val="none" w:sz="0" w:space="0" w:color="auto"/>
        <w:bottom w:val="none" w:sz="0" w:space="0" w:color="auto"/>
        <w:right w:val="none" w:sz="0" w:space="0" w:color="auto"/>
      </w:divBdr>
    </w:div>
    <w:div w:id="766655256">
      <w:bodyDiv w:val="1"/>
      <w:marLeft w:val="0"/>
      <w:marRight w:val="0"/>
      <w:marTop w:val="0"/>
      <w:marBottom w:val="0"/>
      <w:divBdr>
        <w:top w:val="none" w:sz="0" w:space="0" w:color="auto"/>
        <w:left w:val="none" w:sz="0" w:space="0" w:color="auto"/>
        <w:bottom w:val="none" w:sz="0" w:space="0" w:color="auto"/>
        <w:right w:val="none" w:sz="0" w:space="0" w:color="auto"/>
      </w:divBdr>
    </w:div>
    <w:div w:id="977298314">
      <w:bodyDiv w:val="1"/>
      <w:marLeft w:val="0"/>
      <w:marRight w:val="0"/>
      <w:marTop w:val="0"/>
      <w:marBottom w:val="0"/>
      <w:divBdr>
        <w:top w:val="none" w:sz="0" w:space="0" w:color="auto"/>
        <w:left w:val="none" w:sz="0" w:space="0" w:color="auto"/>
        <w:bottom w:val="none" w:sz="0" w:space="0" w:color="auto"/>
        <w:right w:val="none" w:sz="0" w:space="0" w:color="auto"/>
      </w:divBdr>
    </w:div>
    <w:div w:id="101811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10A7224-39E7-4371-B121-3B82D69FA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1644</TotalTime>
  <Pages>12</Pages>
  <Words>2819</Words>
  <Characters>16073</Characters>
  <Application>Microsoft Office Word</Application>
  <DocSecurity>0</DocSecurity>
  <Lines>133</Lines>
  <Paragraphs>37</Paragraphs>
  <ScaleCrop>false</ScaleCrop>
  <Company/>
  <LinksUpToDate>false</LinksUpToDate>
  <CharactersWithSpaces>18855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Stanciu</dc:creator>
  <cp:keywords/>
  <dc:description/>
  <cp:lastModifiedBy>Diana Stanciu</cp:lastModifiedBy>
  <cp:revision>94</cp:revision>
  <dcterms:created xsi:type="dcterms:W3CDTF">2023-07-22T09:41:00Z</dcterms:created>
  <dcterms:modified xsi:type="dcterms:W3CDTF">2023-08-03T07:19:00Z</dcterms:modified>
</cp:coreProperties>
</file>