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9F138F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CC4BF7" w:rsidRPr="00CC4BF7">
        <w:rPr>
          <w:rFonts w:asciiTheme="minorBidi" w:hAnsiTheme="minorBidi"/>
          <w:sz w:val="28"/>
          <w:szCs w:val="28"/>
        </w:rPr>
        <w:t>Sergejs Sefanovskis</w:t>
      </w:r>
    </w:p>
    <w:p w14:paraId="485B6F49" w14:textId="6EFD6CEA"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C4BF7">
        <w:rPr>
          <w:rFonts w:asciiTheme="minorBidi" w:hAnsiTheme="minorBidi"/>
          <w:sz w:val="28"/>
          <w:szCs w:val="28"/>
        </w:rPr>
        <w:t>2538827</w:t>
      </w:r>
    </w:p>
    <w:p w14:paraId="3C1E7A20" w14:textId="0EE52793"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AC244D">
        <w:rPr>
          <w:rFonts w:asciiTheme="minorBidi" w:hAnsiTheme="minorBidi"/>
          <w:sz w:val="28"/>
          <w:szCs w:val="28"/>
        </w:rPr>
        <w:t>LCH</w:t>
      </w:r>
      <w:r w:rsidR="00221784">
        <w:rPr>
          <w:rFonts w:asciiTheme="minorBidi" w:hAnsiTheme="minorBidi"/>
          <w:sz w:val="28"/>
          <w:szCs w:val="28"/>
        </w:rPr>
        <w:t>S4001</w:t>
      </w:r>
    </w:p>
    <w:p w14:paraId="4EEB2DA3" w14:textId="22CF566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21784">
        <w:rPr>
          <w:rFonts w:asciiTheme="minorBidi" w:hAnsiTheme="minorBidi"/>
          <w:sz w:val="28"/>
          <w:szCs w:val="28"/>
        </w:rPr>
        <w:t>Academic and Emp</w:t>
      </w:r>
      <w:r w:rsidR="003B7D44">
        <w:rPr>
          <w:rFonts w:asciiTheme="minorBidi" w:hAnsiTheme="minorBidi"/>
          <w:sz w:val="28"/>
          <w:szCs w:val="28"/>
        </w:rPr>
        <w:t>loyability Skills</w:t>
      </w:r>
    </w:p>
    <w:p w14:paraId="112342CB" w14:textId="06491B17"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3B7D44">
        <w:rPr>
          <w:rFonts w:asciiTheme="minorBidi" w:hAnsiTheme="minorBidi"/>
          <w:sz w:val="28"/>
          <w:szCs w:val="28"/>
        </w:rPr>
        <w:t>Muha</w:t>
      </w:r>
      <w:r w:rsidR="00AD5AE5">
        <w:rPr>
          <w:rFonts w:asciiTheme="minorBidi" w:hAnsiTheme="minorBidi"/>
          <w:sz w:val="28"/>
          <w:szCs w:val="28"/>
        </w:rPr>
        <w:t>mmed Khan</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849E346"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A66FF2">
        <w:rPr>
          <w:rFonts w:asciiTheme="minorBidi" w:hAnsiTheme="minorBidi"/>
          <w:sz w:val="28"/>
          <w:szCs w:val="28"/>
        </w:rPr>
        <w:t>21/08/2026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0846ED9B"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003EBC">
              <w:rPr>
                <w:rStyle w:val="Hyperlink"/>
              </w:rPr>
              <w:t>Occ</w:t>
            </w:r>
            <w:r w:rsidR="00A931B2">
              <w:rPr>
                <w:rStyle w:val="Hyperlink"/>
              </w:rPr>
              <w:t>upational Therapist</w:t>
            </w:r>
            <w:r w:rsidRPr="0CF501EC">
              <w:rPr>
                <w:rStyle w:val="Hyperlink"/>
              </w:rPr>
              <w:t xml:space="preserve">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4D63F783" w:rsidR="00824CB1" w:rsidRDefault="0CF501EC" w:rsidP="0CF501EC">
          <w:pPr>
            <w:pStyle w:val="TOC2"/>
            <w:tabs>
              <w:tab w:val="right" w:leader="dot" w:pos="9015"/>
            </w:tabs>
            <w:rPr>
              <w:rStyle w:val="Hyperlink"/>
              <w:noProof/>
              <w:lang w:eastAsia="en-GB"/>
            </w:rPr>
          </w:pPr>
          <w:hyperlink w:anchor="_Toc796087951">
            <w:r w:rsidRPr="0CF501EC">
              <w:rPr>
                <w:rStyle w:val="Hyperlink"/>
              </w:rPr>
              <w:t xml:space="preserve">2.1 Description of </w:t>
            </w:r>
            <w:r w:rsidR="00A931B2">
              <w:rPr>
                <w:rStyle w:val="Hyperlink"/>
              </w:rPr>
              <w:t>Occupational</w:t>
            </w:r>
            <w:r w:rsidR="00AA0B9C">
              <w:rPr>
                <w:rStyle w:val="Hyperlink"/>
              </w:rPr>
              <w:t xml:space="preserve"> Therapist </w:t>
            </w:r>
            <w:r w:rsidRPr="0CF501EC">
              <w:rPr>
                <w:rStyle w:val="Hyperlink"/>
              </w:rPr>
              <w:t>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5544BEDA"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EF35B8">
              <w:rPr>
                <w:rStyle w:val="Hyperlink"/>
              </w:rPr>
              <w:t>Occupational Therapist</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4BB3328C"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EF35B8">
              <w:rPr>
                <w:rStyle w:val="Hyperlink"/>
              </w:rPr>
              <w:t>Occupational Therapist</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7F3CCC48"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BB6721">
              <w:rPr>
                <w:rStyle w:val="Hyperlink"/>
              </w:rPr>
              <w:t>Occupational therapist</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3DADB2F7" w:rsidR="00A035CD" w:rsidRDefault="00A035CD" w:rsidP="00BE08C8">
      <w:pPr>
        <w:pStyle w:val="Heading2"/>
        <w:numPr>
          <w:ilvl w:val="1"/>
          <w:numId w:val="33"/>
        </w:numPr>
        <w:rPr>
          <w:color w:val="4471C4"/>
        </w:rPr>
      </w:pPr>
      <w:bookmarkStart w:id="0" w:name="_Toc695233283"/>
      <w:r w:rsidRPr="0CF501EC">
        <w:rPr>
          <w:color w:val="4471C4"/>
        </w:rPr>
        <w:lastRenderedPageBreak/>
        <w:t>Introduction</w:t>
      </w:r>
      <w:bookmarkEnd w:id="0"/>
    </w:p>
    <w:p w14:paraId="46C2E3E5" w14:textId="77777777" w:rsidR="00BE08C8" w:rsidRDefault="00BE08C8" w:rsidP="00BE08C8"/>
    <w:p w14:paraId="4CC61BC1" w14:textId="2C41A2E0" w:rsidR="00F36ADC" w:rsidRPr="00A66FF2" w:rsidRDefault="00AE12CE" w:rsidP="00A66FF2">
      <w:pPr>
        <w:spacing w:after="0" w:line="360" w:lineRule="auto"/>
        <w:jc w:val="both"/>
        <w:rPr>
          <w:sz w:val="22"/>
        </w:rPr>
      </w:pPr>
      <w:r w:rsidRPr="00A66FF2">
        <w:rPr>
          <w:sz w:val="22"/>
        </w:rPr>
        <w:t>Health and social care services depend on a diverse range of professionals who collaborate to enhance the wellbeing and independence of individuals. Among these professionals, Occupational Therapists (OTs) play a vital role. OTs assist individuals experiencing physical, mental, or social challenges in participating in daily activities and maintaining their quality of life (NHS, 2024). They provide support to people of all ages across hospitals, community settings, schools, care homes, and rehabilitation centres. This report analyses the role of Occupational Therapists in health and social care, outlines the significance of the profession, identifies three essential skills for effective practice, and discusses strategies to further develop these skills</w:t>
      </w:r>
    </w:p>
    <w:p w14:paraId="522D81EE" w14:textId="77777777" w:rsidR="00365A37" w:rsidRPr="00A66FF2" w:rsidRDefault="00365A37" w:rsidP="00A66FF2">
      <w:pPr>
        <w:spacing w:after="0" w:line="360" w:lineRule="auto"/>
        <w:jc w:val="both"/>
        <w:rPr>
          <w:sz w:val="22"/>
        </w:rPr>
      </w:pPr>
    </w:p>
    <w:p w14:paraId="64F36E68" w14:textId="18CC6971" w:rsidR="3C659699" w:rsidRDefault="3C659699" w:rsidP="0CF501EC">
      <w:pPr>
        <w:pStyle w:val="Heading2"/>
        <w:rPr>
          <w:color w:val="4472C4" w:themeColor="accent1"/>
        </w:rPr>
      </w:pPr>
      <w:bookmarkStart w:id="1" w:name="_Toc1915621813"/>
      <w:r w:rsidRPr="0CF501EC">
        <w:rPr>
          <w:color w:val="4471C4"/>
        </w:rPr>
        <w:t xml:space="preserve">2 </w:t>
      </w:r>
      <w:r w:rsidR="00BE08C8">
        <w:rPr>
          <w:color w:val="4471C4"/>
        </w:rPr>
        <w:t>Occupational Therapist</w:t>
      </w:r>
      <w:r w:rsidRPr="0CF501EC">
        <w:rPr>
          <w:color w:val="4471C4"/>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53E92B4C"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BE08C8" w:rsidRPr="00BE08C8">
        <w:rPr>
          <w:color w:val="4471C4"/>
        </w:rPr>
        <w:t>Occupational Therapist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7493E5B4" w14:textId="77777777" w:rsidR="00DC2E17" w:rsidRPr="00A66FF2" w:rsidRDefault="00DC2E17" w:rsidP="00A66FF2">
      <w:pPr>
        <w:spacing w:after="0" w:line="360" w:lineRule="auto"/>
        <w:jc w:val="both"/>
        <w:rPr>
          <w:sz w:val="22"/>
        </w:rPr>
      </w:pPr>
      <w:r w:rsidRPr="00A66FF2">
        <w:rPr>
          <w:sz w:val="22"/>
        </w:rPr>
        <w:t>Occupational Therapists (OTs) assist individuals across the lifespan in enhancing their ability to perform daily activities and achieve greater independence (RCOT, 2024). They support clients with physical disabilities, mental health conditions, learning difficulties, injuries, or age-related health concerns. The primary objective of OTs is to facilitate participation in meaningful daily tasks, including employment, education, self-care, and social engagement.</w:t>
      </w:r>
    </w:p>
    <w:p w14:paraId="68E00F9E" w14:textId="77777777" w:rsidR="00DC2E17" w:rsidRPr="00A66FF2" w:rsidRDefault="00DC2E17" w:rsidP="00A66FF2">
      <w:pPr>
        <w:spacing w:after="0" w:line="360" w:lineRule="auto"/>
        <w:jc w:val="both"/>
        <w:rPr>
          <w:sz w:val="22"/>
        </w:rPr>
      </w:pPr>
    </w:p>
    <w:p w14:paraId="76C40985" w14:textId="77777777" w:rsidR="00DC2E17" w:rsidRPr="00A66FF2" w:rsidRDefault="00DC2E17" w:rsidP="00A66FF2">
      <w:pPr>
        <w:spacing w:after="0" w:line="360" w:lineRule="auto"/>
        <w:jc w:val="both"/>
        <w:rPr>
          <w:sz w:val="22"/>
        </w:rPr>
      </w:pPr>
      <w:r w:rsidRPr="00A66FF2">
        <w:rPr>
          <w:sz w:val="22"/>
        </w:rPr>
        <w:t>Occupational Therapists perform a range of functions, including assessing clients’ needs, developing individualized treatment plans, implementing rehabilitation programs, recommending assistive equipment, and collaborating with families and other healthcare professionals. They may also propose modifications to home, school, or work environments to enhance safety and accessibility. Additionally, OTs monitor client progress and revise treatment plans as necessary (WFOT, 2023).</w:t>
      </w:r>
    </w:p>
    <w:p w14:paraId="59AE2D73" w14:textId="77777777" w:rsidR="00DC2E17" w:rsidRPr="00A66FF2" w:rsidRDefault="00DC2E17" w:rsidP="00A66FF2">
      <w:pPr>
        <w:spacing w:after="0" w:line="360" w:lineRule="auto"/>
        <w:jc w:val="both"/>
        <w:rPr>
          <w:sz w:val="22"/>
        </w:rPr>
      </w:pPr>
    </w:p>
    <w:p w14:paraId="0A12719E" w14:textId="77777777" w:rsidR="00DC2E17" w:rsidRPr="00A66FF2" w:rsidRDefault="00DC2E17" w:rsidP="00A66FF2">
      <w:pPr>
        <w:spacing w:after="0" w:line="360" w:lineRule="auto"/>
        <w:jc w:val="both"/>
        <w:rPr>
          <w:sz w:val="22"/>
        </w:rPr>
      </w:pPr>
      <w:r w:rsidRPr="00A66FF2">
        <w:rPr>
          <w:sz w:val="22"/>
        </w:rPr>
        <w:t xml:space="preserve">Effective practice as an Occupational Therapist requires several key competencies. Strong communication skills enable OTs to convey information clearly and collaborate with clients, families, and colleagues. Empathy is critical for understanding clients’ experiences and </w:t>
      </w:r>
      <w:r w:rsidRPr="00A66FF2">
        <w:rPr>
          <w:sz w:val="22"/>
        </w:rPr>
        <w:lastRenderedPageBreak/>
        <w:t>delivering appropriate support. Problem-solving abilities are also essential, as each client presents unique challenges that necessitate tailored interventions (HCPC, 2024).</w:t>
      </w:r>
    </w:p>
    <w:p w14:paraId="009D6FE7" w14:textId="77777777" w:rsidR="00DC2E17" w:rsidRPr="00A66FF2" w:rsidRDefault="00DC2E17" w:rsidP="00A66FF2">
      <w:pPr>
        <w:spacing w:after="0" w:line="360" w:lineRule="auto"/>
        <w:jc w:val="both"/>
        <w:rPr>
          <w:sz w:val="22"/>
        </w:rPr>
      </w:pPr>
    </w:p>
    <w:p w14:paraId="1CB8B0F1" w14:textId="567FEDD3" w:rsidR="0156E134" w:rsidRDefault="00DC2E17" w:rsidP="00A66FF2">
      <w:pPr>
        <w:spacing w:after="0" w:line="360" w:lineRule="auto"/>
        <w:jc w:val="both"/>
        <w:rPr>
          <w:sz w:val="22"/>
        </w:rPr>
      </w:pPr>
      <w:r w:rsidRPr="00A66FF2">
        <w:rPr>
          <w:sz w:val="22"/>
        </w:rPr>
        <w:t>These competencies enable Occupational Therapists to establish trust, accurately assess individual needs, and develop effective intervention plans. Consequently, OTs contribute to enhanced independence, confidence, wellbeing, and overall quality of life for their clients.</w:t>
      </w:r>
    </w:p>
    <w:p w14:paraId="5920D284" w14:textId="77777777" w:rsidR="00A66FF2" w:rsidRPr="00A66FF2" w:rsidRDefault="00A66FF2" w:rsidP="00A66FF2">
      <w:pPr>
        <w:spacing w:after="0" w:line="360" w:lineRule="auto"/>
        <w:jc w:val="both"/>
        <w:rPr>
          <w:sz w:val="22"/>
        </w:rPr>
      </w:pPr>
    </w:p>
    <w:p w14:paraId="4010C35E" w14:textId="7F222A08" w:rsidR="00EC7EBE" w:rsidRDefault="04019B15" w:rsidP="0CF501EC">
      <w:pPr>
        <w:pStyle w:val="Heading2"/>
        <w:rPr>
          <w:color w:val="4471C4"/>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for </w:t>
      </w:r>
      <w:r w:rsidR="00BE08C8" w:rsidRPr="00BE08C8">
        <w:rPr>
          <w:color w:val="4471C4"/>
        </w:rPr>
        <w:t>Occupational Therapist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24E7B3D2" w14:textId="77777777" w:rsidR="003236DB" w:rsidRDefault="003236DB" w:rsidP="003236DB"/>
    <w:p w14:paraId="07A6A434" w14:textId="77777777" w:rsidR="003F27D3" w:rsidRPr="00A66FF2" w:rsidRDefault="003F27D3" w:rsidP="00A66FF2">
      <w:pPr>
        <w:spacing w:line="360" w:lineRule="auto"/>
        <w:rPr>
          <w:sz w:val="22"/>
        </w:rPr>
      </w:pPr>
      <w:r w:rsidRPr="00A66FF2">
        <w:rPr>
          <w:sz w:val="22"/>
        </w:rPr>
        <w:t>Communication skills are fundamental competencies for Occupational Therapists. Effective communication enables practitioners to obtain accurate information, articulate treatment plans, and collaborate with service users, families, and other healthcare professionals. The Royal College of Occupational Therapists states that clear communication supports person-centred care and leads to improved health outcomes (RCOT, 2024). For instance, when assisting an older adult recovering from a stroke, an Occupational Therapist must convey exercises and adaptations in accessible language. Ineffective communication can result in misunderstandings, diminished intervention effectiveness, and adverse impacts on patient progress.</w:t>
      </w:r>
    </w:p>
    <w:p w14:paraId="1EF6093A" w14:textId="77777777" w:rsidR="003F27D3" w:rsidRPr="00A66FF2" w:rsidRDefault="003F27D3" w:rsidP="00A66FF2">
      <w:pPr>
        <w:spacing w:line="360" w:lineRule="auto"/>
        <w:rPr>
          <w:sz w:val="22"/>
        </w:rPr>
      </w:pPr>
    </w:p>
    <w:p w14:paraId="5FCCC199" w14:textId="77777777" w:rsidR="003F27D3" w:rsidRPr="00A66FF2" w:rsidRDefault="003F27D3" w:rsidP="00A66FF2">
      <w:pPr>
        <w:spacing w:line="360" w:lineRule="auto"/>
        <w:rPr>
          <w:sz w:val="22"/>
        </w:rPr>
      </w:pPr>
      <w:r w:rsidRPr="00A66FF2">
        <w:rPr>
          <w:sz w:val="22"/>
        </w:rPr>
        <w:t>Empathy and interpersonal skills are also critical, as Occupational Therapists often support individuals experiencing distress, illness, or disability. Empathy enables practitioners to understand service users’ experiences and concerns, fostering trust and effective professional relationships. Research indicates that empathetic healthcare professionals promote greater engagement and participation in treatment (Health Education England, 2023). For example, a child with developmental difficulties may experience anxiety during assessments. An Occupational Therapist who demonstrates empathy can establish a supportive environment that facilitates cooperation and confidence, resulting in more accurate assessments and effective interventions.</w:t>
      </w:r>
    </w:p>
    <w:p w14:paraId="4D2BE804" w14:textId="77777777" w:rsidR="003F27D3" w:rsidRPr="00A66FF2" w:rsidRDefault="003F27D3" w:rsidP="00A66FF2">
      <w:pPr>
        <w:spacing w:line="360" w:lineRule="auto"/>
        <w:rPr>
          <w:sz w:val="22"/>
        </w:rPr>
      </w:pPr>
    </w:p>
    <w:p w14:paraId="2870CEB3" w14:textId="77777777" w:rsidR="003F27D3" w:rsidRPr="00A66FF2" w:rsidRDefault="003F27D3" w:rsidP="00A66FF2">
      <w:pPr>
        <w:spacing w:line="360" w:lineRule="auto"/>
        <w:rPr>
          <w:sz w:val="22"/>
        </w:rPr>
      </w:pPr>
      <w:r w:rsidRPr="00A66FF2">
        <w:rPr>
          <w:sz w:val="22"/>
        </w:rPr>
        <w:lastRenderedPageBreak/>
        <w:t>Problem-solving and analytical skills are essential for Occupational Therapists, who must identify barriers to participation and develop practical, individualized solutions. Each service user presents unique circumstances, necessitating thorough assessment and critical thinking. For instance, if a person with arthritis has difficulty preparing meals independently, an Occupational Therapist may recommend adaptive equipment or environmental modifications. Analytical skills enable practitioners to evaluate intervention effectiveness and implement necessary adjustments (WFOT, 2023). These competencies support personalised care and improved outcomes for service users.</w:t>
      </w:r>
    </w:p>
    <w:p w14:paraId="0AB67C6D" w14:textId="77777777" w:rsidR="003F27D3" w:rsidRPr="00A66FF2" w:rsidRDefault="003F27D3" w:rsidP="00A66FF2">
      <w:pPr>
        <w:spacing w:line="360" w:lineRule="auto"/>
        <w:rPr>
          <w:sz w:val="22"/>
        </w:rPr>
      </w:pPr>
    </w:p>
    <w:p w14:paraId="22071623" w14:textId="4D28F5FD" w:rsidR="003236DB" w:rsidRPr="00A66FF2" w:rsidRDefault="003F27D3" w:rsidP="00A66FF2">
      <w:pPr>
        <w:spacing w:line="360" w:lineRule="auto"/>
        <w:rPr>
          <w:sz w:val="22"/>
        </w:rPr>
      </w:pPr>
      <w:r w:rsidRPr="00A66FF2">
        <w:rPr>
          <w:sz w:val="22"/>
        </w:rPr>
        <w:t>A deficiency in communication, empathy, or problem-solving skills can significantly compromise the quality of care provided by Occupational Therapists. Poor communication may cause misunderstandings and reduce adherence to treatment. Insufficient empathy can undermine therapeutic relationships and decrease service user engagement. Inadequate problem-solving abilities may lead to interventions that do not address individual needs. As a result, service users may experience diminished independence, slower recovery, and lower satisfaction with care. The ongoing development and maintenance of these skills are therefore essential for safe and effective professional practice (HCPC, 2024).</w:t>
      </w:r>
    </w:p>
    <w:p w14:paraId="7338813D" w14:textId="77777777" w:rsidR="00C85A7C" w:rsidRPr="00242974" w:rsidRDefault="00C85A7C" w:rsidP="00C85A7C">
      <w:pPr>
        <w:spacing w:after="0" w:line="240" w:lineRule="auto"/>
        <w:jc w:val="both"/>
        <w:rPr>
          <w:sz w:val="21"/>
          <w:szCs w:val="21"/>
        </w:rPr>
      </w:pPr>
    </w:p>
    <w:p w14:paraId="2CAEA1EC" w14:textId="29B85E4B"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BE08C8" w:rsidRPr="00BE08C8">
        <w:rPr>
          <w:color w:val="4471C4"/>
        </w:rPr>
        <w:t>Occupational Therapist</w:t>
      </w:r>
    </w:p>
    <w:p w14:paraId="01C49510" w14:textId="7B4C28D6" w:rsidR="002370CE" w:rsidRDefault="0C5D0C5C" w:rsidP="0156E134">
      <w:pPr>
        <w:pStyle w:val="Heading2"/>
        <w:rPr>
          <w:color w:val="4471C4"/>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BE08C8" w:rsidRPr="00BE08C8">
        <w:rPr>
          <w:color w:val="4471C4"/>
        </w:rPr>
        <w:t>Occupational Therapist</w:t>
      </w:r>
    </w:p>
    <w:p w14:paraId="0B74068C" w14:textId="77777777" w:rsidR="00A66FF2" w:rsidRPr="00A66FF2" w:rsidRDefault="00A66FF2" w:rsidP="00A66FF2"/>
    <w:p w14:paraId="5CE037E8" w14:textId="77777777" w:rsidR="001D2A85" w:rsidRPr="001D2A85" w:rsidRDefault="001D2A85" w:rsidP="00A66FF2">
      <w:pPr>
        <w:spacing w:after="0" w:line="360" w:lineRule="auto"/>
        <w:rPr>
          <w:sz w:val="22"/>
        </w:rPr>
      </w:pPr>
      <w:r w:rsidRPr="001D2A85">
        <w:rPr>
          <w:sz w:val="22"/>
        </w:rPr>
        <w:t>Professional communication training programmes enhance communication skills among healthcare practitioners. Training workshops facilitate the acquisition of active listening techniques, verbal and non-verbal communication strategies, and approaches for engaging with diverse populations. Evidence indicates that structured communication training improves interactions between healthcare professionals and service users (Health Education England, 2023). For instance, role-play exercises enable Occupational Therapists to practise explaining treatment plans and addressing concerns in realistic scenarios. Ongoing participation in communication training fosters greater confidence and effectiveness in professional practice.</w:t>
      </w:r>
    </w:p>
    <w:p w14:paraId="20CDA603" w14:textId="77777777" w:rsidR="001D2A85" w:rsidRPr="001D2A85" w:rsidRDefault="001D2A85" w:rsidP="00A66FF2">
      <w:pPr>
        <w:spacing w:after="0" w:line="360" w:lineRule="auto"/>
        <w:rPr>
          <w:sz w:val="22"/>
        </w:rPr>
      </w:pPr>
    </w:p>
    <w:p w14:paraId="0C6675B1" w14:textId="77777777" w:rsidR="001D2A85" w:rsidRPr="001D2A85" w:rsidRDefault="001D2A85" w:rsidP="00A66FF2">
      <w:pPr>
        <w:spacing w:after="0" w:line="360" w:lineRule="auto"/>
        <w:rPr>
          <w:sz w:val="22"/>
        </w:rPr>
      </w:pPr>
      <w:r w:rsidRPr="001D2A85">
        <w:rPr>
          <w:sz w:val="22"/>
        </w:rPr>
        <w:lastRenderedPageBreak/>
        <w:t>Reflective practice facilitates the development of empathy and interpersonal skills among healthcare professionals. This process encourages practitioners to evaluate their interactions and assess the impact of their behaviour on service users. Through the analysis of experiences and identification of areas for improvement, Occupational Therapists can cultivate greater self-awareness and understanding of others. For example, reflecting on a challenging interaction with a service user may reveal alternative approaches that demonstrate increased empathy and support. Research demonstrates that reflective practice contributes to enhanced professional relationships and person-centred care (HCPC, 2024).</w:t>
      </w:r>
    </w:p>
    <w:p w14:paraId="51BDCE68" w14:textId="77777777" w:rsidR="001D2A85" w:rsidRPr="001D2A85" w:rsidRDefault="001D2A85" w:rsidP="00A66FF2">
      <w:pPr>
        <w:spacing w:after="0" w:line="360" w:lineRule="auto"/>
        <w:rPr>
          <w:sz w:val="22"/>
        </w:rPr>
      </w:pPr>
    </w:p>
    <w:p w14:paraId="79A45414" w14:textId="77777777" w:rsidR="001D2A85" w:rsidRPr="001D2A85" w:rsidRDefault="001D2A85" w:rsidP="00A66FF2">
      <w:pPr>
        <w:spacing w:after="0" w:line="360" w:lineRule="auto"/>
        <w:rPr>
          <w:sz w:val="22"/>
        </w:rPr>
      </w:pPr>
      <w:r w:rsidRPr="001D2A85">
        <w:rPr>
          <w:sz w:val="22"/>
        </w:rPr>
        <w:t>Continuing professional development (CPD) and case study analysis strengthen problem-solving and analytical skills. Reviewing complex cases enables Occupational Therapists to examine various intervention strategies and assess outcomes. CPD activities, including workshops, seminars, and evidence-based learning, ensure practitioners remain informed about current research and best practices. For instance, analysing case studies related to neurological rehabilitation enhances decision-making and intervention planning. Ongoing learning supports critical thinking and improves the capacity to address complex service user needs (RCOT, 2024).</w:t>
      </w:r>
    </w:p>
    <w:p w14:paraId="303A7D7A" w14:textId="77777777" w:rsidR="001D2A85" w:rsidRPr="001D2A85" w:rsidRDefault="001D2A85" w:rsidP="00A66FF2">
      <w:pPr>
        <w:spacing w:after="0" w:line="360" w:lineRule="auto"/>
        <w:rPr>
          <w:sz w:val="22"/>
        </w:rPr>
      </w:pPr>
    </w:p>
    <w:p w14:paraId="4EEC6EB0" w14:textId="77777777" w:rsidR="001D2A85" w:rsidRPr="001D2A85" w:rsidRDefault="001D2A85" w:rsidP="00A66FF2">
      <w:pPr>
        <w:spacing w:after="0" w:line="360" w:lineRule="auto"/>
        <w:rPr>
          <w:sz w:val="22"/>
        </w:rPr>
      </w:pPr>
      <w:r w:rsidRPr="001D2A85">
        <w:rPr>
          <w:sz w:val="22"/>
        </w:rPr>
        <w:t>These strategies promote professional growth and enhance the overall quality of care delivered by Occupational Therapists. Engagement in communication training, reflective practice, and continuing professional development strengthens essential skills that support effective assessment, intervention, and therapeutic relationships. Consequently, service users are more likely to achieve positive outcomes and increased independence.</w:t>
      </w:r>
    </w:p>
    <w:p w14:paraId="5F5F26B5" w14:textId="77777777" w:rsidR="001D2A85" w:rsidRPr="001D2A85" w:rsidRDefault="001D2A85" w:rsidP="00A66FF2">
      <w:pPr>
        <w:spacing w:after="0" w:line="360" w:lineRule="auto"/>
        <w:rPr>
          <w:sz w:val="22"/>
        </w:rPr>
      </w:pPr>
    </w:p>
    <w:p w14:paraId="029A5F75" w14:textId="3995459B" w:rsidR="6F3208D0" w:rsidRDefault="001D2A85" w:rsidP="00A66FF2">
      <w:pPr>
        <w:spacing w:after="0" w:line="360" w:lineRule="auto"/>
        <w:rPr>
          <w:rFonts w:eastAsia="Segoe UI" w:cs="Segoe UI"/>
          <w:b/>
          <w:bCs/>
          <w:sz w:val="22"/>
        </w:rPr>
      </w:pPr>
      <w:r w:rsidRPr="001D2A85">
        <w:rPr>
          <w:sz w:val="22"/>
        </w:rPr>
        <w:t xml:space="preserve">Occupational Therapists can further develop communication, empathy, and problem-solving skills through multidisciplinary teamwork and supervision. Collaboration with nurses, physiotherapists, social workers, and other healthcare professionals facilitates knowledge exchange, encourages consideration of diverse perspectives, and supports the adoption of effective patient care strategies. Regular supervision sessions provide opportunities for constructive feedback, identification of strengths and areas for improvement, and the establishment of professional development goals. For instance, discussing complex cases with colleagues enables Occupational Therapists to evaluate alternative interventions and </w:t>
      </w:r>
      <w:r w:rsidRPr="001D2A85">
        <w:rPr>
          <w:sz w:val="22"/>
        </w:rPr>
        <w:lastRenderedPageBreak/>
        <w:t>gain a deeper understanding of service user needs. Additionally, observing experienced practitioners offers valuable insights into effective communication techniques and professional conduct. Participation in team meetings enhances collaboration skills and fosters a holistic approach to care planning. Evidence indicates that robust multidisciplinary collaboration leads to improved service user outcomes, increased professional confidence, and more effective decision-making (WFOT, 202</w:t>
      </w:r>
      <w:r w:rsidR="0058693B">
        <w:rPr>
          <w:sz w:val="22"/>
        </w:rPr>
        <w:t>6</w:t>
      </w:r>
      <w:r w:rsidRPr="001D2A85">
        <w:rPr>
          <w:sz w:val="22"/>
        </w:rPr>
        <w:t>). Consequently, teamwork and professional supervision are essential for the ongoing development of Occupational Therapists and for improving the quality of care delivered.</w:t>
      </w:r>
    </w:p>
    <w:p w14:paraId="58A1B501" w14:textId="2F942CCF" w:rsidR="0156E134" w:rsidRDefault="0156E134" w:rsidP="00A66FF2">
      <w:pPr>
        <w:pStyle w:val="ListParagraph"/>
        <w:spacing w:after="0" w:line="360" w:lineRule="auto"/>
        <w:rPr>
          <w:sz w:val="21"/>
          <w:szCs w:val="21"/>
        </w:rPr>
      </w:pPr>
    </w:p>
    <w:p w14:paraId="1497148C" w14:textId="5D9ACA22" w:rsidR="00A946CB" w:rsidRDefault="5617AA6E" w:rsidP="0156E134">
      <w:pPr>
        <w:pStyle w:val="Heading2"/>
        <w:rPr>
          <w:color w:val="4471C4"/>
        </w:rPr>
      </w:pPr>
      <w:bookmarkStart w:id="6" w:name="_Toc1799977123"/>
      <w:r w:rsidRPr="0CF501EC">
        <w:rPr>
          <w:color w:val="4471C4"/>
        </w:rPr>
        <w:t>4</w:t>
      </w:r>
      <w:r w:rsidR="00A946CB" w:rsidRPr="0CF501EC">
        <w:rPr>
          <w:color w:val="4471C4"/>
        </w:rPr>
        <w:t xml:space="preserve"> Conclusion</w:t>
      </w:r>
      <w:bookmarkEnd w:id="6"/>
    </w:p>
    <w:p w14:paraId="05E0977C" w14:textId="77777777" w:rsidR="00A66FF2" w:rsidRPr="00A66FF2" w:rsidRDefault="00A66FF2" w:rsidP="00A66FF2"/>
    <w:p w14:paraId="5155B0ED" w14:textId="15085DC5" w:rsidR="00D676C3" w:rsidRDefault="006126F4" w:rsidP="00A66FF2">
      <w:pPr>
        <w:spacing w:after="0" w:line="360" w:lineRule="auto"/>
        <w:rPr>
          <w:sz w:val="22"/>
        </w:rPr>
      </w:pPr>
      <w:r w:rsidRPr="00A66FF2">
        <w:rPr>
          <w:sz w:val="22"/>
        </w:rPr>
        <w:t xml:space="preserve">Occupational therapists are integral to enabling individuals to achieve independence and engage in meaningful daily activities. This profession demands a combination of communication, empathy, and problem-solving skills to deliver safe, effective, and person-centred care. Such competencies enable practitioners to establish positive relationships, assess individual needs, and design appropriate interventions. Communication training, reflective practice, and ongoing professional development are essential strategies for cultivating these skills. The continuous enhancement of professional competencies ultimately leads to improved health and social care services and better outcomes for service users. </w:t>
      </w:r>
    </w:p>
    <w:p w14:paraId="01505909" w14:textId="77777777" w:rsidR="00A66FF2" w:rsidRDefault="00A66FF2" w:rsidP="00A66FF2">
      <w:pPr>
        <w:spacing w:after="0" w:line="360" w:lineRule="auto"/>
        <w:rPr>
          <w:sz w:val="22"/>
        </w:rPr>
      </w:pPr>
    </w:p>
    <w:p w14:paraId="46272A70" w14:textId="77777777" w:rsidR="00A66FF2" w:rsidRDefault="00A66FF2" w:rsidP="00A66FF2">
      <w:pPr>
        <w:spacing w:after="0" w:line="360" w:lineRule="auto"/>
        <w:rPr>
          <w:sz w:val="22"/>
        </w:rPr>
      </w:pPr>
    </w:p>
    <w:p w14:paraId="314F4731" w14:textId="77777777" w:rsidR="00A66FF2" w:rsidRDefault="00A66FF2" w:rsidP="00A66FF2">
      <w:pPr>
        <w:spacing w:after="0" w:line="360" w:lineRule="auto"/>
        <w:rPr>
          <w:sz w:val="22"/>
        </w:rPr>
      </w:pPr>
    </w:p>
    <w:p w14:paraId="27D857D9" w14:textId="77777777" w:rsidR="00A66FF2" w:rsidRDefault="00A66FF2" w:rsidP="00A66FF2">
      <w:pPr>
        <w:spacing w:after="0" w:line="360" w:lineRule="auto"/>
        <w:rPr>
          <w:sz w:val="22"/>
        </w:rPr>
      </w:pPr>
    </w:p>
    <w:p w14:paraId="1D9C5077" w14:textId="77777777" w:rsidR="00A66FF2" w:rsidRDefault="00A66FF2" w:rsidP="00A66FF2">
      <w:pPr>
        <w:spacing w:after="0" w:line="360" w:lineRule="auto"/>
        <w:rPr>
          <w:sz w:val="22"/>
        </w:rPr>
      </w:pPr>
    </w:p>
    <w:p w14:paraId="5608F49A" w14:textId="77777777" w:rsidR="00A66FF2" w:rsidRDefault="00A66FF2" w:rsidP="00A66FF2">
      <w:pPr>
        <w:spacing w:after="0" w:line="360" w:lineRule="auto"/>
        <w:rPr>
          <w:sz w:val="22"/>
        </w:rPr>
      </w:pPr>
    </w:p>
    <w:p w14:paraId="058E0FC9" w14:textId="77777777" w:rsidR="00A66FF2" w:rsidRDefault="00A66FF2" w:rsidP="00A66FF2">
      <w:pPr>
        <w:spacing w:after="0" w:line="360" w:lineRule="auto"/>
        <w:rPr>
          <w:sz w:val="22"/>
        </w:rPr>
      </w:pPr>
    </w:p>
    <w:p w14:paraId="429F5482" w14:textId="77777777" w:rsidR="00A66FF2" w:rsidRDefault="00A66FF2" w:rsidP="00A66FF2">
      <w:pPr>
        <w:spacing w:after="0" w:line="360" w:lineRule="auto"/>
        <w:rPr>
          <w:sz w:val="22"/>
        </w:rPr>
      </w:pPr>
    </w:p>
    <w:p w14:paraId="5ECB4FDF" w14:textId="77777777" w:rsidR="00A66FF2" w:rsidRDefault="00A66FF2" w:rsidP="00A66FF2">
      <w:pPr>
        <w:spacing w:after="0" w:line="360" w:lineRule="auto"/>
        <w:rPr>
          <w:sz w:val="22"/>
        </w:rPr>
      </w:pPr>
    </w:p>
    <w:p w14:paraId="5404D577" w14:textId="77777777" w:rsidR="00A66FF2" w:rsidRDefault="00A66FF2" w:rsidP="00A66FF2">
      <w:pPr>
        <w:spacing w:after="0" w:line="360" w:lineRule="auto"/>
        <w:rPr>
          <w:sz w:val="22"/>
        </w:rPr>
      </w:pPr>
    </w:p>
    <w:p w14:paraId="799CB8CA" w14:textId="77777777" w:rsidR="00A66FF2" w:rsidRDefault="00A66FF2" w:rsidP="00A66FF2">
      <w:pPr>
        <w:spacing w:after="0" w:line="360" w:lineRule="auto"/>
        <w:rPr>
          <w:sz w:val="22"/>
        </w:rPr>
      </w:pPr>
    </w:p>
    <w:p w14:paraId="5F3A0703" w14:textId="77777777" w:rsidR="00A66FF2" w:rsidRPr="00A66FF2" w:rsidRDefault="00A66FF2" w:rsidP="00A66FF2">
      <w:pPr>
        <w:spacing w:after="0" w:line="360" w:lineRule="auto"/>
        <w:rPr>
          <w:sz w:val="22"/>
        </w:rPr>
      </w:pPr>
    </w:p>
    <w:p w14:paraId="743F1A8F" w14:textId="77777777" w:rsidR="001F3E72" w:rsidRPr="00242974" w:rsidRDefault="001F3E72" w:rsidP="000401C5">
      <w:pPr>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lastRenderedPageBreak/>
        <w:t>5 Reference List</w:t>
      </w:r>
      <w:bookmarkEnd w:id="7"/>
    </w:p>
    <w:p w14:paraId="776F1690" w14:textId="77777777" w:rsidR="006126F4" w:rsidRDefault="006126F4" w:rsidP="00DD0A14">
      <w:pPr>
        <w:spacing w:after="0" w:line="240" w:lineRule="auto"/>
        <w:rPr>
          <w:sz w:val="22"/>
        </w:rPr>
      </w:pPr>
    </w:p>
    <w:p w14:paraId="4AEDF168" w14:textId="36A34B82" w:rsidR="006126F4" w:rsidRDefault="00285AA7" w:rsidP="00DD0A14">
      <w:pPr>
        <w:spacing w:after="0" w:line="240" w:lineRule="auto"/>
        <w:rPr>
          <w:sz w:val="22"/>
        </w:rPr>
      </w:pPr>
      <w:r w:rsidRPr="00285AA7">
        <w:rPr>
          <w:sz w:val="22"/>
        </w:rPr>
        <w:t>Health Education England (2023) Person-Centred Communication Skills Framework. Available at</w:t>
      </w:r>
      <w:r>
        <w:rPr>
          <w:sz w:val="22"/>
        </w:rPr>
        <w:t>:</w:t>
      </w:r>
    </w:p>
    <w:p w14:paraId="29D93AAE" w14:textId="21239D79" w:rsidR="00285AA7" w:rsidRDefault="00CF27F0" w:rsidP="00DD0A14">
      <w:pPr>
        <w:spacing w:after="0" w:line="240" w:lineRule="auto"/>
        <w:rPr>
          <w:sz w:val="22"/>
        </w:rPr>
      </w:pPr>
      <w:hyperlink r:id="rId9" w:history="1">
        <w:r w:rsidRPr="0088450C">
          <w:rPr>
            <w:rStyle w:val="Hyperlink"/>
            <w:sz w:val="22"/>
          </w:rPr>
          <w:t>https://www.hee.nhs.uk/</w:t>
        </w:r>
      </w:hyperlink>
    </w:p>
    <w:p w14:paraId="71C4A4DB" w14:textId="77777777" w:rsidR="00CF27F0" w:rsidRDefault="00CF27F0" w:rsidP="00DD0A14">
      <w:pPr>
        <w:spacing w:after="0" w:line="240" w:lineRule="auto"/>
        <w:rPr>
          <w:sz w:val="22"/>
        </w:rPr>
      </w:pPr>
    </w:p>
    <w:p w14:paraId="6F8355F0" w14:textId="73628C71" w:rsidR="00CF27F0" w:rsidRDefault="00D63281" w:rsidP="00DD0A14">
      <w:pPr>
        <w:spacing w:after="0" w:line="240" w:lineRule="auto"/>
        <w:rPr>
          <w:sz w:val="22"/>
        </w:rPr>
      </w:pPr>
      <w:r w:rsidRPr="00D63281">
        <w:rPr>
          <w:sz w:val="22"/>
        </w:rPr>
        <w:t>Health and Care Professions Council (HCPC) (2024) Standards of Proficiency: Occupational Therapists. London: HCPC.</w:t>
      </w:r>
      <w:r w:rsidR="000862D1">
        <w:rPr>
          <w:sz w:val="22"/>
        </w:rPr>
        <w:t xml:space="preserve"> Available at</w:t>
      </w:r>
      <w:r w:rsidR="00545925">
        <w:rPr>
          <w:sz w:val="22"/>
        </w:rPr>
        <w:t>:</w:t>
      </w:r>
    </w:p>
    <w:p w14:paraId="33CA92C2" w14:textId="7482E3DF" w:rsidR="00545925" w:rsidRDefault="00545925" w:rsidP="00DD0A14">
      <w:pPr>
        <w:spacing w:after="0" w:line="240" w:lineRule="auto"/>
        <w:rPr>
          <w:sz w:val="22"/>
        </w:rPr>
      </w:pPr>
      <w:hyperlink r:id="rId10" w:history="1">
        <w:r w:rsidRPr="0088450C">
          <w:rPr>
            <w:rStyle w:val="Hyperlink"/>
            <w:sz w:val="22"/>
          </w:rPr>
          <w:t>https://www.hcpc-uk.org/standards/standards-of-proficiency/</w:t>
        </w:r>
      </w:hyperlink>
    </w:p>
    <w:p w14:paraId="0F619C31" w14:textId="77777777" w:rsidR="00545925" w:rsidRDefault="00545925" w:rsidP="00DD0A14">
      <w:pPr>
        <w:spacing w:after="0" w:line="240" w:lineRule="auto"/>
        <w:rPr>
          <w:sz w:val="22"/>
        </w:rPr>
      </w:pPr>
    </w:p>
    <w:p w14:paraId="21F9BFCC" w14:textId="5BA58370" w:rsidR="00545925" w:rsidRDefault="001421B9" w:rsidP="00DD0A14">
      <w:pPr>
        <w:spacing w:after="0" w:line="240" w:lineRule="auto"/>
        <w:rPr>
          <w:sz w:val="22"/>
        </w:rPr>
      </w:pPr>
      <w:r w:rsidRPr="001421B9">
        <w:rPr>
          <w:sz w:val="22"/>
        </w:rPr>
        <w:t>NHS (2024) Occupational Therapy. Available at:</w:t>
      </w:r>
      <w:r w:rsidR="00D77AF1" w:rsidRPr="00D77AF1">
        <w:t xml:space="preserve"> </w:t>
      </w:r>
      <w:hyperlink r:id="rId11" w:history="1">
        <w:r w:rsidR="00D77AF1" w:rsidRPr="0088450C">
          <w:rPr>
            <w:rStyle w:val="Hyperlink"/>
            <w:sz w:val="22"/>
          </w:rPr>
          <w:t>https://www.nhs.uk/</w:t>
        </w:r>
      </w:hyperlink>
    </w:p>
    <w:p w14:paraId="7DFE5FD6" w14:textId="77777777" w:rsidR="00BB28F2" w:rsidRDefault="00BB28F2" w:rsidP="00DD0A14">
      <w:pPr>
        <w:spacing w:after="0" w:line="240" w:lineRule="auto"/>
        <w:rPr>
          <w:sz w:val="22"/>
        </w:rPr>
      </w:pPr>
    </w:p>
    <w:p w14:paraId="31E8DE54" w14:textId="77777777" w:rsidR="001F3E72" w:rsidRDefault="00C72241" w:rsidP="00DD0A14">
      <w:pPr>
        <w:spacing w:after="0" w:line="240" w:lineRule="auto"/>
      </w:pPr>
      <w:r w:rsidRPr="00C72241">
        <w:rPr>
          <w:sz w:val="22"/>
        </w:rPr>
        <w:t>Royal College of Occupational Therapists (RCOT) (2024) Career Development and Professional Standards. London: RCOT.</w:t>
      </w:r>
      <w:r>
        <w:rPr>
          <w:sz w:val="22"/>
        </w:rPr>
        <w:t xml:space="preserve"> Available at</w:t>
      </w:r>
      <w:r w:rsidR="005220EE">
        <w:rPr>
          <w:sz w:val="22"/>
        </w:rPr>
        <w:t xml:space="preserve">: </w:t>
      </w:r>
      <w:hyperlink r:id="rId12" w:history="1">
        <w:r w:rsidR="00005F1B" w:rsidRPr="0088450C">
          <w:rPr>
            <w:rStyle w:val="Hyperlink"/>
            <w:sz w:val="22"/>
          </w:rPr>
          <w:t>https://www.rcot.co.uk/support-the-profession/workforce-reform-2024-programme</w:t>
        </w:r>
      </w:hyperlink>
    </w:p>
    <w:p w14:paraId="7FA04A6C" w14:textId="77777777" w:rsidR="00717A4E" w:rsidRDefault="00717A4E" w:rsidP="00DD0A14">
      <w:pPr>
        <w:spacing w:after="0" w:line="240" w:lineRule="auto"/>
        <w:rPr>
          <w:sz w:val="22"/>
        </w:rPr>
      </w:pPr>
    </w:p>
    <w:p w14:paraId="429E9DAA" w14:textId="73B2EADC" w:rsidR="00AC783F" w:rsidRDefault="008869D2" w:rsidP="00DD0A14">
      <w:pPr>
        <w:spacing w:after="0" w:line="240" w:lineRule="auto"/>
        <w:rPr>
          <w:sz w:val="22"/>
        </w:rPr>
      </w:pPr>
      <w:r w:rsidRPr="008869D2">
        <w:rPr>
          <w:sz w:val="22"/>
        </w:rPr>
        <w:t>World Federation of Occupational Therapists (WFOT) (202</w:t>
      </w:r>
      <w:r w:rsidR="008931AA">
        <w:rPr>
          <w:sz w:val="22"/>
        </w:rPr>
        <w:t>6</w:t>
      </w:r>
      <w:r w:rsidRPr="008869D2">
        <w:rPr>
          <w:sz w:val="22"/>
        </w:rPr>
        <w:t>) Occupational Therapy and Global Health. Available at:</w:t>
      </w:r>
    </w:p>
    <w:p w14:paraId="5BB59CC9" w14:textId="5BC057AA" w:rsidR="00005F1B" w:rsidRDefault="00AC783F" w:rsidP="00DD0A14">
      <w:pPr>
        <w:spacing w:after="0" w:line="240" w:lineRule="auto"/>
        <w:rPr>
          <w:sz w:val="22"/>
        </w:rPr>
      </w:pPr>
      <w:r w:rsidRPr="00AC783F">
        <w:t xml:space="preserve"> </w:t>
      </w:r>
      <w:hyperlink r:id="rId13" w:history="1">
        <w:r w:rsidR="00A66FF2" w:rsidRPr="0088450C">
          <w:rPr>
            <w:rStyle w:val="Hyperlink"/>
            <w:sz w:val="22"/>
          </w:rPr>
          <w:t>https://wfot.org/news/2026/minimum-standards-for-the-education-of-occupational-therapists-and-the-minimum-competencies-of-occupational-therapists-2026</w:t>
        </w:r>
      </w:hyperlink>
    </w:p>
    <w:p w14:paraId="624BED7D" w14:textId="77777777" w:rsidR="00A66FF2" w:rsidRPr="00DD0A14" w:rsidRDefault="00A66FF2" w:rsidP="00DD0A14">
      <w:pPr>
        <w:spacing w:after="0" w:line="240" w:lineRule="auto"/>
        <w:rPr>
          <w:sz w:val="22"/>
        </w:rPr>
      </w:pPr>
    </w:p>
    <w:sectPr w:rsidR="00A66FF2" w:rsidRPr="00DD0A14"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8A1594" w14:textId="77777777" w:rsidR="008458B2" w:rsidRDefault="008458B2" w:rsidP="003C7C97">
      <w:pPr>
        <w:spacing w:after="0" w:line="240" w:lineRule="auto"/>
      </w:pPr>
      <w:r>
        <w:separator/>
      </w:r>
    </w:p>
  </w:endnote>
  <w:endnote w:type="continuationSeparator" w:id="0">
    <w:p w14:paraId="0270D5DA" w14:textId="77777777" w:rsidR="008458B2" w:rsidRDefault="008458B2"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85066A" w14:textId="77777777" w:rsidR="008458B2" w:rsidRDefault="008458B2" w:rsidP="003C7C97">
      <w:pPr>
        <w:spacing w:after="0" w:line="240" w:lineRule="auto"/>
      </w:pPr>
      <w:r>
        <w:separator/>
      </w:r>
    </w:p>
  </w:footnote>
  <w:footnote w:type="continuationSeparator" w:id="0">
    <w:p w14:paraId="0BFDF448" w14:textId="77777777" w:rsidR="008458B2" w:rsidRDefault="008458B2"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C8A4F3F6"/>
    <w:lvl w:ilvl="0" w:tplc="E7623036">
      <w:start w:val="1"/>
      <w:numFmt w:val="bullet"/>
      <w:lvlText w:val=""/>
      <w:lvlJc w:val="left"/>
      <w:pPr>
        <w:ind w:left="720" w:hanging="360"/>
      </w:pPr>
      <w:rPr>
        <w:rFonts w:ascii="Symbol" w:hAnsi="Symbol" w:hint="default"/>
      </w:rPr>
    </w:lvl>
    <w:lvl w:ilvl="1" w:tplc="FC088830">
      <w:start w:val="1"/>
      <w:numFmt w:val="bullet"/>
      <w:lvlText w:val="o"/>
      <w:lvlJc w:val="left"/>
      <w:pPr>
        <w:ind w:left="1440" w:hanging="360"/>
      </w:pPr>
      <w:rPr>
        <w:rFonts w:ascii="Courier New" w:hAnsi="Courier New" w:hint="default"/>
      </w:rPr>
    </w:lvl>
    <w:lvl w:ilvl="2" w:tplc="30743118">
      <w:start w:val="1"/>
      <w:numFmt w:val="bullet"/>
      <w:lvlText w:val=""/>
      <w:lvlJc w:val="left"/>
      <w:pPr>
        <w:ind w:left="2160" w:hanging="360"/>
      </w:pPr>
      <w:rPr>
        <w:rFonts w:ascii="Wingdings" w:hAnsi="Wingdings" w:hint="default"/>
      </w:rPr>
    </w:lvl>
    <w:lvl w:ilvl="3" w:tplc="D332E27A">
      <w:start w:val="1"/>
      <w:numFmt w:val="bullet"/>
      <w:lvlText w:val=""/>
      <w:lvlJc w:val="left"/>
      <w:pPr>
        <w:ind w:left="2880" w:hanging="360"/>
      </w:pPr>
      <w:rPr>
        <w:rFonts w:ascii="Symbol" w:hAnsi="Symbol" w:hint="default"/>
      </w:rPr>
    </w:lvl>
    <w:lvl w:ilvl="4" w:tplc="08EA6174">
      <w:start w:val="1"/>
      <w:numFmt w:val="bullet"/>
      <w:lvlText w:val="o"/>
      <w:lvlJc w:val="left"/>
      <w:pPr>
        <w:ind w:left="3600" w:hanging="360"/>
      </w:pPr>
      <w:rPr>
        <w:rFonts w:ascii="Courier New" w:hAnsi="Courier New" w:hint="default"/>
      </w:rPr>
    </w:lvl>
    <w:lvl w:ilvl="5" w:tplc="3EA6E394">
      <w:start w:val="1"/>
      <w:numFmt w:val="bullet"/>
      <w:lvlText w:val=""/>
      <w:lvlJc w:val="left"/>
      <w:pPr>
        <w:ind w:left="4320" w:hanging="360"/>
      </w:pPr>
      <w:rPr>
        <w:rFonts w:ascii="Wingdings" w:hAnsi="Wingdings" w:hint="default"/>
      </w:rPr>
    </w:lvl>
    <w:lvl w:ilvl="6" w:tplc="4E8CCF50">
      <w:start w:val="1"/>
      <w:numFmt w:val="bullet"/>
      <w:lvlText w:val=""/>
      <w:lvlJc w:val="left"/>
      <w:pPr>
        <w:ind w:left="5040" w:hanging="360"/>
      </w:pPr>
      <w:rPr>
        <w:rFonts w:ascii="Symbol" w:hAnsi="Symbol" w:hint="default"/>
      </w:rPr>
    </w:lvl>
    <w:lvl w:ilvl="7" w:tplc="DCE24CE2">
      <w:start w:val="1"/>
      <w:numFmt w:val="bullet"/>
      <w:lvlText w:val="o"/>
      <w:lvlJc w:val="left"/>
      <w:pPr>
        <w:ind w:left="5760" w:hanging="360"/>
      </w:pPr>
      <w:rPr>
        <w:rFonts w:ascii="Courier New" w:hAnsi="Courier New" w:hint="default"/>
      </w:rPr>
    </w:lvl>
    <w:lvl w:ilvl="8" w:tplc="ECA6610A">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C2944ECC"/>
    <w:lvl w:ilvl="0" w:tplc="3696828A">
      <w:start w:val="1"/>
      <w:numFmt w:val="bullet"/>
      <w:lvlText w:val=""/>
      <w:lvlJc w:val="left"/>
      <w:pPr>
        <w:ind w:left="720" w:hanging="360"/>
      </w:pPr>
      <w:rPr>
        <w:rFonts w:ascii="Symbol" w:hAnsi="Symbol" w:hint="default"/>
      </w:rPr>
    </w:lvl>
    <w:lvl w:ilvl="1" w:tplc="84F2AA30">
      <w:start w:val="1"/>
      <w:numFmt w:val="bullet"/>
      <w:lvlText w:val="o"/>
      <w:lvlJc w:val="left"/>
      <w:pPr>
        <w:ind w:left="1440" w:hanging="360"/>
      </w:pPr>
      <w:rPr>
        <w:rFonts w:ascii="Courier New" w:hAnsi="Courier New" w:hint="default"/>
      </w:rPr>
    </w:lvl>
    <w:lvl w:ilvl="2" w:tplc="91027FF0">
      <w:start w:val="1"/>
      <w:numFmt w:val="bullet"/>
      <w:lvlText w:val=""/>
      <w:lvlJc w:val="left"/>
      <w:pPr>
        <w:ind w:left="2160" w:hanging="360"/>
      </w:pPr>
      <w:rPr>
        <w:rFonts w:ascii="Wingdings" w:hAnsi="Wingdings" w:hint="default"/>
      </w:rPr>
    </w:lvl>
    <w:lvl w:ilvl="3" w:tplc="AE8CC7BA">
      <w:start w:val="1"/>
      <w:numFmt w:val="bullet"/>
      <w:lvlText w:val=""/>
      <w:lvlJc w:val="left"/>
      <w:pPr>
        <w:ind w:left="2880" w:hanging="360"/>
      </w:pPr>
      <w:rPr>
        <w:rFonts w:ascii="Symbol" w:hAnsi="Symbol" w:hint="default"/>
      </w:rPr>
    </w:lvl>
    <w:lvl w:ilvl="4" w:tplc="D7C42D68">
      <w:start w:val="1"/>
      <w:numFmt w:val="bullet"/>
      <w:lvlText w:val="o"/>
      <w:lvlJc w:val="left"/>
      <w:pPr>
        <w:ind w:left="3600" w:hanging="360"/>
      </w:pPr>
      <w:rPr>
        <w:rFonts w:ascii="Courier New" w:hAnsi="Courier New" w:hint="default"/>
      </w:rPr>
    </w:lvl>
    <w:lvl w:ilvl="5" w:tplc="5C94FF9E">
      <w:start w:val="1"/>
      <w:numFmt w:val="bullet"/>
      <w:lvlText w:val=""/>
      <w:lvlJc w:val="left"/>
      <w:pPr>
        <w:ind w:left="4320" w:hanging="360"/>
      </w:pPr>
      <w:rPr>
        <w:rFonts w:ascii="Wingdings" w:hAnsi="Wingdings" w:hint="default"/>
      </w:rPr>
    </w:lvl>
    <w:lvl w:ilvl="6" w:tplc="F3489488">
      <w:start w:val="1"/>
      <w:numFmt w:val="bullet"/>
      <w:lvlText w:val=""/>
      <w:lvlJc w:val="left"/>
      <w:pPr>
        <w:ind w:left="5040" w:hanging="360"/>
      </w:pPr>
      <w:rPr>
        <w:rFonts w:ascii="Symbol" w:hAnsi="Symbol" w:hint="default"/>
      </w:rPr>
    </w:lvl>
    <w:lvl w:ilvl="7" w:tplc="C44C28B4">
      <w:start w:val="1"/>
      <w:numFmt w:val="bullet"/>
      <w:lvlText w:val="o"/>
      <w:lvlJc w:val="left"/>
      <w:pPr>
        <w:ind w:left="5760" w:hanging="360"/>
      </w:pPr>
      <w:rPr>
        <w:rFonts w:ascii="Courier New" w:hAnsi="Courier New" w:hint="default"/>
      </w:rPr>
    </w:lvl>
    <w:lvl w:ilvl="8" w:tplc="0754A634">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450488"/>
    <w:multiLevelType w:val="multilevel"/>
    <w:tmpl w:val="12E06C8A"/>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4789E61"/>
    <w:multiLevelType w:val="hybridMultilevel"/>
    <w:tmpl w:val="268C2D7E"/>
    <w:lvl w:ilvl="0" w:tplc="C2A24352">
      <w:start w:val="1"/>
      <w:numFmt w:val="bullet"/>
      <w:lvlText w:val=""/>
      <w:lvlJc w:val="left"/>
      <w:pPr>
        <w:ind w:left="720" w:hanging="360"/>
      </w:pPr>
      <w:rPr>
        <w:rFonts w:ascii="Symbol" w:hAnsi="Symbol" w:hint="default"/>
      </w:rPr>
    </w:lvl>
    <w:lvl w:ilvl="1" w:tplc="352A067A">
      <w:start w:val="1"/>
      <w:numFmt w:val="bullet"/>
      <w:lvlText w:val="o"/>
      <w:lvlJc w:val="left"/>
      <w:pPr>
        <w:ind w:left="1440" w:hanging="360"/>
      </w:pPr>
      <w:rPr>
        <w:rFonts w:ascii="Courier New" w:hAnsi="Courier New" w:hint="default"/>
      </w:rPr>
    </w:lvl>
    <w:lvl w:ilvl="2" w:tplc="B5A04D7C">
      <w:start w:val="1"/>
      <w:numFmt w:val="bullet"/>
      <w:lvlText w:val=""/>
      <w:lvlJc w:val="left"/>
      <w:pPr>
        <w:ind w:left="2160" w:hanging="360"/>
      </w:pPr>
      <w:rPr>
        <w:rFonts w:ascii="Wingdings" w:hAnsi="Wingdings" w:hint="default"/>
      </w:rPr>
    </w:lvl>
    <w:lvl w:ilvl="3" w:tplc="F912E29E">
      <w:start w:val="1"/>
      <w:numFmt w:val="bullet"/>
      <w:lvlText w:val=""/>
      <w:lvlJc w:val="left"/>
      <w:pPr>
        <w:ind w:left="2880" w:hanging="360"/>
      </w:pPr>
      <w:rPr>
        <w:rFonts w:ascii="Symbol" w:hAnsi="Symbol" w:hint="default"/>
      </w:rPr>
    </w:lvl>
    <w:lvl w:ilvl="4" w:tplc="6EF8B78A">
      <w:start w:val="1"/>
      <w:numFmt w:val="bullet"/>
      <w:lvlText w:val="o"/>
      <w:lvlJc w:val="left"/>
      <w:pPr>
        <w:ind w:left="3600" w:hanging="360"/>
      </w:pPr>
      <w:rPr>
        <w:rFonts w:ascii="Courier New" w:hAnsi="Courier New" w:hint="default"/>
      </w:rPr>
    </w:lvl>
    <w:lvl w:ilvl="5" w:tplc="D77899E6">
      <w:start w:val="1"/>
      <w:numFmt w:val="bullet"/>
      <w:lvlText w:val=""/>
      <w:lvlJc w:val="left"/>
      <w:pPr>
        <w:ind w:left="4320" w:hanging="360"/>
      </w:pPr>
      <w:rPr>
        <w:rFonts w:ascii="Wingdings" w:hAnsi="Wingdings" w:hint="default"/>
      </w:rPr>
    </w:lvl>
    <w:lvl w:ilvl="6" w:tplc="B0986864">
      <w:start w:val="1"/>
      <w:numFmt w:val="bullet"/>
      <w:lvlText w:val=""/>
      <w:lvlJc w:val="left"/>
      <w:pPr>
        <w:ind w:left="5040" w:hanging="360"/>
      </w:pPr>
      <w:rPr>
        <w:rFonts w:ascii="Symbol" w:hAnsi="Symbol" w:hint="default"/>
      </w:rPr>
    </w:lvl>
    <w:lvl w:ilvl="7" w:tplc="3E92B80C">
      <w:start w:val="1"/>
      <w:numFmt w:val="bullet"/>
      <w:lvlText w:val="o"/>
      <w:lvlJc w:val="left"/>
      <w:pPr>
        <w:ind w:left="5760" w:hanging="360"/>
      </w:pPr>
      <w:rPr>
        <w:rFonts w:ascii="Courier New" w:hAnsi="Courier New" w:hint="default"/>
      </w:rPr>
    </w:lvl>
    <w:lvl w:ilvl="8" w:tplc="1DB28A42">
      <w:start w:val="1"/>
      <w:numFmt w:val="bullet"/>
      <w:lvlText w:val=""/>
      <w:lvlJc w:val="left"/>
      <w:pPr>
        <w:ind w:left="6480" w:hanging="360"/>
      </w:pPr>
      <w:rPr>
        <w:rFonts w:ascii="Wingdings" w:hAnsi="Wingdings" w:hint="default"/>
      </w:rPr>
    </w:lvl>
  </w:abstractNum>
  <w:abstractNum w:abstractNumId="13" w15:restartNumberingAfterBreak="0">
    <w:nsid w:val="3AB16C17"/>
    <w:multiLevelType w:val="hybridMultilevel"/>
    <w:tmpl w:val="B9AEF4EA"/>
    <w:lvl w:ilvl="0" w:tplc="7660C53A">
      <w:start w:val="1"/>
      <w:numFmt w:val="bullet"/>
      <w:lvlText w:val=""/>
      <w:lvlJc w:val="left"/>
      <w:pPr>
        <w:ind w:left="720" w:hanging="360"/>
      </w:pPr>
      <w:rPr>
        <w:rFonts w:ascii="Symbol" w:hAnsi="Symbol" w:hint="default"/>
      </w:rPr>
    </w:lvl>
    <w:lvl w:ilvl="1" w:tplc="D8DAC24E">
      <w:start w:val="1"/>
      <w:numFmt w:val="bullet"/>
      <w:lvlText w:val="o"/>
      <w:lvlJc w:val="left"/>
      <w:pPr>
        <w:ind w:left="1440" w:hanging="360"/>
      </w:pPr>
      <w:rPr>
        <w:rFonts w:ascii="Courier New" w:hAnsi="Courier New" w:hint="default"/>
      </w:rPr>
    </w:lvl>
    <w:lvl w:ilvl="2" w:tplc="BB3A59F2">
      <w:start w:val="1"/>
      <w:numFmt w:val="bullet"/>
      <w:lvlText w:val=""/>
      <w:lvlJc w:val="left"/>
      <w:pPr>
        <w:ind w:left="2160" w:hanging="360"/>
      </w:pPr>
      <w:rPr>
        <w:rFonts w:ascii="Wingdings" w:hAnsi="Wingdings" w:hint="default"/>
      </w:rPr>
    </w:lvl>
    <w:lvl w:ilvl="3" w:tplc="FD927928">
      <w:start w:val="1"/>
      <w:numFmt w:val="bullet"/>
      <w:lvlText w:val=""/>
      <w:lvlJc w:val="left"/>
      <w:pPr>
        <w:ind w:left="2880" w:hanging="360"/>
      </w:pPr>
      <w:rPr>
        <w:rFonts w:ascii="Symbol" w:hAnsi="Symbol" w:hint="default"/>
      </w:rPr>
    </w:lvl>
    <w:lvl w:ilvl="4" w:tplc="847E5AAA">
      <w:start w:val="1"/>
      <w:numFmt w:val="bullet"/>
      <w:lvlText w:val="o"/>
      <w:lvlJc w:val="left"/>
      <w:pPr>
        <w:ind w:left="3600" w:hanging="360"/>
      </w:pPr>
      <w:rPr>
        <w:rFonts w:ascii="Courier New" w:hAnsi="Courier New" w:hint="default"/>
      </w:rPr>
    </w:lvl>
    <w:lvl w:ilvl="5" w:tplc="895CF92E">
      <w:start w:val="1"/>
      <w:numFmt w:val="bullet"/>
      <w:lvlText w:val=""/>
      <w:lvlJc w:val="left"/>
      <w:pPr>
        <w:ind w:left="4320" w:hanging="360"/>
      </w:pPr>
      <w:rPr>
        <w:rFonts w:ascii="Wingdings" w:hAnsi="Wingdings" w:hint="default"/>
      </w:rPr>
    </w:lvl>
    <w:lvl w:ilvl="6" w:tplc="066A4F28">
      <w:start w:val="1"/>
      <w:numFmt w:val="bullet"/>
      <w:lvlText w:val=""/>
      <w:lvlJc w:val="left"/>
      <w:pPr>
        <w:ind w:left="5040" w:hanging="360"/>
      </w:pPr>
      <w:rPr>
        <w:rFonts w:ascii="Symbol" w:hAnsi="Symbol" w:hint="default"/>
      </w:rPr>
    </w:lvl>
    <w:lvl w:ilvl="7" w:tplc="1496106C">
      <w:start w:val="1"/>
      <w:numFmt w:val="bullet"/>
      <w:lvlText w:val="o"/>
      <w:lvlJc w:val="left"/>
      <w:pPr>
        <w:ind w:left="5760" w:hanging="360"/>
      </w:pPr>
      <w:rPr>
        <w:rFonts w:ascii="Courier New" w:hAnsi="Courier New" w:hint="default"/>
      </w:rPr>
    </w:lvl>
    <w:lvl w:ilvl="8" w:tplc="4E3EF7C6">
      <w:start w:val="1"/>
      <w:numFmt w:val="bullet"/>
      <w:lvlText w:val=""/>
      <w:lvlJc w:val="left"/>
      <w:pPr>
        <w:ind w:left="6480" w:hanging="360"/>
      </w:pPr>
      <w:rPr>
        <w:rFonts w:ascii="Wingdings" w:hAnsi="Wingdings" w:hint="default"/>
      </w:rPr>
    </w:lvl>
  </w:abstractNum>
  <w:abstractNum w:abstractNumId="1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224439"/>
    <w:multiLevelType w:val="hybridMultilevel"/>
    <w:tmpl w:val="DDE6800A"/>
    <w:lvl w:ilvl="0" w:tplc="9A424D3E">
      <w:start w:val="1"/>
      <w:numFmt w:val="bullet"/>
      <w:lvlText w:val=""/>
      <w:lvlJc w:val="left"/>
      <w:pPr>
        <w:ind w:left="720" w:hanging="360"/>
      </w:pPr>
      <w:rPr>
        <w:rFonts w:ascii="Symbol" w:hAnsi="Symbol" w:hint="default"/>
      </w:rPr>
    </w:lvl>
    <w:lvl w:ilvl="1" w:tplc="B4524E90">
      <w:start w:val="1"/>
      <w:numFmt w:val="bullet"/>
      <w:lvlText w:val="o"/>
      <w:lvlJc w:val="left"/>
      <w:pPr>
        <w:ind w:left="1440" w:hanging="360"/>
      </w:pPr>
      <w:rPr>
        <w:rFonts w:ascii="Courier New" w:hAnsi="Courier New" w:hint="default"/>
      </w:rPr>
    </w:lvl>
    <w:lvl w:ilvl="2" w:tplc="4B66206A">
      <w:start w:val="1"/>
      <w:numFmt w:val="bullet"/>
      <w:lvlText w:val=""/>
      <w:lvlJc w:val="left"/>
      <w:pPr>
        <w:ind w:left="2160" w:hanging="360"/>
      </w:pPr>
      <w:rPr>
        <w:rFonts w:ascii="Wingdings" w:hAnsi="Wingdings" w:hint="default"/>
      </w:rPr>
    </w:lvl>
    <w:lvl w:ilvl="3" w:tplc="DD24367E">
      <w:start w:val="1"/>
      <w:numFmt w:val="bullet"/>
      <w:lvlText w:val=""/>
      <w:lvlJc w:val="left"/>
      <w:pPr>
        <w:ind w:left="2880" w:hanging="360"/>
      </w:pPr>
      <w:rPr>
        <w:rFonts w:ascii="Symbol" w:hAnsi="Symbol" w:hint="default"/>
      </w:rPr>
    </w:lvl>
    <w:lvl w:ilvl="4" w:tplc="C9984BC8">
      <w:start w:val="1"/>
      <w:numFmt w:val="bullet"/>
      <w:lvlText w:val="o"/>
      <w:lvlJc w:val="left"/>
      <w:pPr>
        <w:ind w:left="3600" w:hanging="360"/>
      </w:pPr>
      <w:rPr>
        <w:rFonts w:ascii="Courier New" w:hAnsi="Courier New" w:hint="default"/>
      </w:rPr>
    </w:lvl>
    <w:lvl w:ilvl="5" w:tplc="97CE2A16">
      <w:start w:val="1"/>
      <w:numFmt w:val="bullet"/>
      <w:lvlText w:val=""/>
      <w:lvlJc w:val="left"/>
      <w:pPr>
        <w:ind w:left="4320" w:hanging="360"/>
      </w:pPr>
      <w:rPr>
        <w:rFonts w:ascii="Wingdings" w:hAnsi="Wingdings" w:hint="default"/>
      </w:rPr>
    </w:lvl>
    <w:lvl w:ilvl="6" w:tplc="FD787028">
      <w:start w:val="1"/>
      <w:numFmt w:val="bullet"/>
      <w:lvlText w:val=""/>
      <w:lvlJc w:val="left"/>
      <w:pPr>
        <w:ind w:left="5040" w:hanging="360"/>
      </w:pPr>
      <w:rPr>
        <w:rFonts w:ascii="Symbol" w:hAnsi="Symbol" w:hint="default"/>
      </w:rPr>
    </w:lvl>
    <w:lvl w:ilvl="7" w:tplc="098455EC">
      <w:start w:val="1"/>
      <w:numFmt w:val="bullet"/>
      <w:lvlText w:val="o"/>
      <w:lvlJc w:val="left"/>
      <w:pPr>
        <w:ind w:left="5760" w:hanging="360"/>
      </w:pPr>
      <w:rPr>
        <w:rFonts w:ascii="Courier New" w:hAnsi="Courier New" w:hint="default"/>
      </w:rPr>
    </w:lvl>
    <w:lvl w:ilvl="8" w:tplc="AF7A8F3A">
      <w:start w:val="1"/>
      <w:numFmt w:val="bullet"/>
      <w:lvlText w:val=""/>
      <w:lvlJc w:val="left"/>
      <w:pPr>
        <w:ind w:left="6480" w:hanging="360"/>
      </w:pPr>
      <w:rPr>
        <w:rFonts w:ascii="Wingdings" w:hAnsi="Wingdings" w:hint="default"/>
      </w:rPr>
    </w:lvl>
  </w:abstractNum>
  <w:abstractNum w:abstractNumId="17"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58A4F542"/>
    <w:lvl w:ilvl="0" w:tplc="86E4553C">
      <w:start w:val="1"/>
      <w:numFmt w:val="bullet"/>
      <w:lvlText w:val=""/>
      <w:lvlJc w:val="left"/>
      <w:pPr>
        <w:ind w:left="720" w:hanging="360"/>
      </w:pPr>
      <w:rPr>
        <w:rFonts w:ascii="Symbol" w:hAnsi="Symbol" w:hint="default"/>
      </w:rPr>
    </w:lvl>
    <w:lvl w:ilvl="1" w:tplc="485EABB8">
      <w:start w:val="1"/>
      <w:numFmt w:val="bullet"/>
      <w:lvlText w:val="o"/>
      <w:lvlJc w:val="left"/>
      <w:pPr>
        <w:ind w:left="1440" w:hanging="360"/>
      </w:pPr>
      <w:rPr>
        <w:rFonts w:ascii="Courier New" w:hAnsi="Courier New" w:hint="default"/>
      </w:rPr>
    </w:lvl>
    <w:lvl w:ilvl="2" w:tplc="65362366">
      <w:start w:val="1"/>
      <w:numFmt w:val="bullet"/>
      <w:lvlText w:val=""/>
      <w:lvlJc w:val="left"/>
      <w:pPr>
        <w:ind w:left="2160" w:hanging="360"/>
      </w:pPr>
      <w:rPr>
        <w:rFonts w:ascii="Wingdings" w:hAnsi="Wingdings" w:hint="default"/>
      </w:rPr>
    </w:lvl>
    <w:lvl w:ilvl="3" w:tplc="86FE53FC">
      <w:start w:val="1"/>
      <w:numFmt w:val="bullet"/>
      <w:lvlText w:val=""/>
      <w:lvlJc w:val="left"/>
      <w:pPr>
        <w:ind w:left="2880" w:hanging="360"/>
      </w:pPr>
      <w:rPr>
        <w:rFonts w:ascii="Symbol" w:hAnsi="Symbol" w:hint="default"/>
      </w:rPr>
    </w:lvl>
    <w:lvl w:ilvl="4" w:tplc="7DBE4164">
      <w:start w:val="1"/>
      <w:numFmt w:val="bullet"/>
      <w:lvlText w:val="o"/>
      <w:lvlJc w:val="left"/>
      <w:pPr>
        <w:ind w:left="3600" w:hanging="360"/>
      </w:pPr>
      <w:rPr>
        <w:rFonts w:ascii="Courier New" w:hAnsi="Courier New" w:hint="default"/>
      </w:rPr>
    </w:lvl>
    <w:lvl w:ilvl="5" w:tplc="23C4734E">
      <w:start w:val="1"/>
      <w:numFmt w:val="bullet"/>
      <w:lvlText w:val=""/>
      <w:lvlJc w:val="left"/>
      <w:pPr>
        <w:ind w:left="4320" w:hanging="360"/>
      </w:pPr>
      <w:rPr>
        <w:rFonts w:ascii="Wingdings" w:hAnsi="Wingdings" w:hint="default"/>
      </w:rPr>
    </w:lvl>
    <w:lvl w:ilvl="6" w:tplc="E648FAD6">
      <w:start w:val="1"/>
      <w:numFmt w:val="bullet"/>
      <w:lvlText w:val=""/>
      <w:lvlJc w:val="left"/>
      <w:pPr>
        <w:ind w:left="5040" w:hanging="360"/>
      </w:pPr>
      <w:rPr>
        <w:rFonts w:ascii="Symbol" w:hAnsi="Symbol" w:hint="default"/>
      </w:rPr>
    </w:lvl>
    <w:lvl w:ilvl="7" w:tplc="9C84E6B4">
      <w:start w:val="1"/>
      <w:numFmt w:val="bullet"/>
      <w:lvlText w:val="o"/>
      <w:lvlJc w:val="left"/>
      <w:pPr>
        <w:ind w:left="5760" w:hanging="360"/>
      </w:pPr>
      <w:rPr>
        <w:rFonts w:ascii="Courier New" w:hAnsi="Courier New" w:hint="default"/>
      </w:rPr>
    </w:lvl>
    <w:lvl w:ilvl="8" w:tplc="43D486FE">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275759">
    <w:abstractNumId w:val="12"/>
  </w:num>
  <w:num w:numId="2" w16cid:durableId="92287342">
    <w:abstractNumId w:val="13"/>
  </w:num>
  <w:num w:numId="3" w16cid:durableId="273947541">
    <w:abstractNumId w:val="1"/>
  </w:num>
  <w:num w:numId="4" w16cid:durableId="1558974759">
    <w:abstractNumId w:val="3"/>
  </w:num>
  <w:num w:numId="5" w16cid:durableId="542600574">
    <w:abstractNumId w:val="16"/>
  </w:num>
  <w:num w:numId="6" w16cid:durableId="1370908470">
    <w:abstractNumId w:val="24"/>
  </w:num>
  <w:num w:numId="7" w16cid:durableId="52895227">
    <w:abstractNumId w:val="8"/>
  </w:num>
  <w:num w:numId="8" w16cid:durableId="351032333">
    <w:abstractNumId w:val="2"/>
  </w:num>
  <w:num w:numId="9" w16cid:durableId="1067413603">
    <w:abstractNumId w:val="14"/>
  </w:num>
  <w:num w:numId="10" w16cid:durableId="931426930">
    <w:abstractNumId w:val="27"/>
  </w:num>
  <w:num w:numId="11" w16cid:durableId="1422484198">
    <w:abstractNumId w:val="22"/>
  </w:num>
  <w:num w:numId="12" w16cid:durableId="552929862">
    <w:abstractNumId w:val="23"/>
  </w:num>
  <w:num w:numId="13" w16cid:durableId="587203086">
    <w:abstractNumId w:val="28"/>
  </w:num>
  <w:num w:numId="14" w16cid:durableId="389156196">
    <w:abstractNumId w:val="19"/>
  </w:num>
  <w:num w:numId="15" w16cid:durableId="1393503788">
    <w:abstractNumId w:val="5"/>
  </w:num>
  <w:num w:numId="16" w16cid:durableId="1579359955">
    <w:abstractNumId w:val="17"/>
  </w:num>
  <w:num w:numId="17" w16cid:durableId="806699681">
    <w:abstractNumId w:val="18"/>
  </w:num>
  <w:num w:numId="18" w16cid:durableId="1314750107">
    <w:abstractNumId w:val="15"/>
  </w:num>
  <w:num w:numId="19" w16cid:durableId="1766919701">
    <w:abstractNumId w:val="21"/>
  </w:num>
  <w:num w:numId="20" w16cid:durableId="1957908719">
    <w:abstractNumId w:val="11"/>
  </w:num>
  <w:num w:numId="21" w16cid:durableId="1132019979">
    <w:abstractNumId w:val="4"/>
  </w:num>
  <w:num w:numId="22" w16cid:durableId="1457524365">
    <w:abstractNumId w:val="7"/>
  </w:num>
  <w:num w:numId="23" w16cid:durableId="1386294306">
    <w:abstractNumId w:val="30"/>
  </w:num>
  <w:num w:numId="24" w16cid:durableId="1838374920">
    <w:abstractNumId w:val="25"/>
  </w:num>
  <w:num w:numId="25" w16cid:durableId="1827044992">
    <w:abstractNumId w:val="9"/>
  </w:num>
  <w:num w:numId="26" w16cid:durableId="895820667">
    <w:abstractNumId w:val="20"/>
  </w:num>
  <w:num w:numId="27" w16cid:durableId="817497522">
    <w:abstractNumId w:val="32"/>
  </w:num>
  <w:num w:numId="28" w16cid:durableId="725690465">
    <w:abstractNumId w:val="0"/>
  </w:num>
  <w:num w:numId="29" w16cid:durableId="1814372142">
    <w:abstractNumId w:val="26"/>
  </w:num>
  <w:num w:numId="30" w16cid:durableId="258563261">
    <w:abstractNumId w:val="29"/>
  </w:num>
  <w:num w:numId="31" w16cid:durableId="1306274523">
    <w:abstractNumId w:val="31"/>
  </w:num>
  <w:num w:numId="32" w16cid:durableId="1396465663">
    <w:abstractNumId w:val="6"/>
  </w:num>
  <w:num w:numId="33" w16cid:durableId="9228841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EBC"/>
    <w:rsid w:val="00005F1B"/>
    <w:rsid w:val="0001715D"/>
    <w:rsid w:val="00022C42"/>
    <w:rsid w:val="00027B15"/>
    <w:rsid w:val="00030A05"/>
    <w:rsid w:val="000401C5"/>
    <w:rsid w:val="00070818"/>
    <w:rsid w:val="0008238F"/>
    <w:rsid w:val="00082EC6"/>
    <w:rsid w:val="00085388"/>
    <w:rsid w:val="000862D1"/>
    <w:rsid w:val="000D41DC"/>
    <w:rsid w:val="00125D37"/>
    <w:rsid w:val="00127C1A"/>
    <w:rsid w:val="00142076"/>
    <w:rsid w:val="001421B9"/>
    <w:rsid w:val="00150D81"/>
    <w:rsid w:val="00166CEB"/>
    <w:rsid w:val="00183CB9"/>
    <w:rsid w:val="00184A9A"/>
    <w:rsid w:val="001947DF"/>
    <w:rsid w:val="001B22BB"/>
    <w:rsid w:val="001B619C"/>
    <w:rsid w:val="001D1D3C"/>
    <w:rsid w:val="001D2A85"/>
    <w:rsid w:val="001F3E72"/>
    <w:rsid w:val="00215E4E"/>
    <w:rsid w:val="002205D4"/>
    <w:rsid w:val="00221784"/>
    <w:rsid w:val="00222C3A"/>
    <w:rsid w:val="00226D31"/>
    <w:rsid w:val="00236401"/>
    <w:rsid w:val="002370CE"/>
    <w:rsid w:val="00242974"/>
    <w:rsid w:val="00285AA7"/>
    <w:rsid w:val="002976D4"/>
    <w:rsid w:val="002A5577"/>
    <w:rsid w:val="002B4AA4"/>
    <w:rsid w:val="002E71BA"/>
    <w:rsid w:val="002F5066"/>
    <w:rsid w:val="003003FD"/>
    <w:rsid w:val="00310245"/>
    <w:rsid w:val="00316C95"/>
    <w:rsid w:val="00320CD8"/>
    <w:rsid w:val="003236DB"/>
    <w:rsid w:val="003458DB"/>
    <w:rsid w:val="003523D3"/>
    <w:rsid w:val="00364C35"/>
    <w:rsid w:val="00365A37"/>
    <w:rsid w:val="00396F60"/>
    <w:rsid w:val="003A51D6"/>
    <w:rsid w:val="003B125E"/>
    <w:rsid w:val="003B2A5E"/>
    <w:rsid w:val="003B7D44"/>
    <w:rsid w:val="003C7C97"/>
    <w:rsid w:val="003F27D3"/>
    <w:rsid w:val="00406B8D"/>
    <w:rsid w:val="00410068"/>
    <w:rsid w:val="0041618E"/>
    <w:rsid w:val="0042295C"/>
    <w:rsid w:val="00426EEC"/>
    <w:rsid w:val="004466C3"/>
    <w:rsid w:val="004552CE"/>
    <w:rsid w:val="00481FF7"/>
    <w:rsid w:val="004C21BE"/>
    <w:rsid w:val="00500295"/>
    <w:rsid w:val="00501AAF"/>
    <w:rsid w:val="005220EE"/>
    <w:rsid w:val="0052550F"/>
    <w:rsid w:val="00527AFA"/>
    <w:rsid w:val="005419DA"/>
    <w:rsid w:val="00545925"/>
    <w:rsid w:val="005678AC"/>
    <w:rsid w:val="005679BD"/>
    <w:rsid w:val="005709B1"/>
    <w:rsid w:val="00572B3B"/>
    <w:rsid w:val="005836D2"/>
    <w:rsid w:val="0058693B"/>
    <w:rsid w:val="00587C58"/>
    <w:rsid w:val="005A7FD4"/>
    <w:rsid w:val="005B1A84"/>
    <w:rsid w:val="005D1AF9"/>
    <w:rsid w:val="005D5457"/>
    <w:rsid w:val="005E2699"/>
    <w:rsid w:val="005E44B5"/>
    <w:rsid w:val="006126F4"/>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17A4E"/>
    <w:rsid w:val="007632A9"/>
    <w:rsid w:val="00774092"/>
    <w:rsid w:val="00782830"/>
    <w:rsid w:val="0078664A"/>
    <w:rsid w:val="00791830"/>
    <w:rsid w:val="007B0F6D"/>
    <w:rsid w:val="007C62C3"/>
    <w:rsid w:val="007D25AA"/>
    <w:rsid w:val="007F0873"/>
    <w:rsid w:val="00805726"/>
    <w:rsid w:val="00815117"/>
    <w:rsid w:val="00824CB1"/>
    <w:rsid w:val="008458B2"/>
    <w:rsid w:val="008520F8"/>
    <w:rsid w:val="00855F34"/>
    <w:rsid w:val="008826B6"/>
    <w:rsid w:val="008869D2"/>
    <w:rsid w:val="008931AA"/>
    <w:rsid w:val="008B0B22"/>
    <w:rsid w:val="008C58B0"/>
    <w:rsid w:val="008C591B"/>
    <w:rsid w:val="008C6182"/>
    <w:rsid w:val="0090779E"/>
    <w:rsid w:val="00926458"/>
    <w:rsid w:val="00933720"/>
    <w:rsid w:val="009C7E52"/>
    <w:rsid w:val="009E4934"/>
    <w:rsid w:val="009F40A7"/>
    <w:rsid w:val="009F5CE6"/>
    <w:rsid w:val="00A035CD"/>
    <w:rsid w:val="00A50E80"/>
    <w:rsid w:val="00A513B0"/>
    <w:rsid w:val="00A63F7F"/>
    <w:rsid w:val="00A667CE"/>
    <w:rsid w:val="00A66FF2"/>
    <w:rsid w:val="00A75042"/>
    <w:rsid w:val="00A774BC"/>
    <w:rsid w:val="00A82678"/>
    <w:rsid w:val="00A931B2"/>
    <w:rsid w:val="00A946CB"/>
    <w:rsid w:val="00AA0B9C"/>
    <w:rsid w:val="00AA77C8"/>
    <w:rsid w:val="00AC244D"/>
    <w:rsid w:val="00AC783F"/>
    <w:rsid w:val="00AC7BE2"/>
    <w:rsid w:val="00AD5AE5"/>
    <w:rsid w:val="00AE12CE"/>
    <w:rsid w:val="00AE35BF"/>
    <w:rsid w:val="00B1067E"/>
    <w:rsid w:val="00B43935"/>
    <w:rsid w:val="00B62B4D"/>
    <w:rsid w:val="00B81790"/>
    <w:rsid w:val="00B81BBC"/>
    <w:rsid w:val="00BB28F2"/>
    <w:rsid w:val="00BB6721"/>
    <w:rsid w:val="00BD03D5"/>
    <w:rsid w:val="00BE08C8"/>
    <w:rsid w:val="00C3215E"/>
    <w:rsid w:val="00C45272"/>
    <w:rsid w:val="00C47770"/>
    <w:rsid w:val="00C72241"/>
    <w:rsid w:val="00C75856"/>
    <w:rsid w:val="00C85A7C"/>
    <w:rsid w:val="00C95214"/>
    <w:rsid w:val="00CC3F59"/>
    <w:rsid w:val="00CC4BF7"/>
    <w:rsid w:val="00CD4774"/>
    <w:rsid w:val="00CE1732"/>
    <w:rsid w:val="00CF27F0"/>
    <w:rsid w:val="00D10AAF"/>
    <w:rsid w:val="00D27540"/>
    <w:rsid w:val="00D4006B"/>
    <w:rsid w:val="00D40D7A"/>
    <w:rsid w:val="00D63281"/>
    <w:rsid w:val="00D64A0D"/>
    <w:rsid w:val="00D676C3"/>
    <w:rsid w:val="00D750B4"/>
    <w:rsid w:val="00D77AF1"/>
    <w:rsid w:val="00D81C18"/>
    <w:rsid w:val="00D8461A"/>
    <w:rsid w:val="00D95CAF"/>
    <w:rsid w:val="00DB60B6"/>
    <w:rsid w:val="00DC1CC6"/>
    <w:rsid w:val="00DC2E17"/>
    <w:rsid w:val="00DD0A14"/>
    <w:rsid w:val="00DD5135"/>
    <w:rsid w:val="00E067A8"/>
    <w:rsid w:val="00E13924"/>
    <w:rsid w:val="00E15FD5"/>
    <w:rsid w:val="00E1725A"/>
    <w:rsid w:val="00E33758"/>
    <w:rsid w:val="00E53E5E"/>
    <w:rsid w:val="00E64325"/>
    <w:rsid w:val="00E673C5"/>
    <w:rsid w:val="00E67967"/>
    <w:rsid w:val="00E82723"/>
    <w:rsid w:val="00E95C27"/>
    <w:rsid w:val="00EA29A5"/>
    <w:rsid w:val="00EC107C"/>
    <w:rsid w:val="00EC7EBE"/>
    <w:rsid w:val="00EC7FD2"/>
    <w:rsid w:val="00ED5964"/>
    <w:rsid w:val="00EF35B8"/>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DD0A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fot.org/news/2026/minimum-standards-for-the-education-of-occupational-therapists-and-the-minimum-competencies-of-occupational-therapists-202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cot.co.uk/support-the-profession/workforce-reform-2024-programm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s://www.hcpc-uk.org/standards/standards-of-proficiency/" TargetMode="External"/><Relationship Id="rId4" Type="http://schemas.openxmlformats.org/officeDocument/2006/relationships/settings" Target="settings.xml"/><Relationship Id="rId9" Type="http://schemas.openxmlformats.org/officeDocument/2006/relationships/hyperlink" Target="https://www.hee.nhs.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8</Pages>
  <Words>1898</Words>
  <Characters>10821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Sergejs Sefanovskis</cp:lastModifiedBy>
  <cp:revision>38</cp:revision>
  <dcterms:created xsi:type="dcterms:W3CDTF">2026-08-20T22:40:00Z</dcterms:created>
  <dcterms:modified xsi:type="dcterms:W3CDTF">2026-08-20T23:27:00Z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