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r>
        <w:t xml:space="preserve"> </w:t>
      </w:r>
    </w:p>
    <w:p>
      <w:r>
        <w:t xml:space="preserve">                                            </w:t>
      </w:r>
      <w:r>
        <w:rPr>
          <w:lang w:eastAsia="en-GB"/>
        </w:rPr>
        <w:drawing>
          <wp:inline distT="0" distB="0" distL="0" distR="0">
            <wp:extent cx="5079999" cy="1295400"/>
            <wp:effectExtent l="0" t="0" r="0" b="0"/>
            <wp:docPr id="1" name="Images 1" descr="C:\Users\ELITEBOOK\AppData\Local\Microsoft\Windows\INetCache\Content.MSO\A889E481.tmp"/>
            <wp:cNvGraphicFramePr>
              <a:graphicFrameLocks noChangeAspect="1"/>
            </wp:cNvGraphicFramePr>
            <a:graphic>
              <a:graphicData uri="http://schemas.openxmlformats.org/drawingml/2006/picture">
                <pic:pic>
                  <pic:nvPicPr>
                    <pic:cNvPr id="3" name="Images 3"/>
                    <pic:cNvPicPr/>
                  </pic:nvPicPr>
                  <pic:blipFill>
                    <a:blip r:embed="rId2"/>
                    <a:stretch>
                      <a:fillRect/>
                    </a:stretch>
                  </pic:blipFill>
                  <pic:spPr>
                    <a:xfrm rot="0">
                      <a:off x="0" y="0"/>
                      <a:ext cx="5079999" cy="1295400"/>
                    </a:xfrm>
                    <a:prstGeom prst="rect"/>
                    <a:noFill/>
                    <a:ln w="12700" cmpd="sng" cap="flat">
                      <a:noFill/>
                      <a:prstDash val="solid"/>
                      <a:round/>
                    </a:ln>
                  </pic:spPr>
                </pic:pic>
              </a:graphicData>
            </a:graphic>
          </wp:inline>
        </w:drawing>
      </w:r>
    </w:p>
    <w:p/>
    <w:p>
      <w:pPr>
        <w:pStyle w:val="17"/>
        <w:spacing w:before="0" w:beforeAutospacing="0" w:after="0" w:afterAutospacing="0"/>
        <w:ind w:left="17"/>
        <w:rPr>
          <w:rFonts w:ascii="Arial" w:cs="Arial" w:hAnsi="Arial"/>
          <w:b/>
          <w:bCs/>
          <w:color w:val="000000"/>
        </w:rPr>
      </w:pPr>
    </w:p>
    <w:p>
      <w:pPr>
        <w:pStyle w:val="17"/>
        <w:spacing w:before="0" w:beforeAutospacing="0" w:after="0" w:afterAutospacing="0"/>
        <w:ind w:left="17"/>
        <w:rPr>
          <w:rFonts w:ascii="Arial" w:cs="Arial" w:hAnsi="Arial"/>
          <w:b/>
          <w:bCs/>
          <w:color w:val="000000"/>
        </w:rPr>
      </w:pPr>
    </w:p>
    <w:p>
      <w:pPr>
        <w:pStyle w:val="17"/>
        <w:spacing w:before="0" w:beforeAutospacing="0" w:after="0" w:afterAutospacing="0"/>
        <w:ind w:left="17"/>
        <w:jc w:val="both"/>
        <w:rPr>
          <w:rFonts w:ascii="Arial" w:cs="Arial" w:hAnsi="Arial"/>
          <w:b/>
          <w:bCs/>
          <w:color w:val="000000"/>
        </w:rPr>
      </w:pPr>
      <w:r>
        <w:rPr>
          <w:rFonts w:ascii="Arial" w:cs="Arial" w:hAnsi="Arial"/>
          <w:b/>
          <w:bCs/>
          <w:color w:val="000000"/>
        </w:rPr>
        <w:t>Module Name: Introduction to Public Health</w:t>
      </w:r>
    </w:p>
    <w:p>
      <w:pPr>
        <w:pStyle w:val="17"/>
        <w:spacing w:before="0" w:beforeAutospacing="0" w:after="0" w:afterAutospacing="0"/>
        <w:ind w:left="17"/>
        <w:jc w:val="both"/>
        <w:rPr>
          <w:rFonts w:ascii="Arial" w:cs="Arial" w:hAnsi="Arial"/>
          <w:b/>
          <w:bCs/>
          <w:color w:val="000000"/>
        </w:rPr>
      </w:pPr>
    </w:p>
    <w:p>
      <w:pPr>
        <w:pStyle w:val="17"/>
        <w:spacing w:before="0" w:beforeAutospacing="0" w:after="0" w:afterAutospacing="0"/>
        <w:ind w:left="17"/>
        <w:jc w:val="both"/>
      </w:pPr>
    </w:p>
    <w:p>
      <w:pPr>
        <w:pStyle w:val="17"/>
        <w:spacing w:before="200" w:beforeAutospacing="0" w:after="0" w:afterAutospacing="0"/>
        <w:ind w:left="17"/>
        <w:jc w:val="both"/>
        <w:rPr>
          <w:rFonts w:ascii="Arial" w:cs="Arial" w:hAnsi="Arial"/>
          <w:b/>
          <w:bCs/>
          <w:color w:val="000000"/>
        </w:rPr>
      </w:pPr>
      <w:r>
        <w:rPr>
          <w:rFonts w:ascii="Arial" w:cs="Arial" w:hAnsi="Arial"/>
          <w:b/>
          <w:bCs/>
          <w:color w:val="000000"/>
        </w:rPr>
        <w:t>Module Number: LCHS 4008</w:t>
      </w:r>
    </w:p>
    <w:p>
      <w:pPr>
        <w:pStyle w:val="17"/>
        <w:spacing w:before="200" w:beforeAutospacing="0" w:after="0" w:afterAutospacing="0"/>
        <w:ind w:left="17"/>
        <w:jc w:val="both"/>
        <w:rPr>
          <w:rFonts w:ascii="Arial" w:cs="Arial" w:hAnsi="Arial"/>
          <w:b/>
          <w:bCs/>
          <w:color w:val="000000"/>
        </w:rPr>
      </w:pPr>
    </w:p>
    <w:p>
      <w:pPr>
        <w:pStyle w:val="17"/>
        <w:spacing w:before="200" w:beforeAutospacing="0" w:after="0" w:afterAutospacing="0"/>
        <w:ind w:left="17"/>
        <w:jc w:val="both"/>
      </w:pPr>
    </w:p>
    <w:p>
      <w:pPr>
        <w:pStyle w:val="17"/>
        <w:spacing w:before="200" w:beforeAutospacing="0" w:after="0" w:afterAutospacing="0"/>
        <w:ind w:left="9"/>
        <w:jc w:val="both"/>
        <w:rPr>
          <w:rFonts w:ascii="Arial" w:cs="Arial" w:hAnsi="Arial"/>
          <w:b/>
          <w:bCs/>
          <w:color w:val="000000"/>
        </w:rPr>
      </w:pPr>
      <w:r>
        <w:rPr>
          <w:rFonts w:ascii="Arial" w:cs="Arial" w:hAnsi="Arial"/>
          <w:b/>
          <w:bCs/>
          <w:color w:val="000000"/>
        </w:rPr>
        <w:t>Student Number: 2510902</w:t>
      </w:r>
    </w:p>
    <w:p>
      <w:pPr>
        <w:pStyle w:val="17"/>
        <w:spacing w:before="200" w:beforeAutospacing="0" w:after="0" w:afterAutospacing="0"/>
        <w:ind w:left="9"/>
        <w:jc w:val="both"/>
        <w:rPr>
          <w:rFonts w:ascii="Arial" w:cs="Arial" w:hAnsi="Arial"/>
          <w:b/>
          <w:bCs/>
          <w:color w:val="000000"/>
        </w:rPr>
      </w:pPr>
    </w:p>
    <w:p>
      <w:pPr>
        <w:pStyle w:val="17"/>
        <w:spacing w:before="200" w:beforeAutospacing="0" w:after="0" w:afterAutospacing="0"/>
        <w:ind w:left="9"/>
        <w:jc w:val="both"/>
      </w:pPr>
    </w:p>
    <w:p>
      <w:pPr>
        <w:pStyle w:val="17"/>
        <w:spacing w:before="200" w:beforeAutospacing="0" w:after="0" w:afterAutospacing="0"/>
        <w:ind w:leftChars="8" w:left="1098" w:right="6689" w:hangingChars="450" w:hanging="1080"/>
        <w:jc w:val="both"/>
        <w:rPr>
          <w:rFonts w:ascii="Arial" w:cs="Arial" w:hAnsi="Arial"/>
          <w:b/>
          <w:bCs/>
          <w:color w:val="000000"/>
        </w:rPr>
      </w:pPr>
      <w:r>
        <w:rPr>
          <w:rFonts w:ascii="Arial" w:cs="Arial" w:hAnsi="Arial"/>
          <w:b/>
          <w:bCs/>
          <w:color w:val="000000"/>
        </w:rPr>
        <w:t>Lecturer:Odette</w:t>
      </w:r>
      <w:r>
        <w:t xml:space="preserve"> </w:t>
      </w:r>
      <w:bookmarkStart w:id="0" w:name="_GoBack"/>
      <w:bookmarkEnd w:id="0"/>
      <w:r>
        <w:rPr>
          <w:rFonts w:ascii="Arial" w:cs="Arial" w:hAnsi="Arial"/>
          <w:b/>
          <w:bCs/>
          <w:color w:val="000000"/>
        </w:rPr>
        <w:t>Jack</w:t>
      </w:r>
    </w:p>
    <w:p>
      <w:pPr>
        <w:pStyle w:val="17"/>
        <w:spacing w:before="200" w:beforeAutospacing="0" w:after="0" w:afterAutospacing="0"/>
        <w:ind w:right="6689" w:firstLine="18"/>
        <w:jc w:val="both"/>
      </w:pPr>
    </w:p>
    <w:p/>
    <w:p/>
    <w:p/>
    <w:p/>
    <w:p/>
    <w:p/>
    <w:p/>
    <w:p/>
    <w:p/>
    <w:p/>
    <w:p/>
    <w:p/>
    <w:p>
      <w:pPr>
        <w:rPr>
          <w:rFonts w:ascii="Arial" w:cs="Arial" w:hAnsi="Arial"/>
          <w:b/>
          <w:sz w:val="28"/>
          <w:szCs w:val="28"/>
        </w:rPr>
      </w:pPr>
      <w:r>
        <w:rPr>
          <w:rFonts w:ascii="Arial" w:cs="Arial" w:hAnsi="Arial"/>
          <w:b/>
          <w:sz w:val="28"/>
          <w:szCs w:val="28"/>
        </w:rPr>
        <w:t>INTRODUCTION</w:t>
      </w:r>
    </w:p>
    <w:p>
      <w:pPr>
        <w:spacing w:line="360" w:lineRule="auto"/>
        <w:jc w:val="both"/>
        <w:rPr>
          <w:rFonts w:ascii="Arial" w:cs="Arial" w:hAnsi="Arial"/>
          <w:sz w:val="24"/>
          <w:szCs w:val="24"/>
        </w:rPr>
      </w:pPr>
      <w:r>
        <w:rPr>
          <w:rFonts w:ascii="Arial" w:cs="Arial" w:hAnsi="Arial"/>
          <w:sz w:val="24"/>
          <w:szCs w:val="24"/>
        </w:rPr>
        <w:t xml:space="preserve">Dementia is a progressive neurocognitive disease involving the deterioration of memory, thinking, language, and daily living functions, usually due to neurodegenerative or vascular diseases in the brain (World Health Organization [WHO], 2023). Dementia covers a wide range of ailments, although the most common cause is Alzheimer’s disease, responsible for most dementia cases. Symptoms include memory lapses, confusion, problems with problem solving, disorientation, agitation, and behavioural&amp;psychological changes. As those symptoms become progressively worse on an individual basis, dependency and quality of life decline dramatically (WHO, 2023; Alzheimer’s Society, 2024). </w:t>
      </w:r>
    </w:p>
    <w:p>
      <w:pPr>
        <w:spacing w:line="360" w:lineRule="auto"/>
        <w:jc w:val="both"/>
        <w:rPr>
          <w:rFonts w:ascii="Arial" w:cs="Arial" w:hAnsi="Arial"/>
          <w:sz w:val="24"/>
          <w:szCs w:val="24"/>
        </w:rPr>
      </w:pPr>
      <w:r>
        <w:rPr>
          <w:rFonts w:ascii="Arial" w:cs="Arial" w:hAnsi="Arial"/>
          <w:sz w:val="24"/>
          <w:szCs w:val="24"/>
        </w:rPr>
        <w:t>Dementia is one of the critical public health areas of the world. As of 2021, global prevalence was an estimated 57 million, with an estimated 10 million newly diagnosed cases annually (WHO, 2023). An estimated 982,000 people in the UK are affected now, a statistic that is expected to rise alongside the ageing population (Alzheimer’s Society, 2024). These numbers underscore how high a burden (and how growing) dementia wreaks on healthcare systems, caregivers, and society overall.</w:t>
      </w: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rPr>
          <w:rFonts w:ascii="Arial" w:cs="Arial" w:hAnsi="Arial"/>
          <w:b/>
          <w:bCs/>
          <w:color w:val="000000"/>
          <w:sz w:val="28"/>
          <w:szCs w:val="28"/>
        </w:rPr>
      </w:pPr>
      <w:r>
        <w:rPr>
          <w:rFonts w:ascii="Arial" w:cs="Arial" w:hAnsi="Arial"/>
          <w:b/>
          <w:bCs/>
          <w:color w:val="000000"/>
          <w:sz w:val="28"/>
          <w:szCs w:val="28"/>
        </w:rPr>
        <w:t>Approaches used to measure and monitor Dementia</w:t>
      </w:r>
    </w:p>
    <w:p>
      <w:pPr>
        <w:spacing w:line="360" w:lineRule="auto"/>
        <w:jc w:val="both"/>
        <w:rPr>
          <w:rFonts w:ascii="Arial" w:cs="Arial" w:hAnsi="Arial"/>
          <w:bCs/>
          <w:color w:val="000000"/>
          <w:sz w:val="24"/>
          <w:szCs w:val="24"/>
        </w:rPr>
      </w:pPr>
      <w:r>
        <w:rPr>
          <w:rFonts w:ascii="Arial" w:cs="Arial" w:hAnsi="Arial"/>
          <w:bCs/>
          <w:color w:val="000000"/>
          <w:sz w:val="24"/>
          <w:szCs w:val="24"/>
        </w:rPr>
        <w:t>Dementia demands a holistic framework for assessment, monitoring, and care planning. Correct diagnosis and systematic monitoring are necessary strategies for implementation of appropriate treatments, assessment of the trajectory of disease, and to enhance well-being. Modern research focuses on integrating clinical, cognitive, neuroimaging, and biomarker-based assessment tools that encompass dementia, including its complex features (World Health Organization [WHO], 2023).</w:t>
      </w:r>
    </w:p>
    <w:p>
      <w:pPr>
        <w:spacing w:line="360" w:lineRule="auto"/>
        <w:jc w:val="both"/>
        <w:rPr>
          <w:rFonts w:ascii="Arial" w:cs="Arial" w:hAnsi="Arial"/>
          <w:bCs/>
          <w:color w:val="000000"/>
          <w:sz w:val="24"/>
          <w:szCs w:val="24"/>
        </w:rPr>
      </w:pPr>
      <w:r>
        <w:rPr>
          <w:rFonts w:ascii="Arial" w:cs="Arial" w:hAnsi="Arial"/>
          <w:bCs/>
          <w:color w:val="000000"/>
          <w:sz w:val="24"/>
          <w:szCs w:val="24"/>
        </w:rPr>
        <w:t xml:space="preserve">Standardized cognitive screening instruments remain a pillar of diagnosis. However, standardized instruments such as the Mini-Mental State Examination (MMSE) and Montreal Cognitive Assessment (MoCA) are still widely used to assess domains including memory, attention, language, and executive function and have recently been validated for using these tools to examine early stages of cognitive decline and to monitor progression of the disease (Li et al., 2020; Yu et al., 2021). It provides benchmark data to monitor and manage care over time. Simultaneously, neuroimaging based approaches, especially magnetic resonance imaging (MRI) and positron emission tomography (PET), are integral to characterizing structural and functional changes in the brain associated with neurodegeneration as well as ruling out alternative mechanisms for cognitive decline (Jack et al., 2021). </w:t>
      </w:r>
    </w:p>
    <w:p>
      <w:pPr>
        <w:spacing w:line="360" w:lineRule="auto"/>
        <w:jc w:val="both"/>
        <w:rPr>
          <w:rFonts w:ascii="Arial" w:cs="Arial" w:hAnsi="Arial"/>
          <w:bCs/>
          <w:color w:val="000000"/>
          <w:sz w:val="24"/>
          <w:szCs w:val="24"/>
        </w:rPr>
      </w:pPr>
      <w:r>
        <w:rPr>
          <w:rFonts w:ascii="Arial" w:cs="Arial" w:hAnsi="Arial"/>
          <w:bCs/>
          <w:color w:val="000000"/>
          <w:sz w:val="24"/>
          <w:szCs w:val="24"/>
        </w:rPr>
        <w:t>Biomarker analysis has emerged as an increasingly used diagnostic and prognostic tool. Advances in cerebrospinal fluid and blood-based biomarkers, including amyloid and tau protein assays, have further facilitated early and differential diagnosis, particularly for Alzheimer’s disease and are increasingly becoming embedded in the clinical and research contexts (Hampel et al., 2021; Ashton et al., 2022). These markers serve as an objective basis for evaluation and early management, possibly before major cognitive deterioration is observed. Monitoring of the progress of dementia involves more than cognitive tests, to include functional and behavioural monitoring. Current versions of the Activities of Daily Living (ADL) and Neuropsychiatric Inventory (NPI) scales are commonly administered to assess functional independence and behavioural symptoms (agitation, anxiety, depression) (Canevelli et al., 2020). Consistency of reassessment with these tools enables healthcare practitioners to re-evaluate treatment and care approaches as these tools are revised with the change of needs in order for interventions to be person appropriate and relevant. Digital health technologies for dementia monitoring have greatly increased in the last few years. Remote cognitive testing, wearables and sensor-based monitoring devices currently allow for real-time functional examination and detection of functional deterioration when people are monitored by technology; for example in community/home care settings, so in a timely manner (Topol, 2019; Kourtis et al., 2020; Scharre et al., 2022).</w:t>
      </w: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spacing w:line="360" w:lineRule="auto"/>
        <w:jc w:val="both"/>
        <w:rPr>
          <w:rFonts w:ascii="Arial" w:cs="Arial" w:hAnsi="Arial"/>
          <w:sz w:val="24"/>
          <w:szCs w:val="24"/>
        </w:rPr>
      </w:pPr>
    </w:p>
    <w:p>
      <w:pPr>
        <w:pStyle w:val="17"/>
        <w:tabs>
          <w:tab w:val="center" w:pos="4513"/>
        </w:tabs>
        <w:spacing w:before="280" w:beforeAutospacing="0" w:after="280" w:afterAutospacing="0" w:line="360" w:lineRule="auto"/>
        <w:rPr>
          <w:rFonts w:ascii="Arial" w:cs="Arial" w:hAnsi="Arial"/>
          <w:b/>
          <w:bCs/>
          <w:color w:val="000000"/>
          <w:sz w:val="28"/>
          <w:szCs w:val="28"/>
        </w:rPr>
      </w:pPr>
    </w:p>
    <w:p>
      <w:pPr>
        <w:pStyle w:val="17"/>
        <w:tabs>
          <w:tab w:val="center" w:pos="4513"/>
        </w:tabs>
        <w:spacing w:before="280" w:beforeAutospacing="0" w:after="280" w:afterAutospacing="0" w:line="360" w:lineRule="auto"/>
        <w:rPr>
          <w:rFonts w:ascii="Arial" w:cs="Arial" w:hAnsi="Arial"/>
          <w:b/>
          <w:bCs/>
          <w:color w:val="000000"/>
          <w:sz w:val="28"/>
          <w:szCs w:val="28"/>
        </w:rPr>
      </w:pPr>
    </w:p>
    <w:p>
      <w:pPr>
        <w:pStyle w:val="17"/>
        <w:tabs>
          <w:tab w:val="center" w:pos="4513"/>
        </w:tabs>
        <w:spacing w:before="280" w:beforeAutospacing="0" w:after="280" w:afterAutospacing="0" w:line="360" w:lineRule="auto"/>
        <w:rPr>
          <w:rFonts w:ascii="Arial" w:cs="Arial" w:hAnsi="Arial"/>
          <w:b/>
          <w:bCs/>
          <w:color w:val="000000"/>
          <w:sz w:val="28"/>
          <w:szCs w:val="28"/>
        </w:rPr>
      </w:pPr>
      <w:r>
        <w:rPr>
          <w:rFonts w:ascii="Arial" w:cs="Arial" w:hAnsi="Arial"/>
          <w:b/>
          <w:bCs/>
          <w:color w:val="000000"/>
          <w:sz w:val="28"/>
          <w:szCs w:val="28"/>
        </w:rPr>
        <w:t>How Dementia is controlled</w:t>
        <w:tab/>
      </w:r>
    </w:p>
    <w:p>
      <w:pPr>
        <w:pStyle w:val="17"/>
        <w:spacing w:before="280" w:beforeAutospacing="0" w:after="280" w:afterAutospacing="0" w:line="360" w:lineRule="auto"/>
        <w:jc w:val="both"/>
        <w:rPr>
          <w:rFonts w:ascii="Arial" w:cs="Arial" w:hAnsi="Arial"/>
          <w:bCs/>
          <w:color w:val="000000"/>
        </w:rPr>
      </w:pPr>
      <w:r>
        <w:rPr>
          <w:rFonts w:ascii="Arial" w:cs="Arial" w:hAnsi="Arial"/>
          <w:bCs/>
          <w:color w:val="000000"/>
        </w:rPr>
        <w:t xml:space="preserve">Managing dementia aims at slowing disease progression, reducing symptoms, and improving the quality of life for both patients and caregivers. No cure currently exists, but early and sustained intervention can significantly slow cognitive decline and help maintain independence of function. Pharmacological therapies are an essential part of symptom management in Alzheimer’s disease. In mild to moderate stages, cholinesterase inhibitors such as donepezil, rivastigmine, and galantamine are used to increase cholinergic neurotransmission and have short-term cognitive and functional benefits. Memantine is an N-methyl-D-aspartate (NMDA) receptor antagonist which is indicated in moderate to severe stages to control excessive glutamatergic activity and minimize neurotoxicity (Arvanitakis, Shah and Bennett, 2019; World Health Organization [WHO], 2023). Unfortunately, they provide only symptomatic relief, not to stop or reverse the underlying neurodegenerative processes (WHO, 2023). </w:t>
      </w:r>
    </w:p>
    <w:p>
      <w:pPr>
        <w:pStyle w:val="17"/>
        <w:spacing w:before="280" w:beforeAutospacing="0" w:after="280" w:afterAutospacing="0" w:line="360" w:lineRule="auto"/>
        <w:jc w:val="both"/>
        <w:rPr>
          <w:rFonts w:ascii="Arial" w:cs="Arial" w:hAnsi="Arial"/>
          <w:bCs/>
          <w:color w:val="000000"/>
        </w:rPr>
      </w:pPr>
      <w:r>
        <w:rPr>
          <w:rFonts w:ascii="Arial" w:cs="Arial" w:hAnsi="Arial"/>
          <w:bCs/>
          <w:color w:val="000000"/>
        </w:rPr>
        <w:t>In dementia management, non-pharmacological interventions are as important as traditional psychosocial interventions aimed at the cognitive, psychosocial, and behavioural dimensions of the disease. Cognitive stimulation therapy (CST), reminiscence therapy, and structured social engagement are examples of effective strategies for cognitive performance, psychological well-being, and quality of life for those withdementia (Alzola et al., 2024; Barriers for Access and Utilization of Dementia Care Services in Europe, 2025). These interventions activate plasticity of neurons, enhance engagement, and bolster identity and purpose. Contemporary dementia care also involves person-centred care such that strategies are customized and tailored based on an individual’s preferences, history, and abilities, in order to promote autonomy and maintain dignity (Barriers for Access and Utilization of Dementia Care Services in Europe, 2025). Altered lifestyle and environment also help manage dementia well. Establishing safe, accessible, and familiar environments, with clear signage, appropriate lighting, and tools available to support living arrangements, minimises confusion and supports independence. Moreover, measures taken to maintain cardiovascular health, physical activity, balanced nutrition, and social connectivity have been demonstrated to reduce dementia risk and slow disease progression (WHO, 2023; Huynh et al., 2025). Digital health tools allows for the continuous collection of data in real-time to monitor, trace, and detect early cognitive decline in community settings such as the remote cognitive testing apps, wearable sensors, and AI-based information technology tools and analytics like the Oxford Cognitive Testing Portal for the study site. (Kourtis et al., 2020).</w:t>
      </w:r>
    </w:p>
    <w:p>
      <w:pPr>
        <w:pStyle w:val="17"/>
        <w:spacing w:before="280" w:beforeAutospacing="0" w:after="280" w:afterAutospacing="0" w:line="360" w:lineRule="auto"/>
        <w:rPr>
          <w:rFonts w:ascii="Arial" w:cs="Arial" w:hAnsi="Arial"/>
          <w:b/>
          <w:bCs/>
          <w:color w:val="000000"/>
          <w:sz w:val="28"/>
          <w:szCs w:val="28"/>
        </w:rPr>
      </w:pPr>
    </w:p>
    <w:p>
      <w:pPr>
        <w:pStyle w:val="17"/>
        <w:spacing w:before="280" w:beforeAutospacing="0" w:after="280" w:afterAutospacing="0" w:line="360" w:lineRule="auto"/>
        <w:rPr>
          <w:rFonts w:ascii="Arial" w:cs="Arial" w:hAnsi="Arial"/>
          <w:b/>
          <w:bCs/>
          <w:color w:val="000000"/>
          <w:sz w:val="28"/>
          <w:szCs w:val="28"/>
        </w:rPr>
      </w:pPr>
      <w:r>
        <w:rPr>
          <w:rFonts w:ascii="Arial" w:cs="Arial" w:hAnsi="Arial"/>
          <w:b/>
          <w:bCs/>
          <w:color w:val="000000"/>
          <w:sz w:val="28"/>
          <w:szCs w:val="28"/>
        </w:rPr>
        <w:t>Consequences of Dementia  on people in the community</w:t>
      </w:r>
    </w:p>
    <w:p>
      <w:pPr>
        <w:pStyle w:val="17"/>
        <w:spacing w:before="280" w:beforeAutospacing="0" w:after="280" w:afterAutospacing="0" w:line="360" w:lineRule="auto"/>
        <w:rPr>
          <w:rFonts w:ascii="Arial" w:cs="Arial" w:hAnsi="Arial"/>
          <w:b/>
          <w:bCs/>
          <w:color w:val="000000"/>
          <w:sz w:val="28"/>
          <w:szCs w:val="28"/>
        </w:rPr>
      </w:pPr>
      <w:r>
        <w:rPr>
          <w:rFonts w:ascii="Arial" w:cs="Arial" w:hAnsi="Arial"/>
          <w:bCs/>
          <w:color w:val="000000"/>
        </w:rPr>
        <w:t xml:space="preserve">Dementia has far-reaching impacts not just on people who are living with dementia, but also on entire families, informal caregivers, and indeed, society. Family members are usually the ones providing care in the home, leading to emotional distress as well as physical and financial exhaustion. Caregiver burden has been closely associated with depression, anxiety, and poor quality of life in individuals who provide the long-term care needed (Livingston et al., 2020; WHO, 2023). The demands of caregiving are also linked to disruptions in employment and social relationships which foster withdrawal from society and reduced economic productivity (Xu et al., 2021). </w:t>
      </w:r>
    </w:p>
    <w:p>
      <w:pPr>
        <w:pStyle w:val="17"/>
        <w:spacing w:before="280" w:beforeAutospacing="0" w:after="280" w:afterAutospacing="0" w:line="360" w:lineRule="auto"/>
        <w:jc w:val="both"/>
        <w:rPr>
          <w:rFonts w:ascii="Arial" w:cs="Arial" w:hAnsi="Arial"/>
          <w:bCs/>
          <w:color w:val="000000"/>
        </w:rPr>
      </w:pPr>
      <w:r>
        <w:rPr>
          <w:rFonts w:ascii="Arial" w:cs="Arial" w:hAnsi="Arial"/>
          <w:bCs/>
          <w:color w:val="000000"/>
        </w:rPr>
        <w:t xml:space="preserve">In the community, dementia presents substantial social and economic challenges. Health and social care sectors are under pressure in the form of increasing demands for long-term care, hospital admissions and specialist services for people with dementia. The global economic burden of dementia is constantly increasing, reaching beyond direct healthcare expenditure, into social care expenditure and the high value of unpaid care (Alzheimer’s Disease International, 2021; WHO, 2023). </w:t>
      </w:r>
    </w:p>
    <w:p>
      <w:pPr>
        <w:pStyle w:val="17"/>
        <w:spacing w:before="280" w:beforeAutospacing="0" w:after="280" w:afterAutospacing="0" w:line="360" w:lineRule="auto"/>
        <w:rPr>
          <w:rFonts w:ascii="Arial" w:cs="Arial" w:hAnsi="Arial"/>
          <w:b/>
          <w:bCs/>
          <w:color w:val="000000"/>
        </w:rPr>
      </w:pPr>
    </w:p>
    <w:p>
      <w:pPr>
        <w:pStyle w:val="17"/>
        <w:spacing w:before="280" w:beforeAutospacing="0" w:after="280" w:afterAutospacing="0" w:line="360" w:lineRule="auto"/>
        <w:rPr>
          <w:rFonts w:ascii="Arial" w:cs="Arial" w:hAnsi="Arial"/>
          <w:b/>
          <w:bCs/>
          <w:color w:val="000000"/>
        </w:rPr>
      </w:pPr>
      <w:r>
        <w:rPr>
          <w:rFonts w:ascii="Arial" w:cs="Arial" w:hAnsi="Arial"/>
          <w:b/>
          <w:bCs/>
          <w:color w:val="000000"/>
        </w:rPr>
        <w:t>Health and social care support services provided for individuals living with Dementia within the community</w:t>
      </w:r>
    </w:p>
    <w:p>
      <w:pPr>
        <w:pStyle w:val="17"/>
        <w:spacing w:before="280" w:beforeAutospacing="0" w:after="280" w:afterAutospacing="0" w:line="360" w:lineRule="auto"/>
        <w:jc w:val="both"/>
        <w:rPr>
          <w:rFonts w:ascii="Arial" w:cs="Arial" w:hAnsi="Arial"/>
        </w:rPr>
      </w:pPr>
      <w:r>
        <w:rPr>
          <w:rFonts w:ascii="Arial" w:cs="Arial" w:hAnsi="Arial"/>
        </w:rPr>
        <w:t xml:space="preserve"> Community-based health and social care is required to respond best to the complex and changing needs of those with dementia. It has been evidenced that maintaining independence and quality of life requires person-centred and integrated care that enables people to remain in their homes for as long as possible (World Health Organization [WHO], 2023; NICE, 2022). Central services include home care, community nursing and day centres for personal care, medication management, and activities of daily living. Good dementia care depends on a multi-disciplinary approach, where general practitioners, nurses, occupational therapists, social workers, and psychologists are involved in collaboration to provide continuous and holistic support (Livingston et al., 2020). Occupational therapy interventions are essential for maintaining independence via environmental adaptation, cognitive support and training in routine strategies for promoting safe and independent living (Canevelli et al., 2020). In addition, helping informal caregivers often coping with emotional distress, physical strain, and social isolation. It is widely known that caregiver education, respite services, and peer support can decrease stress and aid coping (Xu, Wang and Hollis, 2021). Access to community networks, advocacy organisations, and dementia-focused charities can sensitize and offer necessary psychosocial support. With progression of the disease, some patients need specialist residential or nursing services. In later stages, palliative care and end-of-life services play an essential role: they concentrate less on cure. Rather the aim is to focus on symptom management; support comfort and preserve people's dignity during this period (Sampson et al., 2023).</w:t>
      </w:r>
    </w:p>
    <w:p>
      <w:pPr>
        <w:pStyle w:val="17"/>
        <w:spacing w:before="280" w:beforeAutospacing="0" w:after="280" w:afterAutospacing="0" w:line="360" w:lineRule="auto"/>
        <w:jc w:val="both"/>
        <w:rPr>
          <w:rFonts w:ascii="Arial" w:cs="Arial" w:hAnsi="Arial"/>
        </w:rPr>
      </w:pPr>
    </w:p>
    <w:p>
      <w:pPr>
        <w:pStyle w:val="17"/>
        <w:spacing w:before="280" w:beforeAutospacing="0" w:after="280" w:afterAutospacing="0" w:line="360" w:lineRule="auto"/>
        <w:jc w:val="both"/>
        <w:rPr>
          <w:rFonts w:ascii="Arial" w:cs="Arial" w:hAnsi="Arial"/>
          <w:bCs/>
          <w:color w:val="000000"/>
        </w:rPr>
      </w:pPr>
    </w:p>
    <w:p>
      <w:pPr>
        <w:pStyle w:val="17"/>
        <w:spacing w:before="280" w:beforeAutospacing="0" w:after="280" w:afterAutospacing="0" w:line="360" w:lineRule="auto"/>
        <w:jc w:val="both"/>
        <w:rPr>
          <w:rFonts w:ascii="Arial" w:cs="Arial" w:hAnsi="Arial"/>
          <w:bCs/>
          <w:color w:val="000000"/>
        </w:rPr>
      </w:pPr>
    </w:p>
    <w:p>
      <w:pPr>
        <w:pStyle w:val="17"/>
        <w:spacing w:before="280" w:beforeAutospacing="0" w:after="280" w:afterAutospacing="0" w:line="360" w:lineRule="auto"/>
        <w:jc w:val="both"/>
        <w:rPr>
          <w:rFonts w:ascii="Arial" w:cs="Arial" w:hAnsi="Arial"/>
          <w:bCs/>
          <w:color w:val="000000"/>
        </w:rPr>
      </w:pPr>
    </w:p>
    <w:p>
      <w:pPr>
        <w:pStyle w:val="17"/>
        <w:spacing w:before="280" w:beforeAutospacing="0" w:after="280" w:afterAutospacing="0" w:line="360" w:lineRule="auto"/>
        <w:jc w:val="both"/>
        <w:rPr>
          <w:rFonts w:ascii="Arial" w:cs="Arial" w:hAnsi="Arial"/>
          <w:bCs/>
          <w:color w:val="000000"/>
        </w:rPr>
      </w:pPr>
    </w:p>
    <w:p>
      <w:pPr>
        <w:pStyle w:val="17"/>
        <w:spacing w:before="280" w:beforeAutospacing="0" w:after="280" w:afterAutospacing="0" w:line="360" w:lineRule="auto"/>
        <w:jc w:val="both"/>
        <w:rPr>
          <w:rFonts w:ascii="Arial" w:cs="Arial" w:hAnsi="Arial"/>
          <w:bCs/>
          <w:color w:val="000000"/>
        </w:rPr>
      </w:pPr>
    </w:p>
    <w:p>
      <w:pPr>
        <w:pStyle w:val="17"/>
        <w:spacing w:before="280" w:beforeAutospacing="0" w:after="280" w:afterAutospacing="0" w:line="360" w:lineRule="auto"/>
        <w:jc w:val="both"/>
        <w:rPr>
          <w:rFonts w:ascii="Arial" w:cs="Arial" w:hAnsi="Arial"/>
          <w:bCs/>
          <w:color w:val="000000"/>
        </w:rPr>
      </w:pPr>
    </w:p>
    <w:p>
      <w:pPr>
        <w:pStyle w:val="17"/>
        <w:spacing w:before="280" w:beforeAutospacing="0" w:after="280" w:afterAutospacing="0"/>
        <w:rPr>
          <w:rFonts w:ascii="Arial" w:cs="Arial" w:hAnsi="Arial"/>
          <w:color w:val="000000"/>
        </w:rPr>
      </w:pPr>
    </w:p>
    <w:p>
      <w:pPr>
        <w:pStyle w:val="17"/>
        <w:spacing w:before="280" w:beforeAutospacing="0" w:after="280" w:afterAutospacing="0"/>
        <w:rPr>
          <w:rFonts w:ascii="Arial" w:cs="Arial" w:hAnsi="Arial"/>
          <w:color w:val="000000"/>
        </w:rPr>
      </w:pPr>
    </w:p>
    <w:p>
      <w:pPr>
        <w:pStyle w:val="17"/>
        <w:spacing w:before="280" w:beforeAutospacing="0" w:after="280" w:afterAutospacing="0"/>
        <w:rPr>
          <w:rFonts w:ascii="Arial" w:cs="Arial" w:hAnsi="Arial"/>
          <w:color w:val="000000"/>
        </w:rPr>
      </w:pPr>
    </w:p>
    <w:p>
      <w:pPr>
        <w:pStyle w:val="17"/>
        <w:spacing w:before="280" w:beforeAutospacing="0" w:after="280" w:afterAutospacing="0"/>
        <w:rPr>
          <w:rFonts w:ascii="Arial" w:cs="Arial" w:hAnsi="Arial"/>
          <w:b/>
          <w:color w:val="000000"/>
        </w:rPr>
      </w:pPr>
      <w:r>
        <w:rPr>
          <w:rFonts w:ascii="Arial" w:cs="Arial" w:hAnsi="Arial"/>
          <w:b/>
          <w:color w:val="000000"/>
        </w:rPr>
        <w:t>Conclusion</w:t>
      </w:r>
    </w:p>
    <w:p>
      <w:pPr>
        <w:pStyle w:val="17"/>
        <w:spacing w:before="280" w:beforeAutospacing="0" w:after="280" w:afterAutospacing="0" w:line="360" w:lineRule="auto"/>
        <w:jc w:val="both"/>
        <w:rPr>
          <w:rFonts w:ascii="Arial" w:cs="Arial" w:hAnsi="Arial"/>
          <w:bCs/>
          <w:color w:val="000000"/>
        </w:rPr>
      </w:pPr>
      <w:r>
        <w:rPr>
          <w:rFonts w:ascii="Arial" w:cs="Arial" w:hAnsi="Arial"/>
          <w:bCs/>
          <w:color w:val="000000"/>
        </w:rPr>
        <w:t>Dementia is a significant global health problem that needs a holistic and multidisciplinary response. The earlier and more accurate diagnosis using cognitive, neuroimaging, and functional assessments forms the basis of effective care planning. Pharmacological therapies offer limited benefits, but through the combination of medical, psychosocial, and environmental interventions, quality of life is greatly improved. Because the psychological, social,&amp; economic consequences that come with dementia are so vast, people living with the disease and those looking after them are in need of sound, community-based care that promotes both individual wellbeing and the support mechanisms designed for the community. There still is a person-centred, integrated model of care that is the best way to respond to the rapidly increasing incidence of dementia, based on early intervention, community participation and joint interdisciplinary work.This is a style that upholds dignity, autonomy, and wellbeing and thus enhances the outcomes for people, their families and the community.</w:t>
      </w:r>
    </w:p>
    <w:p>
      <w:pPr>
        <w:pStyle w:val="17"/>
        <w:spacing w:before="280" w:beforeAutospacing="0" w:after="280" w:afterAutospacing="0" w:line="360" w:lineRule="auto"/>
        <w:jc w:val="both"/>
        <w:rPr>
          <w:rFonts w:ascii="Arial" w:cs="Arial" w:hAnsi="Arial"/>
          <w:bCs/>
          <w:color w:val="000000"/>
        </w:rPr>
      </w:pPr>
    </w:p>
    <w:p>
      <w:pPr>
        <w:pStyle w:val="17"/>
        <w:spacing w:before="280" w:beforeAutospacing="0" w:after="280" w:afterAutospacing="0" w:line="360" w:lineRule="auto"/>
        <w:jc w:val="both"/>
        <w:rPr>
          <w:rFonts w:ascii="Arial" w:cs="Arial" w:hAnsi="Arial"/>
          <w:bCs/>
          <w:color w:val="000000"/>
        </w:rPr>
      </w:pPr>
    </w:p>
    <w:p>
      <w:pPr>
        <w:pStyle w:val="17"/>
        <w:spacing w:before="280" w:beforeAutospacing="0" w:after="280" w:afterAutospacing="0" w:line="360" w:lineRule="auto"/>
        <w:jc w:val="both"/>
        <w:rPr>
          <w:rFonts w:ascii="Arial" w:cs="Arial" w:hAnsi="Arial"/>
          <w:bCs/>
          <w:color w:val="000000"/>
        </w:rPr>
      </w:pPr>
    </w:p>
    <w:p>
      <w:pPr>
        <w:pStyle w:val="17"/>
        <w:spacing w:before="280" w:beforeAutospacing="0" w:after="280" w:afterAutospacing="0" w:line="360" w:lineRule="auto"/>
        <w:jc w:val="both"/>
        <w:rPr>
          <w:rFonts w:ascii="Arial" w:cs="Arial" w:hAnsi="Arial"/>
          <w:bCs/>
          <w:color w:val="000000"/>
        </w:rPr>
      </w:pPr>
    </w:p>
    <w:p>
      <w:pPr>
        <w:pStyle w:val="17"/>
        <w:spacing w:before="280" w:beforeAutospacing="0" w:after="280" w:afterAutospacing="0" w:line="360" w:lineRule="auto"/>
        <w:jc w:val="both"/>
        <w:rPr>
          <w:rFonts w:ascii="Arial" w:cs="Arial" w:hAnsi="Arial"/>
          <w:bCs/>
          <w:color w:val="000000"/>
        </w:rPr>
      </w:pPr>
    </w:p>
    <w:p>
      <w:pPr>
        <w:pStyle w:val="17"/>
        <w:spacing w:before="280" w:beforeAutospacing="0" w:after="280" w:afterAutospacing="0" w:line="360" w:lineRule="auto"/>
        <w:jc w:val="both"/>
        <w:rPr>
          <w:rFonts w:ascii="Arial" w:cs="Arial" w:hAnsi="Arial"/>
          <w:bCs/>
          <w:color w:val="000000"/>
        </w:rPr>
      </w:pPr>
    </w:p>
    <w:p>
      <w:pPr>
        <w:pStyle w:val="17"/>
        <w:spacing w:before="280" w:beforeAutospacing="0" w:after="280" w:afterAutospacing="0" w:line="360" w:lineRule="auto"/>
        <w:jc w:val="both"/>
        <w:rPr>
          <w:rFonts w:ascii="Arial" w:cs="Arial" w:hAnsi="Arial"/>
          <w:bCs/>
          <w:color w:val="000000"/>
        </w:rPr>
      </w:pPr>
    </w:p>
    <w:p>
      <w:pPr>
        <w:pStyle w:val="17"/>
        <w:spacing w:before="280" w:beforeAutospacing="0" w:after="280" w:afterAutospacing="0" w:line="360" w:lineRule="auto"/>
        <w:jc w:val="both"/>
        <w:rPr>
          <w:rFonts w:ascii="Arial" w:cs="Arial" w:hAnsi="Arial"/>
          <w:bCs/>
          <w:color w:val="000000"/>
        </w:rPr>
      </w:pPr>
    </w:p>
    <w:p>
      <w:pPr>
        <w:pStyle w:val="17"/>
        <w:spacing w:before="280" w:beforeAutospacing="0" w:after="280" w:afterAutospacing="0" w:line="360" w:lineRule="auto"/>
        <w:jc w:val="both"/>
        <w:rPr>
          <w:rFonts w:ascii="Arial" w:cs="Arial" w:hAnsi="Arial"/>
          <w:bCs/>
          <w:color w:val="000000"/>
        </w:rPr>
      </w:pPr>
    </w:p>
    <w:p>
      <w:pPr>
        <w:pStyle w:val="17"/>
        <w:spacing w:before="280" w:beforeAutospacing="0" w:after="280" w:afterAutospacing="0" w:line="360" w:lineRule="auto"/>
        <w:jc w:val="both"/>
        <w:rPr>
          <w:rFonts w:ascii="Arial" w:cs="Arial" w:hAnsi="Arial"/>
          <w:bCs/>
          <w:color w:val="000000"/>
        </w:rPr>
      </w:pPr>
    </w:p>
    <w:p>
      <w:pPr>
        <w:pStyle w:val="17"/>
        <w:spacing w:before="280" w:beforeAutospacing="0" w:after="280" w:afterAutospacing="0" w:line="360" w:lineRule="auto"/>
        <w:jc w:val="both"/>
        <w:rPr>
          <w:rFonts w:ascii="Arial" w:cs="Arial" w:hAnsi="Arial"/>
          <w:bCs/>
          <w:color w:val="000000"/>
        </w:rPr>
      </w:pPr>
    </w:p>
    <w:p>
      <w:pPr>
        <w:pStyle w:val="17"/>
        <w:spacing w:before="280" w:beforeAutospacing="0" w:after="280" w:afterAutospacing="0" w:line="276" w:lineRule="auto"/>
        <w:jc w:val="both"/>
        <w:rPr>
          <w:rFonts w:ascii="Arial" w:cs="Arial" w:hAnsi="Arial"/>
          <w:bCs/>
          <w:i/>
          <w:color w:val="000000"/>
        </w:rPr>
      </w:pPr>
      <w:r>
        <w:rPr>
          <w:rFonts w:ascii="Arial" w:cs="Arial" w:hAnsi="Arial"/>
          <w:bCs/>
          <w:i/>
          <w:color w:val="000000"/>
        </w:rPr>
        <w:t>Reference</w:t>
      </w:r>
    </w:p>
    <w:p>
      <w:pPr>
        <w:spacing w:line="240" w:lineRule="auto"/>
        <w:jc w:val="both"/>
        <w:rPr>
          <w:rFonts w:ascii="Arial" w:cs="Arial" w:hAnsi="Arial"/>
          <w:i/>
          <w:sz w:val="24"/>
          <w:szCs w:val="24"/>
        </w:rPr>
      </w:pPr>
      <w:r>
        <w:rPr>
          <w:rFonts w:ascii="Arial" w:cs="Arial" w:hAnsi="Arial"/>
          <w:i/>
          <w:sz w:val="24"/>
          <w:szCs w:val="24"/>
        </w:rPr>
        <w:t>Alzheimer’s Disease International (2021) World Alzheimer Report 2021: Journey Through the Diagnosis of Dementia. Available at: alzint.org (Accessed: 12 April 2026).</w:t>
      </w:r>
    </w:p>
    <w:p>
      <w:pPr>
        <w:spacing w:line="240" w:lineRule="auto"/>
        <w:jc w:val="both"/>
        <w:rPr>
          <w:rFonts w:ascii="Arial" w:cs="Arial" w:hAnsi="Arial"/>
          <w:i/>
          <w:sz w:val="24"/>
          <w:szCs w:val="24"/>
        </w:rPr>
      </w:pPr>
      <w:r>
        <w:rPr>
          <w:rFonts w:ascii="Arial" w:cs="Arial" w:hAnsi="Arial"/>
          <w:i/>
          <w:sz w:val="24"/>
          <w:szCs w:val="24"/>
        </w:rPr>
        <w:t>Alzola, P., Carnero, C., Bermejo-Pareja, F. and Sastre, I. (2024) ‘Neuropsychological assessment for early detection and diagnosis of dementia: Current knowledge and new insights’, Journal of Clinical Medicine, 13(12), p.3442.</w:t>
      </w:r>
    </w:p>
    <w:p>
      <w:pPr>
        <w:spacing w:line="240" w:lineRule="auto"/>
        <w:jc w:val="both"/>
        <w:rPr>
          <w:rFonts w:ascii="Arial" w:cs="Arial" w:hAnsi="Arial"/>
          <w:i/>
          <w:sz w:val="24"/>
          <w:szCs w:val="24"/>
        </w:rPr>
      </w:pPr>
      <w:r>
        <w:rPr>
          <w:rFonts w:ascii="Arial" w:cs="Arial" w:hAnsi="Arial"/>
          <w:i/>
          <w:sz w:val="24"/>
          <w:szCs w:val="24"/>
        </w:rPr>
        <w:t>Arvanitakis, Z., Shah, R.C. and Bennett, D.A. (2019) ‘Diagnosis and management of dementia: Review’, JAMA, 322(16), pp.1589–1599.</w:t>
      </w:r>
    </w:p>
    <w:p>
      <w:pPr>
        <w:spacing w:line="240" w:lineRule="auto"/>
        <w:jc w:val="both"/>
        <w:rPr>
          <w:rFonts w:ascii="Arial" w:cs="Arial" w:hAnsi="Arial"/>
          <w:i/>
          <w:sz w:val="24"/>
          <w:szCs w:val="24"/>
        </w:rPr>
      </w:pPr>
      <w:r>
        <w:rPr>
          <w:rFonts w:ascii="Arial" w:cs="Arial" w:hAnsi="Arial"/>
          <w:i/>
          <w:sz w:val="24"/>
          <w:szCs w:val="24"/>
        </w:rPr>
        <w:t>Ashton, N.J., Hye, A. and Zetterberg, H. (2022) ‘Blood-based biomarkers for Alzheimer’s disease: Progress and prospects’, Nature Reviews Neurology, 18(5), pp.297–312.</w:t>
      </w:r>
    </w:p>
    <w:p>
      <w:pPr>
        <w:spacing w:line="240" w:lineRule="auto"/>
        <w:jc w:val="both"/>
        <w:rPr>
          <w:rFonts w:ascii="Arial" w:cs="Arial" w:hAnsi="Arial"/>
          <w:i/>
          <w:sz w:val="24"/>
          <w:szCs w:val="24"/>
        </w:rPr>
      </w:pPr>
      <w:r>
        <w:rPr>
          <w:rFonts w:ascii="Arial" w:cs="Arial" w:hAnsi="Arial"/>
          <w:i/>
          <w:sz w:val="24"/>
          <w:szCs w:val="24"/>
        </w:rPr>
        <w:t>Barriers for Access and Utilization of Dementia Care Services in Europe: A Systematic Review (2025) BMC Geriatrics, 25, Article 162.</w:t>
      </w:r>
    </w:p>
    <w:p>
      <w:pPr>
        <w:spacing w:line="240" w:lineRule="auto"/>
        <w:jc w:val="both"/>
        <w:rPr>
          <w:rFonts w:ascii="Arial" w:cs="Arial" w:hAnsi="Arial"/>
          <w:i/>
          <w:sz w:val="24"/>
          <w:szCs w:val="24"/>
        </w:rPr>
      </w:pPr>
      <w:r>
        <w:rPr>
          <w:rFonts w:ascii="Arial" w:cs="Arial" w:hAnsi="Arial"/>
          <w:i/>
          <w:sz w:val="24"/>
          <w:szCs w:val="24"/>
        </w:rPr>
        <w:t>Canevelli, M., Valletta, M., Toccaceli Blasi, M. and Bruno, G. (2020) ‘Functional and behavioural assessment in dementia: Recent advancements and clinical perspectives’, Frontiers in Aging Neuroscience, 12, 593055.</w:t>
      </w:r>
    </w:p>
    <w:p>
      <w:pPr>
        <w:spacing w:line="240" w:lineRule="auto"/>
        <w:jc w:val="both"/>
        <w:rPr>
          <w:rFonts w:ascii="Arial" w:cs="Arial" w:hAnsi="Arial"/>
          <w:i/>
          <w:sz w:val="24"/>
          <w:szCs w:val="24"/>
        </w:rPr>
      </w:pPr>
      <w:r>
        <w:rPr>
          <w:rFonts w:ascii="Arial" w:cs="Arial" w:hAnsi="Arial"/>
          <w:i/>
          <w:sz w:val="24"/>
          <w:szCs w:val="24"/>
        </w:rPr>
        <w:t>Hampel, H., Vergallo, A., Toschi, N. et al. (2021) ‘The Alzheimer’s precision medicine initiative’, Journal of Alzheimer’s Disease, 79(2), pp.411–423.</w:t>
      </w:r>
    </w:p>
    <w:p>
      <w:pPr>
        <w:spacing w:line="240" w:lineRule="auto"/>
        <w:jc w:val="both"/>
        <w:rPr>
          <w:rFonts w:ascii="Arial" w:cs="Arial" w:hAnsi="Arial"/>
          <w:i/>
          <w:sz w:val="24"/>
          <w:szCs w:val="24"/>
        </w:rPr>
      </w:pPr>
      <w:r>
        <w:rPr>
          <w:rFonts w:ascii="Arial" w:cs="Arial" w:hAnsi="Arial"/>
          <w:i/>
          <w:sz w:val="24"/>
          <w:szCs w:val="24"/>
        </w:rPr>
        <w:t>Huynh, D., Sun, K., Patterson, M., Ghomi, R.H. and Huang, B. (2025) ‘Performance of a digital cognitive assessment in predicting dementia stages delineated by the Dementia Severity Rating Scale’, JMIR Aging, 8, e65292.</w:t>
      </w:r>
    </w:p>
    <w:p>
      <w:pPr>
        <w:spacing w:line="240" w:lineRule="auto"/>
        <w:jc w:val="both"/>
        <w:rPr>
          <w:rFonts w:ascii="Arial" w:cs="Arial" w:hAnsi="Arial"/>
          <w:i/>
          <w:sz w:val="24"/>
          <w:szCs w:val="24"/>
        </w:rPr>
      </w:pPr>
      <w:r>
        <w:rPr>
          <w:rFonts w:ascii="Arial" w:cs="Arial" w:hAnsi="Arial"/>
          <w:i/>
          <w:sz w:val="24"/>
          <w:szCs w:val="24"/>
        </w:rPr>
        <w:t>Jack, C.R. Jr., Bennett, D.A. and Blennow, K. (2021) ‘NIA-AA research framework: Toward a biological definition of Alzheimer’s disease’, Alzheimer’s&amp;Dementia, 17(5), pp.815–841.</w:t>
      </w:r>
    </w:p>
    <w:p>
      <w:pPr>
        <w:spacing w:line="240" w:lineRule="auto"/>
        <w:jc w:val="both"/>
        <w:rPr>
          <w:rFonts w:ascii="Arial" w:cs="Arial" w:hAnsi="Arial"/>
          <w:i/>
          <w:sz w:val="24"/>
          <w:szCs w:val="24"/>
        </w:rPr>
      </w:pPr>
      <w:r>
        <w:rPr>
          <w:rFonts w:ascii="Arial" w:cs="Arial" w:hAnsi="Arial"/>
          <w:i/>
          <w:sz w:val="24"/>
          <w:szCs w:val="24"/>
        </w:rPr>
        <w:t>Kourtis, L.C., Regele, O.B., Wright, J.M. and Jones, G.B. (2020) ‘Digital biomarkers for Alzheimer’s disease: The mobile/wearable devices opportunity’, NPJ Digital Medicine, 2(1), p.9.</w:t>
      </w:r>
    </w:p>
    <w:p>
      <w:pPr>
        <w:spacing w:line="240" w:lineRule="auto"/>
        <w:jc w:val="both"/>
        <w:rPr>
          <w:rFonts w:ascii="Arial" w:cs="Arial" w:hAnsi="Arial"/>
          <w:i/>
          <w:sz w:val="24"/>
          <w:szCs w:val="24"/>
        </w:rPr>
      </w:pPr>
      <w:r>
        <w:rPr>
          <w:rFonts w:ascii="Arial" w:cs="Arial" w:hAnsi="Arial"/>
          <w:i/>
          <w:sz w:val="24"/>
          <w:szCs w:val="24"/>
        </w:rPr>
        <w:t>Li, C., Wu, Q., Zheng, Y. et al. (2020) ‘Comparison of the MMSE and MoCA for screening mild cognitive impairment in community-dwelling older adults’, BMC Psychiatry, 20(1), 316.</w:t>
      </w:r>
    </w:p>
    <w:p>
      <w:pPr>
        <w:spacing w:line="240" w:lineRule="auto"/>
        <w:jc w:val="both"/>
        <w:rPr>
          <w:rFonts w:ascii="Arial" w:cs="Arial" w:hAnsi="Arial"/>
          <w:i/>
          <w:sz w:val="24"/>
          <w:szCs w:val="24"/>
        </w:rPr>
      </w:pPr>
      <w:r>
        <w:rPr>
          <w:rFonts w:ascii="Arial" w:cs="Arial" w:hAnsi="Arial"/>
          <w:i/>
          <w:sz w:val="24"/>
          <w:szCs w:val="24"/>
        </w:rPr>
        <w:t>Livingston, G., Huntley, J., Sommerlad, A., Ames, D., Ballard, C., Banerjee, S., Brayne, C. et al. (2020) ‘Dementia prevention, intervention, and care: 2020 report of the Lancet Commission’, The Lancet, 396(10248), pp.413–446.</w:t>
      </w:r>
    </w:p>
    <w:p>
      <w:pPr>
        <w:spacing w:line="240" w:lineRule="auto"/>
        <w:jc w:val="both"/>
        <w:rPr>
          <w:rFonts w:ascii="Arial" w:cs="Arial" w:hAnsi="Arial"/>
          <w:i/>
          <w:sz w:val="24"/>
          <w:szCs w:val="24"/>
        </w:rPr>
      </w:pPr>
      <w:r>
        <w:rPr>
          <w:rFonts w:ascii="Arial" w:cs="Arial" w:hAnsi="Arial"/>
          <w:i/>
          <w:sz w:val="24"/>
          <w:szCs w:val="24"/>
        </w:rPr>
        <w:t>National Institute for Health and Care Excellence (NICE) (2022) Dementia: Assessment, Management and Support for People Living with Dementia and Their Carers (NG97). Available at: nice.org.uk (Accessed: 10 April 2026).</w:t>
      </w:r>
    </w:p>
    <w:p>
      <w:pPr>
        <w:spacing w:line="240" w:lineRule="auto"/>
        <w:jc w:val="both"/>
        <w:rPr>
          <w:rFonts w:ascii="Arial" w:cs="Arial" w:hAnsi="Arial"/>
          <w:i/>
          <w:sz w:val="24"/>
          <w:szCs w:val="24"/>
        </w:rPr>
      </w:pPr>
      <w:r>
        <w:rPr>
          <w:rFonts w:ascii="Arial" w:cs="Arial" w:hAnsi="Arial"/>
          <w:i/>
          <w:sz w:val="24"/>
          <w:szCs w:val="24"/>
        </w:rPr>
        <w:t>Sampson, E.L., Candy, B., Davis, S. and Gola, A. (2023) ‘Palliative and end-of-life care for people with dementia: Advances and emerging priorities’, Age and Ageing, 52(4), afad056.</w:t>
      </w:r>
    </w:p>
    <w:p>
      <w:pPr>
        <w:spacing w:line="240" w:lineRule="auto"/>
        <w:jc w:val="both"/>
        <w:rPr>
          <w:rFonts w:ascii="Arial" w:cs="Arial" w:hAnsi="Arial"/>
          <w:i/>
          <w:sz w:val="24"/>
          <w:szCs w:val="24"/>
        </w:rPr>
      </w:pPr>
      <w:r>
        <w:rPr>
          <w:rFonts w:ascii="Arial" w:cs="Arial" w:hAnsi="Arial"/>
          <w:i/>
          <w:sz w:val="24"/>
          <w:szCs w:val="24"/>
        </w:rPr>
        <w:t>Scharre, D.W., Chang, S., Nagaraja, H.N. et al. (2022) ‘Remote digital cognitive assessment for detection of early Alzheimer’s disease’, NPJ Digital Medicine, 5(1), 19.</w:t>
      </w:r>
    </w:p>
    <w:p>
      <w:pPr>
        <w:spacing w:line="240" w:lineRule="auto"/>
        <w:jc w:val="both"/>
        <w:rPr>
          <w:rFonts w:ascii="Arial" w:cs="Arial" w:hAnsi="Arial"/>
          <w:i/>
          <w:sz w:val="24"/>
          <w:szCs w:val="24"/>
        </w:rPr>
      </w:pPr>
      <w:r>
        <w:rPr>
          <w:rFonts w:ascii="Arial" w:cs="Arial" w:hAnsi="Arial"/>
          <w:i/>
          <w:sz w:val="24"/>
          <w:szCs w:val="24"/>
        </w:rPr>
        <w:t>Topol, E.J. (2019) Deep Medicine: How Artificial Intelligence Can Make Healthcare Human Again. New York: Basic Books.</w:t>
      </w:r>
    </w:p>
    <w:p>
      <w:pPr>
        <w:spacing w:line="240" w:lineRule="auto"/>
        <w:jc w:val="both"/>
        <w:rPr>
          <w:rFonts w:ascii="Arial" w:cs="Arial" w:hAnsi="Arial"/>
          <w:i/>
          <w:sz w:val="24"/>
          <w:szCs w:val="24"/>
        </w:rPr>
      </w:pPr>
      <w:r>
        <w:rPr>
          <w:rFonts w:ascii="Arial" w:cs="Arial" w:hAnsi="Arial"/>
          <w:i/>
          <w:sz w:val="24"/>
          <w:szCs w:val="24"/>
        </w:rPr>
        <w:t>World Health Organization (WHO) (2023) Dementia Fact Sheet. Available at: who.int (Accessed: 10 February 2026).</w:t>
      </w:r>
    </w:p>
    <w:p>
      <w:pPr>
        <w:spacing w:line="240" w:lineRule="auto"/>
        <w:jc w:val="both"/>
        <w:rPr>
          <w:rFonts w:ascii="Arial" w:cs="Arial" w:hAnsi="Arial"/>
          <w:i/>
          <w:sz w:val="24"/>
          <w:szCs w:val="24"/>
        </w:rPr>
      </w:pPr>
      <w:r>
        <w:rPr>
          <w:rFonts w:ascii="Arial" w:cs="Arial" w:hAnsi="Arial"/>
          <w:i/>
          <w:sz w:val="24"/>
          <w:szCs w:val="24"/>
        </w:rPr>
        <w:t>Xu, J., Wang, F. and Hollis, V. (2021) ‘Economic and social impacts of caregiving for people with dementia: A systematic review’, International Journal of Geriatric Psychiatry, 36(8), pp.1155–1170.</w:t>
      </w:r>
    </w:p>
    <w:p>
      <w:pPr>
        <w:spacing w:line="240" w:lineRule="auto"/>
        <w:jc w:val="both"/>
        <w:rPr>
          <w:rFonts w:ascii="Arial" w:cs="Arial" w:hAnsi="Arial"/>
          <w:i/>
          <w:sz w:val="24"/>
          <w:szCs w:val="24"/>
        </w:rPr>
      </w:pPr>
      <w:r>
        <w:rPr>
          <w:rFonts w:ascii="Arial" w:cs="Arial" w:hAnsi="Arial"/>
          <w:i/>
          <w:sz w:val="24"/>
          <w:szCs w:val="24"/>
        </w:rPr>
        <w:t>Yu, J.T., Xu, W., Tan, C.C. et al. (2021) ‘Evidence-based clinical practice for dementia diagnosis and management’, Nature Reviews Neurology, 17(8), pp.428–444.</w:t>
      </w:r>
    </w:p>
    <w:sectPr>
      <w:pgSz w:w="11906" w:h="16838"/>
      <w:pgMar w:top="1440" w:right="1440" w:bottom="1440" w:left="1440" w:header="708" w:footer="708" w:gutter="0"/>
      <w:docGrid w:linePitch="360" w:charSpace="0"/>
    </w:sectPr>
  </w:body>
</w:document>
</file>

<file path=word/fontTable.xml><?xml version="1.0" encoding="utf-8"?>
<w:fonts xmlns:w="http://schemas.openxmlformats.org/wordprocessingml/2006/main" xmlns:r="http://schemas.openxmlformats.org/officeDocument/2006/relationships">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Droid Sans">
    <w:panose1 w:val="00000000000000000000"/>
    <w:charset w:val="00"/>
    <w:family w:val="auto"/>
    <w:pitch w:val="variable"/>
    <w:sig w:usb0="00000000" w:usb1="00000000" w:usb2="00000000" w:usb3="00000000" w:csb0="00000000" w:csb1="00000000"/>
  </w:font>
  <w:font w:name="Luxi Sans">
    <w:panose1 w:val="00000000000000000000"/>
    <w:charset w:val="00"/>
    <w:family w:val="auto"/>
    <w:pitch w:val="variable"/>
    <w:sig w:usb0="00000000" w:usb1="00000000" w:usb2="00000000" w:usb3="00000000" w:csb0="00000000" w:csb1="00000000"/>
  </w:font>
  <w:font w:name="HONOR black body">
    <w:panose1 w:val="00000000000000000000"/>
    <w:charset w:val="00"/>
    <w:family w:val="auto"/>
    <w:pitch w:val="variable"/>
    <w:sig w:usb0="00000000" w:usb1="00000000" w:usb2="00000000" w:usb3="00000000" w:csb0="00000000" w:csb1="00000000"/>
  </w:font>
</w:fonts>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242"/>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60" w:line="259" w:lineRule="auto"/>
    </w:pPr>
    <w:rPr>
      <w:rFonts w:ascii="Droid Sans" w:eastAsia="Droid Sans" w:cs="Arial"/>
      <w:sz w:val="22"/>
      <w:szCs w:val="22"/>
      <w:lang w:val="en-GB" w:eastAsia="en-US" w:bidi="ar-SA"/>
    </w:rPr>
  </w:style>
  <w:style w:type="paragraph" w:styleId="1">
    <w:name w:val="heading 1"/>
    <w:basedOn w:val="0"/>
    <w:next w:val="0"/>
    <w:pPr>
      <w:keepNext/>
      <w:keepLines/>
      <w:spacing w:before="340" w:after="330" w:line="578" w:lineRule="auto"/>
      <w:outlineLvl w:val="0"/>
    </w:pPr>
    <w:rPr>
      <w:b/>
      <w:bCs/>
      <w:kern w:val="44"/>
      <w:sz w:val="44"/>
    </w:rPr>
  </w:style>
  <w:style w:type="paragraph" w:styleId="2">
    <w:name w:val="heading 2"/>
    <w:basedOn w:val="0"/>
    <w:next w:val="0"/>
    <w:pPr>
      <w:keepNext/>
      <w:keepLines/>
      <w:spacing w:before="260" w:after="260" w:line="415" w:lineRule="auto"/>
      <w:outlineLvl w:val="1"/>
    </w:pPr>
    <w:rPr>
      <w:rFonts w:ascii="Luxi Sans" w:eastAsia="HONOR black body" w:hAnsi="Luxi Sans"/>
      <w:b/>
      <w:sz w:val="32"/>
    </w:rPr>
  </w:style>
  <w:style w:type="paragraph" w:styleId="3">
    <w:name w:val="heading 3"/>
    <w:basedOn w:val="0"/>
    <w:next w:val="0"/>
    <w:pPr>
      <w:keepNext/>
      <w:keepLines/>
      <w:spacing w:before="260" w:after="260" w:line="415" w:lineRule="auto"/>
      <w:outlineLvl w:val="2"/>
    </w:pPr>
    <w:rPr>
      <w:b/>
      <w:sz w:val="32"/>
    </w:rPr>
  </w:style>
  <w:style w:type="character" w:default="1" w:styleId="10">
    <w:name w:val="Default Paragraph Font"/>
  </w:style>
  <w:style w:type="paragraph" w:styleId="15">
    <w:name w:val="header"/>
    <w:basedOn w:val="0"/>
    <w:pPr>
      <w:tabs>
        <w:tab w:val="center" w:pos="4513"/>
        <w:tab w:val="right" w:pos="9026"/>
      </w:tabs>
      <w:spacing w:after="0" w:line="240" w:lineRule="auto"/>
    </w:pPr>
  </w:style>
  <w:style w:type="paragraph" w:styleId="16">
    <w:name w:val="footer"/>
    <w:basedOn w:val="0"/>
    <w:pPr>
      <w:tabs>
        <w:tab w:val="center" w:pos="4513"/>
        <w:tab w:val="right" w:pos="9026"/>
      </w:tabs>
      <w:spacing w:after="0" w:line="240" w:lineRule="auto"/>
    </w:pPr>
  </w:style>
  <w:style w:type="paragraph" w:styleId="17">
    <w:name w:val="Normal (Web)"/>
    <w:basedOn w:val="0"/>
    <w:pPr>
      <w:spacing w:before="100" w:beforeAutospacing="1" w:after="100" w:afterAutospacing="1" w:line="240" w:lineRule="auto"/>
    </w:pPr>
    <w:rPr>
      <w:rFonts w:ascii="Times New Roman" w:eastAsia="Times New Roman" w:cs="Times New Roman" w:hAnsi="Times New Roman"/>
      <w:sz w:val="24"/>
      <w:szCs w:val="24"/>
      <w:lang w:eastAsia="en-GB"/>
    </w:rPr>
  </w:style>
  <w:style w:type="character" w:styleId="18">
    <w:name w:val="Emphasis"/>
    <w:basedOn w:val="10"/>
    <w:rPr>
      <w:i/>
      <w:iCs/>
    </w:rPr>
  </w:style>
  <w:style w:type="character" w:customStyle="1" w:styleId="19">
    <w:name w:val="max-w-[180px]"/>
    <w:basedOn w:val="10"/>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image" Target="media/2.png"/><Relationship Id="rId3" Type="http://schemas.openxmlformats.org/officeDocument/2006/relationships/styles" Target="styles.xml"/><Relationship Id="rId4" Type="http://schemas.openxmlformats.org/officeDocument/2006/relationships/fontTable" Target="fontTable.xml"/></Relationships>
</file>

<file path=docProps/app.xml><?xml version="1.0" encoding="utf-8"?>
<Properties xmlns="http://schemas.openxmlformats.org/officeDocument/2006/extended-properties">
  <Template>Normal.eit</Template>
  <TotalTime>81</TotalTime>
  <Application>Honor_Office</Application>
  <Pages>10</Pages>
  <Words>2076</Words>
  <Characters>12563</Characters>
  <Lines>292</Lines>
  <Paragraphs>41</Paragraphs>
  <CharactersWithSpaces>14572</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ELITEBOOK</dc:creator>
  <cp:lastModifiedBy>HONOR Docs</cp:lastModifiedBy>
  <cp:revision>3</cp:revision>
  <dcterms:created xsi:type="dcterms:W3CDTF">2026-04-19T23:31:00Z</dcterms:created>
  <dcterms:modified xsi:type="dcterms:W3CDTF">2026-04-20T12:52:40Z</dcterms:modified>
</cp:coreProperties>
</file>