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25C15" w14:textId="77777777" w:rsidR="004D77C0" w:rsidRPr="004D77C0" w:rsidRDefault="004D77C0" w:rsidP="004D77C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 xml:space="preserve">Student Name: Katerina </w:t>
      </w:r>
      <w:proofErr w:type="spellStart"/>
      <w:r w:rsidRPr="004D77C0">
        <w:rPr>
          <w:rFonts w:ascii="Times New Roman" w:eastAsia="Times New Roman" w:hAnsi="Times New Roman" w:cs="Times New Roman"/>
          <w:b/>
          <w:bCs/>
          <w:kern w:val="0"/>
          <w:sz w:val="36"/>
          <w:szCs w:val="36"/>
          <w14:ligatures w14:val="none"/>
        </w:rPr>
        <w:t>Suganova</w:t>
      </w:r>
      <w:proofErr w:type="spellEnd"/>
    </w:p>
    <w:p w14:paraId="1CF33A51"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3A11011B" w14:textId="77777777" w:rsidR="004D77C0" w:rsidRPr="004D77C0" w:rsidRDefault="004D77C0" w:rsidP="004D77C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Student Number: 2220482</w:t>
      </w:r>
    </w:p>
    <w:p w14:paraId="39642DD1"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533E8FEE" w14:textId="1C749432" w:rsidR="004D77C0" w:rsidRPr="004D77C0" w:rsidRDefault="004D77C0" w:rsidP="004D77C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UWTSD</w:t>
      </w:r>
    </w:p>
    <w:p w14:paraId="2224719C" w14:textId="77777777" w:rsidR="004D77C0" w:rsidRPr="004D77C0" w:rsidRDefault="004D77C0" w:rsidP="004D77C0">
      <w:pPr>
        <w:spacing w:after="0" w:line="240" w:lineRule="auto"/>
        <w:rPr>
          <w:rFonts w:ascii="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44254091" wp14:editId="642AC1C8">
                <wp:extent cx="5731510" cy="1270"/>
                <wp:effectExtent l="0" t="31750" r="0" b="36830"/>
                <wp:docPr id="941542680"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F302A96" id="Rectangle 1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B272079" w14:textId="77777777" w:rsidR="004D77C0" w:rsidRPr="004D77C0" w:rsidRDefault="004D77C0" w:rsidP="004D77C0">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4D77C0">
        <w:rPr>
          <w:rFonts w:ascii="Times New Roman" w:eastAsia="Times New Roman" w:hAnsi="Times New Roman" w:cs="Times New Roman"/>
          <w:b/>
          <w:bCs/>
          <w:kern w:val="36"/>
          <w:sz w:val="48"/>
          <w:szCs w:val="48"/>
          <w14:ligatures w14:val="none"/>
        </w:rPr>
        <w:t>A Saint in Stone: The Norman Font at St Mary’s Church, Swansea, and the Local Cult of Thomas Becket</w:t>
      </w:r>
    </w:p>
    <w:p w14:paraId="5715A1A4" w14:textId="77777777" w:rsidR="004D77C0" w:rsidRPr="004D77C0" w:rsidRDefault="004D77C0" w:rsidP="004D77C0">
      <w:pPr>
        <w:spacing w:after="0" w:line="240" w:lineRule="auto"/>
        <w:rPr>
          <w:rFonts w:ascii="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5758FDF5" wp14:editId="0C1373DA">
                <wp:extent cx="5731510" cy="1270"/>
                <wp:effectExtent l="0" t="31750" r="0" b="36830"/>
                <wp:docPr id="2039146598"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D6DB9A8"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3E6E8C4" w14:textId="77777777" w:rsidR="004D77C0" w:rsidRPr="004D77C0" w:rsidRDefault="004D77C0" w:rsidP="004D77C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Introduction</w:t>
      </w:r>
    </w:p>
    <w:p w14:paraId="7C7C9F62"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53FB804A"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The murder of Thomas Becket, Archbishop of Canterbury, in 1170 was one of the most dramatic events of the twelfth century. His death at the hands of four knights, following a prolonged conflict with King Henry II, was quickly interpreted as martyrdom. Becket’s canonisation in 1173 led to the rapid spread of his cult across England and Wales, making him one of the most venerated saints of the Middle Ages. While Canterbury became the main centre of pilgrimage, devotion to Becket also took root in more local and regional contexts, where it took on meanings shaped by local politics, geography, and social concerns.</w:t>
      </w:r>
    </w:p>
    <w:p w14:paraId="7275834D"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213B1ACF"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This essay focuses on the Norman font at St Mary’s Church, Swansea, which has traditionally been associated with the cult of Thomas Becket. Although the font does not depict Becket visually, its date, location, and historical context suggest that it belongs to the early phase of Becket’s veneration in south Wales. By examining the font as a material primary source alongside written evidence from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Abbey’s chronicle, this study argues that Becket’s cult in the Swansea area served several functions. It acted as a marker of Norman identity and patronage, reinforced political relationships in the Welsh Marches, and provided a focus for local devotion in a coastal community shaped by maritime risk.</w:t>
      </w:r>
    </w:p>
    <w:p w14:paraId="73803802" w14:textId="77777777" w:rsidR="004D77C0" w:rsidRPr="004D77C0" w:rsidRDefault="004D77C0" w:rsidP="004D77C0">
      <w:pPr>
        <w:spacing w:after="0" w:line="240" w:lineRule="auto"/>
        <w:rPr>
          <w:rFonts w:ascii="Times New Roman" w:eastAsia="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61502F7C" wp14:editId="5C3A9837">
                <wp:extent cx="5731510" cy="1270"/>
                <wp:effectExtent l="0" t="31750" r="0" b="36830"/>
                <wp:docPr id="964192069"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6DB1F15"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8F1A981" w14:textId="77777777" w:rsidR="004D77C0" w:rsidRPr="004D77C0" w:rsidRDefault="004D77C0" w:rsidP="004D77C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Historical Background: Becket and the Welsh Marches</w:t>
      </w:r>
    </w:p>
    <w:p w14:paraId="0A00683F"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4CABFD12"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Thomas Becket’s dispute with Henry II centred on the limits of royal authority over the Church. His murder shocked contemporaries and quickly generated widespread sympathy. Reports of miracles at his tomb began almost immediately, and his canonisation only three years later confirmed his status as a powerful intercessor.¹ Devotion to Becket spread with remarkable speed, appearing in churches, altars, and religious practices across Britain.</w:t>
      </w:r>
    </w:p>
    <w:p w14:paraId="7D18809D"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300B0883"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In Wales, the cult developed most strongly in areas under Norman control.² The Welsh Marches were politically unstable regions, governed by marcher lords who exercised considerable autonomy from the English crown. These lords often used religious patronage to assert their authority and legitimacy. Supporting the cult of Becket, a saint associated with resistance to royal power, could therefore carry political as well as spiritual significance.</w:t>
      </w:r>
    </w:p>
    <w:p w14:paraId="32525EA2"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1D054CE9"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Swansea was founded as a Norman borough in the early twelfth century and formed part of the lordship of Gower. By the later twelfth century, this lordship was controlled by the de </w:t>
      </w:r>
      <w:proofErr w:type="spellStart"/>
      <w:r w:rsidRPr="004D77C0">
        <w:rPr>
          <w:rFonts w:ascii="Times New Roman" w:hAnsi="Times New Roman" w:cs="Times New Roman"/>
          <w:kern w:val="0"/>
          <w14:ligatures w14:val="none"/>
        </w:rPr>
        <w:t>Braose</w:t>
      </w:r>
      <w:proofErr w:type="spellEnd"/>
      <w:r w:rsidRPr="004D77C0">
        <w:rPr>
          <w:rFonts w:ascii="Times New Roman" w:hAnsi="Times New Roman" w:cs="Times New Roman"/>
          <w:kern w:val="0"/>
          <w14:ligatures w14:val="none"/>
        </w:rPr>
        <w:t xml:space="preserve"> family, one of the most powerful marcher dynasties.³ St Mary’s Church served the town’s Anglo-Norman population and was an important site for the display of Norman religious culture.</w:t>
      </w:r>
    </w:p>
    <w:p w14:paraId="6F645B3C" w14:textId="77777777" w:rsidR="004D77C0" w:rsidRPr="004D77C0" w:rsidRDefault="004D77C0" w:rsidP="004D77C0">
      <w:pPr>
        <w:spacing w:after="0" w:line="240" w:lineRule="auto"/>
        <w:rPr>
          <w:rFonts w:ascii="Times New Roman" w:eastAsia="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4EEE4C99" wp14:editId="26FD6286">
                <wp:extent cx="5731510" cy="1270"/>
                <wp:effectExtent l="0" t="31750" r="0" b="36830"/>
                <wp:docPr id="415965285"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435563F"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80D0FC5" w14:textId="77777777" w:rsidR="004D77C0" w:rsidRPr="004D77C0" w:rsidRDefault="004D77C0" w:rsidP="004D77C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The Norman Font as a Primary Source</w:t>
      </w:r>
    </w:p>
    <w:p w14:paraId="2822E5E3"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5DDA0FE7"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The font at St Mary’s Church, Swansea, is generally dated to the late twelfth century, probably between 1170 and 1180. It is a large, tub-shaped font carved from local stone and decorated with Romanesque blind arcading and interlace.⁴ As a surviving object from this period, it is a primary source of material culture and offers insight into religious practice and patronage in medieval Swansea.</w:t>
      </w:r>
    </w:p>
    <w:p w14:paraId="1149EA55" w14:textId="27684F5B" w:rsidR="004D77C0" w:rsidRPr="004D77C0" w:rsidRDefault="006F5869" w:rsidP="004D77C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lastRenderedPageBreak/>
        <w:drawing>
          <wp:anchor distT="0" distB="0" distL="114300" distR="114300" simplePos="0" relativeHeight="251660288" behindDoc="0" locked="0" layoutInCell="1" allowOverlap="1" wp14:anchorId="77765998" wp14:editId="6AEE47FA">
            <wp:simplePos x="0" y="0"/>
            <wp:positionH relativeFrom="column">
              <wp:posOffset>3301365</wp:posOffset>
            </wp:positionH>
            <wp:positionV relativeFrom="paragraph">
              <wp:posOffset>140335</wp:posOffset>
            </wp:positionV>
            <wp:extent cx="2298700" cy="2997200"/>
            <wp:effectExtent l="0" t="0" r="0" b="0"/>
            <wp:wrapTopAndBottom/>
            <wp:docPr id="6074570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457073" name="Picture 607457073"/>
                    <pic:cNvPicPr/>
                  </pic:nvPicPr>
                  <pic:blipFill>
                    <a:blip r:embed="rId5">
                      <a:extLst>
                        <a:ext uri="{28A0092B-C50C-407E-A947-70E740481C1C}">
                          <a14:useLocalDpi xmlns:a14="http://schemas.microsoft.com/office/drawing/2010/main" val="0"/>
                        </a:ext>
                      </a:extLst>
                    </a:blip>
                    <a:stretch>
                      <a:fillRect/>
                    </a:stretch>
                  </pic:blipFill>
                  <pic:spPr>
                    <a:xfrm>
                      <a:off x="0" y="0"/>
                      <a:ext cx="2298700" cy="2997200"/>
                    </a:xfrm>
                    <a:prstGeom prst="rect">
                      <a:avLst/>
                    </a:prstGeom>
                  </pic:spPr>
                </pic:pic>
              </a:graphicData>
            </a:graphic>
          </wp:anchor>
        </w:drawing>
      </w:r>
      <w:r>
        <w:rPr>
          <w:rFonts w:ascii="Times New Roman" w:hAnsi="Times New Roman" w:cs="Times New Roman"/>
          <w:noProof/>
          <w:kern w:val="0"/>
        </w:rPr>
        <w:drawing>
          <wp:anchor distT="0" distB="0" distL="114300" distR="114300" simplePos="0" relativeHeight="251659264" behindDoc="0" locked="0" layoutInCell="1" allowOverlap="1" wp14:anchorId="66011725" wp14:editId="67B91BAA">
            <wp:simplePos x="0" y="0"/>
            <wp:positionH relativeFrom="column">
              <wp:posOffset>0</wp:posOffset>
            </wp:positionH>
            <wp:positionV relativeFrom="paragraph">
              <wp:posOffset>361950</wp:posOffset>
            </wp:positionV>
            <wp:extent cx="2997200" cy="1993900"/>
            <wp:effectExtent l="0" t="0" r="0" b="0"/>
            <wp:wrapTopAndBottom/>
            <wp:docPr id="1524954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954671" name="Picture 1524954671"/>
                    <pic:cNvPicPr/>
                  </pic:nvPicPr>
                  <pic:blipFill>
                    <a:blip r:embed="rId6">
                      <a:extLst>
                        <a:ext uri="{28A0092B-C50C-407E-A947-70E740481C1C}">
                          <a14:useLocalDpi xmlns:a14="http://schemas.microsoft.com/office/drawing/2010/main" val="0"/>
                        </a:ext>
                      </a:extLst>
                    </a:blip>
                    <a:stretch>
                      <a:fillRect/>
                    </a:stretch>
                  </pic:blipFill>
                  <pic:spPr>
                    <a:xfrm>
                      <a:off x="0" y="0"/>
                      <a:ext cx="2997200" cy="1993900"/>
                    </a:xfrm>
                    <a:prstGeom prst="rect">
                      <a:avLst/>
                    </a:prstGeom>
                  </pic:spPr>
                </pic:pic>
              </a:graphicData>
            </a:graphic>
          </wp:anchor>
        </w:drawing>
      </w:r>
    </w:p>
    <w:p w14:paraId="5BAF7F77"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76B9E818"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Importantly, the font does not contain any figural or narrative scenes. There is no depiction of Thomas Becket, his martyrdom, or any identifiable saint. This means that the association between the font and Becket cannot be based on imagery. Instead, it rests on a combination of dating, location, and later tradition. The font was installed shortly after Becket’s canonisation, at a time when his cult was spreading rapidly across Britain. In a Norman borough such as Swansea, this timing is significant.</w:t>
      </w:r>
    </w:p>
    <w:p w14:paraId="5509E830"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781D62DC"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Fonts held a central place in medieval parish churches. Baptism marked entry into the Christian community, and the font was therefore a focal point of communal religious life. Commissioning a substantial stone font required financial resources and deliberate choice. In the context of late twelfth-century Swansea, the installation of such a font suggests active engagement with contemporary religious trends and a desire to express communal identity through material culture.</w:t>
      </w:r>
    </w:p>
    <w:p w14:paraId="1A668191" w14:textId="77777777" w:rsidR="004D77C0" w:rsidRPr="004D77C0" w:rsidRDefault="004D77C0" w:rsidP="004D77C0">
      <w:pPr>
        <w:spacing w:after="0" w:line="240" w:lineRule="auto"/>
        <w:rPr>
          <w:rFonts w:ascii="Times New Roman" w:eastAsia="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61B97975" wp14:editId="237561FC">
                <wp:extent cx="5731510" cy="1270"/>
                <wp:effectExtent l="0" t="31750" r="0" b="36830"/>
                <wp:docPr id="1170557174"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5A26B28"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98563E0" w14:textId="77777777" w:rsidR="004D77C0" w:rsidRPr="004D77C0" w:rsidRDefault="004D77C0" w:rsidP="004D77C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Patronage and Political Meaning</w:t>
      </w:r>
    </w:p>
    <w:p w14:paraId="3D557E2A"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13D5D96B"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Although no document records who commissioned the Swansea font, the most likely patrons were the de </w:t>
      </w:r>
      <w:proofErr w:type="spellStart"/>
      <w:r w:rsidRPr="004D77C0">
        <w:rPr>
          <w:rFonts w:ascii="Times New Roman" w:hAnsi="Times New Roman" w:cs="Times New Roman"/>
          <w:kern w:val="0"/>
          <w14:ligatures w14:val="none"/>
        </w:rPr>
        <w:t>Braose</w:t>
      </w:r>
      <w:proofErr w:type="spellEnd"/>
      <w:r w:rsidRPr="004D77C0">
        <w:rPr>
          <w:rFonts w:ascii="Times New Roman" w:hAnsi="Times New Roman" w:cs="Times New Roman"/>
          <w:kern w:val="0"/>
          <w14:ligatures w14:val="none"/>
        </w:rPr>
        <w:t xml:space="preserve"> lords of Gower. As rulers of the borough, they exercised influence over its principal church and were responsible for much local ecclesiastical patronage.⁵ Supporting the installation of a new font would have been consistent with their broader efforts to assert authority and legitimacy in the region.</w:t>
      </w:r>
    </w:p>
    <w:p w14:paraId="0E028E47"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1318FA4F"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Aligning with the cult of Thomas Becket may also have carried political meaning. Becket’s opposition to royal interference in church affairs made him an appealing figure for marcher lords, who themselves guarded their independence from the crown. By promoting devotion to Becket, the de </w:t>
      </w:r>
      <w:proofErr w:type="spellStart"/>
      <w:r w:rsidRPr="004D77C0">
        <w:rPr>
          <w:rFonts w:ascii="Times New Roman" w:hAnsi="Times New Roman" w:cs="Times New Roman"/>
          <w:kern w:val="0"/>
          <w14:ligatures w14:val="none"/>
        </w:rPr>
        <w:t>Braoses</w:t>
      </w:r>
      <w:proofErr w:type="spellEnd"/>
      <w:r w:rsidRPr="004D77C0">
        <w:rPr>
          <w:rFonts w:ascii="Times New Roman" w:hAnsi="Times New Roman" w:cs="Times New Roman"/>
          <w:kern w:val="0"/>
          <w14:ligatures w14:val="none"/>
        </w:rPr>
        <w:t xml:space="preserve"> could associate their rule with a saint who symbolised moral authority and resistance to royal overreach.⁶</w:t>
      </w:r>
    </w:p>
    <w:p w14:paraId="40476B3C"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0EE9C207"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The font’s Romanesque style further reinforced Norman identity. In a predominantly Welsh landscape, such architectural and artistic choices helped distinguish the Norman borough of Swansea from its surroundings. The font can therefore be read as part of a broader visual language through which power, culture, and religious allegiance were expressed.</w:t>
      </w:r>
    </w:p>
    <w:p w14:paraId="38C5493B" w14:textId="77777777" w:rsidR="004D77C0" w:rsidRPr="004D77C0" w:rsidRDefault="004D77C0" w:rsidP="004D77C0">
      <w:pPr>
        <w:spacing w:after="0" w:line="240" w:lineRule="auto"/>
        <w:rPr>
          <w:rFonts w:ascii="Times New Roman" w:eastAsia="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693CCA46" wp14:editId="5C28D571">
                <wp:extent cx="5731510" cy="1270"/>
                <wp:effectExtent l="0" t="31750" r="0" b="36830"/>
                <wp:docPr id="117406196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7274D01"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397293D" w14:textId="77777777" w:rsidR="004D77C0" w:rsidRPr="004D77C0" w:rsidRDefault="004D77C0" w:rsidP="004D77C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 xml:space="preserve">Written Evidence from </w:t>
      </w:r>
      <w:proofErr w:type="spellStart"/>
      <w:r w:rsidRPr="004D77C0">
        <w:rPr>
          <w:rFonts w:ascii="Times New Roman" w:eastAsia="Times New Roman" w:hAnsi="Times New Roman" w:cs="Times New Roman"/>
          <w:b/>
          <w:bCs/>
          <w:kern w:val="0"/>
          <w:sz w:val="36"/>
          <w:szCs w:val="36"/>
          <w14:ligatures w14:val="none"/>
        </w:rPr>
        <w:t>Margam</w:t>
      </w:r>
      <w:proofErr w:type="spellEnd"/>
      <w:r w:rsidRPr="004D77C0">
        <w:rPr>
          <w:rFonts w:ascii="Times New Roman" w:eastAsia="Times New Roman" w:hAnsi="Times New Roman" w:cs="Times New Roman"/>
          <w:b/>
          <w:bCs/>
          <w:kern w:val="0"/>
          <w:sz w:val="36"/>
          <w:szCs w:val="36"/>
          <w14:ligatures w14:val="none"/>
        </w:rPr>
        <w:t xml:space="preserve"> Abbey</w:t>
      </w:r>
    </w:p>
    <w:p w14:paraId="5915C39A"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32FDDEDC"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Material evidence from the font gains further meaning when considered alongside written primary sources. The most important of these is the </w:t>
      </w:r>
      <w:proofErr w:type="spellStart"/>
      <w:r w:rsidRPr="004D77C0">
        <w:rPr>
          <w:rFonts w:ascii="Times New Roman" w:hAnsi="Times New Roman" w:cs="Times New Roman"/>
          <w:kern w:val="0"/>
          <w14:ligatures w14:val="none"/>
        </w:rPr>
        <w:t>Annales</w:t>
      </w:r>
      <w:proofErr w:type="spellEnd"/>
      <w:r w:rsidRPr="004D77C0">
        <w:rPr>
          <w:rFonts w:ascii="Times New Roman" w:hAnsi="Times New Roman" w:cs="Times New Roman"/>
          <w:kern w:val="0"/>
          <w14:ligatures w14:val="none"/>
        </w:rPr>
        <w:t xml:space="preserve"> de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the chronicle kept by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Abbey, located only a few miles from Swansea.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was a major Cistercian house with extensive landholdings and close connections to the de </w:t>
      </w:r>
      <w:proofErr w:type="spellStart"/>
      <w:r w:rsidRPr="004D77C0">
        <w:rPr>
          <w:rFonts w:ascii="Times New Roman" w:hAnsi="Times New Roman" w:cs="Times New Roman"/>
          <w:kern w:val="0"/>
          <w14:ligatures w14:val="none"/>
        </w:rPr>
        <w:t>Braose</w:t>
      </w:r>
      <w:proofErr w:type="spellEnd"/>
      <w:r w:rsidRPr="004D77C0">
        <w:rPr>
          <w:rFonts w:ascii="Times New Roman" w:hAnsi="Times New Roman" w:cs="Times New Roman"/>
          <w:kern w:val="0"/>
          <w14:ligatures w14:val="none"/>
        </w:rPr>
        <w:t xml:space="preserve"> family.⁷</w:t>
      </w:r>
    </w:p>
    <w:p w14:paraId="505B77AF"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236FB288" w14:textId="61A579A8" w:rsidR="004D77C0" w:rsidRPr="007A3EEB" w:rsidRDefault="004D77C0" w:rsidP="007A3EEB">
      <w:pPr>
        <w:spacing w:before="100" w:beforeAutospacing="1" w:after="100" w:afterAutospacing="1" w:line="240" w:lineRule="auto"/>
        <w:rPr>
          <w:rFonts w:ascii=".AppleSystemUIFont" w:eastAsia="Times New Roman" w:hAnsi=".AppleSystemUIFont" w:cs="Times New Roman"/>
          <w:color w:val="FFFFFF"/>
          <w:kern w:val="0"/>
          <w:sz w:val="26"/>
          <w:szCs w:val="26"/>
          <w14:ligatures w14:val="none"/>
        </w:rPr>
      </w:pPr>
      <w:r w:rsidRPr="004D77C0">
        <w:rPr>
          <w:rFonts w:ascii="Times New Roman" w:hAnsi="Times New Roman" w:cs="Times New Roman"/>
          <w:kern w:val="0"/>
          <w14:ligatures w14:val="none"/>
        </w:rPr>
        <w:t>An entry dating from around 1200 records a miracle associated with Thomas Becket:</w:t>
      </w:r>
      <w:r w:rsidRPr="004D77C0">
        <w:rPr>
          <w:rFonts w:ascii=".AppleSystemUIFont" w:eastAsia="Times New Roman" w:hAnsi=".AppleSystemUIFont" w:cs="Times New Roman"/>
          <w:color w:val="FFFFFF"/>
          <w:kern w:val="0"/>
          <w:sz w:val="26"/>
          <w:szCs w:val="26"/>
          <w14:ligatures w14:val="none"/>
        </w:rPr>
        <w:t xml:space="preserve"> </w:t>
      </w:r>
    </w:p>
    <w:p w14:paraId="0F20C5A1"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Although brief, this account is revealing. It demonstrates that Becket’s cult was known and actively invoked in the Swansea Bay area by the turn of the thirteenth century. It also reinforces the link between Becket and the de </w:t>
      </w:r>
      <w:proofErr w:type="spellStart"/>
      <w:r w:rsidRPr="004D77C0">
        <w:rPr>
          <w:rFonts w:ascii="Times New Roman" w:hAnsi="Times New Roman" w:cs="Times New Roman"/>
          <w:kern w:val="0"/>
          <w14:ligatures w14:val="none"/>
        </w:rPr>
        <w:t>Braose</w:t>
      </w:r>
      <w:proofErr w:type="spellEnd"/>
      <w:r w:rsidRPr="004D77C0">
        <w:rPr>
          <w:rFonts w:ascii="Times New Roman" w:hAnsi="Times New Roman" w:cs="Times New Roman"/>
          <w:kern w:val="0"/>
          <w14:ligatures w14:val="none"/>
        </w:rPr>
        <w:t xml:space="preserve"> household, as the rescued sailor is described as belonging to William de </w:t>
      </w:r>
      <w:proofErr w:type="spellStart"/>
      <w:r w:rsidRPr="004D77C0">
        <w:rPr>
          <w:rFonts w:ascii="Times New Roman" w:hAnsi="Times New Roman" w:cs="Times New Roman"/>
          <w:kern w:val="0"/>
          <w14:ligatures w14:val="none"/>
        </w:rPr>
        <w:t>Braose</w:t>
      </w:r>
      <w:proofErr w:type="spellEnd"/>
      <w:r w:rsidRPr="004D77C0">
        <w:rPr>
          <w:rFonts w:ascii="Times New Roman" w:hAnsi="Times New Roman" w:cs="Times New Roman"/>
          <w:kern w:val="0"/>
          <w14:ligatures w14:val="none"/>
        </w:rPr>
        <w:t>.</w:t>
      </w:r>
    </w:p>
    <w:p w14:paraId="774A6A22" w14:textId="77777777" w:rsidR="004D77C0" w:rsidRPr="004D77C0" w:rsidRDefault="004D77C0" w:rsidP="004D77C0">
      <w:pPr>
        <w:spacing w:after="0" w:line="240" w:lineRule="auto"/>
        <w:rPr>
          <w:rFonts w:ascii="Times New Roman" w:eastAsia="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25912D1D" wp14:editId="4D7C7BF0">
                <wp:extent cx="5731510" cy="1270"/>
                <wp:effectExtent l="0" t="31750" r="0" b="36830"/>
                <wp:docPr id="761544384"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4E15E07"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CD6807A" w14:textId="77777777" w:rsidR="004D77C0" w:rsidRPr="004D77C0" w:rsidRDefault="004D77C0" w:rsidP="004D77C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Maritime Life and Local Devotion</w:t>
      </w:r>
    </w:p>
    <w:p w14:paraId="4C0BB856"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78ABAA5C"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The miracle recorded at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reflects the maritime character of life in the Swansea region. The local economy depended heavily on fishing, coastal trade, and sea travel, all of which carried significant risk. Drowning and shipwreck were constant dangers, and saints were frequently called upon for protection.⁹</w:t>
      </w:r>
    </w:p>
    <w:p w14:paraId="6CB37392"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3B659450"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lastRenderedPageBreak/>
        <w:t>That Becket was invoked in this context shows how his cult was adapted to local needs. While his martyrdom occurred in a cathedral setting, his perceived power extended into everyday life, offering protection to sailors and coastal communities. This suggests that Becket’s cult was not limited to elite or political concerns but had genuine resonance among ordinary people.</w:t>
      </w:r>
    </w:p>
    <w:p w14:paraId="42F786AC"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2CF64482"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The monks of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Abbey also had reasons to record such miracles. As Robert Bartlett has observed, monasteries benefited from promoting the cults of powerful saints, since miracle stories enhanced their spiritual authority and could attract pilgrims and donations.¹⁰ By documenting Becket’s intervention in local waters,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strengthened its position as a key religious institution in the region.</w:t>
      </w:r>
    </w:p>
    <w:p w14:paraId="7EAF08C3" w14:textId="77777777" w:rsidR="004D77C0" w:rsidRPr="004D77C0" w:rsidRDefault="004D77C0" w:rsidP="004D77C0">
      <w:pPr>
        <w:spacing w:after="0" w:line="240" w:lineRule="auto"/>
        <w:rPr>
          <w:rFonts w:ascii="Times New Roman" w:eastAsia="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3BAB8E30" wp14:editId="3F7AA5C6">
                <wp:extent cx="5731510" cy="1270"/>
                <wp:effectExtent l="0" t="31750" r="0" b="36830"/>
                <wp:docPr id="47406281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DBD890A"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BF0235E" w14:textId="77777777" w:rsidR="004D77C0" w:rsidRPr="004D77C0" w:rsidRDefault="004D77C0" w:rsidP="004D77C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Interpreting the Evidence Together</w:t>
      </w:r>
    </w:p>
    <w:p w14:paraId="668990A8"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467F701F"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When considered together, the Swansea font and the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chronicle entry provide complementary perspectives on the local cult of Thomas Becket. The font represents an official and permanent expression of devotion, likely shaped by elite patronage and political considerations. The chronicle entry reflects the lived experience of devotion, showing how Becket was invoked in moments of personal danger.</w:t>
      </w:r>
    </w:p>
    <w:p w14:paraId="21FD2F1A"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0904CA1F"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Both sources are also shaped by power structures. The de </w:t>
      </w:r>
      <w:proofErr w:type="spellStart"/>
      <w:r w:rsidRPr="004D77C0">
        <w:rPr>
          <w:rFonts w:ascii="Times New Roman" w:hAnsi="Times New Roman" w:cs="Times New Roman"/>
          <w:kern w:val="0"/>
          <w14:ligatures w14:val="none"/>
        </w:rPr>
        <w:t>Braose</w:t>
      </w:r>
      <w:proofErr w:type="spellEnd"/>
      <w:r w:rsidRPr="004D77C0">
        <w:rPr>
          <w:rFonts w:ascii="Times New Roman" w:hAnsi="Times New Roman" w:cs="Times New Roman"/>
          <w:kern w:val="0"/>
          <w14:ligatures w14:val="none"/>
        </w:rPr>
        <w:t xml:space="preserve"> family appears in both the material and written evidence, while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Abbey acted as an intermediary that recorded and promoted Becket’s cult. This suggests that the spread of devotion in the region was not accidental but supported by networks of patronage and influence.</w:t>
      </w:r>
    </w:p>
    <w:p w14:paraId="17CABA4A"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5759771B"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At the same time, the evidence shows how a universal saint could be integrated into a very specific local setting. In Swansea, Becket became a figure connected with Norman authority, monastic interests, and maritime survival.</w:t>
      </w:r>
    </w:p>
    <w:p w14:paraId="1E3B38ED" w14:textId="77777777" w:rsidR="004D77C0" w:rsidRPr="004D77C0" w:rsidRDefault="004D77C0" w:rsidP="004D77C0">
      <w:pPr>
        <w:spacing w:after="0" w:line="240" w:lineRule="auto"/>
        <w:rPr>
          <w:rFonts w:ascii="Times New Roman" w:eastAsia="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5F366AB4" wp14:editId="45A86A0F">
                <wp:extent cx="5731510" cy="1270"/>
                <wp:effectExtent l="0" t="31750" r="0" b="36830"/>
                <wp:docPr id="1678458093"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713E0E4"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103A813" w14:textId="77777777" w:rsidR="004D77C0" w:rsidRPr="004D77C0" w:rsidRDefault="004D77C0" w:rsidP="004D77C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Limitations and Wider Context</w:t>
      </w:r>
    </w:p>
    <w:p w14:paraId="6453C1C8"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7C3E1089"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These sources have clear limitations. The font provides no explicit reference to Becket, and its association with his cult is based on inference rather than direct evidence. The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chronicle entry is short and formulaic, lacking the detail found in larger miracle collections such as those produced at Canterbury.¹¹</w:t>
      </w:r>
    </w:p>
    <w:p w14:paraId="740D53C6"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3E53C472"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Nevertheless, when placed in a wider context, the Swansea evidence fits well with broader patterns. J. Wyn Evans has shown that devotion to Becket spread rapidly across Wales, particularly in areas of Norman settlement.¹² The Swansea font and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miracle align with this pattern, while also illustrating how local conditions shaped the form that devotion took.</w:t>
      </w:r>
    </w:p>
    <w:p w14:paraId="2EA42A73" w14:textId="77777777" w:rsidR="004D77C0" w:rsidRPr="004D77C0" w:rsidRDefault="004D77C0" w:rsidP="004D77C0">
      <w:pPr>
        <w:spacing w:after="0" w:line="240" w:lineRule="auto"/>
        <w:rPr>
          <w:rFonts w:ascii="Times New Roman" w:eastAsia="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68F9A627" wp14:editId="4C6804CD">
                <wp:extent cx="5731510" cy="1270"/>
                <wp:effectExtent l="0" t="31750" r="0" b="36830"/>
                <wp:docPr id="83706249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EAAE048"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AFD39DE" w14:textId="77777777" w:rsidR="004D77C0" w:rsidRPr="004D77C0" w:rsidRDefault="004D77C0" w:rsidP="004D77C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Conclusion</w:t>
      </w:r>
    </w:p>
    <w:p w14:paraId="0FA1ED6A"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521DC769"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The Norman font at St Mary’s Church, Swansea, and the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Abbey chronicle together provide valuable insight into the early reception of Thomas Becket’s cult in south Wales. Although the font does not depict Becket visually, its date, location, and traditional association suggest participation in the rapid expansion of his veneration following canonisation.</w:t>
      </w:r>
    </w:p>
    <w:p w14:paraId="5B77E10F"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2101D517"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 xml:space="preserve">This essay has argued that Becket’s cult in Swansea served multiple purposes. It reinforced Norman identity and marcher lordly authority, enhanced the spiritual standing of </w:t>
      </w:r>
      <w:proofErr w:type="spellStart"/>
      <w:r w:rsidRPr="004D77C0">
        <w:rPr>
          <w:rFonts w:ascii="Times New Roman" w:hAnsi="Times New Roman" w:cs="Times New Roman"/>
          <w:kern w:val="0"/>
          <w14:ligatures w14:val="none"/>
        </w:rPr>
        <w:t>Margam</w:t>
      </w:r>
      <w:proofErr w:type="spellEnd"/>
      <w:r w:rsidRPr="004D77C0">
        <w:rPr>
          <w:rFonts w:ascii="Times New Roman" w:hAnsi="Times New Roman" w:cs="Times New Roman"/>
          <w:kern w:val="0"/>
          <w14:ligatures w14:val="none"/>
        </w:rPr>
        <w:t xml:space="preserve"> Abbey, and addressed the everyday concerns of a maritime community. Through both stone and text, Becket’s cult was adapted to local circumstances, demonstrating the close relationship between religion, politics, and daily life in the medieval Welsh Marches.</w:t>
      </w:r>
    </w:p>
    <w:p w14:paraId="5E58A89F" w14:textId="77777777" w:rsidR="004D77C0" w:rsidRPr="004D77C0" w:rsidRDefault="004D77C0" w:rsidP="004D77C0">
      <w:pPr>
        <w:spacing w:after="0" w:line="240" w:lineRule="auto"/>
        <w:rPr>
          <w:rFonts w:ascii="Times New Roman" w:eastAsia="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4D8D161F" wp14:editId="38968173">
                <wp:extent cx="5731510" cy="1270"/>
                <wp:effectExtent l="0" t="31750" r="0" b="36830"/>
                <wp:docPr id="213229210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5DF7790"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A49D0BA" w14:textId="77777777" w:rsidR="004D77C0" w:rsidRPr="004D77C0" w:rsidRDefault="004D77C0" w:rsidP="004D77C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Figure</w:t>
      </w:r>
    </w:p>
    <w:p w14:paraId="4CD937CD"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p>
    <w:p w14:paraId="443E9135" w14:textId="77777777" w:rsidR="004D77C0" w:rsidRPr="004D77C0" w:rsidRDefault="004D77C0" w:rsidP="004D77C0">
      <w:pPr>
        <w:spacing w:before="100" w:beforeAutospacing="1" w:after="100" w:afterAutospacing="1" w:line="240" w:lineRule="auto"/>
        <w:rPr>
          <w:rFonts w:ascii="Times New Roman" w:hAnsi="Times New Roman" w:cs="Times New Roman"/>
          <w:kern w:val="0"/>
          <w14:ligatures w14:val="none"/>
        </w:rPr>
      </w:pPr>
      <w:r w:rsidRPr="004D77C0">
        <w:rPr>
          <w:rFonts w:ascii="Times New Roman" w:hAnsi="Times New Roman" w:cs="Times New Roman"/>
          <w:kern w:val="0"/>
          <w14:ligatures w14:val="none"/>
        </w:rPr>
        <w:t>Figure 1: Norman stone font, late twelfth century, St Mary’s Church, Swansea. Decorated with Romanesque arcading and interlace. Traditionally associated with the early local cult of Thomas Becket. Source: St Mary’s Church, Swansea.¹³</w:t>
      </w:r>
    </w:p>
    <w:p w14:paraId="2F558103" w14:textId="77777777" w:rsidR="004D77C0" w:rsidRPr="004D77C0" w:rsidRDefault="004D77C0" w:rsidP="004D77C0">
      <w:pPr>
        <w:spacing w:after="0" w:line="240" w:lineRule="auto"/>
        <w:rPr>
          <w:rFonts w:ascii="Times New Roman" w:eastAsia="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00F0D89F" wp14:editId="32B2F5F3">
                <wp:extent cx="5731510" cy="1270"/>
                <wp:effectExtent l="0" t="31750" r="0" b="36830"/>
                <wp:docPr id="111925320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C271580"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E4312FF" w14:textId="77777777" w:rsidR="004D77C0" w:rsidRDefault="004D77C0" w:rsidP="004D77C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D77C0">
        <w:rPr>
          <w:rFonts w:ascii="Times New Roman" w:eastAsia="Times New Roman" w:hAnsi="Times New Roman" w:cs="Times New Roman"/>
          <w:b/>
          <w:bCs/>
          <w:kern w:val="0"/>
          <w:sz w:val="36"/>
          <w:szCs w:val="36"/>
          <w14:ligatures w14:val="none"/>
        </w:rPr>
        <w:t>Bibliography</w:t>
      </w:r>
    </w:p>
    <w:p w14:paraId="59DE19B4" w14:textId="77777777" w:rsidR="002249F1" w:rsidRPr="002249F1" w:rsidRDefault="002249F1" w:rsidP="002249F1">
      <w:pPr>
        <w:spacing w:before="100" w:beforeAutospacing="1" w:after="100" w:afterAutospacing="1" w:line="240" w:lineRule="auto"/>
        <w:rPr>
          <w:rFonts w:ascii="Times New Roman" w:hAnsi="Times New Roman" w:cs="Times New Roman"/>
          <w:kern w:val="0"/>
          <w14:ligatures w14:val="none"/>
        </w:rPr>
      </w:pPr>
      <w:proofErr w:type="spellStart"/>
      <w:r w:rsidRPr="002249F1">
        <w:rPr>
          <w:rFonts w:ascii="Times New Roman" w:hAnsi="Times New Roman" w:cs="Times New Roman"/>
          <w:kern w:val="0"/>
          <w14:ligatures w14:val="none"/>
        </w:rPr>
        <w:t>Annales</w:t>
      </w:r>
      <w:proofErr w:type="spellEnd"/>
      <w:r w:rsidRPr="002249F1">
        <w:rPr>
          <w:rFonts w:ascii="Times New Roman" w:hAnsi="Times New Roman" w:cs="Times New Roman"/>
          <w:kern w:val="0"/>
          <w14:ligatures w14:val="none"/>
        </w:rPr>
        <w:t xml:space="preserve"> </w:t>
      </w:r>
      <w:proofErr w:type="spellStart"/>
      <w:r w:rsidRPr="002249F1">
        <w:rPr>
          <w:rFonts w:ascii="Times New Roman" w:hAnsi="Times New Roman" w:cs="Times New Roman"/>
          <w:kern w:val="0"/>
          <w14:ligatures w14:val="none"/>
        </w:rPr>
        <w:t>Monastici</w:t>
      </w:r>
      <w:proofErr w:type="spellEnd"/>
      <w:r w:rsidRPr="002249F1">
        <w:rPr>
          <w:rFonts w:ascii="Times New Roman" w:hAnsi="Times New Roman" w:cs="Times New Roman"/>
          <w:kern w:val="0"/>
          <w14:ligatures w14:val="none"/>
        </w:rPr>
        <w:t xml:space="preserve">, ed. by H. R. </w:t>
      </w:r>
      <w:proofErr w:type="spellStart"/>
      <w:r w:rsidRPr="002249F1">
        <w:rPr>
          <w:rFonts w:ascii="Times New Roman" w:hAnsi="Times New Roman" w:cs="Times New Roman"/>
          <w:kern w:val="0"/>
          <w14:ligatures w14:val="none"/>
        </w:rPr>
        <w:t>Luard</w:t>
      </w:r>
      <w:proofErr w:type="spellEnd"/>
      <w:r w:rsidRPr="002249F1">
        <w:rPr>
          <w:rFonts w:ascii="Times New Roman" w:hAnsi="Times New Roman" w:cs="Times New Roman"/>
          <w:kern w:val="0"/>
          <w14:ligatures w14:val="none"/>
        </w:rPr>
        <w:t xml:space="preserve">, Rolls Series, 5 </w:t>
      </w:r>
      <w:proofErr w:type="spellStart"/>
      <w:r w:rsidRPr="002249F1">
        <w:rPr>
          <w:rFonts w:ascii="Times New Roman" w:hAnsi="Times New Roman" w:cs="Times New Roman"/>
          <w:kern w:val="0"/>
          <w14:ligatures w14:val="none"/>
        </w:rPr>
        <w:t>vols</w:t>
      </w:r>
      <w:proofErr w:type="spellEnd"/>
      <w:r w:rsidRPr="002249F1">
        <w:rPr>
          <w:rFonts w:ascii="Times New Roman" w:hAnsi="Times New Roman" w:cs="Times New Roman"/>
          <w:kern w:val="0"/>
          <w14:ligatures w14:val="none"/>
        </w:rPr>
        <w:t xml:space="preserve"> (London: </w:t>
      </w:r>
      <w:proofErr w:type="spellStart"/>
      <w:r w:rsidRPr="002249F1">
        <w:rPr>
          <w:rFonts w:ascii="Times New Roman" w:hAnsi="Times New Roman" w:cs="Times New Roman"/>
          <w:kern w:val="0"/>
          <w14:ligatures w14:val="none"/>
        </w:rPr>
        <w:t>Longmans</w:t>
      </w:r>
      <w:proofErr w:type="spellEnd"/>
      <w:r w:rsidRPr="002249F1">
        <w:rPr>
          <w:rFonts w:ascii="Times New Roman" w:hAnsi="Times New Roman" w:cs="Times New Roman"/>
          <w:kern w:val="0"/>
          <w14:ligatures w14:val="none"/>
        </w:rPr>
        <w:t>, Green, Reader, and Dyer, 1864–1869), I.</w:t>
      </w:r>
    </w:p>
    <w:p w14:paraId="388CE289" w14:textId="77777777" w:rsidR="002249F1" w:rsidRPr="002249F1" w:rsidRDefault="002249F1" w:rsidP="002249F1">
      <w:pPr>
        <w:spacing w:before="100" w:beforeAutospacing="1" w:after="100" w:afterAutospacing="1" w:line="240" w:lineRule="auto"/>
        <w:rPr>
          <w:rFonts w:ascii="Times New Roman" w:hAnsi="Times New Roman" w:cs="Times New Roman"/>
          <w:kern w:val="0"/>
          <w14:ligatures w14:val="none"/>
        </w:rPr>
      </w:pPr>
    </w:p>
    <w:p w14:paraId="0FDB7AF0" w14:textId="77777777" w:rsidR="002249F1" w:rsidRPr="002249F1" w:rsidRDefault="002249F1" w:rsidP="002249F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249F1">
        <w:rPr>
          <w:rFonts w:ascii="Times New Roman" w:eastAsia="Times New Roman" w:hAnsi="Times New Roman" w:cs="Times New Roman"/>
          <w:b/>
          <w:bCs/>
          <w:kern w:val="0"/>
          <w:sz w:val="27"/>
          <w:szCs w:val="27"/>
          <w14:ligatures w14:val="none"/>
        </w:rPr>
        <w:t>Secondary Sources</w:t>
      </w:r>
    </w:p>
    <w:p w14:paraId="72080281" w14:textId="77777777" w:rsidR="002249F1" w:rsidRPr="002249F1" w:rsidRDefault="002249F1" w:rsidP="002249F1">
      <w:pPr>
        <w:spacing w:before="100" w:beforeAutospacing="1" w:after="100" w:afterAutospacing="1" w:line="240" w:lineRule="auto"/>
        <w:rPr>
          <w:rFonts w:ascii="Times New Roman" w:hAnsi="Times New Roman" w:cs="Times New Roman"/>
          <w:kern w:val="0"/>
          <w14:ligatures w14:val="none"/>
        </w:rPr>
      </w:pPr>
    </w:p>
    <w:p w14:paraId="38550D58" w14:textId="77777777" w:rsidR="002249F1" w:rsidRPr="002249F1" w:rsidRDefault="002249F1" w:rsidP="002249F1">
      <w:pPr>
        <w:spacing w:before="100" w:beforeAutospacing="1" w:after="100" w:afterAutospacing="1" w:line="240" w:lineRule="auto"/>
        <w:rPr>
          <w:rFonts w:ascii="Times New Roman" w:hAnsi="Times New Roman" w:cs="Times New Roman"/>
          <w:kern w:val="0"/>
          <w14:ligatures w14:val="none"/>
        </w:rPr>
      </w:pPr>
      <w:r w:rsidRPr="002249F1">
        <w:rPr>
          <w:rFonts w:ascii="Times New Roman" w:hAnsi="Times New Roman" w:cs="Times New Roman"/>
          <w:kern w:val="0"/>
          <w14:ligatures w14:val="none"/>
        </w:rPr>
        <w:t>Bartlett, Robert, Why Can the Dead Do Such Great Things? Saints and Worshippers from the Martyrs to the Reformation (Princeton: Princeton University Press, 2013).</w:t>
      </w:r>
    </w:p>
    <w:p w14:paraId="31EDB3D3" w14:textId="77777777" w:rsidR="002249F1" w:rsidRPr="002249F1" w:rsidRDefault="002249F1" w:rsidP="002249F1">
      <w:pPr>
        <w:spacing w:before="100" w:beforeAutospacing="1" w:after="100" w:afterAutospacing="1" w:line="240" w:lineRule="auto"/>
        <w:rPr>
          <w:rFonts w:ascii="Times New Roman" w:hAnsi="Times New Roman" w:cs="Times New Roman"/>
          <w:kern w:val="0"/>
          <w14:ligatures w14:val="none"/>
        </w:rPr>
      </w:pPr>
    </w:p>
    <w:p w14:paraId="07186ABD" w14:textId="77777777" w:rsidR="002249F1" w:rsidRPr="002249F1" w:rsidRDefault="002249F1" w:rsidP="002249F1">
      <w:pPr>
        <w:spacing w:before="100" w:beforeAutospacing="1" w:after="100" w:afterAutospacing="1" w:line="240" w:lineRule="auto"/>
        <w:rPr>
          <w:rFonts w:ascii="Times New Roman" w:hAnsi="Times New Roman" w:cs="Times New Roman"/>
          <w:kern w:val="0"/>
          <w14:ligatures w14:val="none"/>
        </w:rPr>
      </w:pPr>
      <w:r w:rsidRPr="002249F1">
        <w:rPr>
          <w:rFonts w:ascii="Times New Roman" w:hAnsi="Times New Roman" w:cs="Times New Roman"/>
          <w:kern w:val="0"/>
          <w14:ligatures w14:val="none"/>
        </w:rPr>
        <w:t>Cowley, F. G., The Monastic Order in South Wales, 1066–1349 (Cardiff: University of Wales Press, 1977).</w:t>
      </w:r>
    </w:p>
    <w:p w14:paraId="4EC39A45" w14:textId="77777777" w:rsidR="002249F1" w:rsidRPr="002249F1" w:rsidRDefault="002249F1" w:rsidP="002249F1">
      <w:pPr>
        <w:spacing w:before="100" w:beforeAutospacing="1" w:after="100" w:afterAutospacing="1" w:line="240" w:lineRule="auto"/>
        <w:rPr>
          <w:rFonts w:ascii="Times New Roman" w:hAnsi="Times New Roman" w:cs="Times New Roman"/>
          <w:kern w:val="0"/>
          <w14:ligatures w14:val="none"/>
        </w:rPr>
      </w:pPr>
    </w:p>
    <w:p w14:paraId="41021917" w14:textId="77777777" w:rsidR="002249F1" w:rsidRPr="002249F1" w:rsidRDefault="002249F1" w:rsidP="002249F1">
      <w:pPr>
        <w:spacing w:before="100" w:beforeAutospacing="1" w:after="100" w:afterAutospacing="1" w:line="240" w:lineRule="auto"/>
        <w:rPr>
          <w:rFonts w:ascii="Times New Roman" w:hAnsi="Times New Roman" w:cs="Times New Roman"/>
          <w:kern w:val="0"/>
          <w14:ligatures w14:val="none"/>
        </w:rPr>
      </w:pPr>
      <w:r w:rsidRPr="002249F1">
        <w:rPr>
          <w:rFonts w:ascii="Times New Roman" w:hAnsi="Times New Roman" w:cs="Times New Roman"/>
          <w:kern w:val="0"/>
          <w14:ligatures w14:val="none"/>
        </w:rPr>
        <w:t>Evans, J. Wyn, ‘The Cult of St Thomas Becket in Wales’, Welsh History Review, 28 (2017), 618–647.</w:t>
      </w:r>
    </w:p>
    <w:p w14:paraId="088960E6" w14:textId="77777777" w:rsidR="002249F1" w:rsidRPr="002249F1" w:rsidRDefault="002249F1" w:rsidP="002249F1">
      <w:pPr>
        <w:spacing w:before="100" w:beforeAutospacing="1" w:after="100" w:afterAutospacing="1" w:line="240" w:lineRule="auto"/>
        <w:rPr>
          <w:rFonts w:ascii="Times New Roman" w:hAnsi="Times New Roman" w:cs="Times New Roman"/>
          <w:kern w:val="0"/>
          <w14:ligatures w14:val="none"/>
        </w:rPr>
      </w:pPr>
    </w:p>
    <w:p w14:paraId="19570D5B" w14:textId="77777777" w:rsidR="002249F1" w:rsidRPr="002249F1" w:rsidRDefault="002249F1" w:rsidP="002249F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249F1">
        <w:rPr>
          <w:rFonts w:ascii="Times New Roman" w:eastAsia="Times New Roman" w:hAnsi="Times New Roman" w:cs="Times New Roman"/>
          <w:b/>
          <w:bCs/>
          <w:kern w:val="0"/>
          <w:sz w:val="27"/>
          <w:szCs w:val="27"/>
          <w14:ligatures w14:val="none"/>
        </w:rPr>
        <w:t>Online Source</w:t>
      </w:r>
    </w:p>
    <w:p w14:paraId="3BA81F92" w14:textId="77777777" w:rsidR="002249F1" w:rsidRPr="002249F1" w:rsidRDefault="002249F1" w:rsidP="002249F1">
      <w:pPr>
        <w:spacing w:before="100" w:beforeAutospacing="1" w:after="100" w:afterAutospacing="1" w:line="240" w:lineRule="auto"/>
        <w:rPr>
          <w:rFonts w:ascii="Times New Roman" w:hAnsi="Times New Roman" w:cs="Times New Roman"/>
          <w:kern w:val="0"/>
          <w14:ligatures w14:val="none"/>
        </w:rPr>
      </w:pPr>
    </w:p>
    <w:p w14:paraId="12CCF727" w14:textId="69230587" w:rsidR="002249F1" w:rsidRPr="00951D55" w:rsidRDefault="002249F1" w:rsidP="00951D55">
      <w:pPr>
        <w:spacing w:before="100" w:beforeAutospacing="1" w:after="100" w:afterAutospacing="1" w:line="240" w:lineRule="auto"/>
        <w:rPr>
          <w:rFonts w:ascii="Times New Roman" w:hAnsi="Times New Roman" w:cs="Times New Roman"/>
          <w:kern w:val="0"/>
          <w14:ligatures w14:val="none"/>
        </w:rPr>
      </w:pPr>
      <w:r w:rsidRPr="002249F1">
        <w:rPr>
          <w:rFonts w:ascii="Times New Roman" w:hAnsi="Times New Roman" w:cs="Times New Roman"/>
          <w:kern w:val="0"/>
          <w14:ligatures w14:val="none"/>
        </w:rPr>
        <w:t xml:space="preserve">St Mary’s Church, Swansea, ‘The Norman Font’ </w:t>
      </w:r>
      <w:hyperlink r:id="rId7" w:history="1">
        <w:r w:rsidRPr="002249F1">
          <w:rPr>
            <w:rFonts w:ascii="Times New Roman" w:hAnsi="Times New Roman" w:cs="Times New Roman"/>
            <w:color w:val="0000FF"/>
            <w:kern w:val="0"/>
            <w:u w:val="single"/>
            <w14:ligatures w14:val="none"/>
          </w:rPr>
          <w:t>https://www.stmarysswansea.org/history/norman-font</w:t>
        </w:r>
      </w:hyperlink>
      <w:r w:rsidRPr="002249F1">
        <w:rPr>
          <w:rFonts w:ascii="Times New Roman" w:hAnsi="Times New Roman" w:cs="Times New Roman"/>
          <w:noProof/>
          <w:kern w:val="0"/>
          <w14:ligatures w14:val="none"/>
        </w:rPr>
        <mc:AlternateContent>
          <mc:Choice Requires="wps">
            <w:drawing>
              <wp:inline distT="0" distB="0" distL="0" distR="0" wp14:anchorId="3354690B" wp14:editId="484E9CAB">
                <wp:extent cx="310515" cy="310515"/>
                <wp:effectExtent l="0" t="0" r="0" b="0"/>
                <wp:docPr id="115749614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0515" cy="3105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F41B13" id="Rectangle 1" o:spid="_x0000_s1026" style="width:24.45pt;height:2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WyLc0gEAAJ4DAAAOAAAAZHJzL2Uyb0RvYy54bWysU8tu2zAQvBfoPxC815Jcuw/BchAkSFEg&#13;&#10;bQqk+QCaoiSiEpfdpS27X98l5dhucyt6IfZBzc4OR6ur/dCLnUGy4CpZzHIpjNNQW9dW8un73ZsP&#13;&#10;UlBQrlY9OFPJgyF5tX79ajX60syhg742KBjEUTn6SnYh+DLLSHdmUDQDbxw3G8BBBU6xzWpUI6MP&#13;&#10;fTbP83fZCFh7BG2IuHo7NeU64TeN0eGhacgE0VeSuYV0Yjo38czWK1W2qHxn9ZGG+gcWg7KOh56g&#13;&#10;blVQYov2BdRgNQJBE2YahgyaxmqTduBtivyvbR475U3ahcUhf5KJ/h+s/rp79N8wUid/D/oHCQc3&#13;&#10;nXKtuSbP8vGjynMJEcbOqJoZFFG7bPRUnjBiQowmNuMXqPm11TZAkmXf4BBn8MJin9Q/nNQ3+yA0&#13;&#10;F98W+bJYSqG5dYzjBFU+f+yRwicDg4hBJZHZJXC1u6cwXX2+Emc5uLN9nx64d38UGDNWEvnIN7qF&#13;&#10;yg3UB+aOMJmETc1BB/hLipENUkn6uVVopOg/O97/Y7FYREelZLF8P+cELzuby45ymqEqGaSYwpsw&#13;&#10;uXDr0bZdknnieM2aNTbtc2Z1JMsmSIocDRtddpmnW+ffav0bAAD//wMAUEsDBBQABgAIAAAAIQDr&#13;&#10;Cme93QAAAAgBAAAPAAAAZHJzL2Rvd25yZXYueG1sTI9BS8NAEIXvgv9hGcGLtBtFpKbZlFIRiwil&#13;&#10;ae15mx2T0Oxsmt0m8d87tQe9vGF4zJv3JbPB1qLD1leOFNyPIxBIuTMVFQq2m9fRBIQPmoyuHaGC&#13;&#10;b/QwS6+vEh0b19MauywUgkPIx1pBGUITS+nzEq32Y9cgsfflWqsDr20hTat7Dre1fIiiJ2l1Rfyh&#13;&#10;1A0uSswP2ckq6PNVt9t8vMnV3W7p6Lg8LrLPd6Vub4aXKct8CiLgEP4u4MzA/SHlYnt3IuNFrYBp&#13;&#10;wq+y9zh5BrG/TJkm8j9A+gMAAP//AwBQSwECLQAUAAYACAAAACEAtoM4kv4AAADhAQAAEwAAAAAA&#13;&#10;AAAAAAAAAAAAAAAAW0NvbnRlbnRfVHlwZXNdLnhtbFBLAQItABQABgAIAAAAIQA4/SH/1gAAAJQB&#13;&#10;AAALAAAAAAAAAAAAAAAAAC8BAABfcmVscy8ucmVsc1BLAQItABQABgAIAAAAIQCrWyLc0gEAAJ4D&#13;&#10;AAAOAAAAAAAAAAAAAAAAAC4CAABkcnMvZTJvRG9jLnhtbFBLAQItABQABgAIAAAAIQDrCme93QAA&#13;&#10;AAgBAAAPAAAAAAAAAAAAAAAAACwEAABkcnMvZG93bnJldi54bWxQSwUGAAAAAAQABADzAAAANgUA&#13;&#10;AAAA&#13;&#10;" filled="f" stroked="f">
                <o:lock v:ext="edit" aspectratio="t"/>
                <w10:anchorlock/>
              </v:rect>
            </w:pict>
          </mc:Fallback>
        </mc:AlternateContent>
      </w:r>
      <w:r w:rsidRPr="002249F1">
        <w:rPr>
          <w:rFonts w:ascii="Times New Roman" w:hAnsi="Times New Roman" w:cs="Times New Roman"/>
          <w:kern w:val="0"/>
          <w14:ligatures w14:val="none"/>
        </w:rPr>
        <w:t xml:space="preserve"> </w:t>
      </w:r>
    </w:p>
    <w:p w14:paraId="7A741EF5" w14:textId="7D4EF8BB" w:rsidR="004D77C0" w:rsidRPr="00F94C73" w:rsidRDefault="004D77C0" w:rsidP="00F94C73">
      <w:pPr>
        <w:spacing w:after="0" w:line="240" w:lineRule="auto"/>
        <w:rPr>
          <w:rFonts w:ascii="Times New Roman" w:eastAsia="Times New Roman" w:hAnsi="Times New Roman" w:cs="Times New Roman"/>
          <w:kern w:val="0"/>
          <w14:ligatures w14:val="none"/>
        </w:rPr>
      </w:pPr>
      <w:r w:rsidRPr="004D77C0">
        <w:rPr>
          <w:rFonts w:ascii="Times New Roman" w:eastAsia="Times New Roman" w:hAnsi="Times New Roman" w:cs="Times New Roman"/>
          <w:noProof/>
          <w:kern w:val="0"/>
          <w14:ligatures w14:val="none"/>
        </w:rPr>
        <mc:AlternateContent>
          <mc:Choice Requires="wps">
            <w:drawing>
              <wp:inline distT="0" distB="0" distL="0" distR="0" wp14:anchorId="169228DF" wp14:editId="0036BDD5">
                <wp:extent cx="5731510" cy="1270"/>
                <wp:effectExtent l="0" t="33655" r="0" b="38735"/>
                <wp:docPr id="174659506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3C1C6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579A1B5" w14:textId="77777777" w:rsidR="004D77C0" w:rsidRDefault="004D77C0"/>
    <w:sectPr w:rsidR="004D7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E6405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3971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0834891">
    <w:abstractNumId w:val="0"/>
  </w:num>
  <w:num w:numId="2" w16cid:durableId="12806436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7C0"/>
    <w:rsid w:val="000A7BDB"/>
    <w:rsid w:val="002249F1"/>
    <w:rsid w:val="00475D5B"/>
    <w:rsid w:val="004D77C0"/>
    <w:rsid w:val="00613DED"/>
    <w:rsid w:val="006F5869"/>
    <w:rsid w:val="007A3EEB"/>
    <w:rsid w:val="00951D55"/>
    <w:rsid w:val="00AD76B5"/>
    <w:rsid w:val="00D2263E"/>
    <w:rsid w:val="00F94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006EF"/>
  <w15:chartTrackingRefBased/>
  <w15:docId w15:val="{1DD9916D-1CBE-784F-9CDA-96E865814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7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D77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D77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77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D77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D77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7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7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7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7C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D77C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D77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D77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77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77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7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7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7C0"/>
    <w:rPr>
      <w:rFonts w:eastAsiaTheme="majorEastAsia" w:cstheme="majorBidi"/>
      <w:color w:val="272727" w:themeColor="text1" w:themeTint="D8"/>
    </w:rPr>
  </w:style>
  <w:style w:type="paragraph" w:styleId="Title">
    <w:name w:val="Title"/>
    <w:basedOn w:val="Normal"/>
    <w:next w:val="Normal"/>
    <w:link w:val="TitleChar"/>
    <w:uiPriority w:val="10"/>
    <w:qFormat/>
    <w:rsid w:val="004D77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7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7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7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7C0"/>
    <w:pPr>
      <w:spacing w:before="160"/>
      <w:jc w:val="center"/>
    </w:pPr>
    <w:rPr>
      <w:i/>
      <w:iCs/>
      <w:color w:val="404040" w:themeColor="text1" w:themeTint="BF"/>
    </w:rPr>
  </w:style>
  <w:style w:type="character" w:customStyle="1" w:styleId="QuoteChar">
    <w:name w:val="Quote Char"/>
    <w:basedOn w:val="DefaultParagraphFont"/>
    <w:link w:val="Quote"/>
    <w:uiPriority w:val="29"/>
    <w:rsid w:val="004D77C0"/>
    <w:rPr>
      <w:i/>
      <w:iCs/>
      <w:color w:val="404040" w:themeColor="text1" w:themeTint="BF"/>
    </w:rPr>
  </w:style>
  <w:style w:type="paragraph" w:styleId="ListParagraph">
    <w:name w:val="List Paragraph"/>
    <w:basedOn w:val="Normal"/>
    <w:uiPriority w:val="34"/>
    <w:qFormat/>
    <w:rsid w:val="004D77C0"/>
    <w:pPr>
      <w:ind w:left="720"/>
      <w:contextualSpacing/>
    </w:pPr>
  </w:style>
  <w:style w:type="character" w:styleId="IntenseEmphasis">
    <w:name w:val="Intense Emphasis"/>
    <w:basedOn w:val="DefaultParagraphFont"/>
    <w:uiPriority w:val="21"/>
    <w:qFormat/>
    <w:rsid w:val="004D77C0"/>
    <w:rPr>
      <w:i/>
      <w:iCs/>
      <w:color w:val="2F5496" w:themeColor="accent1" w:themeShade="BF"/>
    </w:rPr>
  </w:style>
  <w:style w:type="paragraph" w:styleId="IntenseQuote">
    <w:name w:val="Intense Quote"/>
    <w:basedOn w:val="Normal"/>
    <w:next w:val="Normal"/>
    <w:link w:val="IntenseQuoteChar"/>
    <w:uiPriority w:val="30"/>
    <w:qFormat/>
    <w:rsid w:val="004D77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77C0"/>
    <w:rPr>
      <w:i/>
      <w:iCs/>
      <w:color w:val="2F5496" w:themeColor="accent1" w:themeShade="BF"/>
    </w:rPr>
  </w:style>
  <w:style w:type="character" w:styleId="IntenseReference">
    <w:name w:val="Intense Reference"/>
    <w:basedOn w:val="DefaultParagraphFont"/>
    <w:uiPriority w:val="32"/>
    <w:qFormat/>
    <w:rsid w:val="004D77C0"/>
    <w:rPr>
      <w:b/>
      <w:bCs/>
      <w:smallCaps/>
      <w:color w:val="2F5496" w:themeColor="accent1" w:themeShade="BF"/>
      <w:spacing w:val="5"/>
    </w:rPr>
  </w:style>
  <w:style w:type="paragraph" w:customStyle="1" w:styleId="p1">
    <w:name w:val="p1"/>
    <w:basedOn w:val="Normal"/>
    <w:rsid w:val="004D77C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4D77C0"/>
  </w:style>
  <w:style w:type="character" w:customStyle="1" w:styleId="s2">
    <w:name w:val="s2"/>
    <w:basedOn w:val="DefaultParagraphFont"/>
    <w:rsid w:val="004D77C0"/>
  </w:style>
  <w:style w:type="character" w:customStyle="1" w:styleId="s3">
    <w:name w:val="s3"/>
    <w:basedOn w:val="DefaultParagraphFont"/>
    <w:rsid w:val="004D77C0"/>
  </w:style>
  <w:style w:type="paragraph" w:customStyle="1" w:styleId="p3">
    <w:name w:val="p3"/>
    <w:basedOn w:val="Normal"/>
    <w:rsid w:val="004D77C0"/>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4D77C0"/>
  </w:style>
  <w:style w:type="paragraph" w:customStyle="1" w:styleId="p2">
    <w:name w:val="p2"/>
    <w:basedOn w:val="Normal"/>
    <w:rsid w:val="002249F1"/>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2249F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tmarysswansea.org/history/norman-fo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1618</Words>
  <Characters>9228</Characters>
  <Application>Microsoft Office Word</Application>
  <DocSecurity>0</DocSecurity>
  <Lines>76</Lines>
  <Paragraphs>21</Paragraphs>
  <ScaleCrop>false</ScaleCrop>
  <Company/>
  <LinksUpToDate>false</LinksUpToDate>
  <CharactersWithSpaces>10825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Sugarova</dc:creator>
  <cp:keywords/>
  <dc:description/>
  <cp:lastModifiedBy>Katerina Sugarova</cp:lastModifiedBy>
  <cp:revision>2</cp:revision>
  <dcterms:created xsi:type="dcterms:W3CDTF">2026-01-14T22:56:00Z</dcterms:created>
  <dcterms:modified xsi:type="dcterms:W3CDTF">2026-01-14T22:56:00Z</dcterms:modified>
</cp:coreProperties>
</file>