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2E9E" w14:textId="6FCFC8F8" w:rsidR="00E218E3" w:rsidRPr="00FA7E12" w:rsidRDefault="00E218E3">
      <w:pPr>
        <w:rPr>
          <w:rFonts w:ascii="Merriweather" w:hAnsi="Merriweather"/>
        </w:rPr>
      </w:pPr>
      <w:r w:rsidRPr="00FA7E12">
        <w:rPr>
          <w:rFonts w:ascii="Merriweather" w:hAnsi="Merriweather"/>
        </w:rPr>
        <w:t>Liberation theology, originating in the Roman Catholic community in Latin America in the 1950s, is a theological reinterpretation of the Christian faith with a renewed focus on the poor and oppressed. As its name suggests, liberation theology attempts to liberate people from unjust social, political and economic contexts.</w:t>
      </w:r>
      <w:r w:rsidRPr="00FA7E12">
        <w:rPr>
          <w:rStyle w:val="FootnoteReference"/>
          <w:rFonts w:ascii="Merriweather" w:hAnsi="Merriweather"/>
        </w:rPr>
        <w:footnoteReference w:id="1"/>
      </w:r>
      <w:r w:rsidRPr="00FA7E12">
        <w:rPr>
          <w:rFonts w:ascii="Merriweather" w:hAnsi="Merriweather"/>
        </w:rPr>
        <w:t xml:space="preserve"> Liberation theology</w:t>
      </w:r>
      <w:r w:rsidR="00716FBB" w:rsidRPr="00FA7E12">
        <w:rPr>
          <w:rFonts w:ascii="Merriweather" w:hAnsi="Merriweather"/>
        </w:rPr>
        <w:t xml:space="preserve"> argues for a need for action against poverty, as opposed to idly sitting by while it occurs. </w:t>
      </w:r>
      <w:r w:rsidR="00351678" w:rsidRPr="00FA7E12">
        <w:rPr>
          <w:rFonts w:ascii="Merriweather" w:hAnsi="Merriweather"/>
        </w:rPr>
        <w:t>Furthermore, liberation theology emphasises praxis over dogma</w:t>
      </w:r>
      <w:r w:rsidR="002F406C">
        <w:rPr>
          <w:rFonts w:ascii="Merriweather" w:hAnsi="Merriweather"/>
        </w:rPr>
        <w:t xml:space="preserve">, meaning that what a Christian believes must lead to action. </w:t>
      </w:r>
    </w:p>
    <w:p w14:paraId="2DDBDAAE" w14:textId="6CC3B128" w:rsidR="00351678" w:rsidRPr="00FA7E12" w:rsidRDefault="00716FBB">
      <w:pPr>
        <w:rPr>
          <w:rFonts w:ascii="Merriweather" w:hAnsi="Merriweather"/>
        </w:rPr>
      </w:pPr>
      <w:r w:rsidRPr="00FA7E12">
        <w:rPr>
          <w:rFonts w:ascii="Merriweather" w:hAnsi="Merriweather"/>
        </w:rPr>
        <w:t xml:space="preserve">As Hellwig describes in her article </w:t>
      </w:r>
      <w:r w:rsidRPr="00F16951">
        <w:rPr>
          <w:rFonts w:ascii="Merriweather" w:hAnsi="Merriweather"/>
          <w:i/>
          <w:iCs/>
        </w:rPr>
        <w:t>Liberation Theology: An Emerging School</w:t>
      </w:r>
      <w:r w:rsidRPr="00FA7E12">
        <w:rPr>
          <w:rFonts w:ascii="Merriweather" w:hAnsi="Merriweather"/>
        </w:rPr>
        <w:t>,</w:t>
      </w:r>
      <w:r w:rsidRPr="00FA7E12">
        <w:rPr>
          <w:rStyle w:val="FootnoteReference"/>
          <w:rFonts w:ascii="Merriweather" w:hAnsi="Merriweather"/>
        </w:rPr>
        <w:footnoteReference w:id="2"/>
      </w:r>
      <w:r w:rsidRPr="00FA7E12">
        <w:rPr>
          <w:rFonts w:ascii="Merriweather" w:hAnsi="Merriweather"/>
        </w:rPr>
        <w:t xml:space="preserve"> liberation theology began after pressure began to build for a pastoral response to injustice towards the poor.</w:t>
      </w:r>
      <w:r w:rsidR="002D0552" w:rsidRPr="00FA7E12">
        <w:rPr>
          <w:rFonts w:ascii="Merriweather" w:hAnsi="Merriweather"/>
        </w:rPr>
        <w:t xml:space="preserve"> There were protests against the abuse faced by marginalised members of society, and a</w:t>
      </w:r>
      <w:r w:rsidRPr="00FA7E12">
        <w:rPr>
          <w:rFonts w:ascii="Merriweather" w:hAnsi="Merriweather"/>
        </w:rPr>
        <w:t>s a reply to protests, the Roman Catholic Church held a conference at Medellin Colombia nicknamed C.E.L.A.M, which focused on ‘large scale and searching questions of social justice.’</w:t>
      </w:r>
      <w:r w:rsidRPr="00FA7E12">
        <w:rPr>
          <w:rStyle w:val="FootnoteReference"/>
          <w:rFonts w:ascii="Merriweather" w:hAnsi="Merriweather"/>
        </w:rPr>
        <w:footnoteReference w:id="3"/>
      </w:r>
      <w:r w:rsidR="00351678" w:rsidRPr="00FA7E12">
        <w:rPr>
          <w:rFonts w:ascii="Merriweather" w:hAnsi="Merriweather"/>
        </w:rPr>
        <w:t xml:space="preserve"> </w:t>
      </w:r>
      <w:r w:rsidR="00B83A26" w:rsidRPr="00FA7E12">
        <w:rPr>
          <w:rFonts w:ascii="Merriweather" w:hAnsi="Merriweather"/>
        </w:rPr>
        <w:t>This meeting acknowledged that the Church had often sided with oppressive governments, and declared that in future it would be determinedly on the side of the poor.</w:t>
      </w:r>
      <w:r w:rsidR="00B83A26" w:rsidRPr="00FA7E12">
        <w:rPr>
          <w:rStyle w:val="FootnoteReference"/>
          <w:rFonts w:ascii="Merriweather" w:hAnsi="Merriweather"/>
        </w:rPr>
        <w:footnoteReference w:id="4"/>
      </w:r>
      <w:r w:rsidR="002D0552" w:rsidRPr="00FA7E12">
        <w:rPr>
          <w:rFonts w:ascii="Merriweather" w:hAnsi="Merriweather"/>
        </w:rPr>
        <w:t xml:space="preserve">As a direct consequence of the Medellin Conference, several theologians developed a theology oriented towards the poor and oppressed, </w:t>
      </w:r>
      <w:r w:rsidR="00165B56">
        <w:rPr>
          <w:rFonts w:ascii="Merriweather" w:hAnsi="Merriweather"/>
        </w:rPr>
        <w:t xml:space="preserve">involving </w:t>
      </w:r>
      <w:r w:rsidR="002D0552" w:rsidRPr="00FA7E12">
        <w:rPr>
          <w:rFonts w:ascii="Merriweather" w:hAnsi="Merriweather"/>
        </w:rPr>
        <w:t>critical reflection on practice.</w:t>
      </w:r>
      <w:r w:rsidR="002D0552" w:rsidRPr="00FA7E12">
        <w:rPr>
          <w:rStyle w:val="FootnoteReference"/>
          <w:rFonts w:ascii="Merriweather" w:hAnsi="Merriweather"/>
        </w:rPr>
        <w:footnoteReference w:id="5"/>
      </w:r>
      <w:r w:rsidR="002D0552" w:rsidRPr="00FA7E12">
        <w:rPr>
          <w:rFonts w:ascii="Merriweather" w:hAnsi="Merriweather"/>
        </w:rPr>
        <w:t xml:space="preserve"> </w:t>
      </w:r>
    </w:p>
    <w:p w14:paraId="004D088C" w14:textId="1B427C56" w:rsidR="002D0552" w:rsidRPr="00FA7E12" w:rsidRDefault="00E956EE">
      <w:pPr>
        <w:rPr>
          <w:rFonts w:ascii="Merriweather" w:hAnsi="Merriweather"/>
        </w:rPr>
      </w:pPr>
      <w:r w:rsidRPr="00FA7E12">
        <w:rPr>
          <w:rFonts w:ascii="Merriweather" w:hAnsi="Merriweather"/>
        </w:rPr>
        <w:t>The term ‘liberation theology’ was c</w:t>
      </w:r>
      <w:r w:rsidR="002D0552" w:rsidRPr="00FA7E12">
        <w:rPr>
          <w:rFonts w:ascii="Merriweather" w:hAnsi="Merriweather"/>
        </w:rPr>
        <w:t>oined by Peruvian priest Gustavo Gutierrez</w:t>
      </w:r>
      <w:r w:rsidR="00E803F7" w:rsidRPr="00FA7E12">
        <w:rPr>
          <w:rFonts w:ascii="Merriweather" w:hAnsi="Merriweather"/>
        </w:rPr>
        <w:t>,</w:t>
      </w:r>
      <w:r w:rsidR="002D0552" w:rsidRPr="00FA7E12">
        <w:rPr>
          <w:rStyle w:val="FootnoteReference"/>
          <w:rFonts w:ascii="Merriweather" w:hAnsi="Merriweather"/>
        </w:rPr>
        <w:footnoteReference w:id="6"/>
      </w:r>
      <w:r w:rsidR="002D0552" w:rsidRPr="00FA7E12">
        <w:rPr>
          <w:rFonts w:ascii="Merriweather" w:hAnsi="Merriweather"/>
        </w:rPr>
        <w:t xml:space="preserve"> </w:t>
      </w:r>
      <w:r w:rsidR="00011FD3" w:rsidRPr="00FA7E12">
        <w:rPr>
          <w:rFonts w:ascii="Merriweather" w:hAnsi="Merriweather"/>
        </w:rPr>
        <w:t>who wrote possibly the most famous text on the topic</w:t>
      </w:r>
      <w:r w:rsidR="00DB0F65" w:rsidRPr="00FA7E12">
        <w:rPr>
          <w:rFonts w:ascii="Merriweather" w:hAnsi="Merriweather"/>
        </w:rPr>
        <w:t xml:space="preserve">, called </w:t>
      </w:r>
      <w:r w:rsidR="00DB0F65" w:rsidRPr="00F16951">
        <w:rPr>
          <w:rFonts w:ascii="Merriweather" w:hAnsi="Merriweather"/>
          <w:i/>
          <w:iCs/>
        </w:rPr>
        <w:t>On the Side of the Poor: The Theology of Liberation</w:t>
      </w:r>
      <w:r w:rsidR="00546924" w:rsidRPr="00FA7E12">
        <w:rPr>
          <w:rFonts w:ascii="Merriweather" w:hAnsi="Merriweather"/>
        </w:rPr>
        <w:t xml:space="preserve"> with Gerhard Ludwig Muller. </w:t>
      </w:r>
      <w:r w:rsidR="00F80631" w:rsidRPr="00FA7E12">
        <w:rPr>
          <w:rFonts w:ascii="Merriweather" w:hAnsi="Merriweather"/>
        </w:rPr>
        <w:t>Gutierrez’s book encompasses many of the key debates and proponents of liberation theology</w:t>
      </w:r>
      <w:r w:rsidR="00591E81" w:rsidRPr="00FA7E12">
        <w:rPr>
          <w:rFonts w:ascii="Merriweather" w:hAnsi="Merriweather"/>
        </w:rPr>
        <w:t xml:space="preserve">. </w:t>
      </w:r>
      <w:r w:rsidR="0077194D" w:rsidRPr="00FA7E12">
        <w:rPr>
          <w:rFonts w:ascii="Merriweather" w:hAnsi="Merriweather"/>
        </w:rPr>
        <w:t xml:space="preserve">While Gutierrez is arguably one of the most famous </w:t>
      </w:r>
      <w:r w:rsidR="006463C9" w:rsidRPr="00FA7E12">
        <w:rPr>
          <w:rFonts w:ascii="Merriweather" w:hAnsi="Merriweather"/>
        </w:rPr>
        <w:t xml:space="preserve">activists for liberation theology, there are other theologians who have argued similarly for the rights of the poor. For example, Jon </w:t>
      </w:r>
      <w:proofErr w:type="spellStart"/>
      <w:r w:rsidR="006463C9" w:rsidRPr="00FA7E12">
        <w:rPr>
          <w:rFonts w:ascii="Merriweather" w:hAnsi="Merriweather"/>
        </w:rPr>
        <w:t>Sabrino</w:t>
      </w:r>
      <w:proofErr w:type="spellEnd"/>
      <w:r w:rsidR="000976E8" w:rsidRPr="00FA7E12">
        <w:rPr>
          <w:rFonts w:ascii="Merriweather" w:hAnsi="Merriweather"/>
        </w:rPr>
        <w:t xml:space="preserve">, a Jesuit Catholic priest known mostly for his contributions to Latin American liberation theology, </w:t>
      </w:r>
      <w:r w:rsidR="006463C9" w:rsidRPr="00FA7E12">
        <w:rPr>
          <w:rFonts w:ascii="Merriweather" w:hAnsi="Merriweather"/>
        </w:rPr>
        <w:t>said, ‘The poor are the authentic theological source for understanding Christian belief and practice.’</w:t>
      </w:r>
      <w:r w:rsidR="006463C9" w:rsidRPr="00FA7E12">
        <w:rPr>
          <w:rStyle w:val="FootnoteReference"/>
          <w:rFonts w:ascii="Merriweather" w:hAnsi="Merriweather"/>
        </w:rPr>
        <w:footnoteReference w:id="7"/>
      </w:r>
      <w:r w:rsidR="0006609D">
        <w:rPr>
          <w:rFonts w:ascii="Merriweather" w:hAnsi="Merriweather"/>
        </w:rPr>
        <w:t xml:space="preserve"> </w:t>
      </w:r>
      <w:r w:rsidR="0006609D">
        <w:rPr>
          <w:rFonts w:ascii="Merriweather" w:hAnsi="Merriweather"/>
        </w:rPr>
        <w:lastRenderedPageBreak/>
        <w:t>Liberation theology focuses on biblical themes such as the God of Exodus, who freed the Israelite slaves from Egypt, as an example to support</w:t>
      </w:r>
      <w:r w:rsidR="002E3BB1">
        <w:rPr>
          <w:rFonts w:ascii="Merriweather" w:hAnsi="Merriweather"/>
        </w:rPr>
        <w:t xml:space="preserve"> God’s advocation for the poor and oppressed.</w:t>
      </w:r>
    </w:p>
    <w:p w14:paraId="49A84B94" w14:textId="454DC332" w:rsidR="002E3BB1" w:rsidRDefault="00C63478">
      <w:pPr>
        <w:rPr>
          <w:rFonts w:ascii="Merriweather" w:hAnsi="Merriweather"/>
        </w:rPr>
      </w:pPr>
      <w:r w:rsidRPr="00FA7E12">
        <w:rPr>
          <w:rFonts w:ascii="Merriweather" w:hAnsi="Merriweather"/>
        </w:rPr>
        <w:t>Liberation theologians teach that theology should never be detached from political action and social movements in its cultural context.</w:t>
      </w:r>
      <w:r w:rsidRPr="00FA7E12">
        <w:rPr>
          <w:rStyle w:val="FootnoteReference"/>
          <w:rFonts w:ascii="Merriweather" w:hAnsi="Merriweather"/>
        </w:rPr>
        <w:footnoteReference w:id="8"/>
      </w:r>
      <w:r w:rsidR="00125657" w:rsidRPr="00FA7E12">
        <w:rPr>
          <w:rFonts w:ascii="Merriweather" w:hAnsi="Merriweather"/>
        </w:rPr>
        <w:t xml:space="preserve"> </w:t>
      </w:r>
      <w:r w:rsidR="002E58F3" w:rsidRPr="00FA7E12">
        <w:rPr>
          <w:rFonts w:ascii="Merriweather" w:hAnsi="Merriweather"/>
        </w:rPr>
        <w:t xml:space="preserve">While classical western theology saw critical reflection come before action, liberation theology reversed this, </w:t>
      </w:r>
      <w:r w:rsidR="008D0762" w:rsidRPr="00FA7E12">
        <w:rPr>
          <w:rFonts w:ascii="Merriweather" w:hAnsi="Merriweather"/>
        </w:rPr>
        <w:t>encouraging action first.</w:t>
      </w:r>
      <w:r w:rsidR="008D0762" w:rsidRPr="00FA7E12">
        <w:rPr>
          <w:rStyle w:val="FootnoteReference"/>
          <w:rFonts w:ascii="Merriweather" w:hAnsi="Merriweather"/>
        </w:rPr>
        <w:footnoteReference w:id="9"/>
      </w:r>
      <w:r w:rsidR="00170D0C" w:rsidRPr="00FA7E12">
        <w:rPr>
          <w:rFonts w:ascii="Merriweather" w:hAnsi="Merriweather"/>
        </w:rPr>
        <w:t xml:space="preserve"> This made it unpopular with some traditional western theologians. </w:t>
      </w:r>
      <w:r w:rsidR="00C25AC5" w:rsidRPr="00FA7E12">
        <w:rPr>
          <w:rFonts w:ascii="Merriweather" w:hAnsi="Merriweather"/>
        </w:rPr>
        <w:t>Anot</w:t>
      </w:r>
      <w:r w:rsidR="00EF435B" w:rsidRPr="00FA7E12">
        <w:rPr>
          <w:rFonts w:ascii="Merriweather" w:hAnsi="Merriweather"/>
        </w:rPr>
        <w:t xml:space="preserve">her famous criticism of </w:t>
      </w:r>
      <w:r w:rsidR="00C25AC5" w:rsidRPr="00FA7E12">
        <w:rPr>
          <w:rFonts w:ascii="Merriweather" w:hAnsi="Merriweather"/>
        </w:rPr>
        <w:t>liberation theology comes from its association with Marxism</w:t>
      </w:r>
      <w:r w:rsidR="00815357" w:rsidRPr="00FA7E12">
        <w:rPr>
          <w:rFonts w:ascii="Merriweather" w:hAnsi="Merriweather"/>
        </w:rPr>
        <w:t>, as in practice, liberation theology is critical of capitalism and generally pro-socialism.</w:t>
      </w:r>
      <w:r w:rsidR="00815357" w:rsidRPr="00FA7E12">
        <w:rPr>
          <w:rStyle w:val="FootnoteReference"/>
          <w:rFonts w:ascii="Merriweather" w:hAnsi="Merriweather"/>
        </w:rPr>
        <w:footnoteReference w:id="10"/>
      </w:r>
      <w:r w:rsidR="00757624" w:rsidRPr="00FA7E12">
        <w:rPr>
          <w:rFonts w:ascii="Merriweather" w:hAnsi="Merriweather"/>
        </w:rPr>
        <w:t xml:space="preserve"> As Marxism is famously anti-religion, this posed a problem for the theology’s religious basis. To combat this criticism, liberation theologians </w:t>
      </w:r>
      <w:r w:rsidR="00654062" w:rsidRPr="00FA7E12">
        <w:rPr>
          <w:rFonts w:ascii="Merriweather" w:hAnsi="Merriweather"/>
        </w:rPr>
        <w:t xml:space="preserve">likened their </w:t>
      </w:r>
      <w:r w:rsidR="00D5113F" w:rsidRPr="00FA7E12">
        <w:rPr>
          <w:rFonts w:ascii="Merriweather" w:hAnsi="Merriweather"/>
        </w:rPr>
        <w:t>use of Marxist ideals to Thomas Aquinas’ use of Aristotle in his theolog</w:t>
      </w:r>
      <w:r w:rsidR="00A0758B">
        <w:rPr>
          <w:rFonts w:ascii="Merriweather" w:hAnsi="Merriweather"/>
        </w:rPr>
        <w:t>y</w:t>
      </w:r>
      <w:r w:rsidR="00AB3B02" w:rsidRPr="00FA7E12">
        <w:rPr>
          <w:rFonts w:ascii="Merriweather" w:hAnsi="Merriweather"/>
        </w:rPr>
        <w:t>; Aquinas similarly used a secular philosophy to support Christian beliefs.</w:t>
      </w:r>
      <w:r w:rsidR="00AB3B02" w:rsidRPr="00FA7E12">
        <w:rPr>
          <w:rStyle w:val="FootnoteReference"/>
          <w:rFonts w:ascii="Merriweather" w:hAnsi="Merriweather"/>
        </w:rPr>
        <w:footnoteReference w:id="11"/>
      </w:r>
      <w:r w:rsidR="004E2850" w:rsidRPr="00FA7E12">
        <w:rPr>
          <w:rFonts w:ascii="Merriweather" w:hAnsi="Merriweather"/>
        </w:rPr>
        <w:t xml:space="preserve"> </w:t>
      </w:r>
    </w:p>
    <w:p w14:paraId="15863787" w14:textId="17575C70" w:rsidR="00170D0C" w:rsidRPr="00FA7E12" w:rsidRDefault="004E2850">
      <w:pPr>
        <w:rPr>
          <w:rFonts w:ascii="Merriweather" w:hAnsi="Merriweather"/>
        </w:rPr>
      </w:pPr>
      <w:r w:rsidRPr="00FA7E12">
        <w:rPr>
          <w:rFonts w:ascii="Merriweather" w:hAnsi="Merriweather"/>
        </w:rPr>
        <w:t>A point that liberation theologians have stressed is</w:t>
      </w:r>
      <w:r w:rsidR="00B80120" w:rsidRPr="00FA7E12">
        <w:rPr>
          <w:rFonts w:ascii="Merriweather" w:hAnsi="Merriweather"/>
        </w:rPr>
        <w:t xml:space="preserve"> that God’s preference for the poor is ‘a fundamental aspect of the gospel, not some bolt-on option arising from the Latin American situation’.</w:t>
      </w:r>
      <w:r w:rsidR="00B80120" w:rsidRPr="00FA7E12">
        <w:rPr>
          <w:rStyle w:val="FootnoteReference"/>
          <w:rFonts w:ascii="Merriweather" w:hAnsi="Merriweather"/>
        </w:rPr>
        <w:footnoteReference w:id="12"/>
      </w:r>
      <w:r w:rsidR="00B80120" w:rsidRPr="00FA7E12">
        <w:rPr>
          <w:rFonts w:ascii="Merriweather" w:hAnsi="Merriweather"/>
        </w:rPr>
        <w:t xml:space="preserve"> </w:t>
      </w:r>
      <w:r w:rsidR="00E137B4">
        <w:rPr>
          <w:rFonts w:ascii="Merriweather" w:hAnsi="Merriweather"/>
        </w:rPr>
        <w:t xml:space="preserve">This is commonly supported by stories of Jesus helping the disadvantaged, and associating with the oppressed, such as women and the poor, despite the social ramifications of such action at the time. </w:t>
      </w:r>
    </w:p>
    <w:p w14:paraId="27F180B6" w14:textId="3465FEF7" w:rsidR="00196042" w:rsidRDefault="00196042">
      <w:pPr>
        <w:rPr>
          <w:rFonts w:ascii="Merriweather" w:hAnsi="Merriweather"/>
        </w:rPr>
      </w:pPr>
      <w:r w:rsidRPr="00FA7E12">
        <w:rPr>
          <w:rFonts w:ascii="Merriweather" w:hAnsi="Merriweather"/>
        </w:rPr>
        <w:t>David Tombs</w:t>
      </w:r>
      <w:r w:rsidR="00316194" w:rsidRPr="00FA7E12">
        <w:rPr>
          <w:rFonts w:ascii="Merriweather" w:hAnsi="Merriweather"/>
        </w:rPr>
        <w:t xml:space="preserve"> </w:t>
      </w:r>
      <w:r w:rsidR="00393CA1" w:rsidRPr="00FA7E12">
        <w:rPr>
          <w:rFonts w:ascii="Merriweather" w:hAnsi="Merriweather"/>
        </w:rPr>
        <w:t>likened</w:t>
      </w:r>
      <w:r w:rsidR="00055144" w:rsidRPr="00FA7E12">
        <w:rPr>
          <w:rFonts w:ascii="Merriweather" w:hAnsi="Merriweather"/>
        </w:rPr>
        <w:t xml:space="preserve"> liberation to if the figure of Christ the Redeemer overlooking Rio de Janeiro turned to face the shacks of the poor instead of the affluent areas like Copacabana and Ipanema.</w:t>
      </w:r>
      <w:r w:rsidR="00316194" w:rsidRPr="00FA7E12">
        <w:rPr>
          <w:rStyle w:val="FootnoteReference"/>
          <w:rFonts w:ascii="Merriweather" w:hAnsi="Merriweather"/>
        </w:rPr>
        <w:footnoteReference w:id="13"/>
      </w:r>
      <w:r w:rsidR="00316194" w:rsidRPr="00FA7E12">
        <w:rPr>
          <w:rFonts w:ascii="Merriweather" w:hAnsi="Merriweather"/>
        </w:rPr>
        <w:t xml:space="preserve"> Instead of Jesus focusing on protecting the wealthy, liberation theology is revolutionary in its claim</w:t>
      </w:r>
      <w:r w:rsidR="00316194">
        <w:rPr>
          <w:rFonts w:ascii="Merriweather" w:hAnsi="Merriweather"/>
          <w:sz w:val="24"/>
          <w:szCs w:val="24"/>
        </w:rPr>
        <w:t xml:space="preserve"> </w:t>
      </w:r>
      <w:r w:rsidR="00316194" w:rsidRPr="002027F6">
        <w:rPr>
          <w:rFonts w:ascii="Merriweather" w:hAnsi="Merriweather"/>
        </w:rPr>
        <w:t xml:space="preserve">that, as Bonino </w:t>
      </w:r>
      <w:r w:rsidR="005E4627">
        <w:rPr>
          <w:rFonts w:ascii="Merriweather" w:hAnsi="Merriweather"/>
        </w:rPr>
        <w:t>taught</w:t>
      </w:r>
      <w:r w:rsidR="00316194" w:rsidRPr="002027F6">
        <w:rPr>
          <w:rFonts w:ascii="Merriweather" w:hAnsi="Merriweather"/>
        </w:rPr>
        <w:t>, ‘God is clearly and unequivocally on the side of the poor.’</w:t>
      </w:r>
      <w:r w:rsidR="00316194" w:rsidRPr="002027F6">
        <w:rPr>
          <w:rStyle w:val="FootnoteReference"/>
          <w:rFonts w:ascii="Merriweather" w:hAnsi="Merriweather"/>
        </w:rPr>
        <w:footnoteReference w:id="14"/>
      </w:r>
    </w:p>
    <w:p w14:paraId="0C39AFBD" w14:textId="77777777" w:rsidR="00EB0EE3" w:rsidRDefault="00EB0EE3">
      <w:pPr>
        <w:rPr>
          <w:rFonts w:ascii="Merriweather" w:hAnsi="Merriweather"/>
        </w:rPr>
      </w:pPr>
    </w:p>
    <w:p w14:paraId="5209D1FD" w14:textId="77777777" w:rsidR="00EB0EE3" w:rsidRDefault="00EB0EE3">
      <w:pPr>
        <w:rPr>
          <w:rFonts w:ascii="Merriweather" w:hAnsi="Merriweather"/>
        </w:rPr>
      </w:pPr>
    </w:p>
    <w:p w14:paraId="1CD68FB3" w14:textId="77777777" w:rsidR="00EB0EE3" w:rsidRDefault="00EB0EE3">
      <w:pPr>
        <w:rPr>
          <w:rFonts w:ascii="Merriweather" w:hAnsi="Merriweather"/>
        </w:rPr>
      </w:pPr>
    </w:p>
    <w:p w14:paraId="185FA260" w14:textId="77777777" w:rsidR="00EB0EE3" w:rsidRDefault="00EB0EE3">
      <w:pPr>
        <w:rPr>
          <w:rFonts w:ascii="Merriweather" w:hAnsi="Merriweather"/>
        </w:rPr>
      </w:pPr>
    </w:p>
    <w:p w14:paraId="17D0DCBF" w14:textId="77777777" w:rsidR="00EB0EE3" w:rsidRDefault="00EB0EE3">
      <w:pPr>
        <w:rPr>
          <w:rFonts w:ascii="Merriweather" w:hAnsi="Merriweather"/>
        </w:rPr>
      </w:pPr>
    </w:p>
    <w:p w14:paraId="3EDDF37D" w14:textId="77777777" w:rsidR="00D006F3" w:rsidRDefault="00D006F3" w:rsidP="00D006F3">
      <w:pPr>
        <w:pStyle w:val="NormalWeb"/>
        <w:spacing w:before="0" w:beforeAutospacing="0" w:after="240" w:afterAutospacing="0" w:line="360" w:lineRule="auto"/>
        <w:rPr>
          <w:sz w:val="36"/>
          <w:szCs w:val="36"/>
        </w:rPr>
      </w:pPr>
      <w:r>
        <w:rPr>
          <w:sz w:val="36"/>
          <w:szCs w:val="36"/>
        </w:rPr>
        <w:lastRenderedPageBreak/>
        <w:t>Bibliography</w:t>
      </w:r>
    </w:p>
    <w:p w14:paraId="63D2D295" w14:textId="64EFFD20" w:rsidR="00D006F3" w:rsidRDefault="00D006F3" w:rsidP="00D006F3">
      <w:pPr>
        <w:pStyle w:val="NormalWeb"/>
        <w:spacing w:before="0" w:beforeAutospacing="0" w:after="240" w:afterAutospacing="0" w:line="360" w:lineRule="auto"/>
        <w:ind w:left="720" w:hanging="720"/>
      </w:pPr>
      <w:r>
        <w:t xml:space="preserve">de </w:t>
      </w:r>
      <w:proofErr w:type="spellStart"/>
      <w:r>
        <w:t>Rooij</w:t>
      </w:r>
      <w:proofErr w:type="spellEnd"/>
      <w:r>
        <w:t xml:space="preserve">, Laurens, and </w:t>
      </w:r>
      <w:proofErr w:type="spellStart"/>
      <w:r>
        <w:t>Joanildo</w:t>
      </w:r>
      <w:proofErr w:type="spellEnd"/>
      <w:r>
        <w:t xml:space="preserve"> </w:t>
      </w:r>
      <w:proofErr w:type="spellStart"/>
      <w:r>
        <w:t>Burity</w:t>
      </w:r>
      <w:proofErr w:type="spellEnd"/>
      <w:r>
        <w:t xml:space="preserve">, ‘Liberation Theology’, </w:t>
      </w:r>
      <w:proofErr w:type="spellStart"/>
      <w:r>
        <w:rPr>
          <w:i/>
          <w:iCs/>
        </w:rPr>
        <w:t>Encyclopedia</w:t>
      </w:r>
      <w:proofErr w:type="spellEnd"/>
      <w:r>
        <w:rPr>
          <w:i/>
          <w:iCs/>
        </w:rPr>
        <w:t xml:space="preserve"> of Economics and Society</w:t>
      </w:r>
      <w:r>
        <w:t xml:space="preserve">, 2015 </w:t>
      </w:r>
      <w:hyperlink r:id="rId7" w:history="1">
        <w:r w:rsidR="00352DE4" w:rsidRPr="00550890">
          <w:rPr>
            <w:rStyle w:val="Hyperlink"/>
          </w:rPr>
          <w:t>https://www.researchgate.net/publication/312292930_Liberation_Theology</w:t>
        </w:r>
      </w:hyperlink>
      <w:r w:rsidR="00352DE4">
        <w:t xml:space="preserve">. </w:t>
      </w:r>
    </w:p>
    <w:p w14:paraId="29E5859B" w14:textId="70F0F3E6" w:rsidR="00D006F3" w:rsidRDefault="00D006F3" w:rsidP="00D006F3">
      <w:pPr>
        <w:pStyle w:val="NormalWeb"/>
        <w:spacing w:before="0" w:beforeAutospacing="0" w:after="240" w:afterAutospacing="0" w:line="360" w:lineRule="auto"/>
        <w:ind w:left="720" w:hanging="720"/>
      </w:pPr>
      <w:proofErr w:type="spellStart"/>
      <w:r>
        <w:t>Gutiérrez</w:t>
      </w:r>
      <w:proofErr w:type="spellEnd"/>
      <w:r>
        <w:t xml:space="preserve"> Gustavo, and Gerhard Ludwig </w:t>
      </w:r>
      <w:proofErr w:type="spellStart"/>
      <w:r>
        <w:t>Müller</w:t>
      </w:r>
      <w:proofErr w:type="spellEnd"/>
      <w:r>
        <w:t xml:space="preserve">, </w:t>
      </w:r>
      <w:r>
        <w:rPr>
          <w:i/>
          <w:iCs/>
        </w:rPr>
        <w:t>On the Side of the Poor : The Theology of Liberation</w:t>
      </w:r>
      <w:r>
        <w:t xml:space="preserve"> (Maryknoll, New York: Orbis Books, 2015)</w:t>
      </w:r>
      <w:r w:rsidR="00352DE4">
        <w:t xml:space="preserve">. </w:t>
      </w:r>
    </w:p>
    <w:p w14:paraId="65435F3A" w14:textId="28E4BC69" w:rsidR="00D006F3" w:rsidRDefault="00D006F3" w:rsidP="00D006F3">
      <w:pPr>
        <w:pStyle w:val="NormalWeb"/>
        <w:spacing w:before="0" w:beforeAutospacing="0" w:after="240" w:afterAutospacing="0" w:line="360" w:lineRule="auto"/>
        <w:ind w:left="720" w:hanging="720"/>
      </w:pPr>
      <w:r>
        <w:t xml:space="preserve">Hellwig, Monika K. H., ‘Liberation Theology: An Emerging School’, </w:t>
      </w:r>
      <w:r>
        <w:rPr>
          <w:i/>
          <w:iCs/>
        </w:rPr>
        <w:t>Scottish Journal of Theology</w:t>
      </w:r>
      <w:r>
        <w:t>, 30.2 (1977), 137–51 10.1017/s0036930600025011&gt;</w:t>
      </w:r>
      <w:r w:rsidR="00352DE4">
        <w:t xml:space="preserve">. </w:t>
      </w:r>
    </w:p>
    <w:p w14:paraId="64A91EB1" w14:textId="788B3130" w:rsidR="00D006F3" w:rsidRDefault="00D006F3" w:rsidP="00D006F3">
      <w:pPr>
        <w:pStyle w:val="NormalWeb"/>
        <w:spacing w:before="0" w:beforeAutospacing="0" w:after="240" w:afterAutospacing="0" w:line="360" w:lineRule="auto"/>
        <w:ind w:left="720" w:hanging="720"/>
      </w:pPr>
      <w:r>
        <w:t xml:space="preserve">McGrath, Alister E, </w:t>
      </w:r>
      <w:r>
        <w:rPr>
          <w:i/>
          <w:iCs/>
        </w:rPr>
        <w:t>Christian Theology: An Introduction</w:t>
      </w:r>
      <w:r>
        <w:t xml:space="preserve"> (Chichester, West Sussex ; Malden, Ma: Wiley, Blackwell, 2017)</w:t>
      </w:r>
      <w:r w:rsidR="00352DE4">
        <w:t xml:space="preserve"> pp. 90-91. </w:t>
      </w:r>
    </w:p>
    <w:p w14:paraId="470B5859" w14:textId="3D13369B" w:rsidR="00D006F3" w:rsidRDefault="00D006F3" w:rsidP="00D006F3">
      <w:pPr>
        <w:pStyle w:val="NormalWeb"/>
        <w:spacing w:before="0" w:beforeAutospacing="0" w:after="240" w:afterAutospacing="0" w:line="360" w:lineRule="auto"/>
        <w:ind w:left="720" w:hanging="720"/>
      </w:pPr>
      <w:r>
        <w:t xml:space="preserve">Tombs, David, </w:t>
      </w:r>
      <w:r>
        <w:rPr>
          <w:i/>
          <w:iCs/>
        </w:rPr>
        <w:t>Latin American Liberation Theology</w:t>
      </w:r>
      <w:r>
        <w:t xml:space="preserve"> (Boston: Brill Academic Publishers, 2002) </w:t>
      </w:r>
      <w:hyperlink r:id="rId8" w:history="1">
        <w:r w:rsidR="00352DE4" w:rsidRPr="00550890">
          <w:rPr>
            <w:rStyle w:val="Hyperlink"/>
          </w:rPr>
          <w:t>https://brill-com.ezproxy.uwtsd.ac.uk/view/title/8064</w:t>
        </w:r>
      </w:hyperlink>
      <w:r w:rsidR="00352DE4">
        <w:t xml:space="preserve">. </w:t>
      </w:r>
    </w:p>
    <w:p w14:paraId="2BD88400" w14:textId="77777777" w:rsidR="00EB0EE3" w:rsidRPr="002027F6" w:rsidRDefault="00EB0EE3">
      <w:pPr>
        <w:rPr>
          <w:rFonts w:ascii="Merriweather" w:hAnsi="Merriweather"/>
        </w:rPr>
      </w:pPr>
    </w:p>
    <w:sectPr w:rsidR="00EB0EE3" w:rsidRPr="002027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C60E8" w14:textId="77777777" w:rsidR="00EF4150" w:rsidRDefault="00EF4150" w:rsidP="00E218E3">
      <w:pPr>
        <w:spacing w:after="0" w:line="240" w:lineRule="auto"/>
      </w:pPr>
      <w:r>
        <w:separator/>
      </w:r>
    </w:p>
  </w:endnote>
  <w:endnote w:type="continuationSeparator" w:id="0">
    <w:p w14:paraId="6BDDD254" w14:textId="77777777" w:rsidR="00EF4150" w:rsidRDefault="00EF4150" w:rsidP="00E21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erriweather">
    <w:altName w:val="Merriweather"/>
    <w:charset w:val="00"/>
    <w:family w:val="auto"/>
    <w:pitch w:val="variable"/>
    <w:sig w:usb0="20000207" w:usb1="00000002"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DB3C8" w14:textId="77777777" w:rsidR="00EF4150" w:rsidRDefault="00EF4150" w:rsidP="00E218E3">
      <w:pPr>
        <w:spacing w:after="0" w:line="240" w:lineRule="auto"/>
      </w:pPr>
      <w:r>
        <w:separator/>
      </w:r>
    </w:p>
  </w:footnote>
  <w:footnote w:type="continuationSeparator" w:id="0">
    <w:p w14:paraId="5BA20B52" w14:textId="77777777" w:rsidR="00EF4150" w:rsidRDefault="00EF4150" w:rsidP="00E218E3">
      <w:pPr>
        <w:spacing w:after="0" w:line="240" w:lineRule="auto"/>
      </w:pPr>
      <w:r>
        <w:continuationSeparator/>
      </w:r>
    </w:p>
  </w:footnote>
  <w:footnote w:id="1">
    <w:p w14:paraId="347910B9" w14:textId="4C53AF7C" w:rsidR="00E218E3" w:rsidRPr="00B83A26" w:rsidRDefault="00E218E3" w:rsidP="00D006F3">
      <w:pPr>
        <w:pStyle w:val="NormalWeb"/>
        <w:spacing w:before="0" w:beforeAutospacing="0" w:after="240" w:afterAutospacing="0"/>
        <w:ind w:left="720" w:hanging="720"/>
        <w:rPr>
          <w:rFonts w:ascii="Merriweather" w:hAnsi="Merriweather"/>
          <w:sz w:val="20"/>
          <w:szCs w:val="20"/>
        </w:rPr>
      </w:pPr>
      <w:r w:rsidRPr="00B83A26">
        <w:rPr>
          <w:rStyle w:val="FootnoteReference"/>
          <w:rFonts w:ascii="Merriweather" w:hAnsi="Merriweather"/>
          <w:sz w:val="20"/>
          <w:szCs w:val="20"/>
        </w:rPr>
        <w:footnoteRef/>
      </w:r>
      <w:r w:rsidRPr="00B83A26">
        <w:rPr>
          <w:rFonts w:ascii="Merriweather" w:hAnsi="Merriweather"/>
          <w:sz w:val="20"/>
          <w:szCs w:val="20"/>
        </w:rPr>
        <w:t xml:space="preserve"> </w:t>
      </w:r>
      <w:r w:rsidR="00550044" w:rsidRPr="00B83A26">
        <w:rPr>
          <w:rFonts w:ascii="Merriweather" w:hAnsi="Merriweather"/>
          <w:sz w:val="20"/>
          <w:szCs w:val="20"/>
        </w:rPr>
        <w:t xml:space="preserve">Laurens de </w:t>
      </w:r>
      <w:proofErr w:type="spellStart"/>
      <w:r w:rsidR="00550044" w:rsidRPr="00B83A26">
        <w:rPr>
          <w:rFonts w:ascii="Merriweather" w:hAnsi="Merriweather"/>
          <w:sz w:val="20"/>
          <w:szCs w:val="20"/>
        </w:rPr>
        <w:t>Rooij</w:t>
      </w:r>
      <w:proofErr w:type="spellEnd"/>
      <w:r w:rsidR="00550044" w:rsidRPr="00B83A26">
        <w:rPr>
          <w:rFonts w:ascii="Merriweather" w:hAnsi="Merriweather"/>
          <w:sz w:val="20"/>
          <w:szCs w:val="20"/>
        </w:rPr>
        <w:t xml:space="preserve"> and </w:t>
      </w:r>
      <w:proofErr w:type="spellStart"/>
      <w:r w:rsidR="00550044" w:rsidRPr="00B83A26">
        <w:rPr>
          <w:rFonts w:ascii="Merriweather" w:hAnsi="Merriweather"/>
          <w:sz w:val="20"/>
          <w:szCs w:val="20"/>
        </w:rPr>
        <w:t>Joanildo</w:t>
      </w:r>
      <w:proofErr w:type="spellEnd"/>
      <w:r w:rsidR="00550044" w:rsidRPr="00B83A26">
        <w:rPr>
          <w:rFonts w:ascii="Merriweather" w:hAnsi="Merriweather"/>
          <w:sz w:val="20"/>
          <w:szCs w:val="20"/>
        </w:rPr>
        <w:t xml:space="preserve"> </w:t>
      </w:r>
      <w:proofErr w:type="spellStart"/>
      <w:r w:rsidR="00550044" w:rsidRPr="00B83A26">
        <w:rPr>
          <w:rFonts w:ascii="Merriweather" w:hAnsi="Merriweather"/>
          <w:sz w:val="20"/>
          <w:szCs w:val="20"/>
        </w:rPr>
        <w:t>Burity</w:t>
      </w:r>
      <w:proofErr w:type="spellEnd"/>
      <w:r w:rsidR="00550044" w:rsidRPr="00B83A26">
        <w:rPr>
          <w:rFonts w:ascii="Merriweather" w:hAnsi="Merriweather"/>
          <w:sz w:val="20"/>
          <w:szCs w:val="20"/>
        </w:rPr>
        <w:t xml:space="preserve">, ‘Liberation Theology’, </w:t>
      </w:r>
      <w:proofErr w:type="spellStart"/>
      <w:r w:rsidR="00550044" w:rsidRPr="00B83A26">
        <w:rPr>
          <w:rFonts w:ascii="Merriweather" w:hAnsi="Merriweather"/>
          <w:i/>
          <w:iCs/>
          <w:sz w:val="20"/>
          <w:szCs w:val="20"/>
        </w:rPr>
        <w:t>Encyclopedia</w:t>
      </w:r>
      <w:proofErr w:type="spellEnd"/>
      <w:r w:rsidR="00550044" w:rsidRPr="00B83A26">
        <w:rPr>
          <w:rFonts w:ascii="Merriweather" w:hAnsi="Merriweather"/>
          <w:i/>
          <w:iCs/>
          <w:sz w:val="20"/>
          <w:szCs w:val="20"/>
        </w:rPr>
        <w:t xml:space="preserve"> of Economics and Society</w:t>
      </w:r>
      <w:r w:rsidR="00550044" w:rsidRPr="00B83A26">
        <w:rPr>
          <w:rFonts w:ascii="Merriweather" w:hAnsi="Merriweather"/>
          <w:sz w:val="20"/>
          <w:szCs w:val="20"/>
        </w:rPr>
        <w:t>, 2015 &lt;</w:t>
      </w:r>
      <w:hyperlink r:id="rId1" w:history="1">
        <w:r w:rsidR="00550044" w:rsidRPr="00B83A26">
          <w:rPr>
            <w:rStyle w:val="Hyperlink"/>
            <w:rFonts w:ascii="Merriweather" w:hAnsi="Merriweather"/>
            <w:sz w:val="20"/>
            <w:szCs w:val="20"/>
          </w:rPr>
          <w:t>https://www.researchgate.net/publication/312292930_Liberation_Theology</w:t>
        </w:r>
      </w:hyperlink>
      <w:r w:rsidR="00550044" w:rsidRPr="00B83A26">
        <w:rPr>
          <w:rFonts w:ascii="Merriweather" w:hAnsi="Merriweather"/>
          <w:sz w:val="20"/>
          <w:szCs w:val="20"/>
        </w:rPr>
        <w:t>&gt;.</w:t>
      </w:r>
    </w:p>
    <w:p w14:paraId="1D198CB1" w14:textId="23835629" w:rsidR="00E218E3" w:rsidRPr="00B83A26" w:rsidRDefault="00E218E3" w:rsidP="00D006F3">
      <w:pPr>
        <w:pStyle w:val="FootnoteText"/>
        <w:rPr>
          <w:rFonts w:ascii="Merriweather" w:hAnsi="Merriweather"/>
        </w:rPr>
      </w:pPr>
    </w:p>
  </w:footnote>
  <w:footnote w:id="2">
    <w:p w14:paraId="64F87209" w14:textId="18179E25" w:rsidR="00716FBB" w:rsidRPr="00B83A26" w:rsidRDefault="00716FBB" w:rsidP="00D006F3">
      <w:pPr>
        <w:pStyle w:val="NormalWeb"/>
        <w:spacing w:before="0" w:beforeAutospacing="0" w:after="240" w:afterAutospacing="0"/>
        <w:ind w:left="720" w:hanging="720"/>
        <w:rPr>
          <w:rFonts w:ascii="Merriweather" w:hAnsi="Merriweather"/>
          <w:sz w:val="20"/>
          <w:szCs w:val="20"/>
        </w:rPr>
      </w:pPr>
      <w:r w:rsidRPr="00B83A26">
        <w:rPr>
          <w:rStyle w:val="FootnoteReference"/>
          <w:rFonts w:ascii="Merriweather" w:hAnsi="Merriweather"/>
          <w:sz w:val="20"/>
          <w:szCs w:val="20"/>
        </w:rPr>
        <w:footnoteRef/>
      </w:r>
      <w:r w:rsidRPr="00B83A26">
        <w:rPr>
          <w:rFonts w:ascii="Merriweather" w:hAnsi="Merriweather"/>
          <w:sz w:val="20"/>
          <w:szCs w:val="20"/>
        </w:rPr>
        <w:t xml:space="preserve"> </w:t>
      </w:r>
      <w:r w:rsidR="00550044" w:rsidRPr="00B83A26">
        <w:rPr>
          <w:rFonts w:ascii="Merriweather" w:hAnsi="Merriweather"/>
          <w:sz w:val="20"/>
          <w:szCs w:val="20"/>
        </w:rPr>
        <w:t xml:space="preserve">Monika K. H. Hellwig, ‘Liberation Theology: An Emerging School’, </w:t>
      </w:r>
      <w:r w:rsidR="00550044" w:rsidRPr="00B83A26">
        <w:rPr>
          <w:rFonts w:ascii="Merriweather" w:hAnsi="Merriweather"/>
          <w:i/>
          <w:iCs/>
          <w:sz w:val="20"/>
          <w:szCs w:val="20"/>
        </w:rPr>
        <w:t>Scottish Journal of Theology</w:t>
      </w:r>
      <w:r w:rsidR="00550044" w:rsidRPr="00B83A26">
        <w:rPr>
          <w:rFonts w:ascii="Merriweather" w:hAnsi="Merriweather"/>
          <w:sz w:val="20"/>
          <w:szCs w:val="20"/>
        </w:rPr>
        <w:t xml:space="preserve">, 30.2 (1977), 137–51 </w:t>
      </w:r>
      <w:r w:rsidR="003C5BAC">
        <w:rPr>
          <w:rFonts w:ascii="Merriweather" w:hAnsi="Merriweather"/>
          <w:sz w:val="20"/>
          <w:szCs w:val="20"/>
        </w:rPr>
        <w:t>&lt;</w:t>
      </w:r>
      <w:hyperlink r:id="rId2" w:history="1">
        <w:r w:rsidR="00550044" w:rsidRPr="00B83A26">
          <w:rPr>
            <w:rStyle w:val="Hyperlink"/>
            <w:rFonts w:ascii="Merriweather" w:hAnsi="Merriweather"/>
            <w:sz w:val="20"/>
            <w:szCs w:val="20"/>
          </w:rPr>
          <w:t>10.1017/s0036930600025011</w:t>
        </w:r>
      </w:hyperlink>
      <w:r w:rsidR="00550044" w:rsidRPr="00B83A26">
        <w:rPr>
          <w:rFonts w:ascii="Merriweather" w:hAnsi="Merriweather"/>
          <w:sz w:val="20"/>
          <w:szCs w:val="20"/>
        </w:rPr>
        <w:t>&gt;.</w:t>
      </w:r>
    </w:p>
    <w:p w14:paraId="50E6AE9E" w14:textId="2A3BA9C6" w:rsidR="00716FBB" w:rsidRPr="00B83A26" w:rsidRDefault="00716FBB" w:rsidP="00D006F3">
      <w:pPr>
        <w:pStyle w:val="FootnoteText"/>
        <w:rPr>
          <w:rFonts w:ascii="Merriweather" w:hAnsi="Merriweather"/>
        </w:rPr>
      </w:pPr>
    </w:p>
  </w:footnote>
  <w:footnote w:id="3">
    <w:p w14:paraId="246175BC" w14:textId="5A6C9E4F" w:rsidR="00716FBB" w:rsidRPr="00B83A26" w:rsidRDefault="00716FBB" w:rsidP="00D006F3">
      <w:pPr>
        <w:pStyle w:val="NormalWeb"/>
        <w:spacing w:before="0" w:beforeAutospacing="0" w:after="240" w:afterAutospacing="0"/>
        <w:ind w:left="720" w:hanging="720"/>
        <w:rPr>
          <w:rFonts w:ascii="Merriweather" w:hAnsi="Merriweather"/>
          <w:sz w:val="20"/>
          <w:szCs w:val="20"/>
        </w:rPr>
      </w:pPr>
      <w:r w:rsidRPr="00B83A26">
        <w:rPr>
          <w:rStyle w:val="FootnoteReference"/>
          <w:rFonts w:ascii="Merriweather" w:hAnsi="Merriweather"/>
          <w:sz w:val="20"/>
          <w:szCs w:val="20"/>
        </w:rPr>
        <w:footnoteRef/>
      </w:r>
      <w:r w:rsidRPr="00B83A26">
        <w:rPr>
          <w:rFonts w:ascii="Merriweather" w:hAnsi="Merriweather"/>
          <w:sz w:val="20"/>
          <w:szCs w:val="20"/>
        </w:rPr>
        <w:t xml:space="preserve"> </w:t>
      </w:r>
      <w:r w:rsidR="00550044" w:rsidRPr="00B83A26">
        <w:rPr>
          <w:rFonts w:ascii="Merriweather" w:hAnsi="Merriweather"/>
          <w:sz w:val="20"/>
          <w:szCs w:val="20"/>
        </w:rPr>
        <w:t xml:space="preserve">Hellwig, </w:t>
      </w:r>
      <w:r w:rsidR="00B717D7" w:rsidRPr="00B83A26">
        <w:rPr>
          <w:rFonts w:ascii="Merriweather" w:hAnsi="Merriweather"/>
          <w:sz w:val="20"/>
          <w:szCs w:val="20"/>
        </w:rPr>
        <w:t>‘</w:t>
      </w:r>
      <w:r w:rsidR="00746CFF" w:rsidRPr="00B83A26">
        <w:rPr>
          <w:rFonts w:ascii="Merriweather" w:hAnsi="Merriweather"/>
          <w:sz w:val="20"/>
          <w:szCs w:val="20"/>
        </w:rPr>
        <w:t>Liberation Theology</w:t>
      </w:r>
      <w:r w:rsidR="00B717D7" w:rsidRPr="00B83A26">
        <w:rPr>
          <w:rFonts w:ascii="Merriweather" w:hAnsi="Merriweather"/>
          <w:sz w:val="20"/>
          <w:szCs w:val="20"/>
        </w:rPr>
        <w:t xml:space="preserve">’. </w:t>
      </w:r>
    </w:p>
    <w:p w14:paraId="399540DB" w14:textId="49EE6EC9" w:rsidR="00716FBB" w:rsidRPr="00D02452" w:rsidRDefault="00716FBB" w:rsidP="00D006F3">
      <w:pPr>
        <w:pStyle w:val="FootnoteText"/>
        <w:rPr>
          <w:rFonts w:ascii="Merriweather" w:hAnsi="Merriweather"/>
          <w:sz w:val="12"/>
          <w:szCs w:val="12"/>
        </w:rPr>
      </w:pPr>
    </w:p>
  </w:footnote>
  <w:footnote w:id="4">
    <w:p w14:paraId="7F231873" w14:textId="78A1B347" w:rsidR="00B83A26" w:rsidRDefault="00B83A26" w:rsidP="00D006F3">
      <w:pPr>
        <w:pStyle w:val="FootnoteText"/>
        <w:rPr>
          <w:rFonts w:ascii="Merriweather" w:hAnsi="Merriweather"/>
          <w:sz w:val="18"/>
          <w:szCs w:val="18"/>
        </w:rPr>
      </w:pPr>
      <w:r>
        <w:rPr>
          <w:rStyle w:val="FootnoteReference"/>
        </w:rPr>
        <w:footnoteRef/>
      </w:r>
      <w:r>
        <w:t xml:space="preserve"> </w:t>
      </w:r>
      <w:r w:rsidRPr="00B83A26">
        <w:rPr>
          <w:rFonts w:ascii="Merriweather" w:hAnsi="Merriweather"/>
        </w:rPr>
        <w:t xml:space="preserve">Alister E </w:t>
      </w:r>
      <w:proofErr w:type="spellStart"/>
      <w:r w:rsidRPr="00B83A26">
        <w:rPr>
          <w:rFonts w:ascii="Merriweather" w:hAnsi="Merriweather"/>
        </w:rPr>
        <w:t>Mcgrath</w:t>
      </w:r>
      <w:proofErr w:type="spellEnd"/>
      <w:r w:rsidRPr="00B83A26">
        <w:rPr>
          <w:rFonts w:ascii="Merriweather" w:hAnsi="Merriweather"/>
        </w:rPr>
        <w:t xml:space="preserve">, </w:t>
      </w:r>
      <w:r w:rsidRPr="00B83A26">
        <w:rPr>
          <w:rFonts w:ascii="Merriweather" w:hAnsi="Merriweather"/>
          <w:i/>
          <w:iCs/>
        </w:rPr>
        <w:t>Christian Theology: An Introduction</w:t>
      </w:r>
      <w:r w:rsidRPr="00B83A26">
        <w:rPr>
          <w:rFonts w:ascii="Merriweather" w:hAnsi="Merriweather"/>
        </w:rPr>
        <w:t xml:space="preserve"> (Chichester, West Sussex ; Malden, Ma: Wiley, Blackwell, 2017) p. 90.</w:t>
      </w:r>
      <w:r>
        <w:t xml:space="preserve"> </w:t>
      </w:r>
      <w:r>
        <w:rPr>
          <w:rFonts w:ascii="Merriweather" w:hAnsi="Merriweather"/>
          <w:sz w:val="18"/>
          <w:szCs w:val="18"/>
        </w:rPr>
        <w:t xml:space="preserve"> </w:t>
      </w:r>
    </w:p>
    <w:p w14:paraId="4A02E85E" w14:textId="77777777" w:rsidR="00B83A26" w:rsidRDefault="00B83A26" w:rsidP="00D006F3">
      <w:pPr>
        <w:pStyle w:val="FootnoteText"/>
      </w:pPr>
    </w:p>
  </w:footnote>
  <w:footnote w:id="5">
    <w:p w14:paraId="1D1FEBD2" w14:textId="26D43D0C" w:rsidR="002D0552" w:rsidRPr="00B83A26" w:rsidRDefault="002D0552" w:rsidP="00D006F3">
      <w:pPr>
        <w:pStyle w:val="NormalWeb"/>
        <w:spacing w:before="0" w:beforeAutospacing="0" w:after="240" w:afterAutospacing="0"/>
        <w:ind w:left="720" w:hanging="720"/>
        <w:rPr>
          <w:rFonts w:ascii="Merriweather" w:hAnsi="Merriweather"/>
          <w:sz w:val="20"/>
          <w:szCs w:val="20"/>
        </w:rPr>
      </w:pPr>
      <w:r w:rsidRPr="00D02452">
        <w:rPr>
          <w:rStyle w:val="FootnoteReference"/>
          <w:rFonts w:ascii="Merriweather" w:hAnsi="Merriweather"/>
          <w:sz w:val="18"/>
          <w:szCs w:val="18"/>
        </w:rPr>
        <w:footnoteRef/>
      </w:r>
      <w:r w:rsidR="00B83A26" w:rsidRPr="00B83A26">
        <w:rPr>
          <w:rFonts w:ascii="Merriweather" w:hAnsi="Merriweather"/>
          <w:sz w:val="20"/>
          <w:szCs w:val="20"/>
        </w:rPr>
        <w:t xml:space="preserve"> Ibid., p. 90. </w:t>
      </w:r>
    </w:p>
    <w:p w14:paraId="4563A0AE" w14:textId="6CA685E4" w:rsidR="002D0552" w:rsidRPr="00D02452" w:rsidRDefault="002D0552" w:rsidP="00D006F3">
      <w:pPr>
        <w:pStyle w:val="FootnoteText"/>
        <w:rPr>
          <w:rFonts w:ascii="Merriweather" w:hAnsi="Merriweather"/>
          <w:sz w:val="12"/>
          <w:szCs w:val="12"/>
        </w:rPr>
      </w:pPr>
    </w:p>
  </w:footnote>
  <w:footnote w:id="6">
    <w:p w14:paraId="2621D6CF" w14:textId="31D39F07" w:rsidR="002D0552" w:rsidRDefault="002D0552" w:rsidP="00D006F3">
      <w:pPr>
        <w:pStyle w:val="FootnoteText"/>
      </w:pPr>
      <w:r w:rsidRPr="00D02452">
        <w:rPr>
          <w:rStyle w:val="FootnoteReference"/>
          <w:rFonts w:ascii="Merriweather" w:hAnsi="Merriweather"/>
          <w:sz w:val="12"/>
          <w:szCs w:val="12"/>
        </w:rPr>
        <w:footnoteRef/>
      </w:r>
      <w:r w:rsidRPr="00D02452">
        <w:rPr>
          <w:rFonts w:ascii="Merriweather" w:hAnsi="Merriweather"/>
          <w:sz w:val="12"/>
          <w:szCs w:val="12"/>
        </w:rPr>
        <w:t xml:space="preserve"> </w:t>
      </w:r>
      <w:r w:rsidR="007D3E20" w:rsidRPr="00946768">
        <w:rPr>
          <w:rFonts w:ascii="Merriweather" w:hAnsi="Merriweather" w:cs="Times New Roman"/>
        </w:rPr>
        <w:t xml:space="preserve">De </w:t>
      </w:r>
      <w:proofErr w:type="spellStart"/>
      <w:r w:rsidR="007D3E20" w:rsidRPr="00946768">
        <w:rPr>
          <w:rFonts w:ascii="Merriweather" w:hAnsi="Merriweather" w:cs="Times New Roman"/>
        </w:rPr>
        <w:t>Rooij</w:t>
      </w:r>
      <w:proofErr w:type="spellEnd"/>
      <w:r w:rsidR="007D3E20" w:rsidRPr="00946768">
        <w:rPr>
          <w:rFonts w:ascii="Merriweather" w:hAnsi="Merriweather" w:cs="Times New Roman"/>
        </w:rPr>
        <w:t xml:space="preserve"> and </w:t>
      </w:r>
      <w:proofErr w:type="spellStart"/>
      <w:r w:rsidR="007D3E20" w:rsidRPr="00946768">
        <w:rPr>
          <w:rFonts w:ascii="Merriweather" w:hAnsi="Merriweather" w:cs="Times New Roman"/>
        </w:rPr>
        <w:t>Burity</w:t>
      </w:r>
      <w:proofErr w:type="spellEnd"/>
      <w:r w:rsidR="00B717D7">
        <w:rPr>
          <w:rFonts w:ascii="Merriweather" w:hAnsi="Merriweather" w:cs="Times New Roman"/>
        </w:rPr>
        <w:t xml:space="preserve">, ‘Liberation Theology’. </w:t>
      </w:r>
    </w:p>
  </w:footnote>
  <w:footnote w:id="7">
    <w:p w14:paraId="04010AFA" w14:textId="79F62F2F" w:rsidR="006463C9" w:rsidRPr="001C18B3" w:rsidRDefault="006463C9">
      <w:pPr>
        <w:pStyle w:val="FootnoteText"/>
        <w:rPr>
          <w:rFonts w:ascii="Merriweather" w:hAnsi="Merriweather"/>
        </w:rPr>
      </w:pPr>
      <w:r w:rsidRPr="001C18B3">
        <w:rPr>
          <w:rStyle w:val="FootnoteReference"/>
          <w:rFonts w:ascii="Merriweather" w:hAnsi="Merriweather"/>
        </w:rPr>
        <w:footnoteRef/>
      </w:r>
      <w:r w:rsidRPr="001C18B3">
        <w:rPr>
          <w:rFonts w:ascii="Merriweather" w:hAnsi="Merriweather"/>
        </w:rPr>
        <w:t xml:space="preserve"> </w:t>
      </w:r>
      <w:r w:rsidR="00A6054D" w:rsidRPr="001C18B3">
        <w:rPr>
          <w:rFonts w:ascii="Merriweather" w:hAnsi="Merriweather"/>
        </w:rPr>
        <w:t xml:space="preserve">Alister E </w:t>
      </w:r>
      <w:proofErr w:type="spellStart"/>
      <w:r w:rsidR="00A6054D" w:rsidRPr="001C18B3">
        <w:rPr>
          <w:rFonts w:ascii="Merriweather" w:hAnsi="Merriweather"/>
        </w:rPr>
        <w:t>Mcgrath</w:t>
      </w:r>
      <w:proofErr w:type="spellEnd"/>
      <w:r w:rsidR="00A6054D" w:rsidRPr="001C18B3">
        <w:rPr>
          <w:rFonts w:ascii="Merriweather" w:hAnsi="Merriweather"/>
        </w:rPr>
        <w:t xml:space="preserve">, </w:t>
      </w:r>
      <w:r w:rsidR="00A6054D" w:rsidRPr="001C18B3">
        <w:rPr>
          <w:rFonts w:ascii="Merriweather" w:hAnsi="Merriweather"/>
          <w:i/>
          <w:iCs/>
        </w:rPr>
        <w:t>Christian Theology: An Introduction</w:t>
      </w:r>
      <w:r w:rsidR="00A6054D" w:rsidRPr="001C18B3">
        <w:rPr>
          <w:rFonts w:ascii="Merriweather" w:hAnsi="Merriweather"/>
        </w:rPr>
        <w:t xml:space="preserve"> (Chichester, West Sussex ; Malden, Ma: Wiley, Blackwell, 2017) p. 90. </w:t>
      </w:r>
      <w:r w:rsidR="00FA7E12">
        <w:rPr>
          <w:rFonts w:ascii="Merriweather" w:hAnsi="Merriweather"/>
        </w:rPr>
        <w:br/>
      </w:r>
    </w:p>
  </w:footnote>
  <w:footnote w:id="8">
    <w:p w14:paraId="393D4293" w14:textId="747D270A" w:rsidR="00C63478" w:rsidRDefault="00C63478">
      <w:pPr>
        <w:pStyle w:val="FootnoteText"/>
      </w:pPr>
      <w:r>
        <w:rPr>
          <w:rStyle w:val="FootnoteReference"/>
        </w:rPr>
        <w:footnoteRef/>
      </w:r>
      <w:r>
        <w:t xml:space="preserve"> </w:t>
      </w:r>
      <w:r w:rsidR="002C2F82">
        <w:rPr>
          <w:rFonts w:ascii="Merriweather" w:hAnsi="Merriweather"/>
          <w:sz w:val="21"/>
          <w:szCs w:val="21"/>
        </w:rPr>
        <w:t xml:space="preserve">Ibid., p. 90. </w:t>
      </w:r>
      <w:r w:rsidR="00FA7E12">
        <w:rPr>
          <w:rFonts w:ascii="Merriweather" w:hAnsi="Merriweather"/>
          <w:sz w:val="21"/>
          <w:szCs w:val="21"/>
        </w:rPr>
        <w:br/>
      </w:r>
    </w:p>
  </w:footnote>
  <w:footnote w:id="9">
    <w:p w14:paraId="752770BB" w14:textId="004FAC57" w:rsidR="008D0762" w:rsidRDefault="008D0762">
      <w:pPr>
        <w:pStyle w:val="FootnoteText"/>
      </w:pPr>
      <w:r>
        <w:rPr>
          <w:rStyle w:val="FootnoteReference"/>
        </w:rPr>
        <w:footnoteRef/>
      </w:r>
      <w:r>
        <w:t xml:space="preserve"> </w:t>
      </w:r>
      <w:r w:rsidR="002C2F82">
        <w:rPr>
          <w:rFonts w:ascii="Merriweather" w:hAnsi="Merriweather"/>
          <w:sz w:val="21"/>
          <w:szCs w:val="21"/>
        </w:rPr>
        <w:t>Ibid., p. 90</w:t>
      </w:r>
      <w:r w:rsidR="00AB3B02">
        <w:rPr>
          <w:rFonts w:ascii="Merriweather" w:hAnsi="Merriweather"/>
          <w:sz w:val="21"/>
          <w:szCs w:val="21"/>
        </w:rPr>
        <w:t>.</w:t>
      </w:r>
      <w:r w:rsidR="00FA7E12">
        <w:rPr>
          <w:rFonts w:ascii="Merriweather" w:hAnsi="Merriweather"/>
          <w:sz w:val="21"/>
          <w:szCs w:val="21"/>
        </w:rPr>
        <w:br/>
      </w:r>
    </w:p>
  </w:footnote>
  <w:footnote w:id="10">
    <w:p w14:paraId="1A19C3F1" w14:textId="0B9322E8" w:rsidR="00815357" w:rsidRPr="002C2F82" w:rsidRDefault="00815357">
      <w:pPr>
        <w:pStyle w:val="FootnoteText"/>
        <w:rPr>
          <w:rFonts w:ascii="Merriweather" w:hAnsi="Merriweather"/>
          <w:sz w:val="21"/>
          <w:szCs w:val="21"/>
        </w:rPr>
      </w:pPr>
      <w:r>
        <w:rPr>
          <w:rStyle w:val="FootnoteReference"/>
        </w:rPr>
        <w:footnoteRef/>
      </w:r>
      <w:r>
        <w:t xml:space="preserve"> </w:t>
      </w:r>
      <w:r w:rsidR="002C2F82">
        <w:rPr>
          <w:rFonts w:ascii="Merriweather" w:hAnsi="Merriweather"/>
          <w:sz w:val="21"/>
          <w:szCs w:val="21"/>
        </w:rPr>
        <w:t>Ibid., p.90</w:t>
      </w:r>
      <w:r w:rsidR="00AB3B02">
        <w:rPr>
          <w:rFonts w:ascii="Merriweather" w:hAnsi="Merriweather"/>
          <w:sz w:val="21"/>
          <w:szCs w:val="21"/>
        </w:rPr>
        <w:t>.</w:t>
      </w:r>
      <w:r w:rsidR="00FA7E12">
        <w:rPr>
          <w:rFonts w:ascii="Merriweather" w:hAnsi="Merriweather"/>
          <w:sz w:val="21"/>
          <w:szCs w:val="21"/>
        </w:rPr>
        <w:br/>
      </w:r>
    </w:p>
  </w:footnote>
  <w:footnote w:id="11">
    <w:p w14:paraId="54DCDD7F" w14:textId="26AED296" w:rsidR="00AB3B02" w:rsidRDefault="00AB3B02">
      <w:pPr>
        <w:pStyle w:val="FootnoteText"/>
      </w:pPr>
      <w:r>
        <w:rPr>
          <w:rStyle w:val="FootnoteReference"/>
        </w:rPr>
        <w:footnoteRef/>
      </w:r>
      <w:r>
        <w:t xml:space="preserve"> </w:t>
      </w:r>
      <w:r w:rsidRPr="00AB3B02">
        <w:rPr>
          <w:rFonts w:ascii="Merriweather" w:hAnsi="Merriweather"/>
        </w:rPr>
        <w:t>Ibid., p. 90.</w:t>
      </w:r>
      <w:r>
        <w:t xml:space="preserve"> </w:t>
      </w:r>
      <w:r w:rsidR="00FA7E12">
        <w:br/>
      </w:r>
    </w:p>
  </w:footnote>
  <w:footnote w:id="12">
    <w:p w14:paraId="76BE2731" w14:textId="1BD17E1B" w:rsidR="00B80120" w:rsidRPr="00B80120" w:rsidRDefault="00B80120">
      <w:pPr>
        <w:pStyle w:val="FootnoteText"/>
        <w:rPr>
          <w:rFonts w:ascii="Merriweather" w:hAnsi="Merriweather"/>
        </w:rPr>
      </w:pPr>
      <w:r>
        <w:rPr>
          <w:rStyle w:val="FootnoteReference"/>
        </w:rPr>
        <w:footnoteRef/>
      </w:r>
      <w:r>
        <w:t xml:space="preserve"> </w:t>
      </w:r>
      <w:r>
        <w:rPr>
          <w:rFonts w:ascii="Merriweather" w:hAnsi="Merriweather"/>
        </w:rPr>
        <w:t xml:space="preserve">Ibid., p. 90. </w:t>
      </w:r>
      <w:r w:rsidR="00FA7E12">
        <w:rPr>
          <w:rFonts w:ascii="Merriweather" w:hAnsi="Merriweather"/>
        </w:rPr>
        <w:br/>
      </w:r>
    </w:p>
  </w:footnote>
  <w:footnote w:id="13">
    <w:p w14:paraId="469D0511" w14:textId="4EDF9030" w:rsidR="00316194" w:rsidRDefault="00316194" w:rsidP="00316194">
      <w:pPr>
        <w:pStyle w:val="FootnoteText"/>
      </w:pPr>
      <w:r>
        <w:rPr>
          <w:rStyle w:val="FootnoteReference"/>
        </w:rPr>
        <w:footnoteRef/>
      </w:r>
      <w:r>
        <w:t xml:space="preserve"> </w:t>
      </w:r>
      <w:r w:rsidRPr="0068602D">
        <w:rPr>
          <w:rFonts w:ascii="Merriweather" w:hAnsi="Merriweather"/>
        </w:rPr>
        <w:t xml:space="preserve">David Tombs, </w:t>
      </w:r>
      <w:r w:rsidRPr="0068602D">
        <w:rPr>
          <w:rFonts w:ascii="Merriweather" w:hAnsi="Merriweather"/>
          <w:i/>
          <w:iCs/>
        </w:rPr>
        <w:t>Latin American Liberation Theology</w:t>
      </w:r>
      <w:r w:rsidRPr="0068602D">
        <w:rPr>
          <w:rFonts w:ascii="Merriweather" w:hAnsi="Merriweather"/>
        </w:rPr>
        <w:t xml:space="preserve"> (Boston: Brill Academic Publishers, 2002) &lt;</w:t>
      </w:r>
      <w:hyperlink r:id="rId3" w:history="1">
        <w:r w:rsidRPr="0068602D">
          <w:rPr>
            <w:rStyle w:val="Hyperlink"/>
            <w:rFonts w:ascii="Merriweather" w:hAnsi="Merriweather"/>
          </w:rPr>
          <w:t>https://brill-com.ezproxy.uwtsd.ac.uk/view/title/8064</w:t>
        </w:r>
      </w:hyperlink>
      <w:r w:rsidRPr="0068602D">
        <w:rPr>
          <w:rFonts w:ascii="Merriweather" w:hAnsi="Merriweather"/>
        </w:rPr>
        <w:t>&gt;. p. 2.</w:t>
      </w:r>
      <w:r>
        <w:t xml:space="preserve"> </w:t>
      </w:r>
      <w:r w:rsidR="00FA7E12">
        <w:br/>
      </w:r>
    </w:p>
  </w:footnote>
  <w:footnote w:id="14">
    <w:p w14:paraId="22A9A84A" w14:textId="2D3C3627" w:rsidR="00316194" w:rsidRDefault="00316194">
      <w:pPr>
        <w:pStyle w:val="FootnoteText"/>
      </w:pPr>
      <w:r>
        <w:rPr>
          <w:rStyle w:val="FootnoteReference"/>
        </w:rPr>
        <w:footnoteRef/>
      </w:r>
      <w:r>
        <w:t xml:space="preserve"> </w:t>
      </w:r>
      <w:r w:rsidRPr="001C18B3">
        <w:rPr>
          <w:rFonts w:ascii="Merriweather" w:hAnsi="Merriweather"/>
        </w:rPr>
        <w:t>Mc</w:t>
      </w:r>
      <w:r>
        <w:rPr>
          <w:rFonts w:ascii="Merriweather" w:hAnsi="Merriweather"/>
        </w:rPr>
        <w:t>G</w:t>
      </w:r>
      <w:r w:rsidRPr="001C18B3">
        <w:rPr>
          <w:rFonts w:ascii="Merriweather" w:hAnsi="Merriweather"/>
        </w:rPr>
        <w:t xml:space="preserve">rath, </w:t>
      </w:r>
      <w:r w:rsidRPr="001C18B3">
        <w:rPr>
          <w:rFonts w:ascii="Merriweather" w:hAnsi="Merriweather"/>
          <w:i/>
          <w:iCs/>
        </w:rPr>
        <w:t>Christian Theology: An Introduction</w:t>
      </w:r>
      <w:r w:rsidR="00FA7E12">
        <w:rPr>
          <w:rFonts w:ascii="Merriweather" w:hAnsi="Merriweather"/>
        </w:rPr>
        <w:t xml:space="preserve">, </w:t>
      </w:r>
      <w:r w:rsidRPr="001C18B3">
        <w:rPr>
          <w:rFonts w:ascii="Merriweather" w:hAnsi="Merriweather"/>
        </w:rPr>
        <w:t>p. 90.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8E3"/>
    <w:rsid w:val="00011FD3"/>
    <w:rsid w:val="00055144"/>
    <w:rsid w:val="0006609D"/>
    <w:rsid w:val="000976E8"/>
    <w:rsid w:val="000D460D"/>
    <w:rsid w:val="00125657"/>
    <w:rsid w:val="00165B56"/>
    <w:rsid w:val="00170D0C"/>
    <w:rsid w:val="00196042"/>
    <w:rsid w:val="001A061C"/>
    <w:rsid w:val="001C18B3"/>
    <w:rsid w:val="001E26EC"/>
    <w:rsid w:val="002027F6"/>
    <w:rsid w:val="002C2F82"/>
    <w:rsid w:val="002C48F4"/>
    <w:rsid w:val="002D0552"/>
    <w:rsid w:val="002E3BB1"/>
    <w:rsid w:val="002E58F3"/>
    <w:rsid w:val="002F406C"/>
    <w:rsid w:val="0031146E"/>
    <w:rsid w:val="00316194"/>
    <w:rsid w:val="00351678"/>
    <w:rsid w:val="00352DE4"/>
    <w:rsid w:val="00393CA1"/>
    <w:rsid w:val="003C5BAC"/>
    <w:rsid w:val="004E2850"/>
    <w:rsid w:val="00523FB5"/>
    <w:rsid w:val="00546924"/>
    <w:rsid w:val="00550044"/>
    <w:rsid w:val="0058611C"/>
    <w:rsid w:val="00591E81"/>
    <w:rsid w:val="005E4627"/>
    <w:rsid w:val="006463C9"/>
    <w:rsid w:val="00654062"/>
    <w:rsid w:val="0068602D"/>
    <w:rsid w:val="00716FBB"/>
    <w:rsid w:val="00727AA3"/>
    <w:rsid w:val="00746CFF"/>
    <w:rsid w:val="00757624"/>
    <w:rsid w:val="0077194D"/>
    <w:rsid w:val="007D3E20"/>
    <w:rsid w:val="00815357"/>
    <w:rsid w:val="008D0762"/>
    <w:rsid w:val="00946768"/>
    <w:rsid w:val="00A0758B"/>
    <w:rsid w:val="00A6054D"/>
    <w:rsid w:val="00AB3B02"/>
    <w:rsid w:val="00B717D7"/>
    <w:rsid w:val="00B80120"/>
    <w:rsid w:val="00B83A26"/>
    <w:rsid w:val="00C0069E"/>
    <w:rsid w:val="00C25AC5"/>
    <w:rsid w:val="00C63478"/>
    <w:rsid w:val="00C775A6"/>
    <w:rsid w:val="00D006F3"/>
    <w:rsid w:val="00D02452"/>
    <w:rsid w:val="00D5113F"/>
    <w:rsid w:val="00DB0F65"/>
    <w:rsid w:val="00E137B4"/>
    <w:rsid w:val="00E218E3"/>
    <w:rsid w:val="00E803F7"/>
    <w:rsid w:val="00E956EE"/>
    <w:rsid w:val="00EB0EE3"/>
    <w:rsid w:val="00EF4150"/>
    <w:rsid w:val="00EF435B"/>
    <w:rsid w:val="00F13F2D"/>
    <w:rsid w:val="00F16951"/>
    <w:rsid w:val="00F30E1C"/>
    <w:rsid w:val="00F80631"/>
    <w:rsid w:val="00FA7E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8DB5"/>
  <w15:chartTrackingRefBased/>
  <w15:docId w15:val="{97D17EAF-4657-4D2D-817F-171AA23A6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8E3"/>
  </w:style>
  <w:style w:type="paragraph" w:styleId="Footer">
    <w:name w:val="footer"/>
    <w:basedOn w:val="Normal"/>
    <w:link w:val="FooterChar"/>
    <w:uiPriority w:val="99"/>
    <w:unhideWhenUsed/>
    <w:rsid w:val="00E21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8E3"/>
  </w:style>
  <w:style w:type="paragraph" w:styleId="FootnoteText">
    <w:name w:val="footnote text"/>
    <w:basedOn w:val="Normal"/>
    <w:link w:val="FootnoteTextChar"/>
    <w:uiPriority w:val="99"/>
    <w:semiHidden/>
    <w:unhideWhenUsed/>
    <w:rsid w:val="00E218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18E3"/>
    <w:rPr>
      <w:sz w:val="20"/>
      <w:szCs w:val="20"/>
    </w:rPr>
  </w:style>
  <w:style w:type="character" w:styleId="FootnoteReference">
    <w:name w:val="footnote reference"/>
    <w:basedOn w:val="DefaultParagraphFont"/>
    <w:uiPriority w:val="99"/>
    <w:semiHidden/>
    <w:unhideWhenUsed/>
    <w:rsid w:val="00E218E3"/>
    <w:rPr>
      <w:vertAlign w:val="superscript"/>
    </w:rPr>
  </w:style>
  <w:style w:type="paragraph" w:styleId="NormalWeb">
    <w:name w:val="Normal (Web)"/>
    <w:basedOn w:val="Normal"/>
    <w:uiPriority w:val="99"/>
    <w:semiHidden/>
    <w:unhideWhenUsed/>
    <w:rsid w:val="00E218E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51678"/>
    <w:rPr>
      <w:color w:val="0563C1" w:themeColor="hyperlink"/>
      <w:u w:val="single"/>
    </w:rPr>
  </w:style>
  <w:style w:type="character" w:styleId="UnresolvedMention">
    <w:name w:val="Unresolved Mention"/>
    <w:basedOn w:val="DefaultParagraphFont"/>
    <w:uiPriority w:val="99"/>
    <w:semiHidden/>
    <w:unhideWhenUsed/>
    <w:rsid w:val="00351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92160">
      <w:bodyDiv w:val="1"/>
      <w:marLeft w:val="0"/>
      <w:marRight w:val="0"/>
      <w:marTop w:val="0"/>
      <w:marBottom w:val="0"/>
      <w:divBdr>
        <w:top w:val="none" w:sz="0" w:space="0" w:color="auto"/>
        <w:left w:val="none" w:sz="0" w:space="0" w:color="auto"/>
        <w:bottom w:val="none" w:sz="0" w:space="0" w:color="auto"/>
        <w:right w:val="none" w:sz="0" w:space="0" w:color="auto"/>
      </w:divBdr>
      <w:divsChild>
        <w:div w:id="1730641436">
          <w:marLeft w:val="0"/>
          <w:marRight w:val="0"/>
          <w:marTop w:val="0"/>
          <w:marBottom w:val="0"/>
          <w:divBdr>
            <w:top w:val="none" w:sz="0" w:space="0" w:color="auto"/>
            <w:left w:val="none" w:sz="0" w:space="0" w:color="auto"/>
            <w:bottom w:val="none" w:sz="0" w:space="0" w:color="auto"/>
            <w:right w:val="none" w:sz="0" w:space="0" w:color="auto"/>
          </w:divBdr>
        </w:div>
      </w:divsChild>
    </w:div>
    <w:div w:id="847675264">
      <w:bodyDiv w:val="1"/>
      <w:marLeft w:val="0"/>
      <w:marRight w:val="0"/>
      <w:marTop w:val="0"/>
      <w:marBottom w:val="0"/>
      <w:divBdr>
        <w:top w:val="none" w:sz="0" w:space="0" w:color="auto"/>
        <w:left w:val="none" w:sz="0" w:space="0" w:color="auto"/>
        <w:bottom w:val="none" w:sz="0" w:space="0" w:color="auto"/>
        <w:right w:val="none" w:sz="0" w:space="0" w:color="auto"/>
      </w:divBdr>
      <w:divsChild>
        <w:div w:id="528184456">
          <w:marLeft w:val="0"/>
          <w:marRight w:val="0"/>
          <w:marTop w:val="0"/>
          <w:marBottom w:val="0"/>
          <w:divBdr>
            <w:top w:val="none" w:sz="0" w:space="0" w:color="auto"/>
            <w:left w:val="none" w:sz="0" w:space="0" w:color="auto"/>
            <w:bottom w:val="none" w:sz="0" w:space="0" w:color="auto"/>
            <w:right w:val="none" w:sz="0" w:space="0" w:color="auto"/>
          </w:divBdr>
        </w:div>
      </w:divsChild>
    </w:div>
    <w:div w:id="1378965948">
      <w:bodyDiv w:val="1"/>
      <w:marLeft w:val="0"/>
      <w:marRight w:val="0"/>
      <w:marTop w:val="0"/>
      <w:marBottom w:val="0"/>
      <w:divBdr>
        <w:top w:val="none" w:sz="0" w:space="0" w:color="auto"/>
        <w:left w:val="none" w:sz="0" w:space="0" w:color="auto"/>
        <w:bottom w:val="none" w:sz="0" w:space="0" w:color="auto"/>
        <w:right w:val="none" w:sz="0" w:space="0" w:color="auto"/>
      </w:divBdr>
      <w:divsChild>
        <w:div w:id="1808662620">
          <w:marLeft w:val="0"/>
          <w:marRight w:val="0"/>
          <w:marTop w:val="0"/>
          <w:marBottom w:val="0"/>
          <w:divBdr>
            <w:top w:val="none" w:sz="0" w:space="0" w:color="auto"/>
            <w:left w:val="none" w:sz="0" w:space="0" w:color="auto"/>
            <w:bottom w:val="none" w:sz="0" w:space="0" w:color="auto"/>
            <w:right w:val="none" w:sz="0" w:space="0" w:color="auto"/>
          </w:divBdr>
        </w:div>
      </w:divsChild>
    </w:div>
    <w:div w:id="1547525238">
      <w:bodyDiv w:val="1"/>
      <w:marLeft w:val="0"/>
      <w:marRight w:val="0"/>
      <w:marTop w:val="0"/>
      <w:marBottom w:val="0"/>
      <w:divBdr>
        <w:top w:val="none" w:sz="0" w:space="0" w:color="auto"/>
        <w:left w:val="none" w:sz="0" w:space="0" w:color="auto"/>
        <w:bottom w:val="none" w:sz="0" w:space="0" w:color="auto"/>
        <w:right w:val="none" w:sz="0" w:space="0" w:color="auto"/>
      </w:divBdr>
      <w:divsChild>
        <w:div w:id="1698971134">
          <w:marLeft w:val="0"/>
          <w:marRight w:val="0"/>
          <w:marTop w:val="0"/>
          <w:marBottom w:val="0"/>
          <w:divBdr>
            <w:top w:val="none" w:sz="0" w:space="0" w:color="auto"/>
            <w:left w:val="none" w:sz="0" w:space="0" w:color="auto"/>
            <w:bottom w:val="none" w:sz="0" w:space="0" w:color="auto"/>
            <w:right w:val="none" w:sz="0" w:space="0" w:color="auto"/>
          </w:divBdr>
        </w:div>
      </w:divsChild>
    </w:div>
    <w:div w:id="1992557312">
      <w:bodyDiv w:val="1"/>
      <w:marLeft w:val="0"/>
      <w:marRight w:val="0"/>
      <w:marTop w:val="0"/>
      <w:marBottom w:val="0"/>
      <w:divBdr>
        <w:top w:val="none" w:sz="0" w:space="0" w:color="auto"/>
        <w:left w:val="none" w:sz="0" w:space="0" w:color="auto"/>
        <w:bottom w:val="none" w:sz="0" w:space="0" w:color="auto"/>
        <w:right w:val="none" w:sz="0" w:space="0" w:color="auto"/>
      </w:divBdr>
      <w:divsChild>
        <w:div w:id="1933315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com.ezproxy.uwtsd.ac.uk/view/title/8064" TargetMode="External"/><Relationship Id="rId3" Type="http://schemas.openxmlformats.org/officeDocument/2006/relationships/settings" Target="settings.xml"/><Relationship Id="rId7" Type="http://schemas.openxmlformats.org/officeDocument/2006/relationships/hyperlink" Target="https://www.researchgate.net/publication/312292930_Liberation_Theolog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rill-com.ezproxy.uwtsd.ac.uk/view/title/8064" TargetMode="External"/><Relationship Id="rId2" Type="http://schemas.openxmlformats.org/officeDocument/2006/relationships/hyperlink" Target="10.1017/s0036930600025011" TargetMode="External"/><Relationship Id="rId1" Type="http://schemas.openxmlformats.org/officeDocument/2006/relationships/hyperlink" Target="https://www.researchgate.net/publication/312292930_Liberation_The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31D875-F29A-48F4-A4F1-6C581335904C}">
  <we:reference id="wa104380122" version="2.1.0.1" store="en-001" storeType="OMEX"/>
  <we:alternateReferences>
    <we:reference id="wa104380122" version="2.1.0.1" store="en-001" storeType="OMEX"/>
  </we:alternateReferences>
  <we:properties>
    <we:property name="citations" value="null"/>
    <we:property name="formatForFootnotesEnabled" value="&quot;formatForFootnotesDisabled&quot;"/>
    <we:property name="rcm.version" value="2"/>
    <we:property name="rw.control.unlocked" value="true"/>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85015-7FBB-421C-A41F-DD5991E9A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716</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dc:creator>
  <cp:keywords/>
  <dc:description/>
  <cp:lastModifiedBy>Neve Pule</cp:lastModifiedBy>
  <cp:revision>68</cp:revision>
  <dcterms:created xsi:type="dcterms:W3CDTF">2022-10-12T11:05:00Z</dcterms:created>
  <dcterms:modified xsi:type="dcterms:W3CDTF">2022-10-27T09:26:00Z</dcterms:modified>
</cp:coreProperties>
</file>