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80" w:lineRule="auto"/>
        <w:ind w:left="284" w:firstLine="0"/>
        <w:rPr>
          <w:rFonts w:ascii="Times New Roman" w:cs="Times New Roman" w:eastAsia="Times New Roman" w:hAnsi="Times New Roman"/>
          <w:color w:val="000000"/>
          <w:vertAlign w:val="baseline"/>
        </w:rPr>
      </w:pPr>
      <w:r w:rsidDel="00000000" w:rsidR="00000000" w:rsidRPr="00000000">
        <w:rPr>
          <w:b w:val="1"/>
          <w:bCs w:val="1"/>
          <w:vertAlign w:val="baseline"/>
          <w:rtl w:val="0"/>
        </w:rPr>
        <w:t xml:space="preserve">Academic Journal Review – Sports Management</w:t>
      </w:r>
      <w:r w:rsidDel="00000000" w:rsidR="00000000" w:rsidRPr="00000000">
        <w:rPr>
          <w:rtl w:val="0"/>
        </w:rPr>
      </w:r>
    </w:p>
    <w:tbl>
      <w:tblPr>
        <w:tblStyle w:val="Table1"/>
        <w:tblW w:w="10139.0" w:type="dxa"/>
        <w:jc w:val="center"/>
        <w:tblBorders>
          <w:top w:color="000000" w:space="0" w:sz="12" w:val="single"/>
          <w:left w:color="000000" w:space="0" w:sz="12" w:val="single"/>
          <w:bottom w:color="000000" w:space="0" w:sz="12" w:val="single"/>
          <w:right w:color="000000" w:space="0" w:sz="12" w:val="single"/>
          <w:insideH w:color="000000" w:space="0" w:sz="0" w:val="nil"/>
          <w:insideV w:color="000000" w:space="0" w:sz="0" w:val="nil"/>
        </w:tblBorders>
        <w:tblLayout w:type="fixed"/>
        <w:tblLook w:val="0000"/>
      </w:tblPr>
      <w:tblGrid>
        <w:gridCol w:w="10139"/>
        <w:tblGridChange w:id="0">
          <w:tblGrid>
            <w:gridCol w:w="10139"/>
          </w:tblGrid>
        </w:tblGridChange>
      </w:tblGrid>
      <w:tr>
        <w:trPr>
          <w:cantSplit w:val="0"/>
          <w:trHeight w:val="360" w:hRule="atLeast"/>
          <w:tblHeader w:val="0"/>
        </w:trPr>
        <w:tc>
          <w:tcPr>
            <w:tcBorders>
              <w:top w:color="000000" w:space="0" w:sz="12" w:val="single"/>
              <w:left w:color="000000" w:space="0" w:sz="12" w:val="single"/>
              <w:bottom w:color="000000" w:space="0" w:sz="6" w:val="single"/>
              <w:right w:color="000000" w:space="0" w:sz="6" w:val="single"/>
            </w:tcBorders>
            <w:vAlign w:val="top"/>
          </w:tcPr>
          <w:p w:rsidR="00000000" w:rsidDel="00000000" w:rsidP="00000000" w:rsidRDefault="00000000" w:rsidRPr="00000000" w14:paraId="00000002">
            <w:pPr>
              <w:rPr>
                <w:vertAlign w:val="baseline"/>
              </w:rPr>
            </w:pPr>
            <w:r w:rsidDel="00000000" w:rsidR="00000000" w:rsidRPr="00000000">
              <w:rPr>
                <w:b w:val="1"/>
                <w:bCs w:val="1"/>
                <w:sz w:val="20"/>
                <w:szCs w:val="20"/>
                <w:vertAlign w:val="baseline"/>
                <w:rtl w:val="0"/>
              </w:rPr>
              <w:t xml:space="preserve">Student Name: JJ Belcher </w:t>
            </w:r>
            <w:r w:rsidDel="00000000" w:rsidR="00000000" w:rsidRPr="00000000">
              <w:rPr>
                <w:rtl w:val="0"/>
              </w:rPr>
            </w:r>
          </w:p>
        </w:tc>
      </w:tr>
      <w:tr>
        <w:trPr>
          <w:cantSplit w:val="0"/>
          <w:trHeight w:val="360" w:hRule="atLeast"/>
          <w:tblHeader w:val="0"/>
        </w:trPr>
        <w:tc>
          <w:tcPr>
            <w:tcBorders>
              <w:top w:color="000000" w:space="0" w:sz="6" w:val="single"/>
              <w:left w:color="000000" w:space="0" w:sz="12" w:val="single"/>
              <w:bottom w:color="000000" w:space="0" w:sz="6" w:val="single"/>
              <w:right w:color="000000" w:space="0" w:sz="6" w:val="single"/>
            </w:tcBorders>
            <w:vAlign w:val="top"/>
          </w:tcPr>
          <w:p w:rsidR="00000000" w:rsidDel="00000000" w:rsidP="00000000" w:rsidRDefault="00000000" w:rsidRPr="00000000" w14:paraId="00000003">
            <w:pPr>
              <w:rPr>
                <w:vertAlign w:val="baseline"/>
              </w:rPr>
            </w:pPr>
            <w:r w:rsidDel="00000000" w:rsidR="00000000" w:rsidRPr="00000000">
              <w:rPr>
                <w:b w:val="1"/>
                <w:bCs w:val="1"/>
                <w:sz w:val="20"/>
                <w:szCs w:val="20"/>
                <w:vertAlign w:val="baseline"/>
                <w:rtl w:val="0"/>
              </w:rPr>
              <w:t xml:space="preserve">Title of Work:</w:t>
            </w:r>
            <w:r w:rsidDel="00000000" w:rsidR="00000000" w:rsidRPr="00000000">
              <w:rPr>
                <w:rtl w:val="0"/>
              </w:rPr>
              <w:t xml:space="preserve"> Coaches’ experience of Game Sense: opportunities and challenges </w:t>
            </w:r>
            <w:r w:rsidDel="00000000" w:rsidR="00000000" w:rsidRPr="00000000">
              <w:rPr>
                <w:rtl w:val="0"/>
              </w:rPr>
            </w:r>
          </w:p>
        </w:tc>
      </w:tr>
      <w:tr>
        <w:trPr>
          <w:cantSplit w:val="0"/>
          <w:trHeight w:val="360" w:hRule="atLeast"/>
          <w:tblHeader w:val="0"/>
        </w:trPr>
        <w:tc>
          <w:tcPr>
            <w:tcBorders>
              <w:top w:color="000000" w:space="0" w:sz="6" w:val="single"/>
              <w:left w:color="000000" w:space="0" w:sz="12" w:val="single"/>
              <w:bottom w:color="000000" w:space="0" w:sz="6" w:val="single"/>
              <w:right w:color="000000" w:space="0" w:sz="6" w:val="single"/>
            </w:tcBorders>
            <w:vAlign w:val="top"/>
          </w:tcPr>
          <w:p w:rsidR="00000000" w:rsidDel="00000000" w:rsidP="00000000" w:rsidRDefault="00000000" w:rsidRPr="00000000" w14:paraId="00000004">
            <w:pPr>
              <w:rPr>
                <w:vertAlign w:val="baseline"/>
              </w:rPr>
            </w:pPr>
            <w:r w:rsidDel="00000000" w:rsidR="00000000" w:rsidRPr="00000000">
              <w:rPr>
                <w:b w:val="1"/>
                <w:bCs w:val="1"/>
                <w:sz w:val="20"/>
                <w:szCs w:val="20"/>
                <w:vertAlign w:val="baseline"/>
                <w:rtl w:val="0"/>
              </w:rPr>
              <w:t xml:space="preserve">Author:</w:t>
            </w:r>
            <w:r w:rsidDel="00000000" w:rsidR="00000000" w:rsidRPr="00000000">
              <w:rPr>
                <w:vertAlign w:val="baseline"/>
                <w:rtl w:val="0"/>
              </w:rPr>
              <w:t xml:space="preserve"> Richard Light </w:t>
            </w:r>
          </w:p>
        </w:tc>
      </w:tr>
      <w:tr>
        <w:trPr>
          <w:cantSplit w:val="0"/>
          <w:trHeight w:val="525" w:hRule="atLeast"/>
          <w:tblHeader w:val="0"/>
        </w:trPr>
        <w:tc>
          <w:tcPr>
            <w:tcBorders>
              <w:top w:color="000000" w:space="0" w:sz="6" w:val="single"/>
              <w:left w:color="000000" w:space="0" w:sz="12" w:val="single"/>
              <w:bottom w:color="000000" w:space="0" w:sz="6" w:val="single"/>
              <w:right w:color="000000" w:space="0" w:sz="6" w:val="single"/>
            </w:tcBorders>
            <w:vAlign w:val="top"/>
          </w:tcPr>
          <w:p w:rsidR="00000000" w:rsidDel="00000000" w:rsidP="00000000" w:rsidRDefault="00000000" w:rsidRPr="00000000" w14:paraId="00000005">
            <w:pPr>
              <w:rPr>
                <w:vertAlign w:val="baseline"/>
              </w:rPr>
            </w:pPr>
            <w:r w:rsidDel="00000000" w:rsidR="00000000" w:rsidRPr="00000000">
              <w:rPr>
                <w:b w:val="1"/>
                <w:bCs w:val="1"/>
                <w:sz w:val="20"/>
                <w:szCs w:val="20"/>
                <w:vertAlign w:val="baseline"/>
                <w:rtl w:val="0"/>
              </w:rPr>
              <w:t xml:space="preserve">Reference:</w:t>
            </w:r>
            <w:r w:rsidDel="00000000" w:rsidR="00000000" w:rsidRPr="00000000">
              <w:rPr>
                <w:rtl w:val="0"/>
              </w:rPr>
              <w:t xml:space="preserve"> University of Sydney Physical Education and Sport Pedagogy Vol 9, No 2, November 2004</w:t>
            </w:r>
            <w:r w:rsidDel="00000000" w:rsidR="00000000" w:rsidRPr="00000000">
              <w:rPr>
                <w:rtl w:val="0"/>
              </w:rPr>
            </w:r>
          </w:p>
        </w:tc>
      </w:tr>
      <w:tr>
        <w:trPr>
          <w:cantSplit w:val="0"/>
          <w:trHeight w:val="255" w:hRule="atLeast"/>
          <w:tblHeader w:val="0"/>
        </w:trPr>
        <w:tc>
          <w:tcPr>
            <w:tcBorders>
              <w:top w:color="000000" w:space="0" w:sz="6" w:val="single"/>
              <w:left w:color="000000" w:space="0" w:sz="12" w:val="single"/>
              <w:bottom w:color="000000" w:space="0" w:sz="6" w:val="single"/>
              <w:right w:color="000000" w:space="0" w:sz="6" w:val="single"/>
            </w:tcBorders>
            <w:vAlign w:val="top"/>
          </w:tcPr>
          <w:p w:rsidR="00000000" w:rsidDel="00000000" w:rsidP="00000000" w:rsidRDefault="00000000" w:rsidRPr="00000000" w14:paraId="00000006">
            <w:pPr>
              <w:rPr>
                <w:vertAlign w:val="baseline"/>
              </w:rPr>
            </w:pPr>
            <w:r w:rsidDel="00000000" w:rsidR="00000000" w:rsidRPr="00000000">
              <w:rPr>
                <w:b w:val="1"/>
                <w:bCs w:val="1"/>
                <w:sz w:val="20"/>
                <w:szCs w:val="20"/>
                <w:vertAlign w:val="baseline"/>
                <w:rtl w:val="0"/>
              </w:rPr>
              <w:t xml:space="preserve">Date of Article:</w:t>
            </w:r>
            <w:r w:rsidDel="00000000" w:rsidR="00000000" w:rsidRPr="00000000">
              <w:rPr>
                <w:vertAlign w:val="baseline"/>
                <w:rtl w:val="0"/>
              </w:rPr>
              <w:t xml:space="preserve"> </w:t>
            </w:r>
          </w:p>
        </w:tc>
      </w:tr>
      <w:tr>
        <w:trPr>
          <w:cantSplit w:val="0"/>
          <w:trHeight w:val="345" w:hRule="atLeast"/>
          <w:tblHeader w:val="0"/>
        </w:trPr>
        <w:tc>
          <w:tcPr>
            <w:tcBorders>
              <w:top w:color="000000" w:space="0" w:sz="6" w:val="single"/>
              <w:left w:color="000000" w:space="0" w:sz="12" w:val="single"/>
              <w:bottom w:color="000000" w:space="0" w:sz="6" w:val="single"/>
              <w:right w:color="000000" w:space="0" w:sz="12" w:val="single"/>
            </w:tcBorders>
            <w:shd w:fill="c0c0c0" w:val="clear"/>
            <w:vAlign w:val="top"/>
          </w:tcPr>
          <w:p w:rsidR="00000000" w:rsidDel="00000000" w:rsidP="00000000" w:rsidRDefault="00000000" w:rsidRPr="00000000" w14:paraId="00000007">
            <w:pPr>
              <w:rPr>
                <w:vertAlign w:val="baseline"/>
              </w:rPr>
            </w:pPr>
            <w:r w:rsidDel="00000000" w:rsidR="00000000" w:rsidRPr="00000000">
              <w:rPr>
                <w:b w:val="1"/>
                <w:bCs w:val="1"/>
                <w:sz w:val="20"/>
                <w:szCs w:val="20"/>
                <w:vertAlign w:val="baseline"/>
                <w:rtl w:val="0"/>
              </w:rPr>
              <w:t xml:space="preserve">PERSONAL REVIEW</w:t>
            </w:r>
            <w:r w:rsidDel="00000000" w:rsidR="00000000" w:rsidRPr="00000000">
              <w:rPr>
                <w:rtl w:val="0"/>
              </w:rPr>
            </w:r>
          </w:p>
        </w:tc>
      </w:tr>
      <w:tr>
        <w:trPr>
          <w:cantSplit w:val="0"/>
          <w:trHeight w:val="1932" w:hRule="atLeast"/>
          <w:tblHeader w:val="0"/>
        </w:trPr>
        <w:tc>
          <w:tcPr>
            <w:tcBorders>
              <w:top w:color="000000" w:space="0" w:sz="6" w:val="single"/>
              <w:left w:color="000000" w:space="0" w:sz="12" w:val="single"/>
              <w:bottom w:color="000000" w:space="0" w:sz="6" w:val="single"/>
              <w:right w:color="000000" w:space="0" w:sz="12" w:val="single"/>
            </w:tcBorders>
            <w:vAlign w:val="top"/>
          </w:tcPr>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0"/>
                <w:szCs w:val="20"/>
                <w:u w:val="single"/>
                <w:shd w:fill="auto" w:val="clear"/>
                <w:vertAlign w:val="baseline"/>
                <w:rtl w:val="0"/>
              </w:rPr>
              <w:t xml:space="preserve">Review Suggestions</w:t>
            </w:r>
            <w:r w:rsidDel="00000000" w:rsidR="00000000" w:rsidRPr="00000000">
              <w:rPr>
                <w:rtl w:val="0"/>
              </w:rPr>
            </w:r>
          </w:p>
          <w:p w:rsidR="00000000" w:rsidDel="00000000" w:rsidP="00000000" w:rsidRDefault="00000000" w:rsidRPr="00000000" w14:paraId="0000000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Give an overview of the article.</w:t>
            </w:r>
          </w:p>
          <w:p w:rsidR="00000000" w:rsidDel="00000000" w:rsidP="00000000" w:rsidRDefault="00000000" w:rsidRPr="00000000" w14:paraId="0000000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What are the key points in this article?</w:t>
            </w:r>
          </w:p>
          <w:p w:rsidR="00000000" w:rsidDel="00000000" w:rsidP="00000000" w:rsidRDefault="00000000" w:rsidRPr="00000000" w14:paraId="0000000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Who is intended audience – academics/ practitioners – why do you come to that conclusion?</w:t>
            </w:r>
          </w:p>
          <w:p w:rsidR="00000000" w:rsidDel="00000000" w:rsidP="00000000" w:rsidRDefault="00000000" w:rsidRPr="00000000" w14:paraId="0000000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Does the author define any terms? Are the definitions specific, useful, circular?</w:t>
            </w:r>
          </w:p>
          <w:p w:rsidR="00000000" w:rsidDel="00000000" w:rsidP="00000000" w:rsidRDefault="00000000" w:rsidRPr="00000000" w14:paraId="0000000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What are the key findings? </w:t>
            </w:r>
          </w:p>
          <w:p w:rsidR="00000000" w:rsidDel="00000000" w:rsidP="00000000" w:rsidRDefault="00000000" w:rsidRPr="00000000" w14:paraId="0000000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What did I find striking or interesting about these key points?</w:t>
            </w:r>
          </w:p>
          <w:p w:rsidR="00000000" w:rsidDel="00000000" w:rsidP="00000000" w:rsidRDefault="00000000" w:rsidRPr="00000000" w14:paraId="0000000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How has this article influenced me in thinking deeply about my values, beliefs and assumptions?</w:t>
            </w:r>
            <w:r w:rsidDel="00000000" w:rsidR="00000000" w:rsidRPr="00000000">
              <w:rPr>
                <w:rtl w:val="0"/>
              </w:rPr>
            </w:r>
          </w:p>
          <w:p w:rsidR="00000000" w:rsidDel="00000000" w:rsidP="00000000" w:rsidRDefault="00000000" w:rsidRPr="00000000" w14:paraId="0000001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rFonts w:ascii="Calibri" w:cs="Calibri" w:eastAsia="Calibri" w:hAnsi="Calibri"/>
                <w:b w:val="0"/>
                <w:bCs w:val="0"/>
                <w:i w:val="0"/>
                <w:iCs w:val="0"/>
                <w:smallCaps w:val="0"/>
                <w:strike w:val="0"/>
                <w:color w:val="000000"/>
                <w:sz w:val="20"/>
                <w:szCs w:val="20"/>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Does the author suggest areas for further research or discussion?</w:t>
            </w:r>
            <w:r w:rsidDel="00000000" w:rsidR="00000000" w:rsidRPr="00000000">
              <w:rPr>
                <w:rFonts w:ascii="Calibri" w:cs="Calibri" w:eastAsia="Calibri" w:hAnsi="Calibri"/>
                <w:b w:val="0"/>
                <w:bCs w:val="0"/>
                <w:i w:val="0"/>
                <w:iCs w:val="0"/>
                <w:smallCaps w:val="0"/>
                <w:strike w:val="0"/>
                <w:color w:val="000000"/>
                <w:sz w:val="20"/>
                <w:szCs w:val="20"/>
                <w:u w:val="none"/>
                <w:shd w:fill="auto" w:val="clear"/>
                <w:vertAlign w:val="baseline"/>
                <w:rtl w:val="0"/>
              </w:rPr>
              <w:t xml:space="preserve"> </w:t>
            </w:r>
          </w:p>
        </w:tc>
      </w:tr>
      <w:tr>
        <w:trPr>
          <w:cantSplit w:val="0"/>
          <w:trHeight w:val="2399" w:hRule="atLeast"/>
          <w:tblHeader w:val="0"/>
        </w:trPr>
        <w:tc>
          <w:tcPr>
            <w:tcBorders>
              <w:top w:color="000000" w:space="0" w:sz="6" w:val="single"/>
              <w:left w:color="000000" w:space="0" w:sz="12" w:val="single"/>
              <w:bottom w:color="000000" w:space="0" w:sz="12" w:val="single"/>
              <w:right w:color="000000" w:space="0" w:sz="12" w:val="single"/>
            </w:tcBorders>
            <w:vAlign w:val="top"/>
          </w:tcPr>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0"/>
                <w:szCs w:val="20"/>
                <w:u w:val="single"/>
                <w:shd w:fill="auto" w:val="clear"/>
                <w:vertAlign w:val="baseline"/>
              </w:rPr>
            </w:pPr>
            <w:r w:rsidDel="00000000" w:rsidR="00000000" w:rsidRPr="00000000">
              <w:rPr>
                <w:rFonts w:ascii="Arial" w:cs="Arial" w:eastAsia="Arial" w:hAnsi="Arial"/>
                <w:b w:val="1"/>
                <w:bCs w:val="1"/>
                <w:i w:val="0"/>
                <w:iCs w:val="0"/>
                <w:smallCaps w:val="0"/>
                <w:strike w:val="0"/>
                <w:color w:val="000000"/>
                <w:sz w:val="20"/>
                <w:szCs w:val="20"/>
                <w:u w:val="single"/>
                <w:shd w:fill="auto" w:val="clear"/>
                <w:vertAlign w:val="baseline"/>
                <w:rtl w:val="0"/>
              </w:rPr>
              <w:t xml:space="preserve">Personal Review (300 words)</w:t>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u w:val="single"/>
              </w:rPr>
            </w:pPr>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The article, “Coaches’ Experiences of Game Sense: Opportunities and Challenges,” by Richard Light, examines how Australian coaches talk about implementing Game Sense, an athlete-centered and game-centered approach to coaching, in different sports and levels of competition. The article positions Game Sense coaching as an alternative to traditional coaching, which emphasizes technique, and suggests that Game Sense coaching offers opportunities for more holistic development of players but also creates challenges for coaches.</w:t>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The key points include the opportunities presented by Game Sense, such as improving tactical awareness, facilitating transfer from practice to competition, developing independent decision-makers, and motivating players, and the challenges, which include the time required for the implementation of the approach, changes in coach-player relationships, and the inability to observe immediate performance outcomes. </w:t>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The audience seems to be academics and coaching professionals involved in sport pedagogy research, as it is evident from the fact that the article is published in the journal "Physical Education and Sport Pedagogy" and is based on theoretical foundations of coaching literature, addressing individuals interested in improving coaching practice beyond technical drills.</w:t>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Light establishes Game Sense through contrast, although he does not provide clear definitions, defining it as a tactical and game-centered approach that emphasizes real game situations and decision-making over isolated skills. While these points are helpful, they are somewhat vague and rely on examples rather than definitions. The key findings include that coaches find Game Sense valuable for long-term player development but have difficulty implementing it, in part because of coaching beliefs and organizational culture.</w:t>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What I found interesting was the extent to which coaches’ beliefs about learning shape their adoption of new pedagogies, and the emphasis that this places on the cultural, rather than just the methodological, nature of innovation in sport. This article has caused me to think about my own assumptions about coaching effectiveness, and the importance of excellence not just in technique, but also in producing adaptive thinkers. Light does suggest further avenues of research, with a focus on the importance of examining the impact of coaches’ beliefs. </w:t>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In summary, Light’s work illustrates that Game Sense is more than just a coaching method, but a paradigm shift in thinking about learning and performance. It reiterates the significance of reflective practice and urges coaches to think about their assumptions about how players learn.</w:t>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41">
      <w:pPr>
        <w:rPr>
          <w:sz w:val="20"/>
          <w:szCs w:val="20"/>
          <w:vertAlign w:val="baseline"/>
        </w:rPr>
      </w:pPr>
      <w:r w:rsidDel="00000000" w:rsidR="00000000" w:rsidRPr="00000000">
        <w:rPr>
          <w:rtl w:val="0"/>
        </w:rPr>
      </w:r>
    </w:p>
    <w:p w:rsidR="00000000" w:rsidDel="00000000" w:rsidP="00000000" w:rsidRDefault="00000000" w:rsidRPr="00000000" w14:paraId="00000042">
      <w:pPr>
        <w:ind w:right="329"/>
        <w:rPr>
          <w:sz w:val="20"/>
          <w:szCs w:val="20"/>
          <w:vertAlign w:val="baseline"/>
        </w:rPr>
      </w:pPr>
      <w:r w:rsidDel="00000000" w:rsidR="00000000" w:rsidRPr="00000000">
        <w:rPr>
          <w:rtl w:val="0"/>
        </w:rPr>
      </w:r>
    </w:p>
    <w:sectPr>
      <w:pgSz w:h="16834" w:w="11909" w:orient="portrait"/>
      <w:pgMar w:bottom="1440" w:top="567" w:left="426" w:right="569" w:header="720" w:footer="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imes New Roman"/>
  <w:font w:name="Calibri"/>
  <w:font w:name="Courier New"/>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360" w:hanging="360"/>
      </w:pPr>
      <w:rPr>
        <w:rFonts w:ascii="Noto Sans Symbols" w:cs="Noto Sans Symbols" w:eastAsia="Noto Sans Symbols" w:hAnsi="Noto Sans Symbols"/>
        <w:sz w:val="22"/>
        <w:szCs w:val="22"/>
        <w:vertAlign w:val="baseline"/>
      </w:rPr>
    </w:lvl>
    <w:lvl w:ilvl="1">
      <w:start w:val="1"/>
      <w:numFmt w:val="bullet"/>
      <w:lvlText w:val="o"/>
      <w:lvlJc w:val="left"/>
      <w:pPr>
        <w:ind w:left="1080" w:hanging="360"/>
      </w:pPr>
      <w:rPr>
        <w:rFonts w:ascii="Courier New" w:cs="Courier New" w:eastAsia="Courier New" w:hAnsi="Courier New"/>
        <w:vertAlign w:val="baseline"/>
      </w:rPr>
    </w:lvl>
    <w:lvl w:ilvl="2">
      <w:start w:val="1"/>
      <w:numFmt w:val="bullet"/>
      <w:lvlText w:val="▪"/>
      <w:lvlJc w:val="left"/>
      <w:pPr>
        <w:ind w:left="1800" w:hanging="360"/>
      </w:pPr>
      <w:rPr>
        <w:rFonts w:ascii="Noto Sans Symbols" w:cs="Noto Sans Symbols" w:eastAsia="Noto Sans Symbols" w:hAnsi="Noto Sans Symbols"/>
        <w:vertAlign w:val="baseline"/>
      </w:rPr>
    </w:lvl>
    <w:lvl w:ilvl="3">
      <w:start w:val="1"/>
      <w:numFmt w:val="bullet"/>
      <w:lvlText w:val="●"/>
      <w:lvlJc w:val="left"/>
      <w:pPr>
        <w:ind w:left="2520" w:hanging="360"/>
      </w:pPr>
      <w:rPr>
        <w:rFonts w:ascii="Noto Sans Symbols" w:cs="Noto Sans Symbols" w:eastAsia="Noto Sans Symbols" w:hAnsi="Noto Sans Symbols"/>
        <w:vertAlign w:val="baseline"/>
      </w:rPr>
    </w:lvl>
    <w:lvl w:ilvl="4">
      <w:start w:val="1"/>
      <w:numFmt w:val="bullet"/>
      <w:lvlText w:val="o"/>
      <w:lvlJc w:val="left"/>
      <w:pPr>
        <w:ind w:left="3240" w:hanging="360"/>
      </w:pPr>
      <w:rPr>
        <w:rFonts w:ascii="Courier New" w:cs="Courier New" w:eastAsia="Courier New" w:hAnsi="Courier New"/>
        <w:vertAlign w:val="baseline"/>
      </w:rPr>
    </w:lvl>
    <w:lvl w:ilvl="5">
      <w:start w:val="1"/>
      <w:numFmt w:val="bullet"/>
      <w:lvlText w:val="▪"/>
      <w:lvlJc w:val="left"/>
      <w:pPr>
        <w:ind w:left="3960" w:hanging="360"/>
      </w:pPr>
      <w:rPr>
        <w:rFonts w:ascii="Noto Sans Symbols" w:cs="Noto Sans Symbols" w:eastAsia="Noto Sans Symbols" w:hAnsi="Noto Sans Symbols"/>
        <w:vertAlign w:val="baseline"/>
      </w:rPr>
    </w:lvl>
    <w:lvl w:ilvl="6">
      <w:start w:val="1"/>
      <w:numFmt w:val="bullet"/>
      <w:lvlText w:val="●"/>
      <w:lvlJc w:val="left"/>
      <w:pPr>
        <w:ind w:left="4680" w:hanging="360"/>
      </w:pPr>
      <w:rPr>
        <w:rFonts w:ascii="Noto Sans Symbols" w:cs="Noto Sans Symbols" w:eastAsia="Noto Sans Symbols" w:hAnsi="Noto Sans Symbols"/>
        <w:vertAlign w:val="baseline"/>
      </w:rPr>
    </w:lvl>
    <w:lvl w:ilvl="7">
      <w:start w:val="1"/>
      <w:numFmt w:val="bullet"/>
      <w:lvlText w:val="o"/>
      <w:lvlJc w:val="left"/>
      <w:pPr>
        <w:ind w:left="5400" w:hanging="360"/>
      </w:pPr>
      <w:rPr>
        <w:rFonts w:ascii="Courier New" w:cs="Courier New" w:eastAsia="Courier New" w:hAnsi="Courier New"/>
        <w:vertAlign w:val="baseline"/>
      </w:rPr>
    </w:lvl>
    <w:lvl w:ilvl="8">
      <w:start w:val="1"/>
      <w:numFmt w:val="bullet"/>
      <w:lvlText w:val="▪"/>
      <w:lvlJc w:val="left"/>
      <w:pPr>
        <w:ind w:left="6120" w:hanging="360"/>
      </w:pPr>
      <w:rPr>
        <w:rFonts w:ascii="Noto Sans Symbols" w:cs="Noto Sans Symbols" w:eastAsia="Noto Sans Symbols" w:hAnsi="Noto Sans Symbols"/>
        <w:vertAlign w:val="baseli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pPr>
    <w:rPr>
      <w:rFonts w:ascii="Arial" w:cs="Arial" w:eastAsia="Arial" w:hAnsi="Arial"/>
      <w:b w:val="1"/>
      <w:bCs w:val="1"/>
      <w:color w:val="000000"/>
      <w:sz w:val="20"/>
      <w:szCs w:val="20"/>
      <w:vertAlign w:val="baseline"/>
    </w:rPr>
  </w:style>
  <w:style w:type="paragraph" w:styleId="Heading2">
    <w:name w:val="heading 2"/>
    <w:basedOn w:val="Normal"/>
    <w:next w:val="Normal"/>
    <w:pPr>
      <w:keepNext w:val="1"/>
    </w:pPr>
    <w:rPr>
      <w:rFonts w:ascii="Arial" w:cs="Arial" w:eastAsia="Arial" w:hAnsi="Arial"/>
      <w:color w:val="000000"/>
      <w:sz w:val="20"/>
      <w:szCs w:val="20"/>
      <w:u w:val="single"/>
      <w:vertAlign w:val="baseline"/>
    </w:rPr>
  </w:style>
  <w:style w:type="paragraph" w:styleId="Heading3">
    <w:name w:val="heading 3"/>
    <w:basedOn w:val="Normal"/>
    <w:next w:val="Normal"/>
    <w:pPr>
      <w:keepNext w:val="1"/>
      <w:ind w:right="329"/>
      <w:jc w:val="center"/>
    </w:pPr>
    <w:rPr>
      <w:rFonts w:ascii="Arial" w:cs="Arial" w:eastAsia="Arial" w:hAnsi="Arial"/>
      <w:b w:val="1"/>
      <w:bCs w:val="1"/>
      <w:color w:val="000000"/>
      <w:sz w:val="24"/>
      <w:szCs w:val="24"/>
      <w:vertAlign w:val="baseline"/>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name w:val="Default Paragraph Font"/>
    <w:next w:val="DefaultParagraphFont"/>
    <w:autoRedefine w:val="0"/>
    <w:hidden w:val="0"/>
    <w:qFormat w:val="0"/>
    <w:rPr>
      <w:w w:val="100"/>
      <w:position w:val="-1"/>
      <w:effect w:val="none"/>
      <w:vertAlign w:val="baseline"/>
      <w:cs w:val="0"/>
      <w:em w:val="none"/>
      <w:lang/>
    </w:rPr>
  </w:style>
  <w:style w:type="table" w:styleId="TableNormal">
    <w:name w:val="Table Normal"/>
    <w:next w:val="TableNormal"/>
    <w:autoRedefine w:val="0"/>
    <w:hidden w:val="0"/>
    <w:qFormat w:val="1"/>
    <w:pPr>
      <w:suppressAutoHyphens w:val="1"/>
      <w:spacing w:line="1" w:lineRule="atLeast"/>
      <w:ind w:leftChars="-1" w:rightChars="0" w:firstLineChars="-1"/>
      <w:textDirection w:val="btLr"/>
      <w:textAlignment w:val="top"/>
      <w:outlineLvl w:val="0"/>
    </w:pPr>
    <w:rPr>
      <w:w w:val="100"/>
      <w:position w:val="-1"/>
      <w:effect w:val="none"/>
      <w:vertAlign w:val="baseline"/>
      <w:cs w:val="0"/>
      <w:em w:val="none"/>
      <w:lang/>
    </w:rPr>
    <w:tblPr>
      <w:tblStyle w:val="TableNormal"/>
      <w:jc w:val="left"/>
      <w:tblInd w:w="0.0" w:type="dxa"/>
      <w:tblCellMar>
        <w:top w:w="0.0" w:type="dxa"/>
        <w:left w:w="108.0" w:type="dxa"/>
        <w:bottom w:w="0.0" w:type="dxa"/>
        <w:right w:w="108.0" w:type="dxa"/>
      </w:tblCellMar>
    </w:tblPr>
  </w:style>
  <w:style w:type="numbering" w:styleId="NoList">
    <w:name w:val="No List"/>
    <w:next w:val="NoList"/>
    <w:autoRedefine w:val="0"/>
    <w:hidden w:val="0"/>
    <w:qFormat w:val="1"/>
    <w:pPr>
      <w:suppressAutoHyphens w:val="1"/>
      <w:spacing w:line="1" w:lineRule="atLeast"/>
      <w:ind w:leftChars="-1" w:rightChars="0" w:firstLineChars="-1"/>
      <w:textDirection w:val="btLr"/>
      <w:textAlignment w:val="top"/>
      <w:outlineLvl w:val="0"/>
    </w:pPr>
  </w:style>
  <w:style w:type="paragraph" w:styleId="Normal(Web)">
    <w:name w:val="Normal (Web)"/>
    <w:basedOn w:val="Normal"/>
    <w:next w:val="Normal(Web)"/>
    <w:autoRedefine w:val="0"/>
    <w:hidden w:val="0"/>
    <w:qFormat w:val="0"/>
    <w:pPr>
      <w:suppressAutoHyphens w:val="1"/>
      <w:spacing w:after="100" w:afterAutospacing="1" w:before="100" w:beforeAutospacing="1" w:line="1" w:lineRule="atLeast"/>
      <w:ind w:leftChars="-1" w:rightChars="0" w:firstLineChars="-1"/>
      <w:textDirection w:val="btLr"/>
      <w:textAlignment w:val="top"/>
      <w:outlineLvl w:val="0"/>
    </w:pPr>
    <w:rPr>
      <w:rFonts w:ascii="Times New Roman" w:hAnsi="Times New Roman"/>
      <w:color w:val="auto"/>
      <w:w w:val="100"/>
      <w:position w:val="-1"/>
      <w:sz w:val="24"/>
      <w:szCs w:val="24"/>
      <w:effect w:val="none"/>
      <w:vertAlign w:val="baseline"/>
      <w:cs w:val="0"/>
      <w:em w:val="none"/>
      <w:lang w:bidi="ar-SA" w:eastAsia="en-US" w:val="en-US"/>
    </w:rPr>
  </w:style>
  <w:style w:type="paragraph" w:styleId="BodyText">
    <w:name w:val="Body Text"/>
    <w:basedOn w:val="Normal"/>
    <w:next w:val="BodyText"/>
    <w:autoRedefine w:val="0"/>
    <w:hidden w:val="0"/>
    <w:qFormat w:val="0"/>
    <w:pPr>
      <w:suppressAutoHyphens w:val="1"/>
      <w:spacing w:line="1" w:lineRule="atLeast"/>
      <w:ind w:leftChars="-1" w:rightChars="0" w:firstLineChars="-1"/>
      <w:textDirection w:val="btLr"/>
      <w:textAlignment w:val="top"/>
      <w:outlineLvl w:val="0"/>
    </w:pPr>
    <w:rPr>
      <w:rFonts w:ascii="Arial" w:cs="Arial" w:hAnsi="Arial"/>
      <w:b w:val="1"/>
      <w:color w:val="000000"/>
      <w:w w:val="100"/>
      <w:position w:val="-1"/>
      <w:sz w:val="20"/>
      <w:effect w:val="none"/>
      <w:vertAlign w:val="baseline"/>
      <w:cs w:val="0"/>
      <w:em w:val="none"/>
      <w:lang w:bidi="ar-SA" w:eastAsia="en-US" w:val="en-US"/>
    </w:rPr>
  </w:style>
  <w:style w:type="paragraph" w:styleId="BodyText2">
    <w:name w:val="Body Text 2"/>
    <w:basedOn w:val="Normal"/>
    <w:next w:val="BodyText2"/>
    <w:autoRedefine w:val="0"/>
    <w:hidden w:val="0"/>
    <w:qFormat w:val="0"/>
    <w:pPr>
      <w:suppressAutoHyphens w:val="1"/>
      <w:spacing w:line="1" w:lineRule="atLeast"/>
      <w:ind w:leftChars="-1" w:rightChars="0" w:firstLineChars="-1"/>
      <w:jc w:val="both"/>
      <w:textDirection w:val="btLr"/>
      <w:textAlignment w:val="top"/>
      <w:outlineLvl w:val="0"/>
    </w:pPr>
    <w:rPr>
      <w:rFonts w:ascii="Arial" w:cs="Arial" w:hAnsi="Arial"/>
      <w:bCs w:val="1"/>
      <w:color w:val="000000"/>
      <w:w w:val="100"/>
      <w:position w:val="-1"/>
      <w:sz w:val="20"/>
      <w:effect w:val="none"/>
      <w:vertAlign w:val="baseline"/>
      <w:cs w:val="0"/>
      <w:em w:val="none"/>
      <w:lang w:bidi="ar-SA" w:eastAsia="en-US" w:val="en-US"/>
    </w:rPr>
  </w:style>
  <w:style w:type="paragraph" w:styleId="BodyText3">
    <w:name w:val="Body Text 3"/>
    <w:basedOn w:val="Normal"/>
    <w:next w:val="BodyText3"/>
    <w:autoRedefine w:val="0"/>
    <w:hidden w:val="0"/>
    <w:qFormat w:val="0"/>
    <w:pPr>
      <w:suppressAutoHyphens w:val="1"/>
      <w:spacing w:after="100" w:afterAutospacing="1" w:before="100" w:beforeAutospacing="1" w:line="1" w:lineRule="atLeast"/>
      <w:ind w:leftChars="-1" w:rightChars="0" w:firstLineChars="-1"/>
      <w:textDirection w:val="btLr"/>
      <w:textAlignment w:val="top"/>
      <w:outlineLvl w:val="0"/>
    </w:pPr>
    <w:rPr>
      <w:rFonts w:ascii="Arial" w:hAnsi="Arial"/>
      <w:b w:val="1"/>
      <w:bCs w:val="1"/>
      <w:color w:val="000000"/>
      <w:w w:val="100"/>
      <w:position w:val="-1"/>
      <w:sz w:val="24"/>
      <w:effect w:val="none"/>
      <w:vertAlign w:val="baseline"/>
      <w:cs w:val="0"/>
      <w:em w:val="none"/>
      <w:lang w:bidi="ar-SA" w:eastAsia="en-US" w:val="en-US"/>
    </w:rPr>
  </w:style>
  <w:style w:type="character" w:styleId="Hyperlink">
    <w:name w:val="Hyperlink"/>
    <w:next w:val="Hyperlink"/>
    <w:autoRedefine w:val="0"/>
    <w:hidden w:val="0"/>
    <w:qFormat w:val="0"/>
    <w:rPr>
      <w:color w:val="0000ff"/>
      <w:w w:val="100"/>
      <w:position w:val="-1"/>
      <w:u w:val="none"/>
      <w:effect w:val="none"/>
      <w:vertAlign w:val="baseline"/>
      <w:cs w:val="0"/>
      <w:em w:val="none"/>
      <w:lang/>
    </w:rPr>
  </w:style>
  <w:style w:type="paragraph" w:styleId="BalloonText">
    <w:name w:val="Balloon Text"/>
    <w:basedOn w:val="Normal"/>
    <w:next w:val="BalloonText"/>
    <w:autoRedefine w:val="0"/>
    <w:hidden w:val="0"/>
    <w:qFormat w:val="1"/>
    <w:pPr>
      <w:suppressAutoHyphens w:val="1"/>
      <w:spacing w:line="1" w:lineRule="atLeast"/>
      <w:ind w:leftChars="-1" w:rightChars="0" w:firstLineChars="-1"/>
      <w:textDirection w:val="btLr"/>
      <w:textAlignment w:val="top"/>
      <w:outlineLvl w:val="0"/>
    </w:pPr>
    <w:rPr>
      <w:rFonts w:ascii="Tahoma" w:cs="Tahoma" w:hAnsi="Tahoma"/>
      <w:color w:val="000000"/>
      <w:w w:val="100"/>
      <w:position w:val="-1"/>
      <w:sz w:val="16"/>
      <w:szCs w:val="16"/>
      <w:effect w:val="none"/>
      <w:vertAlign w:val="baseline"/>
      <w:cs w:val="0"/>
      <w:em w:val="none"/>
      <w:lang w:bidi="ar-SA" w:eastAsia="en-US" w:val="en-US"/>
    </w:rPr>
  </w:style>
  <w:style w:type="character" w:styleId="BalloonTextChar">
    <w:name w:val="Balloon Text Char"/>
    <w:next w:val="BalloonTextChar"/>
    <w:autoRedefine w:val="0"/>
    <w:hidden w:val="0"/>
    <w:qFormat w:val="0"/>
    <w:rPr>
      <w:rFonts w:ascii="Tahoma" w:cs="Tahoma" w:hAnsi="Tahoma"/>
      <w:color w:val="000000"/>
      <w:w w:val="100"/>
      <w:position w:val="-1"/>
      <w:sz w:val="16"/>
      <w:szCs w:val="16"/>
      <w:effect w:val="none"/>
      <w:vertAlign w:val="baseline"/>
      <w:cs w:val="0"/>
      <w:em w:val="none"/>
      <w:lang w:eastAsia="en-US" w:val="en-US"/>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2gkDH/FtFLeqtV8q3nJMpKFTNEQ==">CgMxLjA4AHIhMV9TdmhRRmJEWlRWa3RVUS1seUF4dFl0UnNsRUVUb1Rz</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2023-01-30T10:30:00Z</dcterms:created>
  <dc:creator>Peggy Leong</dc:creator>
</cp:coreProperties>
</file>