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472DE" w:rsidRPr="00C472DE" w14:paraId="377993AB" w14:textId="77777777" w:rsidTr="007364F7">
        <w:tc>
          <w:tcPr>
            <w:tcW w:w="10188" w:type="dxa"/>
            <w:shd w:val="clear" w:color="auto" w:fill="auto"/>
          </w:tcPr>
          <w:p w14:paraId="4159ED19" w14:textId="77777777" w:rsidR="00C472DE" w:rsidRPr="00C472DE" w:rsidRDefault="00C472DE" w:rsidP="00C472DE">
            <w:pPr>
              <w:rPr>
                <w:b/>
              </w:rPr>
            </w:pPr>
            <w:r w:rsidRPr="00C472DE">
              <w:rPr>
                <w:b/>
              </w:rPr>
              <w:t>Question a:</w:t>
            </w:r>
          </w:p>
          <w:p w14:paraId="31E9BFA2" w14:textId="77777777" w:rsidR="00C472DE" w:rsidRPr="00C472DE" w:rsidRDefault="00C472DE" w:rsidP="00C472DE">
            <w:r w:rsidRPr="00C472DE">
              <w:t xml:space="preserve">In an area </w:t>
            </w:r>
            <w:r w:rsidRPr="00C472DE">
              <w:rPr>
                <w:b/>
              </w:rPr>
              <w:t xml:space="preserve">that is not your </w:t>
            </w:r>
            <w:proofErr w:type="gramStart"/>
            <w:r w:rsidRPr="00C472DE">
              <w:rPr>
                <w:b/>
              </w:rPr>
              <w:t>main focus</w:t>
            </w:r>
            <w:proofErr w:type="gramEnd"/>
            <w:r w:rsidRPr="00C472DE">
              <w:rPr>
                <w:b/>
              </w:rPr>
              <w:t xml:space="preserve"> of work </w:t>
            </w:r>
            <w:r w:rsidRPr="00C472DE">
              <w:t xml:space="preserve">(see guidance above), explain the relevant legislation, and the national, local and organisational policies and procedures for safeguarding. </w:t>
            </w:r>
          </w:p>
          <w:p w14:paraId="6F6984BD" w14:textId="65C6AABD" w:rsidR="00C472DE" w:rsidRDefault="00197257" w:rsidP="00C472DE">
            <w:r>
              <w:t xml:space="preserve">An adult at risk is a person aged 18 or over who: </w:t>
            </w:r>
          </w:p>
          <w:p w14:paraId="03C94BC2" w14:textId="613BCDB7" w:rsidR="00197257" w:rsidRDefault="00197257" w:rsidP="00197257">
            <w:pPr>
              <w:pStyle w:val="ListParagraph"/>
              <w:numPr>
                <w:ilvl w:val="0"/>
                <w:numId w:val="1"/>
              </w:numPr>
            </w:pPr>
            <w:r>
              <w:t>Has care and support needs (</w:t>
            </w:r>
            <w:proofErr w:type="gramStart"/>
            <w:r>
              <w:t>whether or not</w:t>
            </w:r>
            <w:proofErr w:type="gramEnd"/>
            <w:r>
              <w:t xml:space="preserve"> they are receiving help for these needs)</w:t>
            </w:r>
          </w:p>
          <w:p w14:paraId="213DB346" w14:textId="0C2A4C2A" w:rsidR="00197257" w:rsidRDefault="00197257" w:rsidP="00197257">
            <w:pPr>
              <w:pStyle w:val="ListParagraph"/>
              <w:numPr>
                <w:ilvl w:val="0"/>
                <w:numId w:val="1"/>
              </w:numPr>
            </w:pPr>
            <w:r>
              <w:t xml:space="preserve">Is experiencing or at risk of abuse or neglect (Including physical, emotional, </w:t>
            </w:r>
            <w:r w:rsidR="00E8773C">
              <w:t>financial</w:t>
            </w:r>
            <w:r>
              <w:t xml:space="preserve">, sexual, or institutional abuse) </w:t>
            </w:r>
          </w:p>
          <w:p w14:paraId="1A9A8B87" w14:textId="35071738" w:rsidR="00197257" w:rsidRDefault="00197257" w:rsidP="00197257">
            <w:pPr>
              <w:pStyle w:val="ListParagraph"/>
              <w:numPr>
                <w:ilvl w:val="0"/>
                <w:numId w:val="1"/>
              </w:numPr>
            </w:pPr>
            <w:r>
              <w:t xml:space="preserve">Is unable to protect themselves from harm or exploitation due to their care and support needs. </w:t>
            </w:r>
            <w:r w:rsidR="00CC40BB">
              <w:t>(Care Act 2014)</w:t>
            </w:r>
          </w:p>
          <w:p w14:paraId="04C0C8C2" w14:textId="77777777" w:rsidR="00F02BCC" w:rsidRDefault="00F02BCC" w:rsidP="00F02BCC">
            <w:pPr>
              <w:pStyle w:val="ListParagraph"/>
            </w:pPr>
          </w:p>
          <w:p w14:paraId="6235B599" w14:textId="18D22FB0" w:rsidR="00197257" w:rsidRDefault="00197257" w:rsidP="00197257">
            <w:r>
              <w:t>The definition of an adult at risk is similar but not identical across England and Wales</w:t>
            </w:r>
            <w:r w:rsidR="00CC40BB">
              <w:t xml:space="preserve">, as safeguarding legislation differs slightly between the two countries. </w:t>
            </w:r>
            <w:r w:rsidR="0098623C">
              <w:t xml:space="preserve">A key difference in Wales is that local authorities have a duty to report concerns about an adult at risk, rather than just a duty to make enquiries. </w:t>
            </w:r>
          </w:p>
          <w:p w14:paraId="7F39896B" w14:textId="52D6D110" w:rsidR="0098623C" w:rsidRDefault="0098623C" w:rsidP="00197257">
            <w:r>
              <w:t xml:space="preserve">While the definition </w:t>
            </w:r>
            <w:r w:rsidR="0064567B">
              <w:t>is</w:t>
            </w:r>
            <w:r>
              <w:t xml:space="preserve"> broadly similar, Wales has a slightly stronger emphasis on proactive reporting and intervention. </w:t>
            </w:r>
            <w:r w:rsidR="008B68F4" w:rsidRPr="008B68F4">
              <w:t>The </w:t>
            </w:r>
            <w:r w:rsidR="008B68F4" w:rsidRPr="008B68F4">
              <w:rPr>
                <w:b/>
                <w:bCs/>
              </w:rPr>
              <w:t>Care Act 2014</w:t>
            </w:r>
            <w:r w:rsidR="008B68F4" w:rsidRPr="008B68F4">
              <w:t> extends to </w:t>
            </w:r>
            <w:r w:rsidR="008B68F4" w:rsidRPr="008B68F4">
              <w:rPr>
                <w:b/>
                <w:bCs/>
              </w:rPr>
              <w:t>England and Wales</w:t>
            </w:r>
            <w:r w:rsidR="008B68F4" w:rsidRPr="008B68F4">
              <w:t>, but its application differs. While Part 1 (Care and Support) applies to local authorities in England only, social care is a devolved matter for Wales, and local authorities in Wales have duties under the Social Services and Well-being (Wales) Act 2014 to assess and meet the needs of adults, children, and carers</w:t>
            </w:r>
            <w:r w:rsidR="008B68F4">
              <w:t xml:space="preserve">. </w:t>
            </w:r>
          </w:p>
          <w:p w14:paraId="476238EC" w14:textId="77777777" w:rsidR="008B68F4" w:rsidRPr="008B68F4" w:rsidRDefault="008B68F4" w:rsidP="00197257">
            <w:pPr>
              <w:rPr>
                <w:i/>
                <w:iCs/>
              </w:rPr>
            </w:pPr>
          </w:p>
          <w:p w14:paraId="0F31AFFE" w14:textId="3476774D" w:rsidR="00A3602A" w:rsidRDefault="00A3602A" w:rsidP="00197257">
            <w:r>
              <w:t>The Social Services and Well being Act (Wales) Act 2014 is the main law governing social care and support in Wales. It aims to improve well-being, promote independence, and ensure people receive the care they need. The Act also recognises the right of individuals to live freely</w:t>
            </w:r>
            <w:r w:rsidR="0064567B">
              <w:t xml:space="preserve">, make their own choices, and have control over their lives, </w:t>
            </w:r>
            <w:proofErr w:type="gramStart"/>
            <w:r w:rsidR="0064567B">
              <w:t>as long as</w:t>
            </w:r>
            <w:proofErr w:type="gramEnd"/>
            <w:r w:rsidR="0064567B">
              <w:t xml:space="preserve"> they are not at risk of harm. </w:t>
            </w:r>
          </w:p>
          <w:p w14:paraId="01E5FFBF" w14:textId="15D8CB1A" w:rsidR="0064567B" w:rsidRDefault="0064567B" w:rsidP="00197257">
            <w:r>
              <w:t xml:space="preserve">While the Act priorities freedom, it also includes safeguarding measures to protect those who cannot protect themselves. The balance between autonomy and protection is central to social care in Wales. (Social Services and Well-Being (Wales) Act 2014) </w:t>
            </w:r>
          </w:p>
          <w:p w14:paraId="2F17B7F1" w14:textId="45F79B7A" w:rsidR="002B2CC9" w:rsidRDefault="002B2CC9" w:rsidP="00197257">
            <w:r>
              <w:t xml:space="preserve">Under the Social Services and Well-Being (Wales) Act 2014, local authorities in Wales have a legal duty to safeguard adults at risk. This duty is set out in Section 126 of the Act and is supported by the </w:t>
            </w:r>
            <w:r w:rsidRPr="002B2CC9">
              <w:rPr>
                <w:i/>
                <w:iCs/>
              </w:rPr>
              <w:t>Working Together to Safeguard People Statutory</w:t>
            </w:r>
            <w:r>
              <w:t xml:space="preserve"> guidance. </w:t>
            </w:r>
          </w:p>
          <w:p w14:paraId="6A26529E" w14:textId="77777777" w:rsidR="00947DB0" w:rsidRDefault="00947DB0" w:rsidP="00197257"/>
          <w:p w14:paraId="77C7323C" w14:textId="3A47A8DF" w:rsidR="002B2CC9" w:rsidRDefault="002B2CC9" w:rsidP="00197257">
            <w:r>
              <w:t xml:space="preserve">Key responsibilities of a Local Authorities: </w:t>
            </w:r>
          </w:p>
          <w:p w14:paraId="108A1C54" w14:textId="0CA433C3" w:rsidR="002B2CC9" w:rsidRDefault="002B2CC9" w:rsidP="002B2CC9">
            <w:pPr>
              <w:pStyle w:val="ListParagraph"/>
              <w:numPr>
                <w:ilvl w:val="0"/>
                <w:numId w:val="2"/>
              </w:numPr>
            </w:pPr>
            <w:r>
              <w:t xml:space="preserve">Duty to make enquiries (Section 126) </w:t>
            </w:r>
          </w:p>
          <w:p w14:paraId="663978BC" w14:textId="4535062A" w:rsidR="002B2CC9" w:rsidRDefault="002B2CC9" w:rsidP="002B2CC9">
            <w:pPr>
              <w:pStyle w:val="ListParagraph"/>
              <w:numPr>
                <w:ilvl w:val="0"/>
                <w:numId w:val="2"/>
              </w:numPr>
            </w:pPr>
            <w:r>
              <w:t>Duty to work in partnership</w:t>
            </w:r>
          </w:p>
          <w:p w14:paraId="3C39F2C9" w14:textId="31F470F8" w:rsidR="002B2CC9" w:rsidRDefault="002B2CC9" w:rsidP="002B2CC9">
            <w:pPr>
              <w:pStyle w:val="ListParagraph"/>
              <w:numPr>
                <w:ilvl w:val="0"/>
                <w:numId w:val="2"/>
              </w:numPr>
            </w:pPr>
            <w:r>
              <w:t xml:space="preserve">Duty to prevent abuse or neglect </w:t>
            </w:r>
          </w:p>
          <w:p w14:paraId="7854845A" w14:textId="21E33495" w:rsidR="002B2CC9" w:rsidRDefault="002B2CC9" w:rsidP="002B2CC9">
            <w:pPr>
              <w:pStyle w:val="ListParagraph"/>
              <w:numPr>
                <w:ilvl w:val="0"/>
                <w:numId w:val="2"/>
              </w:numPr>
            </w:pPr>
            <w:r>
              <w:t xml:space="preserve">Duty to support and protect the adult </w:t>
            </w:r>
          </w:p>
          <w:p w14:paraId="5110CF90" w14:textId="31E89247" w:rsidR="002B2CC9" w:rsidRDefault="002B2CC9" w:rsidP="002B2CC9">
            <w:pPr>
              <w:pStyle w:val="ListParagraph"/>
              <w:numPr>
                <w:ilvl w:val="0"/>
                <w:numId w:val="2"/>
              </w:numPr>
            </w:pPr>
            <w:r>
              <w:t xml:space="preserve">Duty to review and monitor safeguarding plans </w:t>
            </w:r>
          </w:p>
          <w:p w14:paraId="3C0E3829" w14:textId="1753821D" w:rsidR="002B2CC9" w:rsidRDefault="002B2CC9" w:rsidP="002B2CC9">
            <w:pPr>
              <w:pStyle w:val="ListParagraph"/>
              <w:numPr>
                <w:ilvl w:val="0"/>
                <w:numId w:val="2"/>
              </w:numPr>
            </w:pPr>
            <w:r>
              <w:lastRenderedPageBreak/>
              <w:t>Duty to establish a safeguarding adults board (SAB)</w:t>
            </w:r>
          </w:p>
          <w:p w14:paraId="70C356A1" w14:textId="77777777" w:rsidR="00A21602" w:rsidRDefault="00A21602" w:rsidP="00C472DE"/>
          <w:p w14:paraId="67AC445F" w14:textId="57083418" w:rsidR="00C472DE" w:rsidRPr="00C472DE" w:rsidRDefault="00C472DE" w:rsidP="00C472DE">
            <w:r w:rsidRPr="00C472DE">
              <w:t>Working Together to Safeguard People (Welsh Government 2020) gives guidance around a strategy meeting being undertaken within seven days of the completion of the enquiry, particularly when an adult is determined to be at risk, to agree the response and actions to be taken. Following this, determination of action should be concluded in collaboration with the individual. This may include ‘</w:t>
            </w:r>
            <w:r w:rsidRPr="00C472DE">
              <w:rPr>
                <w:i/>
              </w:rPr>
              <w:t xml:space="preserve">Immediate Action’, ‘Adult not at risk but may have other needs of care and support services’, ‘Adult at Risk and action to protect required’ </w:t>
            </w:r>
            <w:r w:rsidRPr="00C472DE">
              <w:t xml:space="preserve">(XX 2020). </w:t>
            </w:r>
          </w:p>
          <w:p w14:paraId="56C7EA58" w14:textId="1BBF8A1B" w:rsidR="00C472DE" w:rsidRPr="00C472DE" w:rsidRDefault="00C472DE" w:rsidP="00C472DE">
            <w:r w:rsidRPr="00C472DE">
              <w:t xml:space="preserve">Word count - </w:t>
            </w:r>
            <w:r w:rsidR="00E8773C">
              <w:t>4</w:t>
            </w:r>
            <w:r w:rsidR="00F02BCC">
              <w:t>83</w:t>
            </w:r>
          </w:p>
          <w:p w14:paraId="4E761925" w14:textId="77777777" w:rsidR="00C472DE" w:rsidRPr="00C472DE" w:rsidRDefault="00C472DE" w:rsidP="00C472DE"/>
          <w:p w14:paraId="23AF7EDA" w14:textId="77777777" w:rsidR="00C472DE" w:rsidRPr="00C472DE" w:rsidRDefault="00C472DE" w:rsidP="00C472DE"/>
          <w:p w14:paraId="1EA245F1" w14:textId="77777777" w:rsidR="00C472DE" w:rsidRPr="00C472DE" w:rsidRDefault="00C472DE" w:rsidP="00C472DE"/>
          <w:p w14:paraId="5261F2BC" w14:textId="77777777" w:rsidR="00C472DE" w:rsidRPr="00C472DE" w:rsidRDefault="00C472DE" w:rsidP="00C472DE"/>
          <w:p w14:paraId="12A9FB61" w14:textId="77777777" w:rsidR="00C472DE" w:rsidRPr="00C472DE" w:rsidRDefault="00C472DE" w:rsidP="00C472DE"/>
          <w:p w14:paraId="1E1D6CFD" w14:textId="77777777" w:rsidR="00C472DE" w:rsidRPr="00C472DE" w:rsidRDefault="00C472DE" w:rsidP="00C472DE"/>
          <w:p w14:paraId="69EAFAF4" w14:textId="77777777" w:rsidR="00C472DE" w:rsidRPr="00C472DE" w:rsidRDefault="00C472DE" w:rsidP="00C472DE"/>
          <w:p w14:paraId="76AA42B2" w14:textId="77777777" w:rsidR="00C472DE" w:rsidRPr="00C472DE" w:rsidRDefault="00C472DE" w:rsidP="00C472DE"/>
          <w:p w14:paraId="7CCDA19E" w14:textId="77777777" w:rsidR="00C472DE" w:rsidRPr="00C472DE" w:rsidRDefault="00C472DE" w:rsidP="00C472DE"/>
          <w:p w14:paraId="77BE2D72" w14:textId="77777777" w:rsidR="00C472DE" w:rsidRPr="00C472DE" w:rsidRDefault="00C472DE" w:rsidP="00C472DE"/>
          <w:p w14:paraId="55E262C7" w14:textId="77777777" w:rsidR="00C472DE" w:rsidRPr="00C472DE" w:rsidRDefault="00C472DE" w:rsidP="00C472DE"/>
          <w:p w14:paraId="68F44994" w14:textId="77777777" w:rsidR="00C472DE" w:rsidRPr="00C472DE" w:rsidRDefault="00C472DE" w:rsidP="00C472DE"/>
          <w:p w14:paraId="7EB79212" w14:textId="77777777" w:rsidR="00C472DE" w:rsidRPr="00C472DE" w:rsidRDefault="00C472DE" w:rsidP="00C472DE">
            <w:r w:rsidRPr="00C472DE">
              <w:rPr>
                <w:i/>
              </w:rPr>
              <w:t>500 words</w:t>
            </w:r>
            <w:r w:rsidRPr="00C472DE">
              <w:t xml:space="preserve"> (+/- 10%: include your actual word count at the end of each section).</w:t>
            </w:r>
          </w:p>
          <w:p w14:paraId="636BBE8A" w14:textId="77777777" w:rsidR="00C472DE" w:rsidRPr="00C472DE" w:rsidRDefault="00C472DE" w:rsidP="00C472DE">
            <w:pPr>
              <w:rPr>
                <w:b/>
              </w:rPr>
            </w:pPr>
          </w:p>
        </w:tc>
      </w:tr>
    </w:tbl>
    <w:p w14:paraId="4E22D14D" w14:textId="77777777" w:rsidR="00C472DE" w:rsidRPr="00C472DE" w:rsidRDefault="00C472DE" w:rsidP="00C472DE"/>
    <w:p w14:paraId="28C44A12" w14:textId="77777777" w:rsidR="00C472DE" w:rsidRPr="00C472DE" w:rsidRDefault="00C472DE" w:rsidP="00C472DE"/>
    <w:p w14:paraId="0D5A58E1" w14:textId="77777777" w:rsidR="00C472DE" w:rsidRPr="00C472DE" w:rsidRDefault="00C472DE" w:rsidP="00C472DE"/>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472DE" w:rsidRPr="00C472DE" w14:paraId="5CC4C136" w14:textId="77777777" w:rsidTr="007364F7">
        <w:tc>
          <w:tcPr>
            <w:tcW w:w="10278" w:type="dxa"/>
            <w:shd w:val="clear" w:color="auto" w:fill="auto"/>
          </w:tcPr>
          <w:p w14:paraId="5E105606" w14:textId="77777777" w:rsidR="00C472DE" w:rsidRPr="00C472DE" w:rsidRDefault="00C472DE" w:rsidP="00C472DE">
            <w:pPr>
              <w:rPr>
                <w:b/>
              </w:rPr>
            </w:pPr>
            <w:r w:rsidRPr="00C472DE">
              <w:rPr>
                <w:b/>
              </w:rPr>
              <w:t>Question b:</w:t>
            </w:r>
          </w:p>
          <w:p w14:paraId="1292414E" w14:textId="6563C74A" w:rsidR="00C472DE" w:rsidRPr="00C472DE" w:rsidRDefault="00C472DE" w:rsidP="00C472DE">
            <w:r w:rsidRPr="00C472DE">
              <w:t>Reflect on the difference between safeguarding in adults’ and children’s work</w:t>
            </w:r>
          </w:p>
          <w:p w14:paraId="1F6C5EA9" w14:textId="14867C26" w:rsidR="00C472DE" w:rsidRDefault="00152234" w:rsidP="00C472DE">
            <w:r>
              <w:t xml:space="preserve">Safeguarding in adults and </w:t>
            </w:r>
            <w:r w:rsidR="00360ECD">
              <w:t>children’s</w:t>
            </w:r>
            <w:r>
              <w:t xml:space="preserve"> work in Wales has both common principles and distinct differences due to the varying needs and vulnerabilities of each group. </w:t>
            </w:r>
          </w:p>
          <w:p w14:paraId="6A084CCB" w14:textId="59681041" w:rsidR="00152234" w:rsidRDefault="00152234" w:rsidP="00152234">
            <w:pPr>
              <w:pStyle w:val="ListParagraph"/>
              <w:numPr>
                <w:ilvl w:val="0"/>
                <w:numId w:val="3"/>
              </w:numPr>
            </w:pPr>
            <w:r>
              <w:t xml:space="preserve">Children’s safeguarding focuses heavily on protecting those who are still in a phase of growth and development, where they may lack the ability to make informed decisions or protect themselves from harm. Children may experience abuse or neglect in various forms, including physical, emotional, sexual, or neglect. </w:t>
            </w:r>
          </w:p>
          <w:p w14:paraId="4521A937" w14:textId="202F52A0" w:rsidR="00152234" w:rsidRDefault="00152234" w:rsidP="00152234">
            <w:pPr>
              <w:pStyle w:val="ListParagraph"/>
              <w:numPr>
                <w:ilvl w:val="0"/>
                <w:numId w:val="3"/>
              </w:numPr>
            </w:pPr>
            <w:r>
              <w:lastRenderedPageBreak/>
              <w:t xml:space="preserve">Adults safeguarding, </w:t>
            </w:r>
            <w:r w:rsidR="00360ECD">
              <w:t>particularly</w:t>
            </w:r>
            <w:r>
              <w:t xml:space="preserve"> for vulnerable adults (those over 18</w:t>
            </w:r>
            <w:r w:rsidR="00947DB0">
              <w:t>)</w:t>
            </w:r>
            <w:r>
              <w:t xml:space="preserve">, who are at risk due age, disability, mental health issues, or substance </w:t>
            </w:r>
            <w:r w:rsidR="00360ECD">
              <w:t xml:space="preserve">abuse), focuses on promoting autonomy while protecting individuals from abuse or exploitation. </w:t>
            </w:r>
          </w:p>
          <w:p w14:paraId="61FE41C1" w14:textId="04ED0089" w:rsidR="00360ECD" w:rsidRPr="00C472DE" w:rsidRDefault="00360ECD" w:rsidP="00152234">
            <w:pPr>
              <w:pStyle w:val="ListParagraph"/>
              <w:numPr>
                <w:ilvl w:val="0"/>
                <w:numId w:val="3"/>
              </w:numPr>
            </w:pPr>
            <w:r>
              <w:t xml:space="preserve">Legal frameworks in Wales, both children’s and adults safeguarding </w:t>
            </w:r>
            <w:proofErr w:type="gramStart"/>
            <w:r>
              <w:t>is</w:t>
            </w:r>
            <w:proofErr w:type="gramEnd"/>
            <w:r>
              <w:t xml:space="preserve"> guided by different sets of legislation. For children, the Children’s Act 1989 and Social Services and Well Being (Wales) Act 2014 are the key legislative frameworks. </w:t>
            </w:r>
          </w:p>
          <w:p w14:paraId="3A36A61F" w14:textId="4B18BCB5" w:rsidR="00360ECD" w:rsidRDefault="00360ECD" w:rsidP="00C472DE">
            <w:r>
              <w:t xml:space="preserve">For adults, safeguarding is primarily governed by the Social Services and Well Being (Wales) Act 2014, which applies to both children and adults but has specific provisions for adults, focusing on supporting people to achieve well being outcomes while preventing harm. </w:t>
            </w:r>
          </w:p>
          <w:p w14:paraId="5CFEAAE1" w14:textId="7F67D9AE" w:rsidR="009D36B8" w:rsidRDefault="00360ECD" w:rsidP="00C472DE">
            <w:r>
              <w:t xml:space="preserve">A key difference is the Mental Capacity Act 2025 for adults. This legislation is fundamental in safeguarding vulnerable adults, as it determines whether an adult can </w:t>
            </w:r>
            <w:proofErr w:type="gramStart"/>
            <w:r>
              <w:t>make a decision</w:t>
            </w:r>
            <w:proofErr w:type="gramEnd"/>
            <w:r>
              <w:t xml:space="preserve"> for themselves wherever possible, with interventions often coming only if the individual lacks capacity. </w:t>
            </w:r>
          </w:p>
          <w:p w14:paraId="723DB56A" w14:textId="0B45E903" w:rsidR="00360ECD" w:rsidRDefault="00360ECD" w:rsidP="00C472DE">
            <w:r>
              <w:t xml:space="preserve">For children, the assumption is that they lack the full </w:t>
            </w:r>
            <w:r w:rsidR="00947DB0">
              <w:t>capacity</w:t>
            </w:r>
            <w:r>
              <w:t xml:space="preserve"> </w:t>
            </w:r>
            <w:r w:rsidR="00947DB0">
              <w:t xml:space="preserve">to make informed decisions, and safeguarding interventions are more likely to be initiated without a formal assessment of mental capacity, but with considerations of the child’s maturity and understanding. </w:t>
            </w:r>
          </w:p>
          <w:p w14:paraId="5AC1EA66" w14:textId="3C708089" w:rsidR="009D36B8" w:rsidRDefault="009D36B8" w:rsidP="00C472DE">
            <w:r w:rsidRPr="009D36B8">
              <w:t>The Social Services and Wellbeing Act Wales (2014) section 130 outlines that if someone suspects that a child is at risk or suffering from abuse, neglect or harm</w:t>
            </w:r>
            <w:r w:rsidR="00C1106E">
              <w:t>,</w:t>
            </w:r>
            <w:r w:rsidRPr="009D36B8">
              <w:t xml:space="preserve"> then they need to be reported to the relevant local authority to investigate further. It is at this point the local authority must determine whether there are grounds for a section 47 investigation of the Children’s Act 1989.</w:t>
            </w:r>
            <w:r>
              <w:t xml:space="preserve"> When a Section 47 enquiry is </w:t>
            </w:r>
            <w:r w:rsidR="00C1106E">
              <w:t>initiated</w:t>
            </w:r>
            <w:r>
              <w:t xml:space="preserve">, the </w:t>
            </w:r>
            <w:r w:rsidR="00C1106E">
              <w:t>local</w:t>
            </w:r>
            <w:r>
              <w:t xml:space="preserve"> authority has a legal duty </w:t>
            </w:r>
            <w:r w:rsidR="00C1106E">
              <w:t xml:space="preserve">to investigate the situation. The investigation usually involves assessing the child’s well-being. This can involve interviews with the child, family members and professionals such as teachers and doctors. </w:t>
            </w:r>
          </w:p>
          <w:p w14:paraId="277815B1" w14:textId="11AAC200" w:rsidR="00947DB0" w:rsidRPr="00C472DE" w:rsidRDefault="00C1106E" w:rsidP="00C472DE">
            <w:r>
              <w:t>S</w:t>
            </w:r>
            <w:r w:rsidR="00947DB0">
              <w:t xml:space="preserve">afeguarding in both adults and children’s services share the core goal of protecting individuals from harm, the approach differs due to the different levels of autonomy, capacity and legal frameworks that apply to each group. I feel from my own experience as a childcare social worker, safeguarding in children’s work is more about ensuring their protection and well being during their growth, while safeguarding in adult services balances the protection with a focus of promoting autonomy and choice. </w:t>
            </w:r>
          </w:p>
          <w:p w14:paraId="51509598" w14:textId="63471789" w:rsidR="00C472DE" w:rsidRPr="00C472DE" w:rsidRDefault="00C472DE" w:rsidP="00C472DE">
            <w:r w:rsidRPr="00C472DE">
              <w:t>Word count – 4</w:t>
            </w:r>
            <w:r w:rsidR="00C1106E">
              <w:t>39</w:t>
            </w:r>
          </w:p>
          <w:p w14:paraId="1B87DAF0" w14:textId="77777777" w:rsidR="00C472DE" w:rsidRPr="00C472DE" w:rsidRDefault="00C472DE" w:rsidP="00C472DE"/>
          <w:p w14:paraId="45E6E02F" w14:textId="77777777" w:rsidR="00C472DE" w:rsidRPr="00C472DE" w:rsidRDefault="00C472DE" w:rsidP="00C472DE">
            <w:pPr>
              <w:rPr>
                <w:i/>
              </w:rPr>
            </w:pPr>
            <w:r w:rsidRPr="00C472DE">
              <w:rPr>
                <w:i/>
              </w:rPr>
              <w:t>400 words</w:t>
            </w:r>
            <w:r w:rsidRPr="00C472DE">
              <w:t xml:space="preserve"> </w:t>
            </w:r>
            <w:r w:rsidRPr="00C472DE">
              <w:rPr>
                <w:i/>
              </w:rPr>
              <w:t>(+/- 10%: include your actual word count at the end of each section).</w:t>
            </w:r>
          </w:p>
          <w:p w14:paraId="4533515A" w14:textId="77777777" w:rsidR="00C472DE" w:rsidRPr="00C472DE" w:rsidRDefault="00C472DE" w:rsidP="00C472DE"/>
        </w:tc>
      </w:tr>
    </w:tbl>
    <w:p w14:paraId="7BC102C2"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B39E0"/>
    <w:multiLevelType w:val="hybridMultilevel"/>
    <w:tmpl w:val="C2B2A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1E63C3"/>
    <w:multiLevelType w:val="hybridMultilevel"/>
    <w:tmpl w:val="FA1E035C"/>
    <w:lvl w:ilvl="0" w:tplc="4F62D80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87081"/>
    <w:multiLevelType w:val="hybridMultilevel"/>
    <w:tmpl w:val="4F4A1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9620411">
    <w:abstractNumId w:val="2"/>
  </w:num>
  <w:num w:numId="2" w16cid:durableId="1476022653">
    <w:abstractNumId w:val="0"/>
  </w:num>
  <w:num w:numId="3" w16cid:durableId="819080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2DE"/>
    <w:rsid w:val="00152234"/>
    <w:rsid w:val="00197257"/>
    <w:rsid w:val="002B2CC9"/>
    <w:rsid w:val="00360ECD"/>
    <w:rsid w:val="0064567B"/>
    <w:rsid w:val="006C68D0"/>
    <w:rsid w:val="008B68F4"/>
    <w:rsid w:val="00947DB0"/>
    <w:rsid w:val="0098623C"/>
    <w:rsid w:val="009D36B8"/>
    <w:rsid w:val="00A21602"/>
    <w:rsid w:val="00A2738D"/>
    <w:rsid w:val="00A3602A"/>
    <w:rsid w:val="00A46E02"/>
    <w:rsid w:val="00C0734A"/>
    <w:rsid w:val="00C1106E"/>
    <w:rsid w:val="00C472DE"/>
    <w:rsid w:val="00CC40BB"/>
    <w:rsid w:val="00E8773C"/>
    <w:rsid w:val="00EB4EAF"/>
    <w:rsid w:val="00EB588B"/>
    <w:rsid w:val="00F02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8C13E"/>
  <w15:chartTrackingRefBased/>
  <w15:docId w15:val="{AE514791-3652-4E6C-81DC-41CF833B8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2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2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2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2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2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2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2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2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2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2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2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2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2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2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2DE"/>
    <w:rPr>
      <w:rFonts w:eastAsiaTheme="majorEastAsia" w:cstheme="majorBidi"/>
      <w:color w:val="272727" w:themeColor="text1" w:themeTint="D8"/>
    </w:rPr>
  </w:style>
  <w:style w:type="paragraph" w:styleId="Title">
    <w:name w:val="Title"/>
    <w:basedOn w:val="Normal"/>
    <w:next w:val="Normal"/>
    <w:link w:val="TitleChar"/>
    <w:uiPriority w:val="10"/>
    <w:qFormat/>
    <w:rsid w:val="00C472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2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2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2DE"/>
    <w:pPr>
      <w:spacing w:before="160"/>
      <w:jc w:val="center"/>
    </w:pPr>
    <w:rPr>
      <w:i/>
      <w:iCs/>
      <w:color w:val="404040" w:themeColor="text1" w:themeTint="BF"/>
    </w:rPr>
  </w:style>
  <w:style w:type="character" w:customStyle="1" w:styleId="QuoteChar">
    <w:name w:val="Quote Char"/>
    <w:basedOn w:val="DefaultParagraphFont"/>
    <w:link w:val="Quote"/>
    <w:uiPriority w:val="29"/>
    <w:rsid w:val="00C472DE"/>
    <w:rPr>
      <w:i/>
      <w:iCs/>
      <w:color w:val="404040" w:themeColor="text1" w:themeTint="BF"/>
    </w:rPr>
  </w:style>
  <w:style w:type="paragraph" w:styleId="ListParagraph">
    <w:name w:val="List Paragraph"/>
    <w:basedOn w:val="Normal"/>
    <w:uiPriority w:val="34"/>
    <w:qFormat/>
    <w:rsid w:val="00C472DE"/>
    <w:pPr>
      <w:ind w:left="720"/>
      <w:contextualSpacing/>
    </w:pPr>
  </w:style>
  <w:style w:type="character" w:styleId="IntenseEmphasis">
    <w:name w:val="Intense Emphasis"/>
    <w:basedOn w:val="DefaultParagraphFont"/>
    <w:uiPriority w:val="21"/>
    <w:qFormat/>
    <w:rsid w:val="00C472DE"/>
    <w:rPr>
      <w:i/>
      <w:iCs/>
      <w:color w:val="0F4761" w:themeColor="accent1" w:themeShade="BF"/>
    </w:rPr>
  </w:style>
  <w:style w:type="paragraph" w:styleId="IntenseQuote">
    <w:name w:val="Intense Quote"/>
    <w:basedOn w:val="Normal"/>
    <w:next w:val="Normal"/>
    <w:link w:val="IntenseQuoteChar"/>
    <w:uiPriority w:val="30"/>
    <w:qFormat/>
    <w:rsid w:val="00C472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2DE"/>
    <w:rPr>
      <w:i/>
      <w:iCs/>
      <w:color w:val="0F4761" w:themeColor="accent1" w:themeShade="BF"/>
    </w:rPr>
  </w:style>
  <w:style w:type="character" w:styleId="IntenseReference">
    <w:name w:val="Intense Reference"/>
    <w:basedOn w:val="DefaultParagraphFont"/>
    <w:uiPriority w:val="32"/>
    <w:qFormat/>
    <w:rsid w:val="00C472D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65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949</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2</cp:revision>
  <dcterms:created xsi:type="dcterms:W3CDTF">2025-02-20T09:32:00Z</dcterms:created>
  <dcterms:modified xsi:type="dcterms:W3CDTF">2025-02-20T09:32:00Z</dcterms:modified>
</cp:coreProperties>
</file>