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C93B0F" w:rsidRDefault="005D4556">
      <w:pPr>
        <w:pStyle w:val="Title"/>
        <w:jc w:val="left"/>
      </w:pPr>
      <w:r>
        <w:rPr>
          <w:noProof/>
          <w:sz w:val="20"/>
        </w:rPr>
        <w:drawing>
          <wp:anchor distT="0" distB="0" distL="114300" distR="114300" simplePos="0" relativeHeight="251659264" behindDoc="0" locked="0" layoutInCell="1" allowOverlap="1" wp14:anchorId="69B3BFB0" wp14:editId="2FCDBBF3">
            <wp:simplePos x="0" y="0"/>
            <wp:positionH relativeFrom="margin">
              <wp:posOffset>1043940</wp:posOffset>
            </wp:positionH>
            <wp:positionV relativeFrom="paragraph">
              <wp:posOffset>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r>
        <w:t xml:space="preserve">                                         </w:t>
      </w:r>
    </w:p>
    <w:p w:rsidR="00C93B0F" w:rsidRDefault="00C93B0F">
      <w:pPr>
        <w:pStyle w:val="Title"/>
      </w:pPr>
    </w:p>
    <w:p w:rsidR="005D4556" w:rsidRDefault="005D4556" w:rsidP="005D4556"/>
    <w:p w:rsidR="005D4556" w:rsidRDefault="005D4556" w:rsidP="005D4556"/>
    <w:p w:rsidR="004D4F40" w:rsidRDefault="004D4F40" w:rsidP="005D4556"/>
    <w:p w:rsidR="005D4556" w:rsidRDefault="005D4556" w:rsidP="005D4556"/>
    <w:p w:rsidR="00B82DD4" w:rsidRDefault="00B82DD4" w:rsidP="00655341">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4D4F40">
        <w:rPr>
          <w:rFonts w:ascii="Arial" w:hAnsi="Arial" w:cs="Arial"/>
          <w:b/>
          <w:sz w:val="24"/>
          <w:szCs w:val="24"/>
        </w:rPr>
        <w:t>Programme:</w:t>
      </w:r>
      <w:r w:rsidRPr="004D4F40">
        <w:rPr>
          <w:rFonts w:ascii="Arial" w:eastAsia="Arial" w:hAnsi="Arial" w:cs="Arial"/>
          <w:b/>
          <w:color w:val="000000"/>
          <w:sz w:val="24"/>
          <w:szCs w:val="24"/>
        </w:rPr>
        <w:t xml:space="preserve"> Master of Business Administration</w:t>
      </w:r>
    </w:p>
    <w:p w:rsidR="00B82DD4" w:rsidRPr="004D4F40" w:rsidRDefault="00B82DD4" w:rsidP="00655341">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4D4F40">
        <w:rPr>
          <w:rFonts w:ascii="Arial" w:hAnsi="Arial" w:cs="Arial"/>
          <w:b/>
          <w:sz w:val="24"/>
          <w:szCs w:val="24"/>
        </w:rPr>
        <w:t>Module:</w:t>
      </w:r>
      <w:r w:rsidRPr="004D4F40">
        <w:rPr>
          <w:rFonts w:ascii="Arial" w:eastAsia="Arial" w:hAnsi="Arial" w:cs="Arial"/>
          <w:b/>
          <w:color w:val="000000"/>
          <w:sz w:val="24"/>
          <w:szCs w:val="24"/>
        </w:rPr>
        <w:t xml:space="preserve"> </w:t>
      </w:r>
      <w:r w:rsidRPr="004D4F40">
        <w:rPr>
          <w:rFonts w:ascii="Arial" w:hAnsi="Arial" w:cs="Arial"/>
          <w:b/>
          <w:bCs/>
          <w:sz w:val="24"/>
          <w:szCs w:val="24"/>
        </w:rPr>
        <w:t>Marketing Management</w:t>
      </w:r>
    </w:p>
    <w:p w:rsidR="00B82DD4" w:rsidRDefault="00B82DD4" w:rsidP="00655341">
      <w:pPr>
        <w:pStyle w:val="Normal1"/>
        <w:pBdr>
          <w:top w:val="nil"/>
          <w:left w:val="nil"/>
          <w:bottom w:val="nil"/>
          <w:right w:val="nil"/>
          <w:between w:val="nil"/>
        </w:pBdr>
        <w:spacing w:line="360" w:lineRule="auto"/>
        <w:jc w:val="center"/>
        <w:rPr>
          <w:rFonts w:ascii="Arial" w:hAnsi="Arial" w:cs="Arial"/>
          <w:b/>
          <w:bCs/>
          <w:sz w:val="24"/>
          <w:szCs w:val="24"/>
        </w:rPr>
      </w:pPr>
      <w:r w:rsidRPr="004D4F40">
        <w:rPr>
          <w:rFonts w:ascii="Arial" w:hAnsi="Arial" w:cs="Arial"/>
          <w:b/>
          <w:sz w:val="24"/>
          <w:szCs w:val="24"/>
        </w:rPr>
        <w:t xml:space="preserve">Module code: </w:t>
      </w:r>
      <w:r w:rsidRPr="004D4F40">
        <w:rPr>
          <w:rFonts w:ascii="Arial" w:hAnsi="Arial" w:cs="Arial"/>
          <w:b/>
          <w:bCs/>
          <w:sz w:val="24"/>
          <w:szCs w:val="24"/>
        </w:rPr>
        <w:t>LCMB7024</w:t>
      </w:r>
    </w:p>
    <w:p w:rsidR="00B82DD4" w:rsidRDefault="00B82DD4" w:rsidP="00655341">
      <w:pPr>
        <w:spacing w:before="120" w:after="120"/>
        <w:jc w:val="center"/>
        <w:rPr>
          <w:rFonts w:ascii="Arial" w:hAnsi="Arial" w:cs="Arial"/>
          <w:b/>
          <w:bCs/>
        </w:rPr>
      </w:pPr>
      <w:r w:rsidRPr="004D4F40">
        <w:rPr>
          <w:rFonts w:ascii="Arial" w:hAnsi="Arial" w:cs="Arial"/>
          <w:b/>
        </w:rPr>
        <w:t>Assignment Title:</w:t>
      </w:r>
      <w:r w:rsidRPr="004D4F40">
        <w:rPr>
          <w:rFonts w:ascii="Arial" w:hAnsi="Arial" w:cs="Arial"/>
          <w:b/>
          <w:bCs/>
        </w:rPr>
        <w:t xml:space="preserve"> Marketing Environment Analysis</w:t>
      </w:r>
    </w:p>
    <w:p w:rsidR="004D4F40" w:rsidRPr="004D4F40" w:rsidRDefault="004D4F40" w:rsidP="00655341">
      <w:pPr>
        <w:pStyle w:val="Title"/>
        <w:rPr>
          <w:rFonts w:ascii="Arial" w:hAnsi="Arial" w:cs="Arial"/>
          <w:sz w:val="24"/>
          <w:szCs w:val="24"/>
        </w:rPr>
      </w:pPr>
      <w:r w:rsidRPr="004D4F40">
        <w:rPr>
          <w:rFonts w:ascii="Arial" w:hAnsi="Arial" w:cs="Arial"/>
          <w:sz w:val="24"/>
          <w:szCs w:val="24"/>
        </w:rPr>
        <w:t>MARKETING ENVIRONMENTAL ANALYSIS</w:t>
      </w:r>
    </w:p>
    <w:p w:rsidR="004D4F40" w:rsidRDefault="004D4F40" w:rsidP="00655341">
      <w:pPr>
        <w:pStyle w:val="Title"/>
        <w:rPr>
          <w:rFonts w:ascii="Arial" w:hAnsi="Arial" w:cs="Arial"/>
          <w:b w:val="0"/>
          <w:sz w:val="24"/>
          <w:szCs w:val="24"/>
        </w:rPr>
      </w:pPr>
      <w:r w:rsidRPr="004D4F40">
        <w:rPr>
          <w:rFonts w:ascii="Arial" w:hAnsi="Arial" w:cs="Arial"/>
          <w:sz w:val="24"/>
          <w:szCs w:val="24"/>
        </w:rPr>
        <w:t>UBER (PIONEER) AND BOLT (FOLLOWERS)</w:t>
      </w:r>
    </w:p>
    <w:p w:rsidR="004D4F40" w:rsidRPr="004D4F40" w:rsidRDefault="004D4F40" w:rsidP="00655341">
      <w:pPr>
        <w:jc w:val="center"/>
      </w:pPr>
    </w:p>
    <w:p w:rsidR="00B82DD4" w:rsidRDefault="00B82DD4" w:rsidP="00655341">
      <w:pPr>
        <w:pStyle w:val="Normal1"/>
        <w:pBdr>
          <w:top w:val="nil"/>
          <w:left w:val="nil"/>
          <w:bottom w:val="nil"/>
          <w:right w:val="nil"/>
          <w:between w:val="nil"/>
        </w:pBdr>
        <w:spacing w:line="360" w:lineRule="auto"/>
        <w:jc w:val="center"/>
        <w:rPr>
          <w:rFonts w:ascii="Arial" w:hAnsi="Arial" w:cs="Arial"/>
          <w:b/>
          <w:sz w:val="24"/>
          <w:szCs w:val="24"/>
        </w:rPr>
      </w:pPr>
      <w:r w:rsidRPr="004D4F40">
        <w:rPr>
          <w:rFonts w:ascii="Arial" w:hAnsi="Arial" w:cs="Arial"/>
          <w:b/>
          <w:sz w:val="24"/>
          <w:szCs w:val="24"/>
        </w:rPr>
        <w:t>Lecturer: Dian Mayasari (Birmingham)</w:t>
      </w:r>
    </w:p>
    <w:p w:rsidR="00B82DD4" w:rsidRPr="004D4F40" w:rsidRDefault="00B82DD4" w:rsidP="00655341">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4D4F40">
        <w:rPr>
          <w:rFonts w:ascii="Arial" w:eastAsia="Arial" w:hAnsi="Arial" w:cs="Arial"/>
          <w:b/>
          <w:color w:val="000000"/>
          <w:sz w:val="24"/>
          <w:szCs w:val="24"/>
        </w:rPr>
        <w:t>Student name: Harshil Bharatkumar Desai</w:t>
      </w:r>
    </w:p>
    <w:p w:rsidR="00B82DD4" w:rsidRPr="004D4F40" w:rsidRDefault="00B82DD4" w:rsidP="00655341">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4D4F40">
        <w:rPr>
          <w:rFonts w:ascii="Arial" w:eastAsia="Arial" w:hAnsi="Arial" w:cs="Arial"/>
          <w:b/>
          <w:color w:val="000000"/>
          <w:sz w:val="24"/>
          <w:szCs w:val="24"/>
        </w:rPr>
        <w:t>Student ID number: 2504765</w:t>
      </w:r>
    </w:p>
    <w:p w:rsidR="00B82DD4" w:rsidRPr="004D4F40" w:rsidRDefault="00B82DD4" w:rsidP="00655341">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4D4F40">
        <w:rPr>
          <w:rFonts w:ascii="Arial" w:eastAsia="Arial" w:hAnsi="Arial" w:cs="Arial"/>
          <w:b/>
          <w:color w:val="000000"/>
          <w:sz w:val="24"/>
          <w:szCs w:val="24"/>
        </w:rPr>
        <w:t>Word count:</w:t>
      </w:r>
      <w:r w:rsidR="007C1FC3">
        <w:rPr>
          <w:rFonts w:ascii="Arial" w:eastAsia="Arial" w:hAnsi="Arial" w:cs="Arial"/>
          <w:b/>
          <w:color w:val="000000"/>
          <w:sz w:val="24"/>
          <w:szCs w:val="24"/>
        </w:rPr>
        <w:t xml:space="preserve"> </w:t>
      </w:r>
      <w:r w:rsidR="007C1FC3" w:rsidRPr="007C1FC3">
        <w:rPr>
          <w:rFonts w:ascii="Arial" w:eastAsia="Arial" w:hAnsi="Arial" w:cs="Arial"/>
          <w:b/>
          <w:color w:val="000000"/>
          <w:sz w:val="24"/>
          <w:szCs w:val="24"/>
        </w:rPr>
        <w:t>2564</w:t>
      </w:r>
    </w:p>
    <w:p w:rsidR="00B82DD4" w:rsidRPr="004D4F40" w:rsidRDefault="00B82DD4" w:rsidP="00655341">
      <w:pPr>
        <w:spacing w:before="120" w:after="120"/>
        <w:jc w:val="center"/>
        <w:rPr>
          <w:rFonts w:ascii="Arial" w:hAnsi="Arial" w:cs="Arial"/>
          <w:b/>
          <w:bCs/>
        </w:rPr>
      </w:pPr>
      <w:r w:rsidRPr="004D4F40">
        <w:rPr>
          <w:rFonts w:ascii="Arial" w:eastAsia="Arial" w:hAnsi="Arial" w:cs="Arial"/>
          <w:b/>
          <w:color w:val="000000"/>
        </w:rPr>
        <w:t xml:space="preserve">Submission date: </w:t>
      </w:r>
      <w:r w:rsidRPr="004D4F40">
        <w:rPr>
          <w:rFonts w:ascii="Arial" w:hAnsi="Arial" w:cs="Arial"/>
          <w:b/>
          <w:bCs/>
        </w:rPr>
        <w:t>Friday 24</w:t>
      </w:r>
      <w:r w:rsidRPr="004D4F40">
        <w:rPr>
          <w:rFonts w:ascii="Arial" w:hAnsi="Arial" w:cs="Arial"/>
          <w:b/>
          <w:bCs/>
          <w:vertAlign w:val="superscript"/>
        </w:rPr>
        <w:t>th</w:t>
      </w:r>
      <w:r w:rsidRPr="004D4F40">
        <w:rPr>
          <w:rFonts w:ascii="Arial" w:hAnsi="Arial" w:cs="Arial"/>
          <w:b/>
          <w:bCs/>
        </w:rPr>
        <w:t xml:space="preserve"> October 2025 by 2pm</w:t>
      </w:r>
    </w:p>
    <w:p w:rsidR="005D4556" w:rsidRDefault="005D4556" w:rsidP="00B82DD4"/>
    <w:p w:rsidR="005D4556" w:rsidRDefault="005D4556" w:rsidP="005D4556"/>
    <w:p w:rsidR="005D4556" w:rsidRDefault="005D4556" w:rsidP="005D4556"/>
    <w:p w:rsidR="005D4556" w:rsidRDefault="005D4556" w:rsidP="005D4556"/>
    <w:p w:rsidR="005D4556" w:rsidRDefault="005D4556" w:rsidP="005D4556"/>
    <w:p w:rsidR="005D4556" w:rsidRDefault="005D4556" w:rsidP="005D4556"/>
    <w:p w:rsidR="005D4556" w:rsidRDefault="005D4556" w:rsidP="005D4556"/>
    <w:p w:rsidR="005D4556" w:rsidRDefault="005D4556" w:rsidP="005D4556"/>
    <w:p w:rsidR="005D4556" w:rsidRDefault="005D4556" w:rsidP="005D4556"/>
    <w:p w:rsidR="005D4556" w:rsidRDefault="005D4556" w:rsidP="005D4556"/>
    <w:p w:rsidR="005D4556" w:rsidRDefault="005D4556" w:rsidP="005D4556"/>
    <w:p w:rsidR="00C93B0F" w:rsidRDefault="00BF217E">
      <w:pPr>
        <w:keepNext/>
        <w:keepLines/>
        <w:pBdr>
          <w:top w:val="nil"/>
          <w:left w:val="nil"/>
          <w:bottom w:val="nil"/>
          <w:right w:val="nil"/>
          <w:between w:val="nil"/>
        </w:pBdr>
        <w:spacing w:before="480"/>
        <w:jc w:val="center"/>
        <w:rPr>
          <w:rFonts w:ascii="Arial" w:hAnsi="Arial" w:cs="Arial"/>
          <w:b/>
          <w:color w:val="000000"/>
        </w:rPr>
      </w:pPr>
      <w:r w:rsidRPr="005D4556">
        <w:rPr>
          <w:rFonts w:ascii="Arial" w:hAnsi="Arial" w:cs="Arial"/>
          <w:b/>
          <w:color w:val="000000"/>
        </w:rPr>
        <w:lastRenderedPageBreak/>
        <w:t>Table of Contents</w:t>
      </w:r>
    </w:p>
    <w:p w:rsidR="007C1FC3" w:rsidRPr="005D4556" w:rsidRDefault="007C1FC3">
      <w:pPr>
        <w:keepNext/>
        <w:keepLines/>
        <w:pBdr>
          <w:top w:val="nil"/>
          <w:left w:val="nil"/>
          <w:bottom w:val="nil"/>
          <w:right w:val="nil"/>
          <w:between w:val="nil"/>
        </w:pBdr>
        <w:spacing w:before="480"/>
        <w:jc w:val="center"/>
        <w:rPr>
          <w:rFonts w:ascii="Arial" w:hAnsi="Arial" w:cs="Arial"/>
          <w:color w:val="000000"/>
        </w:rPr>
      </w:pPr>
    </w:p>
    <w:sdt>
      <w:sdtPr>
        <w:rPr>
          <w:rFonts w:ascii="Times New Roman" w:hAnsi="Times New Roman"/>
          <w:b w:val="0"/>
          <w:bCs w:val="0"/>
          <w:i w:val="0"/>
          <w:iCs w:val="0"/>
        </w:rPr>
        <w:id w:val="-710432175"/>
        <w:docPartObj>
          <w:docPartGallery w:val="Table of Contents"/>
          <w:docPartUnique/>
        </w:docPartObj>
      </w:sdtPr>
      <w:sdtEndPr>
        <w:rPr>
          <w:rFonts w:ascii="Arial" w:hAnsi="Arial" w:cs="Arial"/>
        </w:rPr>
      </w:sdtEndPr>
      <w:sdtContent>
        <w:p w:rsidR="004D4F40" w:rsidRPr="007C1FC3" w:rsidRDefault="00BF217E" w:rsidP="007C1FC3">
          <w:pPr>
            <w:pStyle w:val="TOC1"/>
            <w:tabs>
              <w:tab w:val="right" w:leader="dot" w:pos="9016"/>
            </w:tabs>
            <w:rPr>
              <w:rFonts w:ascii="Arial" w:eastAsiaTheme="minorEastAsia" w:hAnsi="Arial" w:cs="Arial"/>
              <w:b w:val="0"/>
              <w:bCs w:val="0"/>
              <w:i w:val="0"/>
              <w:iCs w:val="0"/>
              <w:noProof/>
            </w:rPr>
          </w:pPr>
          <w:r w:rsidRPr="004D4F40">
            <w:rPr>
              <w:rFonts w:ascii="Arial" w:hAnsi="Arial" w:cs="Arial"/>
              <w:b w:val="0"/>
            </w:rPr>
            <w:fldChar w:fldCharType="begin"/>
          </w:r>
          <w:r w:rsidRPr="004D4F40">
            <w:rPr>
              <w:rFonts w:ascii="Arial" w:hAnsi="Arial" w:cs="Arial"/>
              <w:b w:val="0"/>
            </w:rPr>
            <w:instrText xml:space="preserve"> TOC \h \u \z \t "Heading 1,1,Heading 2,2,Heading 3,3,"</w:instrText>
          </w:r>
          <w:r w:rsidRPr="004D4F40">
            <w:rPr>
              <w:rFonts w:ascii="Arial" w:hAnsi="Arial" w:cs="Arial"/>
              <w:b w:val="0"/>
            </w:rPr>
            <w:fldChar w:fldCharType="separate"/>
          </w:r>
          <w:hyperlink w:anchor="_Toc211565608" w:history="1">
            <w:r w:rsidR="004D4F40" w:rsidRPr="007C1FC3">
              <w:rPr>
                <w:rStyle w:val="Hyperlink"/>
                <w:rFonts w:ascii="Arial" w:hAnsi="Arial" w:cs="Arial"/>
                <w:b w:val="0"/>
                <w:i w:val="0"/>
                <w:noProof/>
              </w:rPr>
              <w:t>Introduction</w:t>
            </w:r>
            <w:r w:rsidR="004D4F40" w:rsidRPr="007C1FC3">
              <w:rPr>
                <w:rFonts w:ascii="Arial" w:hAnsi="Arial" w:cs="Arial"/>
                <w:b w:val="0"/>
                <w:i w:val="0"/>
                <w:noProof/>
                <w:webHidden/>
              </w:rPr>
              <w:tab/>
            </w:r>
            <w:r w:rsidR="004D4F40" w:rsidRPr="007C1FC3">
              <w:rPr>
                <w:rFonts w:ascii="Arial" w:hAnsi="Arial" w:cs="Arial"/>
                <w:b w:val="0"/>
                <w:i w:val="0"/>
                <w:noProof/>
                <w:webHidden/>
              </w:rPr>
              <w:fldChar w:fldCharType="begin"/>
            </w:r>
            <w:r w:rsidR="004D4F40" w:rsidRPr="007C1FC3">
              <w:rPr>
                <w:rFonts w:ascii="Arial" w:hAnsi="Arial" w:cs="Arial"/>
                <w:b w:val="0"/>
                <w:i w:val="0"/>
                <w:noProof/>
                <w:webHidden/>
              </w:rPr>
              <w:instrText xml:space="preserve"> PAGEREF _Toc211565608 \h </w:instrText>
            </w:r>
            <w:r w:rsidR="004D4F40" w:rsidRPr="007C1FC3">
              <w:rPr>
                <w:rFonts w:ascii="Arial" w:hAnsi="Arial" w:cs="Arial"/>
                <w:b w:val="0"/>
                <w:i w:val="0"/>
                <w:noProof/>
                <w:webHidden/>
              </w:rPr>
            </w:r>
            <w:r w:rsidR="004D4F40" w:rsidRPr="007C1FC3">
              <w:rPr>
                <w:rFonts w:ascii="Arial" w:hAnsi="Arial" w:cs="Arial"/>
                <w:b w:val="0"/>
                <w:i w:val="0"/>
                <w:noProof/>
                <w:webHidden/>
              </w:rPr>
              <w:fldChar w:fldCharType="separate"/>
            </w:r>
            <w:r w:rsidR="00DC0494">
              <w:rPr>
                <w:rFonts w:ascii="Arial" w:hAnsi="Arial" w:cs="Arial"/>
                <w:b w:val="0"/>
                <w:i w:val="0"/>
                <w:noProof/>
                <w:webHidden/>
              </w:rPr>
              <w:t>2</w:t>
            </w:r>
            <w:r w:rsidR="004D4F40" w:rsidRPr="007C1FC3">
              <w:rPr>
                <w:rFonts w:ascii="Arial" w:hAnsi="Arial" w:cs="Arial"/>
                <w:b w:val="0"/>
                <w:i w:val="0"/>
                <w:noProof/>
                <w:webHidden/>
              </w:rPr>
              <w:fldChar w:fldCharType="end"/>
            </w:r>
          </w:hyperlink>
        </w:p>
        <w:p w:rsidR="004D4F40" w:rsidRPr="007C1FC3" w:rsidRDefault="001B595B" w:rsidP="007C1FC3">
          <w:pPr>
            <w:pStyle w:val="TOC1"/>
            <w:tabs>
              <w:tab w:val="right" w:leader="dot" w:pos="9016"/>
            </w:tabs>
            <w:rPr>
              <w:rFonts w:ascii="Arial" w:eastAsiaTheme="minorEastAsia" w:hAnsi="Arial" w:cs="Arial"/>
              <w:b w:val="0"/>
              <w:bCs w:val="0"/>
              <w:i w:val="0"/>
              <w:iCs w:val="0"/>
              <w:noProof/>
            </w:rPr>
          </w:pPr>
          <w:hyperlink w:anchor="_Toc211565609" w:history="1">
            <w:r w:rsidR="004D4F40" w:rsidRPr="007C1FC3">
              <w:rPr>
                <w:rStyle w:val="Hyperlink"/>
                <w:rFonts w:ascii="Arial" w:hAnsi="Arial" w:cs="Arial"/>
                <w:b w:val="0"/>
                <w:i w:val="0"/>
                <w:noProof/>
              </w:rPr>
              <w:t>1. Task 1: Macro Environmental Analysis</w:t>
            </w:r>
            <w:r w:rsidR="004D4F40" w:rsidRPr="007C1FC3">
              <w:rPr>
                <w:rFonts w:ascii="Arial" w:hAnsi="Arial" w:cs="Arial"/>
                <w:b w:val="0"/>
                <w:i w:val="0"/>
                <w:noProof/>
                <w:webHidden/>
              </w:rPr>
              <w:tab/>
            </w:r>
            <w:r w:rsidR="004D4F40" w:rsidRPr="007C1FC3">
              <w:rPr>
                <w:rFonts w:ascii="Arial" w:hAnsi="Arial" w:cs="Arial"/>
                <w:b w:val="0"/>
                <w:i w:val="0"/>
                <w:noProof/>
                <w:webHidden/>
              </w:rPr>
              <w:fldChar w:fldCharType="begin"/>
            </w:r>
            <w:r w:rsidR="004D4F40" w:rsidRPr="007C1FC3">
              <w:rPr>
                <w:rFonts w:ascii="Arial" w:hAnsi="Arial" w:cs="Arial"/>
                <w:b w:val="0"/>
                <w:i w:val="0"/>
                <w:noProof/>
                <w:webHidden/>
              </w:rPr>
              <w:instrText xml:space="preserve"> PAGEREF _Toc211565609 \h </w:instrText>
            </w:r>
            <w:r w:rsidR="004D4F40" w:rsidRPr="007C1FC3">
              <w:rPr>
                <w:rFonts w:ascii="Arial" w:hAnsi="Arial" w:cs="Arial"/>
                <w:b w:val="0"/>
                <w:i w:val="0"/>
                <w:noProof/>
                <w:webHidden/>
              </w:rPr>
            </w:r>
            <w:r w:rsidR="004D4F40" w:rsidRPr="007C1FC3">
              <w:rPr>
                <w:rFonts w:ascii="Arial" w:hAnsi="Arial" w:cs="Arial"/>
                <w:b w:val="0"/>
                <w:i w:val="0"/>
                <w:noProof/>
                <w:webHidden/>
              </w:rPr>
              <w:fldChar w:fldCharType="separate"/>
            </w:r>
            <w:r w:rsidR="00DC0494">
              <w:rPr>
                <w:rFonts w:ascii="Arial" w:hAnsi="Arial" w:cs="Arial"/>
                <w:b w:val="0"/>
                <w:i w:val="0"/>
                <w:noProof/>
                <w:webHidden/>
              </w:rPr>
              <w:t>2</w:t>
            </w:r>
            <w:r w:rsidR="004D4F40" w:rsidRPr="007C1FC3">
              <w:rPr>
                <w:rFonts w:ascii="Arial" w:hAnsi="Arial" w:cs="Arial"/>
                <w:b w:val="0"/>
                <w:i w:val="0"/>
                <w:noProof/>
                <w:webHidden/>
              </w:rPr>
              <w:fldChar w:fldCharType="end"/>
            </w:r>
          </w:hyperlink>
        </w:p>
        <w:p w:rsidR="004D4F40" w:rsidRPr="007C1FC3" w:rsidRDefault="001B595B" w:rsidP="007C1FC3">
          <w:pPr>
            <w:pStyle w:val="TOC2"/>
            <w:tabs>
              <w:tab w:val="right" w:leader="dot" w:pos="9016"/>
            </w:tabs>
            <w:rPr>
              <w:rFonts w:ascii="Arial" w:eastAsiaTheme="minorEastAsia" w:hAnsi="Arial" w:cs="Arial"/>
              <w:b w:val="0"/>
              <w:bCs w:val="0"/>
              <w:noProof/>
              <w:sz w:val="24"/>
              <w:szCs w:val="24"/>
            </w:rPr>
          </w:pPr>
          <w:hyperlink w:anchor="_Toc211565610" w:history="1">
            <w:r w:rsidR="004D4F40" w:rsidRPr="007C1FC3">
              <w:rPr>
                <w:rStyle w:val="Hyperlink"/>
                <w:rFonts w:ascii="Arial" w:hAnsi="Arial" w:cs="Arial"/>
                <w:b w:val="0"/>
                <w:noProof/>
                <w:sz w:val="24"/>
                <w:szCs w:val="24"/>
              </w:rPr>
              <w:t>1.1 Regulatory/Political Environment</w:t>
            </w:r>
            <w:r w:rsidR="004D4F40" w:rsidRPr="007C1FC3">
              <w:rPr>
                <w:rFonts w:ascii="Arial" w:hAnsi="Arial" w:cs="Arial"/>
                <w:b w:val="0"/>
                <w:noProof/>
                <w:webHidden/>
                <w:sz w:val="24"/>
                <w:szCs w:val="24"/>
              </w:rPr>
              <w:tab/>
            </w:r>
            <w:r w:rsidR="004D4F40" w:rsidRPr="007C1FC3">
              <w:rPr>
                <w:rFonts w:ascii="Arial" w:hAnsi="Arial" w:cs="Arial"/>
                <w:b w:val="0"/>
                <w:noProof/>
                <w:webHidden/>
                <w:sz w:val="24"/>
                <w:szCs w:val="24"/>
              </w:rPr>
              <w:fldChar w:fldCharType="begin"/>
            </w:r>
            <w:r w:rsidR="004D4F40" w:rsidRPr="007C1FC3">
              <w:rPr>
                <w:rFonts w:ascii="Arial" w:hAnsi="Arial" w:cs="Arial"/>
                <w:b w:val="0"/>
                <w:noProof/>
                <w:webHidden/>
                <w:sz w:val="24"/>
                <w:szCs w:val="24"/>
              </w:rPr>
              <w:instrText xml:space="preserve"> PAGEREF _Toc211565610 \h </w:instrText>
            </w:r>
            <w:r w:rsidR="004D4F40" w:rsidRPr="007C1FC3">
              <w:rPr>
                <w:rFonts w:ascii="Arial" w:hAnsi="Arial" w:cs="Arial"/>
                <w:b w:val="0"/>
                <w:noProof/>
                <w:webHidden/>
                <w:sz w:val="24"/>
                <w:szCs w:val="24"/>
              </w:rPr>
            </w:r>
            <w:r w:rsidR="004D4F40" w:rsidRPr="007C1FC3">
              <w:rPr>
                <w:rFonts w:ascii="Arial" w:hAnsi="Arial" w:cs="Arial"/>
                <w:b w:val="0"/>
                <w:noProof/>
                <w:webHidden/>
                <w:sz w:val="24"/>
                <w:szCs w:val="24"/>
              </w:rPr>
              <w:fldChar w:fldCharType="separate"/>
            </w:r>
            <w:r w:rsidR="00DC0494">
              <w:rPr>
                <w:rFonts w:ascii="Arial" w:hAnsi="Arial" w:cs="Arial"/>
                <w:b w:val="0"/>
                <w:noProof/>
                <w:webHidden/>
                <w:sz w:val="24"/>
                <w:szCs w:val="24"/>
              </w:rPr>
              <w:t>3</w:t>
            </w:r>
            <w:r w:rsidR="004D4F40" w:rsidRPr="007C1FC3">
              <w:rPr>
                <w:rFonts w:ascii="Arial" w:hAnsi="Arial" w:cs="Arial"/>
                <w:b w:val="0"/>
                <w:noProof/>
                <w:webHidden/>
                <w:sz w:val="24"/>
                <w:szCs w:val="24"/>
              </w:rPr>
              <w:fldChar w:fldCharType="end"/>
            </w:r>
          </w:hyperlink>
        </w:p>
        <w:p w:rsidR="004D4F40" w:rsidRPr="007C1FC3" w:rsidRDefault="001B595B" w:rsidP="007C1FC3">
          <w:pPr>
            <w:pStyle w:val="TOC2"/>
            <w:tabs>
              <w:tab w:val="right" w:leader="dot" w:pos="9016"/>
            </w:tabs>
            <w:rPr>
              <w:rFonts w:ascii="Arial" w:eastAsiaTheme="minorEastAsia" w:hAnsi="Arial" w:cs="Arial"/>
              <w:b w:val="0"/>
              <w:bCs w:val="0"/>
              <w:noProof/>
              <w:sz w:val="24"/>
              <w:szCs w:val="24"/>
            </w:rPr>
          </w:pPr>
          <w:hyperlink w:anchor="_Toc211565611" w:history="1">
            <w:r w:rsidR="004D4F40" w:rsidRPr="007C1FC3">
              <w:rPr>
                <w:rStyle w:val="Hyperlink"/>
                <w:rFonts w:ascii="Arial" w:hAnsi="Arial" w:cs="Arial"/>
                <w:b w:val="0"/>
                <w:noProof/>
                <w:sz w:val="24"/>
                <w:szCs w:val="24"/>
              </w:rPr>
              <w:t>1.2 Technological Environment</w:t>
            </w:r>
            <w:r w:rsidR="004D4F40" w:rsidRPr="007C1FC3">
              <w:rPr>
                <w:rFonts w:ascii="Arial" w:hAnsi="Arial" w:cs="Arial"/>
                <w:b w:val="0"/>
                <w:noProof/>
                <w:webHidden/>
                <w:sz w:val="24"/>
                <w:szCs w:val="24"/>
              </w:rPr>
              <w:tab/>
            </w:r>
            <w:r w:rsidR="004D4F40" w:rsidRPr="007C1FC3">
              <w:rPr>
                <w:rFonts w:ascii="Arial" w:hAnsi="Arial" w:cs="Arial"/>
                <w:b w:val="0"/>
                <w:noProof/>
                <w:webHidden/>
                <w:sz w:val="24"/>
                <w:szCs w:val="24"/>
              </w:rPr>
              <w:fldChar w:fldCharType="begin"/>
            </w:r>
            <w:r w:rsidR="004D4F40" w:rsidRPr="007C1FC3">
              <w:rPr>
                <w:rFonts w:ascii="Arial" w:hAnsi="Arial" w:cs="Arial"/>
                <w:b w:val="0"/>
                <w:noProof/>
                <w:webHidden/>
                <w:sz w:val="24"/>
                <w:szCs w:val="24"/>
              </w:rPr>
              <w:instrText xml:space="preserve"> PAGEREF _Toc211565611 \h </w:instrText>
            </w:r>
            <w:r w:rsidR="004D4F40" w:rsidRPr="007C1FC3">
              <w:rPr>
                <w:rFonts w:ascii="Arial" w:hAnsi="Arial" w:cs="Arial"/>
                <w:b w:val="0"/>
                <w:noProof/>
                <w:webHidden/>
                <w:sz w:val="24"/>
                <w:szCs w:val="24"/>
              </w:rPr>
            </w:r>
            <w:r w:rsidR="004D4F40" w:rsidRPr="007C1FC3">
              <w:rPr>
                <w:rFonts w:ascii="Arial" w:hAnsi="Arial" w:cs="Arial"/>
                <w:b w:val="0"/>
                <w:noProof/>
                <w:webHidden/>
                <w:sz w:val="24"/>
                <w:szCs w:val="24"/>
              </w:rPr>
              <w:fldChar w:fldCharType="separate"/>
            </w:r>
            <w:r w:rsidR="00DC0494">
              <w:rPr>
                <w:rFonts w:ascii="Arial" w:hAnsi="Arial" w:cs="Arial"/>
                <w:b w:val="0"/>
                <w:noProof/>
                <w:webHidden/>
                <w:sz w:val="24"/>
                <w:szCs w:val="24"/>
              </w:rPr>
              <w:t>5</w:t>
            </w:r>
            <w:r w:rsidR="004D4F40" w:rsidRPr="007C1FC3">
              <w:rPr>
                <w:rFonts w:ascii="Arial" w:hAnsi="Arial" w:cs="Arial"/>
                <w:b w:val="0"/>
                <w:noProof/>
                <w:webHidden/>
                <w:sz w:val="24"/>
                <w:szCs w:val="24"/>
              </w:rPr>
              <w:fldChar w:fldCharType="end"/>
            </w:r>
          </w:hyperlink>
        </w:p>
        <w:p w:rsidR="004D4F40" w:rsidRPr="007C1FC3" w:rsidRDefault="001B595B" w:rsidP="007C1FC3">
          <w:pPr>
            <w:pStyle w:val="TOC1"/>
            <w:tabs>
              <w:tab w:val="right" w:leader="dot" w:pos="9016"/>
            </w:tabs>
            <w:rPr>
              <w:rFonts w:ascii="Arial" w:eastAsiaTheme="minorEastAsia" w:hAnsi="Arial" w:cs="Arial"/>
              <w:b w:val="0"/>
              <w:bCs w:val="0"/>
              <w:i w:val="0"/>
              <w:iCs w:val="0"/>
              <w:noProof/>
            </w:rPr>
          </w:pPr>
          <w:hyperlink w:anchor="_Toc211565612" w:history="1">
            <w:r w:rsidR="004D4F40" w:rsidRPr="007C1FC3">
              <w:rPr>
                <w:rStyle w:val="Hyperlink"/>
                <w:rFonts w:ascii="Arial" w:hAnsi="Arial" w:cs="Arial"/>
                <w:b w:val="0"/>
                <w:i w:val="0"/>
                <w:noProof/>
              </w:rPr>
              <w:t>2. Task 2: Strategic Responses</w:t>
            </w:r>
            <w:r w:rsidR="004D4F40" w:rsidRPr="007C1FC3">
              <w:rPr>
                <w:rFonts w:ascii="Arial" w:hAnsi="Arial" w:cs="Arial"/>
                <w:b w:val="0"/>
                <w:i w:val="0"/>
                <w:noProof/>
                <w:webHidden/>
              </w:rPr>
              <w:tab/>
            </w:r>
            <w:r w:rsidR="004D4F40" w:rsidRPr="007C1FC3">
              <w:rPr>
                <w:rFonts w:ascii="Arial" w:hAnsi="Arial" w:cs="Arial"/>
                <w:b w:val="0"/>
                <w:i w:val="0"/>
                <w:noProof/>
                <w:webHidden/>
              </w:rPr>
              <w:fldChar w:fldCharType="begin"/>
            </w:r>
            <w:r w:rsidR="004D4F40" w:rsidRPr="007C1FC3">
              <w:rPr>
                <w:rFonts w:ascii="Arial" w:hAnsi="Arial" w:cs="Arial"/>
                <w:b w:val="0"/>
                <w:i w:val="0"/>
                <w:noProof/>
                <w:webHidden/>
              </w:rPr>
              <w:instrText xml:space="preserve"> PAGEREF _Toc211565612 \h </w:instrText>
            </w:r>
            <w:r w:rsidR="004D4F40" w:rsidRPr="007C1FC3">
              <w:rPr>
                <w:rFonts w:ascii="Arial" w:hAnsi="Arial" w:cs="Arial"/>
                <w:b w:val="0"/>
                <w:i w:val="0"/>
                <w:noProof/>
                <w:webHidden/>
              </w:rPr>
            </w:r>
            <w:r w:rsidR="004D4F40" w:rsidRPr="007C1FC3">
              <w:rPr>
                <w:rFonts w:ascii="Arial" w:hAnsi="Arial" w:cs="Arial"/>
                <w:b w:val="0"/>
                <w:i w:val="0"/>
                <w:noProof/>
                <w:webHidden/>
              </w:rPr>
              <w:fldChar w:fldCharType="separate"/>
            </w:r>
            <w:r w:rsidR="00DC0494">
              <w:rPr>
                <w:rFonts w:ascii="Arial" w:hAnsi="Arial" w:cs="Arial"/>
                <w:b w:val="0"/>
                <w:i w:val="0"/>
                <w:noProof/>
                <w:webHidden/>
              </w:rPr>
              <w:t>6</w:t>
            </w:r>
            <w:r w:rsidR="004D4F40" w:rsidRPr="007C1FC3">
              <w:rPr>
                <w:rFonts w:ascii="Arial" w:hAnsi="Arial" w:cs="Arial"/>
                <w:b w:val="0"/>
                <w:i w:val="0"/>
                <w:noProof/>
                <w:webHidden/>
              </w:rPr>
              <w:fldChar w:fldCharType="end"/>
            </w:r>
          </w:hyperlink>
        </w:p>
        <w:p w:rsidR="004D4F40" w:rsidRPr="007C1FC3" w:rsidRDefault="001B595B" w:rsidP="007C1FC3">
          <w:pPr>
            <w:pStyle w:val="TOC2"/>
            <w:tabs>
              <w:tab w:val="right" w:leader="dot" w:pos="9016"/>
            </w:tabs>
            <w:rPr>
              <w:rFonts w:ascii="Arial" w:eastAsiaTheme="minorEastAsia" w:hAnsi="Arial" w:cs="Arial"/>
              <w:b w:val="0"/>
              <w:bCs w:val="0"/>
              <w:noProof/>
              <w:sz w:val="24"/>
              <w:szCs w:val="24"/>
            </w:rPr>
          </w:pPr>
          <w:hyperlink w:anchor="_Toc211565613" w:history="1">
            <w:r w:rsidR="004D4F40" w:rsidRPr="007C1FC3">
              <w:rPr>
                <w:rStyle w:val="Hyperlink"/>
                <w:rFonts w:ascii="Arial" w:hAnsi="Arial" w:cs="Arial"/>
                <w:b w:val="0"/>
                <w:noProof/>
                <w:sz w:val="24"/>
                <w:szCs w:val="24"/>
              </w:rPr>
              <w:t>2.1 Response to Regulatory/Political Changes</w:t>
            </w:r>
            <w:r w:rsidR="004D4F40" w:rsidRPr="007C1FC3">
              <w:rPr>
                <w:rFonts w:ascii="Arial" w:hAnsi="Arial" w:cs="Arial"/>
                <w:b w:val="0"/>
                <w:noProof/>
                <w:webHidden/>
                <w:sz w:val="24"/>
                <w:szCs w:val="24"/>
              </w:rPr>
              <w:tab/>
            </w:r>
            <w:r w:rsidR="004D4F40" w:rsidRPr="007C1FC3">
              <w:rPr>
                <w:rFonts w:ascii="Arial" w:hAnsi="Arial" w:cs="Arial"/>
                <w:b w:val="0"/>
                <w:noProof/>
                <w:webHidden/>
                <w:sz w:val="24"/>
                <w:szCs w:val="24"/>
              </w:rPr>
              <w:fldChar w:fldCharType="begin"/>
            </w:r>
            <w:r w:rsidR="004D4F40" w:rsidRPr="007C1FC3">
              <w:rPr>
                <w:rFonts w:ascii="Arial" w:hAnsi="Arial" w:cs="Arial"/>
                <w:b w:val="0"/>
                <w:noProof/>
                <w:webHidden/>
                <w:sz w:val="24"/>
                <w:szCs w:val="24"/>
              </w:rPr>
              <w:instrText xml:space="preserve"> PAGEREF _Toc211565613 \h </w:instrText>
            </w:r>
            <w:r w:rsidR="004D4F40" w:rsidRPr="007C1FC3">
              <w:rPr>
                <w:rFonts w:ascii="Arial" w:hAnsi="Arial" w:cs="Arial"/>
                <w:b w:val="0"/>
                <w:noProof/>
                <w:webHidden/>
                <w:sz w:val="24"/>
                <w:szCs w:val="24"/>
              </w:rPr>
            </w:r>
            <w:r w:rsidR="004D4F40" w:rsidRPr="007C1FC3">
              <w:rPr>
                <w:rFonts w:ascii="Arial" w:hAnsi="Arial" w:cs="Arial"/>
                <w:b w:val="0"/>
                <w:noProof/>
                <w:webHidden/>
                <w:sz w:val="24"/>
                <w:szCs w:val="24"/>
              </w:rPr>
              <w:fldChar w:fldCharType="separate"/>
            </w:r>
            <w:r w:rsidR="00DC0494">
              <w:rPr>
                <w:rFonts w:ascii="Arial" w:hAnsi="Arial" w:cs="Arial"/>
                <w:b w:val="0"/>
                <w:noProof/>
                <w:webHidden/>
                <w:sz w:val="24"/>
                <w:szCs w:val="24"/>
              </w:rPr>
              <w:t>6</w:t>
            </w:r>
            <w:r w:rsidR="004D4F40" w:rsidRPr="007C1FC3">
              <w:rPr>
                <w:rFonts w:ascii="Arial" w:hAnsi="Arial" w:cs="Arial"/>
                <w:b w:val="0"/>
                <w:noProof/>
                <w:webHidden/>
                <w:sz w:val="24"/>
                <w:szCs w:val="24"/>
              </w:rPr>
              <w:fldChar w:fldCharType="end"/>
            </w:r>
          </w:hyperlink>
        </w:p>
        <w:p w:rsidR="004D4F40" w:rsidRPr="007C1FC3" w:rsidRDefault="001B595B" w:rsidP="007C1FC3">
          <w:pPr>
            <w:pStyle w:val="TOC2"/>
            <w:tabs>
              <w:tab w:val="right" w:leader="dot" w:pos="9016"/>
            </w:tabs>
            <w:rPr>
              <w:rFonts w:ascii="Arial" w:eastAsiaTheme="minorEastAsia" w:hAnsi="Arial" w:cs="Arial"/>
              <w:b w:val="0"/>
              <w:bCs w:val="0"/>
              <w:noProof/>
              <w:sz w:val="24"/>
              <w:szCs w:val="24"/>
            </w:rPr>
          </w:pPr>
          <w:hyperlink w:anchor="_Toc211565614" w:history="1">
            <w:r w:rsidR="004D4F40" w:rsidRPr="007C1FC3">
              <w:rPr>
                <w:rStyle w:val="Hyperlink"/>
                <w:rFonts w:ascii="Arial" w:hAnsi="Arial" w:cs="Arial"/>
                <w:b w:val="0"/>
                <w:noProof/>
                <w:sz w:val="24"/>
                <w:szCs w:val="24"/>
              </w:rPr>
              <w:t>2.2 Response to technological changes</w:t>
            </w:r>
            <w:r w:rsidR="004D4F40" w:rsidRPr="007C1FC3">
              <w:rPr>
                <w:rFonts w:ascii="Arial" w:hAnsi="Arial" w:cs="Arial"/>
                <w:b w:val="0"/>
                <w:noProof/>
                <w:webHidden/>
                <w:sz w:val="24"/>
                <w:szCs w:val="24"/>
              </w:rPr>
              <w:tab/>
            </w:r>
            <w:r w:rsidR="004D4F40" w:rsidRPr="007C1FC3">
              <w:rPr>
                <w:rFonts w:ascii="Arial" w:hAnsi="Arial" w:cs="Arial"/>
                <w:b w:val="0"/>
                <w:noProof/>
                <w:webHidden/>
                <w:sz w:val="24"/>
                <w:szCs w:val="24"/>
              </w:rPr>
              <w:fldChar w:fldCharType="begin"/>
            </w:r>
            <w:r w:rsidR="004D4F40" w:rsidRPr="007C1FC3">
              <w:rPr>
                <w:rFonts w:ascii="Arial" w:hAnsi="Arial" w:cs="Arial"/>
                <w:b w:val="0"/>
                <w:noProof/>
                <w:webHidden/>
                <w:sz w:val="24"/>
                <w:szCs w:val="24"/>
              </w:rPr>
              <w:instrText xml:space="preserve"> PAGEREF _Toc211565614 \h </w:instrText>
            </w:r>
            <w:r w:rsidR="004D4F40" w:rsidRPr="007C1FC3">
              <w:rPr>
                <w:rFonts w:ascii="Arial" w:hAnsi="Arial" w:cs="Arial"/>
                <w:b w:val="0"/>
                <w:noProof/>
                <w:webHidden/>
                <w:sz w:val="24"/>
                <w:szCs w:val="24"/>
              </w:rPr>
            </w:r>
            <w:r w:rsidR="004D4F40" w:rsidRPr="007C1FC3">
              <w:rPr>
                <w:rFonts w:ascii="Arial" w:hAnsi="Arial" w:cs="Arial"/>
                <w:b w:val="0"/>
                <w:noProof/>
                <w:webHidden/>
                <w:sz w:val="24"/>
                <w:szCs w:val="24"/>
              </w:rPr>
              <w:fldChar w:fldCharType="separate"/>
            </w:r>
            <w:r w:rsidR="00DC0494">
              <w:rPr>
                <w:rFonts w:ascii="Arial" w:hAnsi="Arial" w:cs="Arial"/>
                <w:b w:val="0"/>
                <w:noProof/>
                <w:webHidden/>
                <w:sz w:val="24"/>
                <w:szCs w:val="24"/>
              </w:rPr>
              <w:t>8</w:t>
            </w:r>
            <w:r w:rsidR="004D4F40" w:rsidRPr="007C1FC3">
              <w:rPr>
                <w:rFonts w:ascii="Arial" w:hAnsi="Arial" w:cs="Arial"/>
                <w:b w:val="0"/>
                <w:noProof/>
                <w:webHidden/>
                <w:sz w:val="24"/>
                <w:szCs w:val="24"/>
              </w:rPr>
              <w:fldChar w:fldCharType="end"/>
            </w:r>
          </w:hyperlink>
        </w:p>
        <w:p w:rsidR="004D4F40" w:rsidRPr="007C1FC3" w:rsidRDefault="001B595B" w:rsidP="007C1FC3">
          <w:pPr>
            <w:pStyle w:val="TOC1"/>
            <w:tabs>
              <w:tab w:val="right" w:leader="dot" w:pos="9016"/>
            </w:tabs>
            <w:rPr>
              <w:rFonts w:ascii="Arial" w:eastAsiaTheme="minorEastAsia" w:hAnsi="Arial" w:cs="Arial"/>
              <w:b w:val="0"/>
              <w:bCs w:val="0"/>
              <w:i w:val="0"/>
              <w:iCs w:val="0"/>
              <w:noProof/>
            </w:rPr>
          </w:pPr>
          <w:hyperlink w:anchor="_Toc211565615" w:history="1">
            <w:r w:rsidR="004D4F40" w:rsidRPr="007C1FC3">
              <w:rPr>
                <w:rStyle w:val="Hyperlink"/>
                <w:rFonts w:ascii="Arial" w:hAnsi="Arial" w:cs="Arial"/>
                <w:b w:val="0"/>
                <w:i w:val="0"/>
                <w:noProof/>
              </w:rPr>
              <w:t>Conclusion</w:t>
            </w:r>
            <w:r w:rsidR="004D4F40" w:rsidRPr="007C1FC3">
              <w:rPr>
                <w:rFonts w:ascii="Arial" w:hAnsi="Arial" w:cs="Arial"/>
                <w:b w:val="0"/>
                <w:i w:val="0"/>
                <w:noProof/>
                <w:webHidden/>
              </w:rPr>
              <w:tab/>
            </w:r>
            <w:r w:rsidR="004D4F40" w:rsidRPr="007C1FC3">
              <w:rPr>
                <w:rFonts w:ascii="Arial" w:hAnsi="Arial" w:cs="Arial"/>
                <w:b w:val="0"/>
                <w:i w:val="0"/>
                <w:noProof/>
                <w:webHidden/>
              </w:rPr>
              <w:fldChar w:fldCharType="begin"/>
            </w:r>
            <w:r w:rsidR="004D4F40" w:rsidRPr="007C1FC3">
              <w:rPr>
                <w:rFonts w:ascii="Arial" w:hAnsi="Arial" w:cs="Arial"/>
                <w:b w:val="0"/>
                <w:i w:val="0"/>
                <w:noProof/>
                <w:webHidden/>
              </w:rPr>
              <w:instrText xml:space="preserve"> PAGEREF _Toc211565615 \h </w:instrText>
            </w:r>
            <w:r w:rsidR="004D4F40" w:rsidRPr="007C1FC3">
              <w:rPr>
                <w:rFonts w:ascii="Arial" w:hAnsi="Arial" w:cs="Arial"/>
                <w:b w:val="0"/>
                <w:i w:val="0"/>
                <w:noProof/>
                <w:webHidden/>
              </w:rPr>
            </w:r>
            <w:r w:rsidR="004D4F40" w:rsidRPr="007C1FC3">
              <w:rPr>
                <w:rFonts w:ascii="Arial" w:hAnsi="Arial" w:cs="Arial"/>
                <w:b w:val="0"/>
                <w:i w:val="0"/>
                <w:noProof/>
                <w:webHidden/>
              </w:rPr>
              <w:fldChar w:fldCharType="separate"/>
            </w:r>
            <w:r w:rsidR="00DC0494">
              <w:rPr>
                <w:rFonts w:ascii="Arial" w:hAnsi="Arial" w:cs="Arial"/>
                <w:b w:val="0"/>
                <w:i w:val="0"/>
                <w:noProof/>
                <w:webHidden/>
              </w:rPr>
              <w:t>10</w:t>
            </w:r>
            <w:r w:rsidR="004D4F40" w:rsidRPr="007C1FC3">
              <w:rPr>
                <w:rFonts w:ascii="Arial" w:hAnsi="Arial" w:cs="Arial"/>
                <w:b w:val="0"/>
                <w:i w:val="0"/>
                <w:noProof/>
                <w:webHidden/>
              </w:rPr>
              <w:fldChar w:fldCharType="end"/>
            </w:r>
          </w:hyperlink>
          <w:bookmarkStart w:id="0" w:name="_GoBack"/>
          <w:bookmarkEnd w:id="0"/>
        </w:p>
        <w:p w:rsidR="004D4F40" w:rsidRPr="004D4F40" w:rsidRDefault="001B595B" w:rsidP="007C1FC3">
          <w:pPr>
            <w:pStyle w:val="TOC1"/>
            <w:tabs>
              <w:tab w:val="right" w:leader="dot" w:pos="9016"/>
            </w:tabs>
            <w:rPr>
              <w:rFonts w:eastAsiaTheme="minorEastAsia" w:cstheme="minorBidi"/>
              <w:b w:val="0"/>
              <w:bCs w:val="0"/>
              <w:i w:val="0"/>
              <w:iCs w:val="0"/>
              <w:noProof/>
              <w:sz w:val="22"/>
              <w:szCs w:val="22"/>
            </w:rPr>
          </w:pPr>
          <w:hyperlink w:anchor="_Toc211565616" w:history="1">
            <w:r w:rsidR="004D4F40" w:rsidRPr="007C1FC3">
              <w:rPr>
                <w:rStyle w:val="Hyperlink"/>
                <w:rFonts w:ascii="Arial" w:hAnsi="Arial" w:cs="Arial"/>
                <w:b w:val="0"/>
                <w:i w:val="0"/>
                <w:noProof/>
              </w:rPr>
              <w:t>References</w:t>
            </w:r>
            <w:r w:rsidR="004D4F40" w:rsidRPr="007C1FC3">
              <w:rPr>
                <w:rFonts w:ascii="Arial" w:hAnsi="Arial" w:cs="Arial"/>
                <w:b w:val="0"/>
                <w:i w:val="0"/>
                <w:noProof/>
                <w:webHidden/>
              </w:rPr>
              <w:tab/>
            </w:r>
            <w:r w:rsidR="004D4F40" w:rsidRPr="007C1FC3">
              <w:rPr>
                <w:rFonts w:ascii="Arial" w:hAnsi="Arial" w:cs="Arial"/>
                <w:b w:val="0"/>
                <w:i w:val="0"/>
                <w:noProof/>
                <w:webHidden/>
              </w:rPr>
              <w:fldChar w:fldCharType="begin"/>
            </w:r>
            <w:r w:rsidR="004D4F40" w:rsidRPr="007C1FC3">
              <w:rPr>
                <w:rFonts w:ascii="Arial" w:hAnsi="Arial" w:cs="Arial"/>
                <w:b w:val="0"/>
                <w:i w:val="0"/>
                <w:noProof/>
                <w:webHidden/>
              </w:rPr>
              <w:instrText xml:space="preserve"> PAGEREF _Toc211565616 \h </w:instrText>
            </w:r>
            <w:r w:rsidR="004D4F40" w:rsidRPr="007C1FC3">
              <w:rPr>
                <w:rFonts w:ascii="Arial" w:hAnsi="Arial" w:cs="Arial"/>
                <w:b w:val="0"/>
                <w:i w:val="0"/>
                <w:noProof/>
                <w:webHidden/>
              </w:rPr>
            </w:r>
            <w:r w:rsidR="004D4F40" w:rsidRPr="007C1FC3">
              <w:rPr>
                <w:rFonts w:ascii="Arial" w:hAnsi="Arial" w:cs="Arial"/>
                <w:b w:val="0"/>
                <w:i w:val="0"/>
                <w:noProof/>
                <w:webHidden/>
              </w:rPr>
              <w:fldChar w:fldCharType="separate"/>
            </w:r>
            <w:r w:rsidR="00DC0494">
              <w:rPr>
                <w:rFonts w:ascii="Arial" w:hAnsi="Arial" w:cs="Arial"/>
                <w:b w:val="0"/>
                <w:i w:val="0"/>
                <w:noProof/>
                <w:webHidden/>
              </w:rPr>
              <w:t>11</w:t>
            </w:r>
            <w:r w:rsidR="004D4F40" w:rsidRPr="007C1FC3">
              <w:rPr>
                <w:rFonts w:ascii="Arial" w:hAnsi="Arial" w:cs="Arial"/>
                <w:b w:val="0"/>
                <w:i w:val="0"/>
                <w:noProof/>
                <w:webHidden/>
              </w:rPr>
              <w:fldChar w:fldCharType="end"/>
            </w:r>
          </w:hyperlink>
        </w:p>
        <w:p w:rsidR="00C93B0F" w:rsidRPr="005D4556" w:rsidRDefault="00BF217E" w:rsidP="005D4556">
          <w:pPr>
            <w:rPr>
              <w:rFonts w:ascii="Arial" w:hAnsi="Arial" w:cs="Arial"/>
            </w:rPr>
          </w:pPr>
          <w:r w:rsidRPr="004D4F40">
            <w:rPr>
              <w:rFonts w:ascii="Arial" w:hAnsi="Arial" w:cs="Arial"/>
            </w:rPr>
            <w:fldChar w:fldCharType="end"/>
          </w:r>
        </w:p>
      </w:sdtContent>
    </w:sdt>
    <w:p w:rsidR="00C93B0F" w:rsidRDefault="00BF217E">
      <w:pPr>
        <w:pStyle w:val="Title"/>
      </w:pPr>
      <w:r>
        <w:br w:type="page"/>
      </w:r>
    </w:p>
    <w:p w:rsidR="00C93B0F" w:rsidRPr="005D4556" w:rsidRDefault="00BF217E" w:rsidP="005D4556">
      <w:pPr>
        <w:pStyle w:val="Heading1"/>
        <w:rPr>
          <w:rFonts w:ascii="Arial" w:hAnsi="Arial" w:cs="Arial"/>
          <w:color w:val="000000" w:themeColor="text1"/>
        </w:rPr>
      </w:pPr>
      <w:bookmarkStart w:id="1" w:name="_Toc211565608"/>
      <w:r w:rsidRPr="005D4556">
        <w:rPr>
          <w:rFonts w:ascii="Arial" w:hAnsi="Arial" w:cs="Arial"/>
          <w:color w:val="000000" w:themeColor="text1"/>
        </w:rPr>
        <w:lastRenderedPageBreak/>
        <w:t>Introduction</w:t>
      </w:r>
      <w:bookmarkEnd w:id="1"/>
    </w:p>
    <w:p w:rsidR="005D4556" w:rsidRPr="005D4556" w:rsidRDefault="005D4556" w:rsidP="005D4556">
      <w:pPr>
        <w:rPr>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 xml:space="preserve">Macro marketing environment represents external factors that play a significant role in shaping strategies, operations and the long-term competitiveness of an organisation. Learning about these forces helps companies to recognise opportunities and address the risks that may occur. Uber is a leader in the ride-hailing sector that exists in a dynamic environment due to the establishment of regulatory frameworks, technological progress, and consumer demands. Whereas Bolt is in the competition line behind Uber with its market-centric approach. The market leadership, profitability and sustainability can be achieved by being able to navigate these external factors. The two important elements of the macro-environment analysed are the </w:t>
      </w:r>
      <w:r w:rsidRPr="005D4556">
        <w:rPr>
          <w:rFonts w:ascii="Arial" w:hAnsi="Arial" w:cs="Arial"/>
          <w:i/>
          <w:color w:val="000000" w:themeColor="text1"/>
        </w:rPr>
        <w:t>regulatory</w:t>
      </w:r>
      <w:r w:rsidRPr="005D4556">
        <w:rPr>
          <w:rFonts w:ascii="Arial" w:hAnsi="Arial" w:cs="Arial"/>
          <w:color w:val="000000" w:themeColor="text1"/>
        </w:rPr>
        <w:t xml:space="preserve"> and </w:t>
      </w:r>
      <w:r w:rsidRPr="005D4556">
        <w:rPr>
          <w:rFonts w:ascii="Arial" w:hAnsi="Arial" w:cs="Arial"/>
          <w:i/>
          <w:color w:val="000000" w:themeColor="text1"/>
        </w:rPr>
        <w:t>political environment</w:t>
      </w:r>
      <w:r w:rsidRPr="005D4556">
        <w:rPr>
          <w:rFonts w:ascii="Arial" w:hAnsi="Arial" w:cs="Arial"/>
          <w:color w:val="000000" w:themeColor="text1"/>
        </w:rPr>
        <w:t xml:space="preserve">, which determine the compliance requirements and the limits of operation, and the </w:t>
      </w:r>
      <w:r w:rsidRPr="005D4556">
        <w:rPr>
          <w:rFonts w:ascii="Arial" w:hAnsi="Arial" w:cs="Arial"/>
          <w:i/>
          <w:color w:val="000000" w:themeColor="text1"/>
        </w:rPr>
        <w:t>technological environment</w:t>
      </w:r>
      <w:r w:rsidRPr="005D4556">
        <w:rPr>
          <w:rFonts w:ascii="Arial" w:hAnsi="Arial" w:cs="Arial"/>
          <w:color w:val="000000" w:themeColor="text1"/>
        </w:rPr>
        <w:t xml:space="preserve"> that maintains innovation, efficiency and service differentiation. Through discussing these aspects, the study reveals the differences between pioneer and follower companies, stating that such proactive strategies, adaptation actions, and innovation will help to stay competitive and reach the maximum growth potential in the changing ride-hailing market.</w:t>
      </w:r>
    </w:p>
    <w:p w:rsidR="005D4556" w:rsidRPr="005D4556" w:rsidRDefault="005D4556" w:rsidP="005D4556">
      <w:pPr>
        <w:pStyle w:val="Heading1"/>
        <w:rPr>
          <w:rFonts w:ascii="Arial" w:hAnsi="Arial" w:cs="Arial"/>
          <w:color w:val="000000" w:themeColor="text1"/>
        </w:rPr>
      </w:pPr>
    </w:p>
    <w:p w:rsidR="005D4556" w:rsidRPr="005D4556" w:rsidRDefault="005D4556" w:rsidP="005D4556">
      <w:pPr>
        <w:pStyle w:val="Heading1"/>
        <w:rPr>
          <w:rFonts w:ascii="Arial" w:hAnsi="Arial" w:cs="Arial"/>
          <w:color w:val="000000" w:themeColor="text1"/>
        </w:rPr>
      </w:pPr>
    </w:p>
    <w:p w:rsidR="00C93B0F" w:rsidRPr="005D4556" w:rsidRDefault="005D4556" w:rsidP="005D4556">
      <w:pPr>
        <w:pStyle w:val="Heading1"/>
        <w:rPr>
          <w:rFonts w:ascii="Arial" w:hAnsi="Arial" w:cs="Arial"/>
          <w:color w:val="000000" w:themeColor="text1"/>
        </w:rPr>
      </w:pPr>
      <w:bookmarkStart w:id="2" w:name="_Toc211565609"/>
      <w:r w:rsidRPr="005D4556">
        <w:rPr>
          <w:rFonts w:ascii="Arial" w:hAnsi="Arial" w:cs="Arial"/>
          <w:color w:val="000000" w:themeColor="text1"/>
        </w:rPr>
        <w:t>1</w:t>
      </w:r>
      <w:r w:rsidR="00BF217E" w:rsidRPr="005D4556">
        <w:rPr>
          <w:rFonts w:ascii="Arial" w:hAnsi="Arial" w:cs="Arial"/>
          <w:color w:val="000000" w:themeColor="text1"/>
        </w:rPr>
        <w:t>. Task 1: Macro Environmental Analysis</w:t>
      </w:r>
      <w:bookmarkEnd w:id="2"/>
    </w:p>
    <w:p w:rsidR="005D4556" w:rsidRPr="005D4556" w:rsidRDefault="005D4556" w:rsidP="005D4556">
      <w:pPr>
        <w:rPr>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As stated by Sun and Ertz (2021), the macro marketing environment refers to the external factors that influence the strategies of marketing, operations, and competitiveness of an organisation. These forces fall under the categories of Political, Economic, Social, Technological, Environmental, and Legal forces, as included in the PESTEL framework. Uber and Bolt, as the pioneer and follower in the ride-hailing market, exist in an environment where macro-environment changes directly affect access, strategy, and growth in the market. This is analysed in terms of two key macro-environmental forces and reveals ways in which the shift in these environments offer both opportunities and threats to these pioneers and follower companies.</w:t>
      </w:r>
    </w:p>
    <w:p w:rsidR="005D4556" w:rsidRPr="005D4556" w:rsidRDefault="005D4556" w:rsidP="005D4556">
      <w:pPr>
        <w:rPr>
          <w:rFonts w:ascii="Arial" w:hAnsi="Arial" w:cs="Arial"/>
          <w:color w:val="000000" w:themeColor="text1"/>
        </w:rPr>
      </w:pPr>
    </w:p>
    <w:p w:rsidR="005D4556" w:rsidRPr="005D4556" w:rsidRDefault="005D4556" w:rsidP="005D4556">
      <w:pPr>
        <w:rPr>
          <w:rFonts w:ascii="Arial" w:hAnsi="Arial" w:cs="Arial"/>
          <w:color w:val="000000" w:themeColor="text1"/>
        </w:rPr>
      </w:pPr>
    </w:p>
    <w:p w:rsidR="005D4556" w:rsidRPr="005D4556" w:rsidRDefault="005D4556" w:rsidP="005D4556">
      <w:pPr>
        <w:rPr>
          <w:rFonts w:ascii="Arial" w:hAnsi="Arial" w:cs="Arial"/>
          <w:color w:val="000000" w:themeColor="text1"/>
        </w:rPr>
      </w:pPr>
    </w:p>
    <w:p w:rsidR="00C93B0F" w:rsidRPr="005D4556" w:rsidRDefault="005D4556" w:rsidP="005D4556">
      <w:pPr>
        <w:pStyle w:val="Heading2"/>
        <w:rPr>
          <w:rFonts w:ascii="Arial" w:hAnsi="Arial" w:cs="Arial"/>
          <w:color w:val="000000" w:themeColor="text1"/>
        </w:rPr>
      </w:pPr>
      <w:bookmarkStart w:id="3" w:name="_Toc211565610"/>
      <w:r w:rsidRPr="005D4556">
        <w:rPr>
          <w:rFonts w:ascii="Arial" w:hAnsi="Arial" w:cs="Arial"/>
          <w:color w:val="000000" w:themeColor="text1"/>
        </w:rPr>
        <w:lastRenderedPageBreak/>
        <w:t>1</w:t>
      </w:r>
      <w:r w:rsidR="00BF217E" w:rsidRPr="005D4556">
        <w:rPr>
          <w:rFonts w:ascii="Arial" w:hAnsi="Arial" w:cs="Arial"/>
          <w:color w:val="000000" w:themeColor="text1"/>
        </w:rPr>
        <w:t>.1 Regulatory/Political Environment</w:t>
      </w:r>
      <w:bookmarkEnd w:id="3"/>
    </w:p>
    <w:p w:rsidR="005D4556" w:rsidRPr="005D4556" w:rsidRDefault="005D4556" w:rsidP="005D4556">
      <w:pPr>
        <w:rPr>
          <w:color w:val="000000" w:themeColor="text1"/>
        </w:rPr>
      </w:pPr>
    </w:p>
    <w:p w:rsidR="00C93B0F" w:rsidRPr="00C97BE6" w:rsidRDefault="00BF217E" w:rsidP="005D4556">
      <w:pPr>
        <w:rPr>
          <w:rFonts w:ascii="Arial" w:hAnsi="Arial" w:cs="Arial"/>
          <w:b/>
          <w:color w:val="000000" w:themeColor="text1"/>
        </w:rPr>
      </w:pPr>
      <w:r w:rsidRPr="00C97BE6">
        <w:rPr>
          <w:rFonts w:ascii="Arial" w:hAnsi="Arial" w:cs="Arial"/>
          <w:b/>
          <w:color w:val="000000" w:themeColor="text1"/>
        </w:rPr>
        <w:t>a. Critical examination of the factor</w:t>
      </w: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 xml:space="preserve">Starting with, Cheah and Koay (2024) stated that government policies play one of the biggest roles in the business of the ride-hailing companies in terms of licensing, labour regulations, price regulations, and even safety regulations. Cities like London or Paris use rigid licensing standards, which demand passengers and drivers to be vetted, insured, and subject to safety standards (Oviedo </w:t>
      </w:r>
      <w:r w:rsidRPr="005D4556">
        <w:rPr>
          <w:rFonts w:ascii="Arial" w:hAnsi="Arial" w:cs="Arial"/>
          <w:i/>
          <w:color w:val="000000" w:themeColor="text1"/>
        </w:rPr>
        <w:t xml:space="preserve">et al., </w:t>
      </w:r>
      <w:r w:rsidRPr="005D4556">
        <w:rPr>
          <w:rFonts w:ascii="Arial" w:hAnsi="Arial" w:cs="Arial"/>
          <w:color w:val="000000" w:themeColor="text1"/>
        </w:rPr>
        <w:t>2021). Compulsory modifications present chances to those companies that take the initiative, including securing EV (Electronic Vehicle) subsidies or joining the recently opened markets. According to a recent report, the ride-hailing market all over the world reached USD 110 billion in 2024 (Mordor Intelligence, 2025). This is the nearest evidence of the growth opportunity facilitated by supportive regulatory policies. On the other hand, issues such as fines, labour conflicts, and limitations concerning dynamic prices are the threats posed by regulations. Uber was fined and had to suspend its license in London because of safety issues, which revealed financial and operational risks of non-observance (</w:t>
      </w:r>
      <w:r w:rsidRPr="005D4556">
        <w:rPr>
          <w:rFonts w:ascii="Arial" w:hAnsi="Arial" w:cs="Arial"/>
          <w:color w:val="000000" w:themeColor="text1"/>
          <w:highlight w:val="white"/>
        </w:rPr>
        <w:t>Reuters, 2025</w:t>
      </w:r>
      <w:r w:rsidRPr="005D4556">
        <w:rPr>
          <w:rFonts w:ascii="Arial" w:hAnsi="Arial" w:cs="Arial"/>
          <w:color w:val="000000" w:themeColor="text1"/>
        </w:rPr>
        <w:t>). As a follower, Bolt works around these regulatory issues and invests in meeting licensing, insurance, and labour regulations. Statistics confirm that in the Indian ride-hailing market, regulatory compliance takes up to 12% of operation costs, which testifies to the role of regulation in profitability (Market and Data, 2025).</w:t>
      </w:r>
    </w:p>
    <w:p w:rsidR="005D4556" w:rsidRPr="005D4556" w:rsidRDefault="005D4556" w:rsidP="005D4556">
      <w:pPr>
        <w:rPr>
          <w:rFonts w:ascii="Arial" w:hAnsi="Arial" w:cs="Arial"/>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 xml:space="preserve">Besides, governmental policy also affects the strategic choice of market entry and expansion, particularly in the cities where the legal frameworks are evolving. Clear regulations enable companies to invest in the long-term in their fleets, training of drivers and integration of technologies, decreasing uncertainty and operational risks. An example of this is positive EV incentives in some European countries. This helps persuade ride-hailing companies to switch to electric-powered vehicles and reduce their environmental footprint and achieve cost benefits in fuel and maintenance (Ribeiro and Silveira, 2024). On the other hand, any unexpected shift in labour regulations, including the re-definition of drivers as employees, can have a significant cost impact on first movers, which will impact profitability and growth strategies. In case of follower companies, such as Bolt, these kinds of change can be observed before market entry, enabling them to adjust business models, including providing </w:t>
      </w:r>
      <w:r w:rsidRPr="005D4556">
        <w:rPr>
          <w:rFonts w:ascii="Arial" w:hAnsi="Arial" w:cs="Arial"/>
          <w:color w:val="000000" w:themeColor="text1"/>
        </w:rPr>
        <w:lastRenderedPageBreak/>
        <w:t>hybrid positions or collaborating with licensed taxi companies in order to ameliorate the regulatory risks (</w:t>
      </w:r>
      <w:r w:rsidRPr="005D4556">
        <w:rPr>
          <w:rFonts w:ascii="Arial" w:hAnsi="Arial" w:cs="Arial"/>
          <w:color w:val="000000" w:themeColor="text1"/>
          <w:highlight w:val="white"/>
        </w:rPr>
        <w:t>Naumov and Keith, 2023</w:t>
      </w:r>
      <w:r w:rsidRPr="005D4556">
        <w:rPr>
          <w:rFonts w:ascii="Arial" w:hAnsi="Arial" w:cs="Arial"/>
          <w:color w:val="000000" w:themeColor="text1"/>
        </w:rPr>
        <w:t>). Consequently, the regulatory challenges are not only a barrier to operations but also to the strategic innovation and positioning in the market of the ride-hailing services.</w:t>
      </w:r>
    </w:p>
    <w:p w:rsidR="005D4556" w:rsidRPr="005D4556" w:rsidRDefault="005D4556" w:rsidP="005D4556">
      <w:pPr>
        <w:rPr>
          <w:rFonts w:ascii="Arial" w:hAnsi="Arial" w:cs="Arial"/>
          <w:color w:val="000000" w:themeColor="text1"/>
        </w:rPr>
      </w:pPr>
    </w:p>
    <w:p w:rsidR="00C93B0F" w:rsidRPr="00C97BE6" w:rsidRDefault="00BF217E" w:rsidP="005D4556">
      <w:pPr>
        <w:rPr>
          <w:rFonts w:ascii="Arial" w:hAnsi="Arial" w:cs="Arial"/>
          <w:color w:val="000000" w:themeColor="text1"/>
        </w:rPr>
      </w:pPr>
      <w:r w:rsidRPr="00C97BE6">
        <w:rPr>
          <w:rFonts w:ascii="Arial" w:hAnsi="Arial" w:cs="Arial"/>
          <w:b/>
          <w:color w:val="000000" w:themeColor="text1"/>
        </w:rPr>
        <w:t>b. Impact on Pioneer vs. Followers</w:t>
      </w: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As a first-mover, Uber enjoys a list of advantages in its dealings with the regulatory authorities and lobbying them to create friendly policies (Uber, 2025). To overcome the difficulties with the complicated laws, the company has created a global community compliance team and driver-oriented CSR (Corporate Social Responsibility) to reduce penalties. Nevertheless, it is a risky leadership stance to which Uber is exposed, as was the case in 2024 when the company temporarily halted its operations in London, losing revenues in the process and spending more resources on compliance (</w:t>
      </w:r>
      <w:r w:rsidRPr="005D4556">
        <w:rPr>
          <w:rFonts w:ascii="Arial" w:hAnsi="Arial" w:cs="Arial"/>
          <w:color w:val="000000" w:themeColor="text1"/>
          <w:highlight w:val="white"/>
        </w:rPr>
        <w:t>Reuters, 2025</w:t>
      </w:r>
      <w:r w:rsidRPr="005D4556">
        <w:rPr>
          <w:rFonts w:ascii="Arial" w:hAnsi="Arial" w:cs="Arial"/>
          <w:color w:val="000000" w:themeColor="text1"/>
        </w:rPr>
        <w:t>). The PR campaigns and driver welfare initiatives aimed at enhancing marketing strategies, which altogether support the brand image of the brand being concerned about safety and compliance with regulations.</w:t>
      </w:r>
    </w:p>
    <w:p w:rsidR="005D4556" w:rsidRPr="005D4556" w:rsidRDefault="005D4556" w:rsidP="005D4556">
      <w:pPr>
        <w:rPr>
          <w:rFonts w:ascii="Arial" w:hAnsi="Arial" w:cs="Arial"/>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On the other hand, Bolt uses the experiences of Uber to come in with adaptive market-entry strategies, and they enter the regulated cities only once the legal frameworks have been demystified (Bolt, 2025). It introduced local driver registration schemes and fare changes depending on local regulations in the city, reducing the fines and operational penalties. By monitoring the regulatory difficulties that the pioneer is facing, Bolt minimises the compliance expenses and reputational risks (</w:t>
      </w:r>
      <w:r w:rsidRPr="005D4556">
        <w:rPr>
          <w:rFonts w:ascii="Arial" w:hAnsi="Arial" w:cs="Arial"/>
          <w:color w:val="000000" w:themeColor="text1"/>
          <w:highlight w:val="white"/>
        </w:rPr>
        <w:t>Alsaew, 2024</w:t>
      </w:r>
      <w:r w:rsidRPr="005D4556">
        <w:rPr>
          <w:rFonts w:ascii="Arial" w:hAnsi="Arial" w:cs="Arial"/>
          <w:color w:val="000000" w:themeColor="text1"/>
        </w:rPr>
        <w:t>). The current case of Uber, with suspension of its license in London has been a real-time example of pioneer exposure, whereas the case of Bolt, with its regulatory-compliant expansion in Eastern Europe, has been an example of follower adaptability. In general, there are both opportunities and threats in the regulatory/political environment. The pioneer company has a greater risk but has the potential to influence the market, whereas the follower company has adaptive strategies and fewer compliance risks.</w:t>
      </w:r>
    </w:p>
    <w:p w:rsidR="005D4556" w:rsidRPr="005D4556" w:rsidRDefault="005D4556" w:rsidP="005D4556">
      <w:pPr>
        <w:rPr>
          <w:rFonts w:ascii="Arial" w:hAnsi="Arial" w:cs="Arial"/>
          <w:color w:val="000000" w:themeColor="text1"/>
        </w:rPr>
      </w:pPr>
    </w:p>
    <w:p w:rsidR="005D4556" w:rsidRPr="005D4556" w:rsidRDefault="005D4556" w:rsidP="005D4556">
      <w:pPr>
        <w:rPr>
          <w:rFonts w:ascii="Arial" w:hAnsi="Arial" w:cs="Arial"/>
          <w:color w:val="000000" w:themeColor="text1"/>
        </w:rPr>
      </w:pPr>
    </w:p>
    <w:p w:rsidR="005D4556" w:rsidRPr="005D4556" w:rsidRDefault="005D4556" w:rsidP="005D4556">
      <w:pPr>
        <w:rPr>
          <w:rFonts w:ascii="Arial" w:hAnsi="Arial" w:cs="Arial"/>
          <w:color w:val="000000" w:themeColor="text1"/>
        </w:rPr>
      </w:pPr>
    </w:p>
    <w:p w:rsidR="00C93B0F" w:rsidRPr="005D4556" w:rsidRDefault="005D4556" w:rsidP="005D4556">
      <w:pPr>
        <w:pStyle w:val="Heading2"/>
        <w:rPr>
          <w:rFonts w:ascii="Arial" w:hAnsi="Arial" w:cs="Arial"/>
          <w:color w:val="000000" w:themeColor="text1"/>
        </w:rPr>
      </w:pPr>
      <w:bookmarkStart w:id="4" w:name="_Toc211565611"/>
      <w:r w:rsidRPr="005D4556">
        <w:rPr>
          <w:rFonts w:ascii="Arial" w:hAnsi="Arial" w:cs="Arial"/>
          <w:color w:val="000000" w:themeColor="text1"/>
        </w:rPr>
        <w:lastRenderedPageBreak/>
        <w:t>1</w:t>
      </w:r>
      <w:r w:rsidR="00BF217E" w:rsidRPr="005D4556">
        <w:rPr>
          <w:rFonts w:ascii="Arial" w:hAnsi="Arial" w:cs="Arial"/>
          <w:color w:val="000000" w:themeColor="text1"/>
        </w:rPr>
        <w:t>.2 Technological Environment</w:t>
      </w:r>
      <w:bookmarkEnd w:id="4"/>
    </w:p>
    <w:p w:rsidR="005D4556" w:rsidRPr="005D4556" w:rsidRDefault="005D4556" w:rsidP="005D4556">
      <w:pPr>
        <w:rPr>
          <w:color w:val="000000" w:themeColor="text1"/>
        </w:rPr>
      </w:pPr>
    </w:p>
    <w:p w:rsidR="00C93B0F" w:rsidRPr="00C97BE6" w:rsidRDefault="00BF217E" w:rsidP="005D4556">
      <w:pPr>
        <w:rPr>
          <w:rFonts w:ascii="Arial" w:hAnsi="Arial" w:cs="Arial"/>
          <w:b/>
          <w:color w:val="000000" w:themeColor="text1"/>
        </w:rPr>
      </w:pPr>
      <w:r w:rsidRPr="00C97BE6">
        <w:rPr>
          <w:rFonts w:ascii="Arial" w:hAnsi="Arial" w:cs="Arial"/>
          <w:b/>
          <w:color w:val="000000" w:themeColor="text1"/>
        </w:rPr>
        <w:t>a. Critical examination of the factor</w:t>
      </w: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The core component of competitive positioning in the ride-hailing sector is technological advancement, such as app platforms, GPS positioning, AI-driven pricing, EV integration, and cybersecurity. According to Tom Dieck and Han (2022), technology presents a chance of functional effectiveness, differentiation, and enhanced customer experiences. More than three-quarters of ride-hailing users use mobile applications, and thus, digital platforms are vital (Mordor Intelligence, 2025). The use of EVs also contributes to the sustainability agenda and appeals to green consumers. Contrarily, the threats associated with technological change include high R&amp;D costs, threats of rapid obsolescence, and cybersecurity threats. Firms that do not keep modern systems or protect consumer information stand a chance of being affected by negative publicity and fines (</w:t>
      </w:r>
      <w:r w:rsidRPr="005D4556">
        <w:rPr>
          <w:rFonts w:ascii="Arial" w:hAnsi="Arial" w:cs="Arial"/>
          <w:color w:val="000000" w:themeColor="text1"/>
          <w:highlight w:val="white"/>
        </w:rPr>
        <w:t>Li et al., 2022</w:t>
      </w:r>
      <w:r w:rsidRPr="005D4556">
        <w:rPr>
          <w:rFonts w:ascii="Arial" w:hAnsi="Arial" w:cs="Arial"/>
          <w:color w:val="000000" w:themeColor="text1"/>
        </w:rPr>
        <w:t>). The initially expensive prices of AI (Artificial Intelligence) adoption and EV fleet management pose a challenge to followers, such as Bolt, which might not have the resources to implement innovations on a large scale. It is statistically revealed that ride-hailing companies spend 15-20% of their annual revenue on the technological sphere, which is why innovation is resource-consuming (Market and Data, 2025).</w:t>
      </w:r>
    </w:p>
    <w:p w:rsidR="005D4556" w:rsidRPr="005D4556" w:rsidRDefault="005D4556" w:rsidP="005D4556">
      <w:pPr>
        <w:rPr>
          <w:rFonts w:ascii="Arial" w:hAnsi="Arial" w:cs="Arial"/>
          <w:color w:val="000000" w:themeColor="text1"/>
        </w:rPr>
      </w:pPr>
    </w:p>
    <w:p w:rsidR="00C93B0F" w:rsidRPr="00C97BE6" w:rsidRDefault="00BF217E" w:rsidP="005D4556">
      <w:pPr>
        <w:rPr>
          <w:rFonts w:ascii="Arial" w:hAnsi="Arial" w:cs="Arial"/>
          <w:b/>
          <w:color w:val="000000" w:themeColor="text1"/>
        </w:rPr>
      </w:pPr>
      <w:r w:rsidRPr="00C97BE6">
        <w:rPr>
          <w:rFonts w:ascii="Arial" w:hAnsi="Arial" w:cs="Arial"/>
          <w:b/>
          <w:color w:val="000000" w:themeColor="text1"/>
        </w:rPr>
        <w:t>b. Impact on Pioneer vs. Followers</w:t>
      </w: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 xml:space="preserve">Uber, being a pioneer, introduces AI-driven surge pricing, self-driving vehicle experiments, and EV fleets to increase efficiency and dominate the market. These technologies have enhanced demand forecasting, driver distribution, and customer experience for the more than 120 million active riders worldwide (Uber, 2025). Nevertheless, Uber takes great risks owing to the costs of technology and cybersecurity risks, as well as the cost of continuous research and development. On the other hand, Bolt follows a follower strategy, where the tested technologies are used in stages to minimise costs (Bolt, 2025). Upgrades of the app, matching of drivers and integration of digital payments enable Bolt to repeat successful innovations without having to invest in actual R&amp;D (Bolt, 2025). The strategy will match technology to the regional market demand without subjecting the company to extraneous financial losses (Bolt, 2025). It has been stated by </w:t>
      </w:r>
      <w:r w:rsidRPr="005D4556">
        <w:rPr>
          <w:rFonts w:ascii="Arial" w:hAnsi="Arial" w:cs="Arial"/>
          <w:color w:val="000000" w:themeColor="text1"/>
          <w:highlight w:val="white"/>
        </w:rPr>
        <w:t xml:space="preserve">Yu </w:t>
      </w:r>
      <w:r w:rsidRPr="005D4556">
        <w:rPr>
          <w:rFonts w:ascii="Arial" w:hAnsi="Arial" w:cs="Arial"/>
          <w:i/>
          <w:color w:val="000000" w:themeColor="text1"/>
          <w:highlight w:val="white"/>
        </w:rPr>
        <w:t>et al.</w:t>
      </w:r>
      <w:r w:rsidRPr="005D4556">
        <w:rPr>
          <w:rFonts w:ascii="Arial" w:hAnsi="Arial" w:cs="Arial"/>
          <w:color w:val="000000" w:themeColor="text1"/>
          <w:highlight w:val="white"/>
        </w:rPr>
        <w:t xml:space="preserve"> (2025) that s</w:t>
      </w:r>
      <w:r w:rsidRPr="005D4556">
        <w:rPr>
          <w:rFonts w:ascii="Arial" w:hAnsi="Arial" w:cs="Arial"/>
          <w:color w:val="000000" w:themeColor="text1"/>
        </w:rPr>
        <w:t xml:space="preserve">uch a technological landscape poses both innovation opportunities and the threat of financial and </w:t>
      </w:r>
      <w:r w:rsidRPr="005D4556">
        <w:rPr>
          <w:rFonts w:ascii="Arial" w:hAnsi="Arial" w:cs="Arial"/>
          <w:color w:val="000000" w:themeColor="text1"/>
        </w:rPr>
        <w:lastRenderedPageBreak/>
        <w:t>cybersecurity threats to the strategic positioning of innovators and adherents of the ride-hailing. Uber and Bolt are largely affected by regulatory and technological forces. First-movers receive significant exposure and could potentially have rewards, whereas the latter follow adaptive approaches and reduce risk as much as possible. Good monitoring of macro-environmental changes is also critical in ensuring competitiveness, efficiency, and profitability.</w:t>
      </w:r>
    </w:p>
    <w:p w:rsidR="005D4556" w:rsidRPr="005D4556" w:rsidRDefault="005D4556" w:rsidP="005D4556">
      <w:pPr>
        <w:pStyle w:val="Heading1"/>
        <w:rPr>
          <w:rFonts w:ascii="Arial" w:hAnsi="Arial" w:cs="Arial"/>
          <w:color w:val="000000" w:themeColor="text1"/>
        </w:rPr>
      </w:pPr>
    </w:p>
    <w:p w:rsidR="005D4556" w:rsidRPr="005D4556" w:rsidRDefault="005D4556" w:rsidP="005D4556">
      <w:pPr>
        <w:pStyle w:val="Heading1"/>
        <w:rPr>
          <w:rFonts w:ascii="Arial" w:hAnsi="Arial" w:cs="Arial"/>
          <w:color w:val="000000" w:themeColor="text1"/>
        </w:rPr>
      </w:pPr>
    </w:p>
    <w:p w:rsidR="00C93B0F" w:rsidRPr="005D4556" w:rsidRDefault="005D4556" w:rsidP="005D4556">
      <w:pPr>
        <w:pStyle w:val="Heading1"/>
        <w:rPr>
          <w:rFonts w:ascii="Arial" w:hAnsi="Arial" w:cs="Arial"/>
          <w:color w:val="000000" w:themeColor="text1"/>
        </w:rPr>
      </w:pPr>
      <w:bookmarkStart w:id="5" w:name="_Toc211565612"/>
      <w:r w:rsidRPr="005D4556">
        <w:rPr>
          <w:rFonts w:ascii="Arial" w:hAnsi="Arial" w:cs="Arial"/>
          <w:color w:val="000000" w:themeColor="text1"/>
        </w:rPr>
        <w:t>2</w:t>
      </w:r>
      <w:r w:rsidR="00BF217E" w:rsidRPr="005D4556">
        <w:rPr>
          <w:rFonts w:ascii="Arial" w:hAnsi="Arial" w:cs="Arial"/>
          <w:color w:val="000000" w:themeColor="text1"/>
        </w:rPr>
        <w:t>. Task 2: Strategic Responses</w:t>
      </w:r>
      <w:bookmarkEnd w:id="5"/>
    </w:p>
    <w:p w:rsidR="005D4556" w:rsidRPr="005D4556" w:rsidRDefault="005D4556" w:rsidP="005D4556">
      <w:pPr>
        <w:rPr>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 xml:space="preserve">First movers and new entrants in the ride-hailing business take various strategic responses to macro-environmental changes. Uber, being a pioneer, deals with innovation, technological progress, and active interaction with regulatory bodies, and Bolt, as a follower, uses adaptive strategies based on the experience of the pioneer. The responses to the regulatory and technological forces are significant enough to stay competitive within a market that is expected to increase by 10.5% CAGR (Compound Annual Growth Rate) in years 2024-2029 (Mordor Intelligence, 2025). Here, CAGR is the </w:t>
      </w:r>
      <w:r w:rsidRPr="005D4556">
        <w:rPr>
          <w:rFonts w:ascii="Arial" w:hAnsi="Arial" w:cs="Arial"/>
          <w:color w:val="000000" w:themeColor="text1"/>
          <w:highlight w:val="white"/>
        </w:rPr>
        <w:t xml:space="preserve">measurement of average annual growth of investments over a specific time. </w:t>
      </w:r>
      <w:r w:rsidRPr="005D4556">
        <w:rPr>
          <w:rFonts w:ascii="Arial" w:hAnsi="Arial" w:cs="Arial"/>
          <w:color w:val="000000" w:themeColor="text1"/>
        </w:rPr>
        <w:t>This part takes a critical assessment of the strategy of Uber and Bolt to these macro-environmental factors and the respective marketing strategies they have to maintain the growth and market share.</w:t>
      </w:r>
    </w:p>
    <w:p w:rsidR="005D4556" w:rsidRPr="005D4556" w:rsidRDefault="005D4556" w:rsidP="005D4556">
      <w:pPr>
        <w:rPr>
          <w:rFonts w:ascii="Arial" w:hAnsi="Arial" w:cs="Arial"/>
          <w:color w:val="000000" w:themeColor="text1"/>
        </w:rPr>
      </w:pPr>
    </w:p>
    <w:p w:rsidR="00C93B0F" w:rsidRPr="005D4556" w:rsidRDefault="005D4556" w:rsidP="005D4556">
      <w:pPr>
        <w:pStyle w:val="Heading2"/>
        <w:rPr>
          <w:rFonts w:ascii="Arial" w:hAnsi="Arial" w:cs="Arial"/>
          <w:color w:val="000000" w:themeColor="text1"/>
        </w:rPr>
      </w:pPr>
      <w:bookmarkStart w:id="6" w:name="_Toc211565613"/>
      <w:r w:rsidRPr="005D4556">
        <w:rPr>
          <w:rFonts w:ascii="Arial" w:hAnsi="Arial" w:cs="Arial"/>
          <w:color w:val="000000" w:themeColor="text1"/>
        </w:rPr>
        <w:t>2</w:t>
      </w:r>
      <w:r w:rsidR="00BF217E" w:rsidRPr="005D4556">
        <w:rPr>
          <w:rFonts w:ascii="Arial" w:hAnsi="Arial" w:cs="Arial"/>
          <w:color w:val="000000" w:themeColor="text1"/>
        </w:rPr>
        <w:t>.1 Response to Regulatory/Political Changes</w:t>
      </w:r>
      <w:bookmarkEnd w:id="6"/>
    </w:p>
    <w:p w:rsidR="005D4556" w:rsidRPr="005D4556" w:rsidRDefault="005D4556" w:rsidP="005D4556">
      <w:pPr>
        <w:rPr>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 xml:space="preserve">Uber is also an active lobbying organisation that tries to shape the regulatory environment in various marketplaces, which has been a competitive advantage. It maintains the CSR driver program, whereby the compliance of the labour laws will be ensured and the community relations will be enhanced (Uber, 2025). Uber has global compliance teams to manage the licensing, safety, and legal standards to reduce disruptions in operations. However, it was not able to renew its license in London in 2024, which is evidence of the fact that first movers are rather vulnerable to state regulation. They are supplemented by the Public Relations (PR) campaigns that would assist the driver welfare, safety, and corporate responsibility, which would help draw to the brand recognition and regulatory credibility of Uber (Luo et al., 2024). By 2025, </w:t>
      </w:r>
      <w:r w:rsidRPr="005D4556">
        <w:rPr>
          <w:rFonts w:ascii="Arial" w:hAnsi="Arial" w:cs="Arial"/>
          <w:color w:val="000000" w:themeColor="text1"/>
        </w:rPr>
        <w:lastRenderedPageBreak/>
        <w:t>Uber will be working on sustainability efforts in the USA and Canada where it has already achieved a target of 100% renewable energy match, with zero emission targets of 100% rides in London. The fact that the Green Future program of Uber has the targets of reaching the resources of 800 million dollars, as shown in figure 1 (Uber, 2025b).</w:t>
      </w:r>
    </w:p>
    <w:p w:rsidR="00C93B0F" w:rsidRPr="005D4556" w:rsidRDefault="00BF217E" w:rsidP="005D4556">
      <w:pPr>
        <w:jc w:val="center"/>
        <w:rPr>
          <w:rFonts w:ascii="Arial" w:hAnsi="Arial" w:cs="Arial"/>
          <w:color w:val="000000" w:themeColor="text1"/>
        </w:rPr>
      </w:pPr>
      <w:r w:rsidRPr="005D4556">
        <w:rPr>
          <w:rFonts w:ascii="Arial" w:hAnsi="Arial" w:cs="Arial"/>
          <w:noProof/>
          <w:color w:val="000000" w:themeColor="text1"/>
        </w:rPr>
        <w:drawing>
          <wp:inline distT="0" distB="0" distL="0" distR="0" wp14:anchorId="4B4661E4" wp14:editId="66263993">
            <wp:extent cx="5731510" cy="280098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510" cy="2800985"/>
                    </a:xfrm>
                    <a:prstGeom prst="rect">
                      <a:avLst/>
                    </a:prstGeom>
                    <a:ln/>
                  </pic:spPr>
                </pic:pic>
              </a:graphicData>
            </a:graphic>
          </wp:inline>
        </w:drawing>
      </w:r>
    </w:p>
    <w:p w:rsidR="00C93B0F" w:rsidRPr="005D4556" w:rsidRDefault="00BF217E" w:rsidP="005D4556">
      <w:pPr>
        <w:jc w:val="center"/>
        <w:rPr>
          <w:rFonts w:ascii="Arial" w:hAnsi="Arial" w:cs="Arial"/>
          <w:b/>
          <w:color w:val="000000" w:themeColor="text1"/>
        </w:rPr>
      </w:pPr>
      <w:r w:rsidRPr="005D4556">
        <w:rPr>
          <w:rFonts w:ascii="Arial" w:hAnsi="Arial" w:cs="Arial"/>
          <w:b/>
          <w:color w:val="000000" w:themeColor="text1"/>
        </w:rPr>
        <w:t>Figure 1: zero emission commitment of Uber with EVs</w:t>
      </w:r>
    </w:p>
    <w:p w:rsidR="00C93B0F" w:rsidRDefault="00BF217E" w:rsidP="005D4556">
      <w:pPr>
        <w:jc w:val="center"/>
        <w:rPr>
          <w:rFonts w:ascii="Arial" w:hAnsi="Arial" w:cs="Arial"/>
          <w:color w:val="000000" w:themeColor="text1"/>
        </w:rPr>
      </w:pPr>
      <w:r w:rsidRPr="005D4556">
        <w:rPr>
          <w:rFonts w:ascii="Arial" w:hAnsi="Arial" w:cs="Arial"/>
          <w:color w:val="000000" w:themeColor="text1"/>
        </w:rPr>
        <w:t>(Source: Uber, 2025b)</w:t>
      </w:r>
    </w:p>
    <w:p w:rsidR="005D4556" w:rsidRPr="005D4556" w:rsidRDefault="005D4556" w:rsidP="005D4556">
      <w:pPr>
        <w:jc w:val="center"/>
        <w:rPr>
          <w:rFonts w:ascii="Arial" w:hAnsi="Arial" w:cs="Arial"/>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noProof/>
          <w:color w:val="000000" w:themeColor="text1"/>
        </w:rPr>
        <w:drawing>
          <wp:inline distT="0" distB="0" distL="0" distR="0" wp14:anchorId="637B9CC2" wp14:editId="1839AEF2">
            <wp:extent cx="6071668" cy="2943676"/>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6071668" cy="2943676"/>
                    </a:xfrm>
                    <a:prstGeom prst="rect">
                      <a:avLst/>
                    </a:prstGeom>
                    <a:ln/>
                  </pic:spPr>
                </pic:pic>
              </a:graphicData>
            </a:graphic>
          </wp:inline>
        </w:drawing>
      </w:r>
    </w:p>
    <w:p w:rsidR="00C93B0F" w:rsidRPr="005D4556" w:rsidRDefault="00BF217E" w:rsidP="005D4556">
      <w:pPr>
        <w:jc w:val="center"/>
        <w:rPr>
          <w:rFonts w:ascii="Arial" w:hAnsi="Arial" w:cs="Arial"/>
          <w:b/>
          <w:color w:val="000000" w:themeColor="text1"/>
        </w:rPr>
      </w:pPr>
      <w:r w:rsidRPr="005D4556">
        <w:rPr>
          <w:rFonts w:ascii="Arial" w:hAnsi="Arial" w:cs="Arial"/>
          <w:b/>
          <w:color w:val="000000" w:themeColor="text1"/>
        </w:rPr>
        <w:t>Figure 2: Project zero vehicle strategy of Bolt</w:t>
      </w:r>
    </w:p>
    <w:p w:rsidR="00C93B0F" w:rsidRPr="005D4556" w:rsidRDefault="00BF217E" w:rsidP="005D4556">
      <w:pPr>
        <w:jc w:val="center"/>
        <w:rPr>
          <w:rFonts w:ascii="Arial" w:hAnsi="Arial" w:cs="Arial"/>
          <w:color w:val="000000" w:themeColor="text1"/>
        </w:rPr>
      </w:pPr>
      <w:r w:rsidRPr="005D4556">
        <w:rPr>
          <w:rFonts w:ascii="Arial" w:hAnsi="Arial" w:cs="Arial"/>
          <w:color w:val="000000" w:themeColor="text1"/>
        </w:rPr>
        <w:t xml:space="preserve">(Source: </w:t>
      </w:r>
      <w:r w:rsidRPr="005D4556">
        <w:rPr>
          <w:rFonts w:ascii="Arial" w:hAnsi="Arial" w:cs="Arial"/>
          <w:color w:val="000000" w:themeColor="text1"/>
          <w:highlight w:val="white"/>
        </w:rPr>
        <w:t>Bolt, 2025b</w:t>
      </w:r>
      <w:r w:rsidRPr="005D4556">
        <w:rPr>
          <w:rFonts w:ascii="Arial" w:hAnsi="Arial" w:cs="Arial"/>
          <w:color w:val="000000" w:themeColor="text1"/>
        </w:rPr>
        <w:t>)</w:t>
      </w: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lastRenderedPageBreak/>
        <w:t>As a follower, Bolt uses adaptive market-entry, launching in regulated cities once they have seen the pioneer results. It forms local contracts with local government and driver unions to meet licensing and safety standards (Bolt, 2025). The entry into Eastern Europe by Bolt is a good example of entry by regulations, which minimises chances of fines and loss of operation, besides maximising market penetration. The CSR and involvement of the community are the keystones to the planning of Bolt, which help build trust in the brand and acceptance within the new markets. As shown in figure 2, Bolt has a motto of achieving net zero by 2040, and 50% specifically in Europe (</w:t>
      </w:r>
      <w:r w:rsidRPr="005D4556">
        <w:rPr>
          <w:rFonts w:ascii="Arial" w:hAnsi="Arial" w:cs="Arial"/>
          <w:color w:val="000000" w:themeColor="text1"/>
          <w:highlight w:val="white"/>
        </w:rPr>
        <w:t>Bolt, 2025b</w:t>
      </w:r>
      <w:r w:rsidRPr="005D4556">
        <w:rPr>
          <w:rFonts w:ascii="Arial" w:hAnsi="Arial" w:cs="Arial"/>
          <w:color w:val="000000" w:themeColor="text1"/>
        </w:rPr>
        <w:t>). Regulatory strategies have a financial effect on the industry. According to industry statistics, compliance costs can be up to 12% of the operational expenses of ride-hailing companies in India (Market and Data, 2025). This highlights the significance of strategic planning and direct interaction with the regulators in reducing risks and seizing opportunities. On the whole, the pioneers are more exposed to regulations, whereas the followers use the experience of a pioneer to minimise the operational and legal risks.</w:t>
      </w:r>
    </w:p>
    <w:p w:rsidR="005D4556" w:rsidRPr="005D4556" w:rsidRDefault="005D4556" w:rsidP="005D4556">
      <w:pPr>
        <w:rPr>
          <w:rFonts w:ascii="Arial" w:hAnsi="Arial" w:cs="Arial"/>
          <w:color w:val="000000" w:themeColor="text1"/>
        </w:rPr>
      </w:pPr>
    </w:p>
    <w:p w:rsidR="00C93B0F" w:rsidRPr="005D4556" w:rsidRDefault="005D4556" w:rsidP="005D4556">
      <w:pPr>
        <w:pStyle w:val="Heading2"/>
        <w:rPr>
          <w:rFonts w:ascii="Arial" w:hAnsi="Arial" w:cs="Arial"/>
          <w:color w:val="000000" w:themeColor="text1"/>
        </w:rPr>
      </w:pPr>
      <w:bookmarkStart w:id="7" w:name="_Toc211565614"/>
      <w:r w:rsidRPr="005D4556">
        <w:rPr>
          <w:rFonts w:ascii="Arial" w:hAnsi="Arial" w:cs="Arial"/>
          <w:color w:val="000000" w:themeColor="text1"/>
        </w:rPr>
        <w:t>2</w:t>
      </w:r>
      <w:r w:rsidR="00BF217E" w:rsidRPr="005D4556">
        <w:rPr>
          <w:rFonts w:ascii="Arial" w:hAnsi="Arial" w:cs="Arial"/>
          <w:color w:val="000000" w:themeColor="text1"/>
        </w:rPr>
        <w:t>.2 Response to technological changes</w:t>
      </w:r>
      <w:bookmarkEnd w:id="7"/>
    </w:p>
    <w:p w:rsidR="005D4556" w:rsidRPr="005D4556" w:rsidRDefault="005D4556" w:rsidP="005D4556">
      <w:pPr>
        <w:rPr>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To remain technologically ahead, Uber spends much on dynamic pricing using AI, self-driving car tests, app development, and EV integration (Uber, 2025). To improve the reliability of their services and safeguard the data of their users, it applies real-time GPS, predictive analytics, and cybersecurity frameworks. The focus of marketing needs to be on safety, convenience, and technological innovation, as these are likely to support the market differentiation (</w:t>
      </w:r>
      <w:r w:rsidRPr="005D4556">
        <w:rPr>
          <w:rFonts w:ascii="Arial" w:hAnsi="Arial" w:cs="Arial"/>
          <w:color w:val="000000" w:themeColor="text1"/>
          <w:highlight w:val="white"/>
        </w:rPr>
        <w:t xml:space="preserve">Cheah </w:t>
      </w:r>
      <w:r w:rsidRPr="005D4556">
        <w:rPr>
          <w:rFonts w:ascii="Arial" w:hAnsi="Arial" w:cs="Arial"/>
          <w:i/>
          <w:color w:val="000000" w:themeColor="text1"/>
          <w:highlight w:val="white"/>
        </w:rPr>
        <w:t>et al.,</w:t>
      </w:r>
      <w:r w:rsidRPr="005D4556">
        <w:rPr>
          <w:rFonts w:ascii="Arial" w:hAnsi="Arial" w:cs="Arial"/>
          <w:color w:val="000000" w:themeColor="text1"/>
          <w:highlight w:val="white"/>
        </w:rPr>
        <w:t xml:space="preserve"> 2025</w:t>
      </w:r>
      <w:r w:rsidRPr="005D4556">
        <w:rPr>
          <w:rFonts w:ascii="Arial" w:hAnsi="Arial" w:cs="Arial"/>
          <w:color w:val="000000" w:themeColor="text1"/>
        </w:rPr>
        <w:t xml:space="preserve">). Figure 3 shows the “GenAI-powered invoice automation system” of Uber. It shows that Uber has leveraged advanced GenAI models to achieve precision, along with </w:t>
      </w:r>
      <w:r w:rsidR="005D4556" w:rsidRPr="005D4556">
        <w:rPr>
          <w:rFonts w:ascii="Arial" w:hAnsi="Arial" w:cs="Arial"/>
          <w:color w:val="000000" w:themeColor="text1"/>
        </w:rPr>
        <w:t>an</w:t>
      </w:r>
      <w:r w:rsidRPr="005D4556">
        <w:rPr>
          <w:rFonts w:ascii="Arial" w:hAnsi="Arial" w:cs="Arial"/>
          <w:color w:val="000000" w:themeColor="text1"/>
        </w:rPr>
        <w:t xml:space="preserve"> accuracy rate of 90% (Uber, 2025c).</w:t>
      </w:r>
    </w:p>
    <w:p w:rsidR="00C93B0F" w:rsidRPr="005D4556" w:rsidRDefault="00BF217E" w:rsidP="005D4556">
      <w:pPr>
        <w:rPr>
          <w:rFonts w:ascii="Arial" w:hAnsi="Arial" w:cs="Arial"/>
          <w:color w:val="000000" w:themeColor="text1"/>
        </w:rPr>
      </w:pPr>
      <w:r w:rsidRPr="005D4556">
        <w:rPr>
          <w:rFonts w:ascii="Arial" w:hAnsi="Arial" w:cs="Arial"/>
          <w:noProof/>
          <w:color w:val="000000" w:themeColor="text1"/>
        </w:rPr>
        <w:lastRenderedPageBreak/>
        <w:drawing>
          <wp:inline distT="0" distB="0" distL="0" distR="0" wp14:anchorId="77F9460A" wp14:editId="3100DC74">
            <wp:extent cx="5731510" cy="253873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510" cy="2538730"/>
                    </a:xfrm>
                    <a:prstGeom prst="rect">
                      <a:avLst/>
                    </a:prstGeom>
                    <a:ln/>
                  </pic:spPr>
                </pic:pic>
              </a:graphicData>
            </a:graphic>
          </wp:inline>
        </w:drawing>
      </w:r>
    </w:p>
    <w:p w:rsidR="00C93B0F" w:rsidRPr="005D4556" w:rsidRDefault="00BF217E" w:rsidP="005D4556">
      <w:pPr>
        <w:jc w:val="center"/>
        <w:rPr>
          <w:rFonts w:ascii="Arial" w:hAnsi="Arial" w:cs="Arial"/>
          <w:b/>
          <w:color w:val="000000" w:themeColor="text1"/>
        </w:rPr>
      </w:pPr>
      <w:r w:rsidRPr="005D4556">
        <w:rPr>
          <w:rFonts w:ascii="Arial" w:hAnsi="Arial" w:cs="Arial"/>
          <w:b/>
          <w:color w:val="000000" w:themeColor="text1"/>
        </w:rPr>
        <w:t>Figure 3: The invoice process workflow at Uber</w:t>
      </w:r>
    </w:p>
    <w:p w:rsidR="00C93B0F" w:rsidRDefault="00BF217E" w:rsidP="005D4556">
      <w:pPr>
        <w:jc w:val="center"/>
        <w:rPr>
          <w:rFonts w:ascii="Arial" w:hAnsi="Arial" w:cs="Arial"/>
          <w:color w:val="000000" w:themeColor="text1"/>
        </w:rPr>
      </w:pPr>
      <w:r w:rsidRPr="005D4556">
        <w:rPr>
          <w:rFonts w:ascii="Arial" w:hAnsi="Arial" w:cs="Arial"/>
          <w:color w:val="000000" w:themeColor="text1"/>
        </w:rPr>
        <w:t>(Source: Uber, 2025c)</w:t>
      </w:r>
    </w:p>
    <w:p w:rsidR="005D4556" w:rsidRPr="005D4556" w:rsidRDefault="005D4556" w:rsidP="005D4556">
      <w:pPr>
        <w:jc w:val="center"/>
        <w:rPr>
          <w:rFonts w:ascii="Arial" w:hAnsi="Arial" w:cs="Arial"/>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Bolt implements a follower strategy, which involves the use of proven technologies step-by-step to control costs and operating risks. The company lays emphasis on driver matching enhancements, application interface development, integration of digital payment, and the improvements in operational efficiency, without necessarily bearing the entire R&amp;D costs of groundbreaking technologies (Bolt, 2025). The implementation of technologies follows the needs of the regional market, makes the services of high quality, satisfies its users, and is affordable (Bolt, 2025). The reliability, cost-efficiency, and driver safety are the message of the marketing campaigns that attract price-conscious and technology-sensitive consumers. Bolt has offered 10% to 20% commission to its drivers, which assures them more earnings per ride (</w:t>
      </w:r>
      <w:r w:rsidRPr="005D4556">
        <w:rPr>
          <w:rFonts w:ascii="Arial" w:hAnsi="Arial" w:cs="Arial"/>
          <w:color w:val="000000" w:themeColor="text1"/>
          <w:highlight w:val="white"/>
        </w:rPr>
        <w:t>Jose, 2023</w:t>
      </w:r>
      <w:r w:rsidRPr="005D4556">
        <w:rPr>
          <w:rFonts w:ascii="Arial" w:hAnsi="Arial" w:cs="Arial"/>
          <w:color w:val="000000" w:themeColor="text1"/>
        </w:rPr>
        <w:t>).</w:t>
      </w:r>
    </w:p>
    <w:p w:rsidR="005D4556" w:rsidRPr="005D4556" w:rsidRDefault="005D4556" w:rsidP="005D4556">
      <w:pPr>
        <w:rPr>
          <w:rFonts w:ascii="Arial" w:hAnsi="Arial" w:cs="Arial"/>
          <w:color w:val="000000" w:themeColor="text1"/>
        </w:rPr>
      </w:pPr>
    </w:p>
    <w:p w:rsidR="00C93B0F" w:rsidRPr="005D4556" w:rsidRDefault="00BF217E" w:rsidP="005D4556">
      <w:pPr>
        <w:rPr>
          <w:rFonts w:ascii="Arial" w:hAnsi="Arial" w:cs="Arial"/>
          <w:color w:val="000000" w:themeColor="text1"/>
        </w:rPr>
      </w:pPr>
      <w:r w:rsidRPr="005D4556">
        <w:rPr>
          <w:rFonts w:ascii="Arial" w:hAnsi="Arial" w:cs="Arial"/>
          <w:color w:val="000000" w:themeColor="text1"/>
        </w:rPr>
        <w:t>Modern time taxi dispatch software is designed with the feature of automated dispatching, which means that the software will automatically assign rides to a driver who is available in near location. This has, therefore, reduced wait times and optimizing routes (</w:t>
      </w:r>
      <w:r w:rsidRPr="005D4556">
        <w:rPr>
          <w:rFonts w:ascii="Arial" w:hAnsi="Arial" w:cs="Arial"/>
          <w:color w:val="000000" w:themeColor="text1"/>
          <w:highlight w:val="white"/>
        </w:rPr>
        <w:t>Jose, 2023</w:t>
      </w:r>
      <w:r w:rsidRPr="005D4556">
        <w:rPr>
          <w:rFonts w:ascii="Arial" w:hAnsi="Arial" w:cs="Arial"/>
          <w:color w:val="000000" w:themeColor="text1"/>
        </w:rPr>
        <w:t xml:space="preserve">). Live cases are the AI-based surge pricing by Uber to maximise the employment of drivers, or the driver matching and app improvements by Bolt to affect efficiency and the customer experience. The difference in strategies details the way pioneers calculate risks by being innovators, lobbyists, and deploying large-scale technology, whereas followers like Bolt follow the adaptive model, gradual integration of technology, and a regulatory-informed market access approach, </w:t>
      </w:r>
      <w:r w:rsidRPr="005D4556">
        <w:rPr>
          <w:rFonts w:ascii="Arial" w:hAnsi="Arial" w:cs="Arial"/>
          <w:color w:val="000000" w:themeColor="text1"/>
        </w:rPr>
        <w:lastRenderedPageBreak/>
        <w:t xml:space="preserve">minimising risks and continuing to grow. From the perspective of </w:t>
      </w:r>
      <w:r w:rsidR="005D4556" w:rsidRPr="005D4556">
        <w:rPr>
          <w:rFonts w:ascii="Arial" w:hAnsi="Arial" w:cs="Arial"/>
          <w:color w:val="000000" w:themeColor="text1"/>
        </w:rPr>
        <w:t>Om</w:t>
      </w:r>
      <w:r w:rsidRPr="005D4556">
        <w:rPr>
          <w:rFonts w:ascii="Arial" w:hAnsi="Arial" w:cs="Arial"/>
          <w:color w:val="000000" w:themeColor="text1"/>
        </w:rPr>
        <w:t xml:space="preserve"> Dieck and Han (2022), both companies focus their marketing practices on the benefits of safety, comfort, sustainability, and brand confidence. These are estimated to remain competitive in a relatively new segment within the ride-hailing market.</w:t>
      </w:r>
    </w:p>
    <w:p w:rsidR="005D4556" w:rsidRPr="005D4556" w:rsidRDefault="005D4556" w:rsidP="005D4556">
      <w:pPr>
        <w:rPr>
          <w:rFonts w:ascii="Arial" w:hAnsi="Arial" w:cs="Arial"/>
          <w:color w:val="000000" w:themeColor="text1"/>
        </w:rPr>
      </w:pPr>
    </w:p>
    <w:p w:rsidR="00C93B0F" w:rsidRPr="005D4556" w:rsidRDefault="00BF217E" w:rsidP="005D4556">
      <w:pPr>
        <w:pStyle w:val="Heading1"/>
        <w:rPr>
          <w:rFonts w:ascii="Arial" w:hAnsi="Arial" w:cs="Arial"/>
          <w:color w:val="000000" w:themeColor="text1"/>
        </w:rPr>
      </w:pPr>
      <w:bookmarkStart w:id="8" w:name="_Toc211565615"/>
      <w:r w:rsidRPr="005D4556">
        <w:rPr>
          <w:rFonts w:ascii="Arial" w:hAnsi="Arial" w:cs="Arial"/>
          <w:color w:val="000000" w:themeColor="text1"/>
        </w:rPr>
        <w:t>Conclusion</w:t>
      </w:r>
      <w:bookmarkEnd w:id="8"/>
    </w:p>
    <w:p w:rsidR="005D4556" w:rsidRPr="005D4556" w:rsidRDefault="005D4556" w:rsidP="005D4556">
      <w:pPr>
        <w:rPr>
          <w:color w:val="000000" w:themeColor="text1"/>
        </w:rPr>
      </w:pPr>
    </w:p>
    <w:p w:rsidR="00C93B0F" w:rsidRDefault="00BF217E" w:rsidP="005D4556">
      <w:r w:rsidRPr="005D4556">
        <w:rPr>
          <w:rFonts w:ascii="Arial" w:hAnsi="Arial" w:cs="Arial"/>
          <w:color w:val="000000" w:themeColor="text1"/>
        </w:rPr>
        <w:t>The effect of the technological and regulatory forces on the ride-hailing businesses is enormous and affects businesses strategies, activities, and positions in the operating market. The other opportunities of the changes in the regulations involve enabling policies and other forms which include the benefits of licensing and the market and threats in its operations which are in form of fines and labour conflicts and restrictions. The pioneer company, such as Uber, is more exposed to such problems but could use their experiences and resources and be proactive to stay ahead of the market. The follower company being Bolt, is analysed to exploit the strategic penetrations when the pioneer results have been realised, reduce risks and inject the opportunities that are already in place. Also, the technological level increases the visibility of the firms and improves their performance regarding efficiency and customer experience, not forgetting that enormous investments and risk care may be committed to the innovation. Having an effective macro-environment of monitoring, responsive strategy, the pioneer, as well as the follower, would be in a position to balance the risks and opportunities and in the process, establish further in the incredibly dynamic and competitive ride-hailing industry. Such courses as strategic vision and insatiable innovativeness will always be required by the necessity to be ahead of things and make things. The two companies, Uber and Bolt, are found to be focused on safety, reliability, and innovation in marketing to be competitive.</w:t>
      </w:r>
      <w:r>
        <w:br w:type="page"/>
      </w:r>
    </w:p>
    <w:p w:rsidR="00C93B0F" w:rsidRDefault="00BF217E">
      <w:pPr>
        <w:pStyle w:val="Heading1"/>
        <w:rPr>
          <w:rFonts w:ascii="Arial" w:hAnsi="Arial" w:cs="Arial"/>
        </w:rPr>
      </w:pPr>
      <w:bookmarkStart w:id="9" w:name="_Toc211565616"/>
      <w:r w:rsidRPr="005D4556">
        <w:rPr>
          <w:rFonts w:ascii="Arial" w:hAnsi="Arial" w:cs="Arial"/>
        </w:rPr>
        <w:lastRenderedPageBreak/>
        <w:t>References</w:t>
      </w:r>
      <w:bookmarkEnd w:id="9"/>
    </w:p>
    <w:p w:rsidR="005D4556" w:rsidRPr="005D4556" w:rsidRDefault="005D4556" w:rsidP="005D4556"/>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 xml:space="preserve">Alsaew, N., (2024). </w:t>
      </w:r>
      <w:r w:rsidRPr="005D4556">
        <w:rPr>
          <w:rFonts w:ascii="Arial" w:hAnsi="Arial" w:cs="Arial"/>
          <w:i/>
          <w:color w:val="222222"/>
          <w:highlight w:val="white"/>
        </w:rPr>
        <w:t>Marketing Strategies of Ride-Hailing Services: Case Study: Bolt</w:t>
      </w:r>
      <w:r w:rsidRPr="005D4556">
        <w:rPr>
          <w:rFonts w:ascii="Arial" w:hAnsi="Arial" w:cs="Arial"/>
          <w:color w:val="222222"/>
          <w:highlight w:val="white"/>
        </w:rPr>
        <w:t xml:space="preserve">. Available at: </w:t>
      </w:r>
      <w:hyperlink r:id="rId12">
        <w:r w:rsidRPr="005D4556">
          <w:rPr>
            <w:rFonts w:ascii="Arial" w:hAnsi="Arial" w:cs="Arial"/>
            <w:color w:val="0000FF"/>
            <w:highlight w:val="white"/>
            <w:u w:val="single"/>
          </w:rPr>
          <w:t>https://www.theseus.fi/bitstream/handle/10024/869571/Alsaew_Nazim.pdf?sequence=3</w:t>
        </w:r>
      </w:hyperlink>
      <w:r w:rsidRPr="005D4556">
        <w:rPr>
          <w:rFonts w:ascii="Arial" w:hAnsi="Arial" w:cs="Arial"/>
          <w:color w:val="0000FF"/>
          <w:highlight w:val="white"/>
          <w:u w:val="single"/>
        </w:rPr>
        <w:t xml:space="preserve"> </w:t>
      </w:r>
      <w:r w:rsidRPr="005D4556">
        <w:rPr>
          <w:rFonts w:ascii="Arial" w:hAnsi="Arial" w:cs="Arial"/>
          <w:highlight w:val="white"/>
        </w:rPr>
        <w:t>(Accessed: 28 September 2025).</w:t>
      </w:r>
    </w:p>
    <w:p w:rsidR="00C93B0F" w:rsidRPr="005D4556" w:rsidRDefault="00BF217E" w:rsidP="005D4556">
      <w:pPr>
        <w:spacing w:after="240"/>
        <w:jc w:val="left"/>
        <w:rPr>
          <w:rFonts w:ascii="Arial" w:hAnsi="Arial" w:cs="Arial"/>
          <w:highlight w:val="white"/>
        </w:rPr>
      </w:pPr>
      <w:r w:rsidRPr="005D4556">
        <w:rPr>
          <w:rFonts w:ascii="Arial" w:hAnsi="Arial" w:cs="Arial"/>
          <w:color w:val="222222"/>
          <w:highlight w:val="white"/>
        </w:rPr>
        <w:t xml:space="preserve">Bolt. (2025). ‘Business travel to suit your team’ </w:t>
      </w:r>
      <w:r w:rsidRPr="005D4556">
        <w:rPr>
          <w:rFonts w:ascii="Arial" w:hAnsi="Arial" w:cs="Arial"/>
          <w:i/>
          <w:color w:val="222222"/>
          <w:highlight w:val="white"/>
        </w:rPr>
        <w:t xml:space="preserve">Bolt. </w:t>
      </w:r>
      <w:r w:rsidRPr="005D4556">
        <w:rPr>
          <w:rFonts w:ascii="Arial" w:hAnsi="Arial" w:cs="Arial"/>
          <w:color w:val="222222"/>
          <w:highlight w:val="white"/>
        </w:rPr>
        <w:t xml:space="preserve">Available at: </w:t>
      </w:r>
      <w:hyperlink r:id="rId13">
        <w:r w:rsidRPr="005D4556">
          <w:rPr>
            <w:rFonts w:ascii="Arial" w:hAnsi="Arial" w:cs="Arial"/>
            <w:color w:val="0000FF"/>
            <w:highlight w:val="white"/>
            <w:u w:val="single"/>
          </w:rPr>
          <w:t>https://bolt.eu/en/business/products/</w:t>
        </w:r>
      </w:hyperlink>
      <w:r w:rsidRPr="005D4556">
        <w:rPr>
          <w:rFonts w:ascii="Arial" w:hAnsi="Arial" w:cs="Arial"/>
          <w:highlight w:val="white"/>
        </w:rPr>
        <w:t xml:space="preserve"> (Accessed: 25 September 2025).</w:t>
      </w:r>
    </w:p>
    <w:p w:rsidR="00C93B0F" w:rsidRPr="005D4556" w:rsidRDefault="00BF217E" w:rsidP="005D4556">
      <w:pPr>
        <w:spacing w:after="240"/>
        <w:jc w:val="left"/>
        <w:rPr>
          <w:rFonts w:ascii="Arial" w:hAnsi="Arial" w:cs="Arial"/>
          <w:highlight w:val="white"/>
        </w:rPr>
      </w:pPr>
      <w:r w:rsidRPr="005D4556">
        <w:rPr>
          <w:rFonts w:ascii="Arial" w:hAnsi="Arial" w:cs="Arial"/>
          <w:color w:val="222222"/>
          <w:highlight w:val="white"/>
        </w:rPr>
        <w:t xml:space="preserve">Bolt. (2025b). ‘Project Zero’ </w:t>
      </w:r>
      <w:r w:rsidRPr="005D4556">
        <w:rPr>
          <w:rFonts w:ascii="Arial" w:hAnsi="Arial" w:cs="Arial"/>
          <w:i/>
          <w:color w:val="222222"/>
          <w:highlight w:val="white"/>
        </w:rPr>
        <w:t xml:space="preserve">Bolt. </w:t>
      </w:r>
      <w:r w:rsidRPr="005D4556">
        <w:rPr>
          <w:rFonts w:ascii="Arial" w:hAnsi="Arial" w:cs="Arial"/>
          <w:color w:val="222222"/>
          <w:highlight w:val="white"/>
        </w:rPr>
        <w:t xml:space="preserve">Available at: </w:t>
      </w:r>
      <w:hyperlink r:id="rId14">
        <w:r w:rsidRPr="005D4556">
          <w:rPr>
            <w:rFonts w:ascii="Arial" w:hAnsi="Arial" w:cs="Arial"/>
            <w:color w:val="0000FF"/>
            <w:highlight w:val="white"/>
            <w:u w:val="single"/>
          </w:rPr>
          <w:t>https://bolt.eu/en/sustainability/zero-emission/</w:t>
        </w:r>
      </w:hyperlink>
      <w:r w:rsidRPr="005D4556">
        <w:rPr>
          <w:rFonts w:ascii="Arial" w:hAnsi="Arial" w:cs="Arial"/>
          <w:highlight w:val="white"/>
        </w:rPr>
        <w:t xml:space="preserve"> (Accessed: 28 September 2025).</w:t>
      </w:r>
    </w:p>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Cheah, C.W. and Koay, K.Y., (2024) ‘</w:t>
      </w:r>
      <w:r w:rsidR="005D4556" w:rsidRPr="005D4556">
        <w:rPr>
          <w:rFonts w:ascii="Arial" w:hAnsi="Arial" w:cs="Arial"/>
          <w:color w:val="222222"/>
          <w:highlight w:val="white"/>
        </w:rPr>
        <w:t>the</w:t>
      </w:r>
      <w:r w:rsidRPr="005D4556">
        <w:rPr>
          <w:rFonts w:ascii="Arial" w:hAnsi="Arial" w:cs="Arial"/>
          <w:color w:val="222222"/>
          <w:highlight w:val="white"/>
        </w:rPr>
        <w:t xml:space="preserve"> political game of innovation: evidence from the ride-hailing service industry’ </w:t>
      </w:r>
      <w:r w:rsidRPr="005D4556">
        <w:rPr>
          <w:rFonts w:ascii="Arial" w:hAnsi="Arial" w:cs="Arial"/>
          <w:i/>
          <w:color w:val="222222"/>
          <w:highlight w:val="white"/>
        </w:rPr>
        <w:t>European Journal of Innovation Management</w:t>
      </w:r>
      <w:r w:rsidRPr="005D4556">
        <w:rPr>
          <w:rFonts w:ascii="Arial" w:hAnsi="Arial" w:cs="Arial"/>
          <w:color w:val="222222"/>
          <w:highlight w:val="white"/>
        </w:rPr>
        <w:t>, </w:t>
      </w:r>
      <w:r w:rsidRPr="005D4556">
        <w:rPr>
          <w:rFonts w:ascii="Arial" w:hAnsi="Arial" w:cs="Arial"/>
          <w:i/>
          <w:color w:val="222222"/>
          <w:highlight w:val="white"/>
        </w:rPr>
        <w:t>27</w:t>
      </w:r>
      <w:r w:rsidRPr="005D4556">
        <w:rPr>
          <w:rFonts w:ascii="Arial" w:hAnsi="Arial" w:cs="Arial"/>
          <w:color w:val="222222"/>
          <w:highlight w:val="white"/>
        </w:rPr>
        <w:t xml:space="preserve">(2), pp.572-588. Available at: </w:t>
      </w:r>
      <w:hyperlink r:id="rId15">
        <w:r w:rsidRPr="005D4556">
          <w:rPr>
            <w:rFonts w:ascii="Arial" w:hAnsi="Arial" w:cs="Arial"/>
            <w:color w:val="0000FF"/>
            <w:highlight w:val="white"/>
            <w:u w:val="single"/>
          </w:rPr>
          <w:t>https://doi.org/10.1108/ejim-03-2022-0103</w:t>
        </w:r>
      </w:hyperlink>
      <w:r w:rsidRPr="005D4556">
        <w:rPr>
          <w:rFonts w:ascii="Arial" w:hAnsi="Arial" w:cs="Arial"/>
          <w:highlight w:val="white"/>
        </w:rPr>
        <w:t xml:space="preserve"> </w:t>
      </w:r>
      <w:r w:rsidRPr="005D4556">
        <w:rPr>
          <w:rFonts w:ascii="Arial" w:hAnsi="Arial" w:cs="Arial"/>
          <w:color w:val="222222"/>
          <w:highlight w:val="white"/>
        </w:rPr>
        <w:t xml:space="preserve"> </w:t>
      </w:r>
    </w:p>
    <w:p w:rsidR="00C93B0F" w:rsidRPr="005D4556" w:rsidRDefault="00BF217E" w:rsidP="005D4556">
      <w:pPr>
        <w:spacing w:after="240"/>
        <w:jc w:val="left"/>
        <w:rPr>
          <w:rFonts w:ascii="Arial" w:hAnsi="Arial" w:cs="Arial"/>
          <w:highlight w:val="white"/>
        </w:rPr>
      </w:pPr>
      <w:r w:rsidRPr="005D4556">
        <w:rPr>
          <w:rFonts w:ascii="Arial" w:hAnsi="Arial" w:cs="Arial"/>
          <w:color w:val="222222"/>
          <w:highlight w:val="white"/>
        </w:rPr>
        <w:t>Cheah, C.W., Jabeen, F., Koay, K.Y. and Ferraris, A., (2025) ‘Ride-hailing service platform creation and legitimation: an institutional entrepreneurship perspective’ </w:t>
      </w:r>
      <w:r w:rsidRPr="005D4556">
        <w:rPr>
          <w:rFonts w:ascii="Arial" w:hAnsi="Arial" w:cs="Arial"/>
          <w:i/>
          <w:color w:val="222222"/>
          <w:highlight w:val="white"/>
        </w:rPr>
        <w:t>International Journal of Entrepreneurial Behavior &amp; Research</w:t>
      </w:r>
      <w:r w:rsidRPr="005D4556">
        <w:rPr>
          <w:rFonts w:ascii="Arial" w:hAnsi="Arial" w:cs="Arial"/>
          <w:color w:val="222222"/>
          <w:highlight w:val="white"/>
        </w:rPr>
        <w:t xml:space="preserve">. Available at: </w:t>
      </w:r>
      <w:hyperlink r:id="rId16">
        <w:r w:rsidRPr="005D4556">
          <w:rPr>
            <w:rFonts w:ascii="Arial" w:hAnsi="Arial" w:cs="Arial"/>
            <w:color w:val="0000FF"/>
            <w:highlight w:val="white"/>
            <w:u w:val="single"/>
          </w:rPr>
          <w:t>https://www.emerald.com/insight/content/doi/10.1108/ijebr-03-2024-0311/full/html</w:t>
        </w:r>
      </w:hyperlink>
    </w:p>
    <w:p w:rsidR="00C93B0F" w:rsidRPr="005D4556" w:rsidRDefault="00BF217E" w:rsidP="005D4556">
      <w:pPr>
        <w:spacing w:after="240"/>
        <w:jc w:val="left"/>
        <w:rPr>
          <w:rFonts w:ascii="Arial" w:hAnsi="Arial" w:cs="Arial"/>
          <w:highlight w:val="white"/>
        </w:rPr>
      </w:pPr>
      <w:r w:rsidRPr="005D4556">
        <w:rPr>
          <w:rFonts w:ascii="Arial" w:hAnsi="Arial" w:cs="Arial"/>
          <w:color w:val="222222"/>
          <w:highlight w:val="white"/>
        </w:rPr>
        <w:t xml:space="preserve">Jose, E. (2023). </w:t>
      </w:r>
      <w:r w:rsidRPr="005D4556">
        <w:rPr>
          <w:rFonts w:ascii="Arial" w:hAnsi="Arial" w:cs="Arial"/>
          <w:i/>
          <w:color w:val="222222"/>
          <w:highlight w:val="white"/>
        </w:rPr>
        <w:t>Uber vs Bolt | Which One is Best for Your Next Ride? And What Taxi Businesses Can Learn</w:t>
      </w:r>
      <w:r w:rsidRPr="005D4556">
        <w:rPr>
          <w:rFonts w:ascii="Arial" w:hAnsi="Arial" w:cs="Arial"/>
          <w:color w:val="222222"/>
          <w:highlight w:val="white"/>
        </w:rPr>
        <w:t xml:space="preserve">. Available at: </w:t>
      </w:r>
      <w:hyperlink r:id="rId17">
        <w:r w:rsidRPr="005D4556">
          <w:rPr>
            <w:rFonts w:ascii="Arial" w:hAnsi="Arial" w:cs="Arial"/>
            <w:color w:val="0000FF"/>
            <w:highlight w:val="white"/>
            <w:u w:val="single"/>
          </w:rPr>
          <w:t>https://www.zervx.com/blog/uber-vs-bolt/</w:t>
        </w:r>
      </w:hyperlink>
      <w:r w:rsidRPr="005D4556">
        <w:rPr>
          <w:rFonts w:ascii="Arial" w:hAnsi="Arial" w:cs="Arial"/>
          <w:highlight w:val="white"/>
        </w:rPr>
        <w:t xml:space="preserve"> (Accessed: 1 October 2025).</w:t>
      </w:r>
    </w:p>
    <w:p w:rsidR="00C93B0F" w:rsidRPr="005D4556" w:rsidRDefault="00BF217E" w:rsidP="005D4556">
      <w:pPr>
        <w:spacing w:after="240"/>
        <w:jc w:val="left"/>
        <w:rPr>
          <w:rFonts w:ascii="Arial" w:hAnsi="Arial" w:cs="Arial"/>
          <w:highlight w:val="white"/>
        </w:rPr>
      </w:pPr>
      <w:r w:rsidRPr="005D4556">
        <w:rPr>
          <w:rFonts w:ascii="Arial" w:hAnsi="Arial" w:cs="Arial"/>
          <w:color w:val="222222"/>
          <w:highlight w:val="white"/>
        </w:rPr>
        <w:t>Li, X., Zhang, S., Liu, D., Cheng, T. and Zhang, Z., (2022) ‘Policy evaluation and policy style analysis of ride-hailing in China from the perspective of policy instruments: The Introduction of a TOE three-dimensional framework’ </w:t>
      </w:r>
      <w:r w:rsidRPr="005D4556">
        <w:rPr>
          <w:rFonts w:ascii="Arial" w:hAnsi="Arial" w:cs="Arial"/>
          <w:i/>
          <w:color w:val="222222"/>
          <w:highlight w:val="white"/>
        </w:rPr>
        <w:t>Processes</w:t>
      </w:r>
      <w:r w:rsidRPr="005D4556">
        <w:rPr>
          <w:rFonts w:ascii="Arial" w:hAnsi="Arial" w:cs="Arial"/>
          <w:color w:val="222222"/>
          <w:highlight w:val="white"/>
        </w:rPr>
        <w:t>, </w:t>
      </w:r>
      <w:r w:rsidRPr="005D4556">
        <w:rPr>
          <w:rFonts w:ascii="Arial" w:hAnsi="Arial" w:cs="Arial"/>
          <w:i/>
          <w:color w:val="222222"/>
          <w:highlight w:val="white"/>
        </w:rPr>
        <w:t>10</w:t>
      </w:r>
      <w:r w:rsidRPr="005D4556">
        <w:rPr>
          <w:rFonts w:ascii="Arial" w:hAnsi="Arial" w:cs="Arial"/>
          <w:color w:val="222222"/>
          <w:highlight w:val="white"/>
        </w:rPr>
        <w:t xml:space="preserve">(10), p.2035. Available at: </w:t>
      </w:r>
      <w:hyperlink r:id="rId18">
        <w:r w:rsidRPr="005D4556">
          <w:rPr>
            <w:rFonts w:ascii="Arial" w:hAnsi="Arial" w:cs="Arial"/>
            <w:color w:val="0000FF"/>
            <w:highlight w:val="white"/>
            <w:u w:val="single"/>
          </w:rPr>
          <w:t>https://www.mdpi.com/2227-9717/10/10/2035</w:t>
        </w:r>
      </w:hyperlink>
    </w:p>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Luo, Y., Huang, A., He, Z., Zeng, J. and Wang, D., 2024. Exploring competitiveness of taxis to ride-hailing services from a multidimensional spatio-temporal perspective: A case study in Beijing, China. </w:t>
      </w:r>
      <w:r w:rsidRPr="005D4556">
        <w:rPr>
          <w:rFonts w:ascii="Arial" w:hAnsi="Arial" w:cs="Arial"/>
          <w:i/>
          <w:color w:val="222222"/>
          <w:highlight w:val="white"/>
        </w:rPr>
        <w:t>Journal of Transport Geography</w:t>
      </w:r>
      <w:r w:rsidRPr="005D4556">
        <w:rPr>
          <w:rFonts w:ascii="Arial" w:hAnsi="Arial" w:cs="Arial"/>
          <w:color w:val="222222"/>
          <w:highlight w:val="white"/>
        </w:rPr>
        <w:t>, </w:t>
      </w:r>
      <w:r w:rsidRPr="005D4556">
        <w:rPr>
          <w:rFonts w:ascii="Arial" w:hAnsi="Arial" w:cs="Arial"/>
          <w:i/>
          <w:color w:val="222222"/>
          <w:highlight w:val="white"/>
        </w:rPr>
        <w:t>118</w:t>
      </w:r>
      <w:r w:rsidRPr="005D4556">
        <w:rPr>
          <w:rFonts w:ascii="Arial" w:hAnsi="Arial" w:cs="Arial"/>
          <w:color w:val="222222"/>
          <w:highlight w:val="white"/>
        </w:rPr>
        <w:t xml:space="preserve">, p.103936. Available at: </w:t>
      </w:r>
      <w:hyperlink r:id="rId19">
        <w:r w:rsidRPr="005D4556">
          <w:rPr>
            <w:rFonts w:ascii="Arial" w:hAnsi="Arial" w:cs="Arial"/>
            <w:color w:val="0000FF"/>
            <w:highlight w:val="white"/>
            <w:u w:val="single"/>
          </w:rPr>
          <w:t>https://www.sciencedirect.com/science/article/pii/S0966692324001455</w:t>
        </w:r>
      </w:hyperlink>
    </w:p>
    <w:p w:rsidR="00C93B0F" w:rsidRPr="005D4556" w:rsidRDefault="00BF217E" w:rsidP="005D4556">
      <w:pPr>
        <w:spacing w:after="240"/>
        <w:jc w:val="left"/>
        <w:rPr>
          <w:rFonts w:ascii="Arial" w:hAnsi="Arial" w:cs="Arial"/>
        </w:rPr>
      </w:pPr>
      <w:r w:rsidRPr="005D4556">
        <w:rPr>
          <w:rFonts w:ascii="Arial" w:hAnsi="Arial" w:cs="Arial"/>
        </w:rPr>
        <w:lastRenderedPageBreak/>
        <w:t xml:space="preserve">Market and Data. (2025). ‘Ride-Hailing Market Assessment’ </w:t>
      </w:r>
      <w:r w:rsidRPr="005D4556">
        <w:rPr>
          <w:rFonts w:ascii="Arial" w:hAnsi="Arial" w:cs="Arial"/>
          <w:i/>
        </w:rPr>
        <w:t>Markets &amp; Data</w:t>
      </w:r>
      <w:r w:rsidRPr="005D4556">
        <w:rPr>
          <w:rFonts w:ascii="Arial" w:hAnsi="Arial" w:cs="Arial"/>
        </w:rPr>
        <w:t xml:space="preserve">. </w:t>
      </w:r>
      <w:r w:rsidRPr="005D4556">
        <w:rPr>
          <w:rFonts w:ascii="Arial" w:hAnsi="Arial" w:cs="Arial"/>
          <w:color w:val="222222"/>
          <w:highlight w:val="white"/>
        </w:rPr>
        <w:t xml:space="preserve">Available at: </w:t>
      </w:r>
      <w:hyperlink r:id="rId20">
        <w:r w:rsidRPr="005D4556">
          <w:rPr>
            <w:rFonts w:ascii="Arial" w:hAnsi="Arial" w:cs="Arial"/>
            <w:color w:val="0000FF"/>
            <w:u w:val="single"/>
          </w:rPr>
          <w:t>https://www.marketsandata.com/industry-reports/india-ride-hailing-market</w:t>
        </w:r>
      </w:hyperlink>
      <w:r w:rsidRPr="005D4556">
        <w:rPr>
          <w:rFonts w:ascii="Arial" w:hAnsi="Arial" w:cs="Arial"/>
        </w:rPr>
        <w:t xml:space="preserve"> </w:t>
      </w:r>
      <w:r w:rsidRPr="005D4556">
        <w:rPr>
          <w:rFonts w:ascii="Arial" w:hAnsi="Arial" w:cs="Arial"/>
          <w:highlight w:val="white"/>
        </w:rPr>
        <w:t>(Accessed: 1 October 2025).</w:t>
      </w:r>
    </w:p>
    <w:p w:rsidR="00C93B0F" w:rsidRPr="005D4556" w:rsidRDefault="00BF217E" w:rsidP="005D4556">
      <w:pPr>
        <w:spacing w:after="240"/>
        <w:jc w:val="left"/>
        <w:rPr>
          <w:rFonts w:ascii="Arial" w:hAnsi="Arial" w:cs="Arial"/>
        </w:rPr>
      </w:pPr>
      <w:r w:rsidRPr="005D4556">
        <w:rPr>
          <w:rFonts w:ascii="Arial" w:hAnsi="Arial" w:cs="Arial"/>
        </w:rPr>
        <w:t xml:space="preserve">Mordor Intelligence. (2025). </w:t>
      </w:r>
      <w:r w:rsidRPr="005D4556">
        <w:rPr>
          <w:rFonts w:ascii="Arial" w:hAnsi="Arial" w:cs="Arial"/>
          <w:i/>
        </w:rPr>
        <w:t>Ride-Hailing Market Size &amp; Share Analysis.</w:t>
      </w:r>
      <w:r w:rsidRPr="005D4556">
        <w:rPr>
          <w:rFonts w:ascii="Arial" w:hAnsi="Arial" w:cs="Arial"/>
        </w:rPr>
        <w:t xml:space="preserve"> </w:t>
      </w:r>
      <w:r w:rsidRPr="005D4556">
        <w:rPr>
          <w:rFonts w:ascii="Arial" w:hAnsi="Arial" w:cs="Arial"/>
          <w:color w:val="222222"/>
          <w:highlight w:val="white"/>
        </w:rPr>
        <w:t xml:space="preserve">Available at: </w:t>
      </w:r>
      <w:hyperlink r:id="rId21">
        <w:r w:rsidRPr="005D4556">
          <w:rPr>
            <w:rFonts w:ascii="Arial" w:hAnsi="Arial" w:cs="Arial"/>
            <w:color w:val="0000FF"/>
            <w:u w:val="single"/>
          </w:rPr>
          <w:t>https://www.mordorintelligence.com/industry-reports/ride-hailing-market</w:t>
        </w:r>
      </w:hyperlink>
      <w:r w:rsidRPr="005D4556">
        <w:rPr>
          <w:rFonts w:ascii="Arial" w:hAnsi="Arial" w:cs="Arial"/>
        </w:rPr>
        <w:t xml:space="preserve"> </w:t>
      </w:r>
      <w:r w:rsidRPr="005D4556">
        <w:rPr>
          <w:rFonts w:ascii="Arial" w:hAnsi="Arial" w:cs="Arial"/>
          <w:highlight w:val="white"/>
        </w:rPr>
        <w:t>(Accessed: 28 September 2025).</w:t>
      </w:r>
    </w:p>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Naumov, S. and Keith, D., (2023) ‘Optimizing the economic and environmental benefits of ride</w:t>
      </w:r>
      <w:r w:rsidRPr="005D4556">
        <w:rPr>
          <w:rFonts w:ascii="Cambria Math" w:hAnsi="Cambria Math" w:cs="Cambria Math"/>
          <w:color w:val="222222"/>
          <w:highlight w:val="white"/>
        </w:rPr>
        <w:t>‐</w:t>
      </w:r>
      <w:r w:rsidRPr="005D4556">
        <w:rPr>
          <w:rFonts w:ascii="Arial" w:hAnsi="Arial" w:cs="Arial"/>
          <w:color w:val="222222"/>
          <w:highlight w:val="white"/>
        </w:rPr>
        <w:t>hailing and pooling’ </w:t>
      </w:r>
      <w:r w:rsidRPr="005D4556">
        <w:rPr>
          <w:rFonts w:ascii="Arial" w:hAnsi="Arial" w:cs="Arial"/>
          <w:i/>
          <w:color w:val="222222"/>
          <w:highlight w:val="white"/>
        </w:rPr>
        <w:t>Production and Operations Management</w:t>
      </w:r>
      <w:r w:rsidRPr="005D4556">
        <w:rPr>
          <w:rFonts w:ascii="Arial" w:hAnsi="Arial" w:cs="Arial"/>
          <w:color w:val="222222"/>
          <w:highlight w:val="white"/>
        </w:rPr>
        <w:t>, </w:t>
      </w:r>
      <w:r w:rsidRPr="005D4556">
        <w:rPr>
          <w:rFonts w:ascii="Arial" w:hAnsi="Arial" w:cs="Arial"/>
          <w:i/>
          <w:color w:val="222222"/>
          <w:highlight w:val="white"/>
        </w:rPr>
        <w:t>32</w:t>
      </w:r>
      <w:r w:rsidRPr="005D4556">
        <w:rPr>
          <w:rFonts w:ascii="Arial" w:hAnsi="Arial" w:cs="Arial"/>
          <w:color w:val="222222"/>
          <w:highlight w:val="white"/>
        </w:rPr>
        <w:t xml:space="preserve">(3), pp.904-929. Available at: </w:t>
      </w:r>
      <w:hyperlink r:id="rId22">
        <w:r w:rsidRPr="005D4556">
          <w:rPr>
            <w:rFonts w:ascii="Arial" w:hAnsi="Arial" w:cs="Arial"/>
            <w:color w:val="0000FF"/>
            <w:highlight w:val="white"/>
            <w:u w:val="single"/>
          </w:rPr>
          <w:t>https://journals.sagepub.com/doi/abs/10.1111/poms.13905</w:t>
        </w:r>
      </w:hyperlink>
    </w:p>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 xml:space="preserve">Oviedo, D., Perez Jaramillo, D. and Nieto, M., (2021) ‘Governance and Regulation of Ride-hailing Services in Emerging Markets: Challenges, Experiences and Implications’. Available at: </w:t>
      </w:r>
      <w:hyperlink r:id="rId23">
        <w:r w:rsidRPr="005D4556">
          <w:rPr>
            <w:rFonts w:ascii="Arial" w:hAnsi="Arial" w:cs="Arial"/>
            <w:color w:val="0000FF"/>
            <w:highlight w:val="white"/>
            <w:u w:val="single"/>
          </w:rPr>
          <w:t>https://discovery.ucl.ac.uk/id/eprint/10137106/1/Governance-and-Regulation-of-Ride-hailing-Services-in-Emerging-Markets-Challenges-Experiences-and-Implications.pdf</w:t>
        </w:r>
      </w:hyperlink>
      <w:r w:rsidRPr="005D4556">
        <w:rPr>
          <w:rFonts w:ascii="Arial" w:hAnsi="Arial" w:cs="Arial"/>
          <w:color w:val="222222"/>
          <w:highlight w:val="white"/>
        </w:rPr>
        <w:t xml:space="preserve">  </w:t>
      </w:r>
    </w:p>
    <w:p w:rsidR="00C93B0F" w:rsidRPr="005D4556" w:rsidRDefault="00BF217E" w:rsidP="005D4556">
      <w:pPr>
        <w:spacing w:after="240"/>
        <w:jc w:val="left"/>
        <w:rPr>
          <w:rFonts w:ascii="Arial" w:hAnsi="Arial" w:cs="Arial"/>
          <w:highlight w:val="white"/>
        </w:rPr>
      </w:pPr>
      <w:r w:rsidRPr="005D4556">
        <w:rPr>
          <w:rFonts w:ascii="Arial" w:hAnsi="Arial" w:cs="Arial"/>
          <w:color w:val="222222"/>
          <w:highlight w:val="white"/>
        </w:rPr>
        <w:t xml:space="preserve">Reuters. (2025). ‘Uber files legal appeal against Paris mayor's transport restrictions’ </w:t>
      </w:r>
      <w:r w:rsidRPr="005D4556">
        <w:rPr>
          <w:rFonts w:ascii="Arial" w:hAnsi="Arial" w:cs="Arial"/>
          <w:i/>
          <w:color w:val="222222"/>
          <w:highlight w:val="white"/>
        </w:rPr>
        <w:t>Reuters</w:t>
      </w:r>
      <w:r w:rsidRPr="005D4556">
        <w:rPr>
          <w:rFonts w:ascii="Arial" w:hAnsi="Arial" w:cs="Arial"/>
          <w:color w:val="222222"/>
          <w:highlight w:val="white"/>
        </w:rPr>
        <w:t xml:space="preserve">. Available at: </w:t>
      </w:r>
      <w:hyperlink r:id="rId24">
        <w:r w:rsidRPr="005D4556">
          <w:rPr>
            <w:rFonts w:ascii="Arial" w:hAnsi="Arial" w:cs="Arial"/>
            <w:color w:val="0000FF"/>
            <w:highlight w:val="white"/>
            <w:u w:val="single"/>
          </w:rPr>
          <w:t>https://www.reuters.com/business/autos-transportation/uber-files-legal-appeal-against-paris-mayors-transport-restrictions-2024-01-26/</w:t>
        </w:r>
      </w:hyperlink>
      <w:r w:rsidRPr="005D4556">
        <w:rPr>
          <w:rFonts w:ascii="Arial" w:hAnsi="Arial" w:cs="Arial"/>
          <w:color w:val="222222"/>
          <w:highlight w:val="white"/>
        </w:rPr>
        <w:t xml:space="preserve"> </w:t>
      </w:r>
      <w:r w:rsidRPr="005D4556">
        <w:rPr>
          <w:rFonts w:ascii="Arial" w:hAnsi="Arial" w:cs="Arial"/>
          <w:highlight w:val="white"/>
        </w:rPr>
        <w:t>(Accessed: 1 October 2025).</w:t>
      </w:r>
    </w:p>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Ribeiro, C.G. and Silveira, S., (2024) ‘The impact of financial incentives on the total cost of ownership of electric light commercial vehicles in EU countries’ </w:t>
      </w:r>
      <w:r w:rsidRPr="005D4556">
        <w:rPr>
          <w:rFonts w:ascii="Arial" w:hAnsi="Arial" w:cs="Arial"/>
          <w:i/>
          <w:color w:val="222222"/>
          <w:highlight w:val="white"/>
        </w:rPr>
        <w:t>Transportation Research Part A: Policy and Practice</w:t>
      </w:r>
      <w:r w:rsidRPr="005D4556">
        <w:rPr>
          <w:rFonts w:ascii="Arial" w:hAnsi="Arial" w:cs="Arial"/>
          <w:color w:val="222222"/>
          <w:highlight w:val="white"/>
        </w:rPr>
        <w:t>, </w:t>
      </w:r>
      <w:r w:rsidRPr="005D4556">
        <w:rPr>
          <w:rFonts w:ascii="Arial" w:hAnsi="Arial" w:cs="Arial"/>
          <w:i/>
          <w:color w:val="222222"/>
          <w:highlight w:val="white"/>
        </w:rPr>
        <w:t>179</w:t>
      </w:r>
      <w:r w:rsidRPr="005D4556">
        <w:rPr>
          <w:rFonts w:ascii="Arial" w:hAnsi="Arial" w:cs="Arial"/>
          <w:color w:val="222222"/>
          <w:highlight w:val="white"/>
        </w:rPr>
        <w:t xml:space="preserve">, p.103936. Available at:  </w:t>
      </w:r>
      <w:hyperlink r:id="rId25">
        <w:r w:rsidRPr="005D4556">
          <w:rPr>
            <w:rFonts w:ascii="Arial" w:hAnsi="Arial" w:cs="Arial"/>
            <w:color w:val="0000FF"/>
            <w:highlight w:val="white"/>
            <w:u w:val="single"/>
          </w:rPr>
          <w:t>https://www.sciencedirect.com/science/article/pii/S0965856423003567</w:t>
        </w:r>
      </w:hyperlink>
      <w:r w:rsidRPr="005D4556">
        <w:rPr>
          <w:rFonts w:ascii="Arial" w:hAnsi="Arial" w:cs="Arial"/>
          <w:color w:val="222222"/>
          <w:highlight w:val="white"/>
        </w:rPr>
        <w:t xml:space="preserve"> </w:t>
      </w:r>
    </w:p>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 xml:space="preserve">Sun, S. and Ertz, M., (2021) ‘Dynamic evolution of ride-hailing platforms from a systemic perspective: Forecasting financial sustainability’ </w:t>
      </w:r>
      <w:r w:rsidRPr="005D4556">
        <w:rPr>
          <w:rFonts w:ascii="Arial" w:hAnsi="Arial" w:cs="Arial"/>
          <w:i/>
          <w:color w:val="222222"/>
          <w:highlight w:val="white"/>
        </w:rPr>
        <w:t>Transportation Research Part C: Emerging Technologies</w:t>
      </w:r>
      <w:r w:rsidRPr="005D4556">
        <w:rPr>
          <w:rFonts w:ascii="Arial" w:hAnsi="Arial" w:cs="Arial"/>
          <w:color w:val="222222"/>
          <w:highlight w:val="white"/>
        </w:rPr>
        <w:t>, </w:t>
      </w:r>
      <w:r w:rsidRPr="005D4556">
        <w:rPr>
          <w:rFonts w:ascii="Arial" w:hAnsi="Arial" w:cs="Arial"/>
          <w:i/>
          <w:color w:val="222222"/>
          <w:highlight w:val="white"/>
        </w:rPr>
        <w:t>125</w:t>
      </w:r>
      <w:r w:rsidRPr="005D4556">
        <w:rPr>
          <w:rFonts w:ascii="Arial" w:hAnsi="Arial" w:cs="Arial"/>
          <w:color w:val="222222"/>
          <w:highlight w:val="white"/>
        </w:rPr>
        <w:t xml:space="preserve">, p.103003. Available at: </w:t>
      </w:r>
      <w:hyperlink r:id="rId26">
        <w:r w:rsidRPr="005D4556">
          <w:rPr>
            <w:rFonts w:ascii="Arial" w:hAnsi="Arial" w:cs="Arial"/>
            <w:color w:val="0000FF"/>
            <w:highlight w:val="white"/>
            <w:u w:val="single"/>
          </w:rPr>
          <w:t>https://www.sciencedirect.com/science/article/pii/S0968090X21000358</w:t>
        </w:r>
      </w:hyperlink>
    </w:p>
    <w:p w:rsidR="00C93B0F" w:rsidRPr="005D4556" w:rsidRDefault="00BF217E" w:rsidP="005D4556">
      <w:pPr>
        <w:spacing w:after="240"/>
        <w:jc w:val="left"/>
        <w:rPr>
          <w:rFonts w:ascii="Arial" w:hAnsi="Arial" w:cs="Arial"/>
          <w:highlight w:val="white"/>
        </w:rPr>
      </w:pPr>
      <w:r w:rsidRPr="005D4556">
        <w:rPr>
          <w:rFonts w:ascii="Arial" w:hAnsi="Arial" w:cs="Arial"/>
        </w:rPr>
        <w:t xml:space="preserve">Uber. (2025). ‘Annual report 2025’ </w:t>
      </w:r>
      <w:r w:rsidRPr="005D4556">
        <w:rPr>
          <w:rFonts w:ascii="Arial" w:hAnsi="Arial" w:cs="Arial"/>
          <w:i/>
        </w:rPr>
        <w:t>Uber</w:t>
      </w:r>
      <w:r w:rsidRPr="005D4556">
        <w:rPr>
          <w:rFonts w:ascii="Arial" w:hAnsi="Arial" w:cs="Arial"/>
        </w:rPr>
        <w:t xml:space="preserve">. </w:t>
      </w:r>
      <w:r w:rsidRPr="005D4556">
        <w:rPr>
          <w:rFonts w:ascii="Arial" w:hAnsi="Arial" w:cs="Arial"/>
          <w:color w:val="222222"/>
          <w:highlight w:val="white"/>
        </w:rPr>
        <w:t xml:space="preserve">Available at: </w:t>
      </w:r>
      <w:hyperlink r:id="rId27">
        <w:r w:rsidRPr="005D4556">
          <w:rPr>
            <w:rFonts w:ascii="Arial" w:hAnsi="Arial" w:cs="Arial"/>
            <w:color w:val="0000FF"/>
            <w:u w:val="single"/>
          </w:rPr>
          <w:t>https://www.annualreports.com/HostedData/AnnualReports/PDF/NYSE_UBER_2024.pdf</w:t>
        </w:r>
      </w:hyperlink>
      <w:r w:rsidRPr="005D4556">
        <w:rPr>
          <w:rFonts w:ascii="Arial" w:hAnsi="Arial" w:cs="Arial"/>
          <w:color w:val="0000FF"/>
          <w:u w:val="single"/>
        </w:rPr>
        <w:t xml:space="preserve"> </w:t>
      </w:r>
      <w:r w:rsidRPr="005D4556">
        <w:rPr>
          <w:rFonts w:ascii="Arial" w:hAnsi="Arial" w:cs="Arial"/>
          <w:highlight w:val="white"/>
        </w:rPr>
        <w:t>(Accessed: 30 September 2025).</w:t>
      </w:r>
    </w:p>
    <w:p w:rsidR="00C93B0F" w:rsidRPr="005D4556" w:rsidRDefault="00BF217E" w:rsidP="005D4556">
      <w:pPr>
        <w:spacing w:after="240"/>
        <w:jc w:val="left"/>
        <w:rPr>
          <w:rFonts w:ascii="Arial" w:hAnsi="Arial" w:cs="Arial"/>
          <w:highlight w:val="white"/>
        </w:rPr>
      </w:pPr>
      <w:r w:rsidRPr="005D4556">
        <w:rPr>
          <w:rFonts w:ascii="Arial" w:hAnsi="Arial" w:cs="Arial"/>
        </w:rPr>
        <w:lastRenderedPageBreak/>
        <w:t xml:space="preserve">Uber. (2025b). ‘Millions of trips a day, zero emissions and a shift to sustainable packaging’ </w:t>
      </w:r>
      <w:r w:rsidRPr="005D4556">
        <w:rPr>
          <w:rFonts w:ascii="Arial" w:hAnsi="Arial" w:cs="Arial"/>
          <w:i/>
        </w:rPr>
        <w:t>Uber</w:t>
      </w:r>
      <w:r w:rsidRPr="005D4556">
        <w:rPr>
          <w:rFonts w:ascii="Arial" w:hAnsi="Arial" w:cs="Arial"/>
        </w:rPr>
        <w:t xml:space="preserve">. </w:t>
      </w:r>
      <w:r w:rsidRPr="005D4556">
        <w:rPr>
          <w:rFonts w:ascii="Arial" w:hAnsi="Arial" w:cs="Arial"/>
          <w:color w:val="222222"/>
          <w:highlight w:val="white"/>
        </w:rPr>
        <w:t xml:space="preserve">Available at: </w:t>
      </w:r>
      <w:hyperlink r:id="rId28">
        <w:r w:rsidRPr="005D4556">
          <w:rPr>
            <w:rFonts w:ascii="Arial" w:hAnsi="Arial" w:cs="Arial"/>
            <w:color w:val="0000FF"/>
            <w:u w:val="single"/>
          </w:rPr>
          <w:t>https://www.uber.com/in/en/about/sustainability/?uclick_id=9dfec8dd-6f2e-4ea7-a580-96dfa2a68e71</w:t>
        </w:r>
      </w:hyperlink>
      <w:r w:rsidRPr="005D4556">
        <w:rPr>
          <w:rFonts w:ascii="Arial" w:hAnsi="Arial" w:cs="Arial"/>
        </w:rPr>
        <w:t xml:space="preserve"> </w:t>
      </w:r>
      <w:r w:rsidRPr="005D4556">
        <w:rPr>
          <w:rFonts w:ascii="Arial" w:hAnsi="Arial" w:cs="Arial"/>
          <w:highlight w:val="white"/>
        </w:rPr>
        <w:t>(Accessed: 25 September 2025).</w:t>
      </w:r>
    </w:p>
    <w:p w:rsidR="00C93B0F" w:rsidRPr="005D4556" w:rsidRDefault="00BF217E" w:rsidP="005D4556">
      <w:pPr>
        <w:spacing w:after="240"/>
        <w:jc w:val="left"/>
        <w:rPr>
          <w:rFonts w:ascii="Arial" w:hAnsi="Arial" w:cs="Arial"/>
        </w:rPr>
      </w:pPr>
      <w:r w:rsidRPr="005D4556">
        <w:rPr>
          <w:rFonts w:ascii="Arial" w:hAnsi="Arial" w:cs="Arial"/>
        </w:rPr>
        <w:t xml:space="preserve">Uber. (2025c). ‘Advancing Invoice Document Processing at Uber using GenAI’ </w:t>
      </w:r>
      <w:r w:rsidRPr="005D4556">
        <w:rPr>
          <w:rFonts w:ascii="Arial" w:hAnsi="Arial" w:cs="Arial"/>
          <w:i/>
        </w:rPr>
        <w:t>Uber</w:t>
      </w:r>
      <w:r w:rsidRPr="005D4556">
        <w:rPr>
          <w:rFonts w:ascii="Arial" w:hAnsi="Arial" w:cs="Arial"/>
        </w:rPr>
        <w:t xml:space="preserve">. </w:t>
      </w:r>
      <w:r w:rsidRPr="005D4556">
        <w:rPr>
          <w:rFonts w:ascii="Arial" w:hAnsi="Arial" w:cs="Arial"/>
          <w:color w:val="222222"/>
          <w:highlight w:val="white"/>
        </w:rPr>
        <w:t xml:space="preserve">Available at: </w:t>
      </w:r>
      <w:hyperlink r:id="rId29">
        <w:r w:rsidRPr="005D4556">
          <w:rPr>
            <w:rFonts w:ascii="Arial" w:hAnsi="Arial" w:cs="Arial"/>
            <w:color w:val="0000FF"/>
            <w:u w:val="single"/>
          </w:rPr>
          <w:t>https://www.uber.com/en-FI/blog/advancing-invoice-document-processing-using-genai/?uclick_id=9dfec8dd-6f2e-4ea7-a580-96dfa2a68e71</w:t>
        </w:r>
      </w:hyperlink>
      <w:r w:rsidRPr="005D4556">
        <w:rPr>
          <w:rFonts w:ascii="Arial" w:hAnsi="Arial" w:cs="Arial"/>
        </w:rPr>
        <w:t xml:space="preserve"> </w:t>
      </w:r>
      <w:r w:rsidRPr="005D4556">
        <w:rPr>
          <w:rFonts w:ascii="Arial" w:hAnsi="Arial" w:cs="Arial"/>
          <w:highlight w:val="white"/>
        </w:rPr>
        <w:t>(Accessed: 30 September 2025).</w:t>
      </w:r>
    </w:p>
    <w:p w:rsidR="00C93B0F" w:rsidRPr="005D4556" w:rsidRDefault="00BF217E" w:rsidP="005D4556">
      <w:pPr>
        <w:spacing w:after="240"/>
        <w:jc w:val="left"/>
        <w:rPr>
          <w:rFonts w:ascii="Arial" w:hAnsi="Arial" w:cs="Arial"/>
        </w:rPr>
      </w:pPr>
      <w:r w:rsidRPr="005D4556">
        <w:rPr>
          <w:rFonts w:ascii="Arial" w:hAnsi="Arial" w:cs="Arial"/>
          <w:color w:val="222222"/>
          <w:highlight w:val="white"/>
        </w:rPr>
        <w:t>Walton, C.C., Rice, S., Gao, C.X., Butterworth, M., Clements, M. and Purcell, R., (2021) ‘Gender differences in mental health symptoms and risk factors in Australian elite athletes’ </w:t>
      </w:r>
      <w:r w:rsidRPr="005D4556">
        <w:rPr>
          <w:rFonts w:ascii="Arial" w:hAnsi="Arial" w:cs="Arial"/>
          <w:i/>
          <w:color w:val="222222"/>
          <w:highlight w:val="white"/>
        </w:rPr>
        <w:t>BMJ open sport &amp; exercise medicine</w:t>
      </w:r>
      <w:r w:rsidRPr="005D4556">
        <w:rPr>
          <w:rFonts w:ascii="Arial" w:hAnsi="Arial" w:cs="Arial"/>
          <w:color w:val="222222"/>
          <w:highlight w:val="white"/>
        </w:rPr>
        <w:t>, </w:t>
      </w:r>
      <w:r w:rsidRPr="005D4556">
        <w:rPr>
          <w:rFonts w:ascii="Arial" w:hAnsi="Arial" w:cs="Arial"/>
          <w:i/>
          <w:color w:val="222222"/>
          <w:highlight w:val="white"/>
        </w:rPr>
        <w:t>7</w:t>
      </w:r>
      <w:r w:rsidRPr="005D4556">
        <w:rPr>
          <w:rFonts w:ascii="Arial" w:hAnsi="Arial" w:cs="Arial"/>
          <w:color w:val="222222"/>
          <w:highlight w:val="white"/>
        </w:rPr>
        <w:t xml:space="preserve">(1). Available at: </w:t>
      </w:r>
      <w:hyperlink r:id="rId30">
        <w:r w:rsidRPr="005D4556">
          <w:rPr>
            <w:rFonts w:ascii="Arial" w:hAnsi="Arial" w:cs="Arial"/>
            <w:color w:val="0000FF"/>
            <w:highlight w:val="white"/>
            <w:u w:val="single"/>
          </w:rPr>
          <w:t>https://bmjopensem.bmj.com/content/7/1/e000984</w:t>
        </w:r>
      </w:hyperlink>
    </w:p>
    <w:p w:rsidR="00C93B0F" w:rsidRPr="005D4556" w:rsidRDefault="00BF217E" w:rsidP="005D4556">
      <w:pPr>
        <w:spacing w:after="240"/>
        <w:jc w:val="left"/>
        <w:rPr>
          <w:rFonts w:ascii="Arial" w:hAnsi="Arial" w:cs="Arial"/>
          <w:color w:val="222222"/>
          <w:highlight w:val="white"/>
        </w:rPr>
      </w:pPr>
      <w:r w:rsidRPr="005D4556">
        <w:rPr>
          <w:rFonts w:ascii="Arial" w:hAnsi="Arial" w:cs="Arial"/>
          <w:color w:val="222222"/>
          <w:highlight w:val="white"/>
        </w:rPr>
        <w:t>Yu, M., Zhao, G., Ma, Z. and Pu, D., (2025) ‘Bidirectional decision analysis of online Ride-hailing enterprises based on fuzzy theory and cloud model’ </w:t>
      </w:r>
      <w:r w:rsidRPr="005D4556">
        <w:rPr>
          <w:rFonts w:ascii="Arial" w:hAnsi="Arial" w:cs="Arial"/>
          <w:i/>
          <w:color w:val="222222"/>
          <w:highlight w:val="white"/>
        </w:rPr>
        <w:t>Scientific Reports</w:t>
      </w:r>
      <w:r w:rsidRPr="005D4556">
        <w:rPr>
          <w:rFonts w:ascii="Arial" w:hAnsi="Arial" w:cs="Arial"/>
          <w:color w:val="222222"/>
          <w:highlight w:val="white"/>
        </w:rPr>
        <w:t>, </w:t>
      </w:r>
      <w:r w:rsidRPr="005D4556">
        <w:rPr>
          <w:rFonts w:ascii="Arial" w:hAnsi="Arial" w:cs="Arial"/>
          <w:i/>
          <w:color w:val="222222"/>
          <w:highlight w:val="white"/>
        </w:rPr>
        <w:t>15</w:t>
      </w:r>
      <w:r w:rsidRPr="005D4556">
        <w:rPr>
          <w:rFonts w:ascii="Arial" w:hAnsi="Arial" w:cs="Arial"/>
          <w:color w:val="222222"/>
          <w:highlight w:val="white"/>
        </w:rPr>
        <w:t xml:space="preserve">(1), p.30544. Available at: </w:t>
      </w:r>
      <w:hyperlink r:id="rId31">
        <w:r w:rsidRPr="005D4556">
          <w:rPr>
            <w:rFonts w:ascii="Arial" w:hAnsi="Arial" w:cs="Arial"/>
            <w:color w:val="0000FF"/>
            <w:highlight w:val="white"/>
            <w:u w:val="single"/>
          </w:rPr>
          <w:t>https://www.nature.com/articles/s41598-025-15908-7</w:t>
        </w:r>
      </w:hyperlink>
    </w:p>
    <w:sectPr w:rsidR="00C93B0F" w:rsidRPr="005D4556" w:rsidSect="004D4F40">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595B" w:rsidRDefault="001B595B">
      <w:pPr>
        <w:spacing w:line="240" w:lineRule="auto"/>
      </w:pPr>
      <w:r>
        <w:separator/>
      </w:r>
    </w:p>
  </w:endnote>
  <w:endnote w:type="continuationSeparator" w:id="0">
    <w:p w:rsidR="001B595B" w:rsidRDefault="001B59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3B0F" w:rsidRDefault="00C93B0F">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359602"/>
      <w:docPartObj>
        <w:docPartGallery w:val="Page Numbers (Bottom of Page)"/>
        <w:docPartUnique/>
      </w:docPartObj>
    </w:sdtPr>
    <w:sdtEndPr>
      <w:rPr>
        <w:noProof/>
      </w:rPr>
    </w:sdtEndPr>
    <w:sdtContent>
      <w:p w:rsidR="004D4F40" w:rsidRDefault="004D4F40">
        <w:pPr>
          <w:pStyle w:val="Footer"/>
          <w:jc w:val="right"/>
        </w:pPr>
        <w:r>
          <w:fldChar w:fldCharType="begin"/>
        </w:r>
        <w:r>
          <w:instrText xml:space="preserve"> PAGE   \* MERGEFORMAT </w:instrText>
        </w:r>
        <w:r>
          <w:fldChar w:fldCharType="separate"/>
        </w:r>
        <w:r w:rsidR="00DC0494">
          <w:rPr>
            <w:noProof/>
          </w:rPr>
          <w:t>13</w:t>
        </w:r>
        <w:r>
          <w:rPr>
            <w:noProof/>
          </w:rPr>
          <w:fldChar w:fldCharType="end"/>
        </w:r>
      </w:p>
    </w:sdtContent>
  </w:sdt>
  <w:p w:rsidR="00C93B0F" w:rsidRDefault="00C93B0F">
    <w:pPr>
      <w:jc w:val="right"/>
      <w:rPr>
        <w:sz w:val="20"/>
        <w:szCs w:val="2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3B0F" w:rsidRDefault="00C93B0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595B" w:rsidRDefault="001B595B">
      <w:pPr>
        <w:spacing w:line="240" w:lineRule="auto"/>
      </w:pPr>
      <w:r>
        <w:separator/>
      </w:r>
    </w:p>
  </w:footnote>
  <w:footnote w:type="continuationSeparator" w:id="0">
    <w:p w:rsidR="001B595B" w:rsidRDefault="001B595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3B0F" w:rsidRDefault="00C93B0F">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3B0F" w:rsidRDefault="00C93B0F">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93B0F" w:rsidRDefault="00C93B0F">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3B0F"/>
    <w:rsid w:val="001B595B"/>
    <w:rsid w:val="004D4F40"/>
    <w:rsid w:val="005D4556"/>
    <w:rsid w:val="00655341"/>
    <w:rsid w:val="007C1FC3"/>
    <w:rsid w:val="00807152"/>
    <w:rsid w:val="00B82DD4"/>
    <w:rsid w:val="00BF217E"/>
    <w:rsid w:val="00C93B0F"/>
    <w:rsid w:val="00C97BE6"/>
    <w:rsid w:val="00DC04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820A2E9-F333-47FA-8747-EBC30ABFA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pPr>
      <w:keepNext/>
      <w:keepLines/>
      <w:jc w:val="center"/>
    </w:pPr>
    <w:rPr>
      <w:b/>
      <w:sz w:val="32"/>
      <w:szCs w:val="3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283591"/>
    <w:pPr>
      <w:tabs>
        <w:tab w:val="center" w:pos="4680"/>
        <w:tab w:val="right" w:pos="9360"/>
      </w:tabs>
      <w:spacing w:line="240" w:lineRule="auto"/>
    </w:pPr>
  </w:style>
  <w:style w:type="character" w:customStyle="1" w:styleId="HeaderChar">
    <w:name w:val="Header Char"/>
    <w:basedOn w:val="DefaultParagraphFont"/>
    <w:link w:val="Header"/>
    <w:uiPriority w:val="99"/>
    <w:rsid w:val="00283591"/>
  </w:style>
  <w:style w:type="paragraph" w:styleId="Footer">
    <w:name w:val="footer"/>
    <w:basedOn w:val="Normal"/>
    <w:link w:val="FooterChar"/>
    <w:uiPriority w:val="99"/>
    <w:unhideWhenUsed/>
    <w:rsid w:val="00283591"/>
    <w:pPr>
      <w:tabs>
        <w:tab w:val="center" w:pos="4680"/>
        <w:tab w:val="right" w:pos="9360"/>
      </w:tabs>
      <w:spacing w:line="240" w:lineRule="auto"/>
    </w:pPr>
  </w:style>
  <w:style w:type="character" w:customStyle="1" w:styleId="FooterChar">
    <w:name w:val="Footer Char"/>
    <w:basedOn w:val="DefaultParagraphFont"/>
    <w:link w:val="Footer"/>
    <w:uiPriority w:val="99"/>
    <w:rsid w:val="00283591"/>
  </w:style>
  <w:style w:type="character" w:styleId="Hyperlink">
    <w:name w:val="Hyperlink"/>
    <w:basedOn w:val="DefaultParagraphFont"/>
    <w:uiPriority w:val="99"/>
    <w:unhideWhenUsed/>
    <w:rsid w:val="00283591"/>
    <w:rPr>
      <w:color w:val="0000FF" w:themeColor="hyperlink"/>
      <w:u w:val="single"/>
    </w:rPr>
  </w:style>
  <w:style w:type="paragraph" w:styleId="TOCHeading">
    <w:name w:val="TOC Heading"/>
    <w:basedOn w:val="Heading1"/>
    <w:next w:val="Normal"/>
    <w:uiPriority w:val="39"/>
    <w:unhideWhenUsed/>
    <w:qFormat/>
    <w:rsid w:val="003C7246"/>
    <w:pPr>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3C7246"/>
    <w:pPr>
      <w:spacing w:before="120"/>
      <w:jc w:val="left"/>
    </w:pPr>
    <w:rPr>
      <w:rFonts w:asciiTheme="minorHAnsi" w:hAnsiTheme="minorHAnsi"/>
      <w:b/>
      <w:bCs/>
      <w:i/>
      <w:iCs/>
    </w:rPr>
  </w:style>
  <w:style w:type="paragraph" w:styleId="TOC2">
    <w:name w:val="toc 2"/>
    <w:basedOn w:val="Normal"/>
    <w:next w:val="Normal"/>
    <w:autoRedefine/>
    <w:uiPriority w:val="39"/>
    <w:unhideWhenUsed/>
    <w:rsid w:val="003C7246"/>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3C7246"/>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C7246"/>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C7246"/>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C7246"/>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C7246"/>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C7246"/>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C7246"/>
    <w:pPr>
      <w:ind w:left="1920"/>
      <w:jc w:val="left"/>
    </w:pPr>
    <w:rPr>
      <w:rFonts w:asciiTheme="minorHAnsi" w:hAnsiTheme="minorHAnsi"/>
      <w:sz w:val="20"/>
      <w:szCs w:val="20"/>
    </w:rPr>
  </w:style>
  <w:style w:type="character" w:customStyle="1" w:styleId="UnresolvedMention">
    <w:name w:val="Unresolved Mention"/>
    <w:basedOn w:val="DefaultParagraphFont"/>
    <w:uiPriority w:val="99"/>
    <w:semiHidden/>
    <w:unhideWhenUsed/>
    <w:rsid w:val="008D115E"/>
    <w:rPr>
      <w:color w:val="605E5C"/>
      <w:shd w:val="clear" w:color="auto" w:fill="E1DFDD"/>
    </w:rPr>
  </w:style>
  <w:style w:type="character" w:styleId="FollowedHyperlink">
    <w:name w:val="FollowedHyperlink"/>
    <w:basedOn w:val="DefaultParagraphFont"/>
    <w:uiPriority w:val="99"/>
    <w:semiHidden/>
    <w:unhideWhenUsed/>
    <w:rsid w:val="00A34B78"/>
    <w:rPr>
      <w:color w:val="800080" w:themeColor="followedHyperlink"/>
      <w:u w:val="single"/>
    </w:rPr>
  </w:style>
  <w:style w:type="paragraph" w:styleId="ListParagraph">
    <w:name w:val="List Paragraph"/>
    <w:basedOn w:val="Normal"/>
    <w:uiPriority w:val="34"/>
    <w:qFormat/>
    <w:rsid w:val="00A34B78"/>
    <w:pPr>
      <w:ind w:left="720"/>
      <w:contextualSpacing/>
    </w:pPr>
  </w:style>
  <w:style w:type="character" w:styleId="CommentReference">
    <w:name w:val="annotation reference"/>
    <w:basedOn w:val="DefaultParagraphFont"/>
    <w:uiPriority w:val="99"/>
    <w:semiHidden/>
    <w:unhideWhenUsed/>
    <w:rsid w:val="00FF73BF"/>
    <w:rPr>
      <w:sz w:val="16"/>
      <w:szCs w:val="16"/>
    </w:rPr>
  </w:style>
  <w:style w:type="paragraph" w:styleId="CommentText">
    <w:name w:val="annotation text"/>
    <w:basedOn w:val="Normal"/>
    <w:link w:val="CommentTextChar"/>
    <w:uiPriority w:val="99"/>
    <w:unhideWhenUsed/>
    <w:rsid w:val="00FF73BF"/>
    <w:pPr>
      <w:spacing w:line="240" w:lineRule="auto"/>
    </w:pPr>
    <w:rPr>
      <w:sz w:val="20"/>
      <w:szCs w:val="20"/>
    </w:rPr>
  </w:style>
  <w:style w:type="character" w:customStyle="1" w:styleId="CommentTextChar">
    <w:name w:val="Comment Text Char"/>
    <w:basedOn w:val="DefaultParagraphFont"/>
    <w:link w:val="CommentText"/>
    <w:uiPriority w:val="99"/>
    <w:rsid w:val="00FF73BF"/>
    <w:rPr>
      <w:sz w:val="20"/>
      <w:szCs w:val="20"/>
    </w:rPr>
  </w:style>
  <w:style w:type="paragraph" w:styleId="CommentSubject">
    <w:name w:val="annotation subject"/>
    <w:basedOn w:val="CommentText"/>
    <w:next w:val="CommentText"/>
    <w:link w:val="CommentSubjectChar"/>
    <w:uiPriority w:val="99"/>
    <w:semiHidden/>
    <w:unhideWhenUsed/>
    <w:rsid w:val="00FF73BF"/>
    <w:rPr>
      <w:b/>
      <w:bCs/>
    </w:rPr>
  </w:style>
  <w:style w:type="character" w:customStyle="1" w:styleId="CommentSubjectChar">
    <w:name w:val="Comment Subject Char"/>
    <w:basedOn w:val="CommentTextChar"/>
    <w:link w:val="CommentSubject"/>
    <w:uiPriority w:val="99"/>
    <w:semiHidden/>
    <w:rsid w:val="00FF73BF"/>
    <w:rPr>
      <w:b/>
      <w:bCs/>
      <w:sz w:val="20"/>
      <w:szCs w:val="20"/>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customStyle="1" w:styleId="Normal1">
    <w:name w:val="Normal1"/>
    <w:rsid w:val="00B82DD4"/>
    <w:pPr>
      <w:spacing w:after="200" w:line="276" w:lineRule="auto"/>
      <w:jc w:val="left"/>
    </w:pPr>
    <w:rPr>
      <w:rFonts w:ascii="Calibri" w:eastAsia="Calibri" w:hAnsi="Calibri" w:cs="Calibri"/>
      <w:sz w:val="22"/>
      <w:szCs w:val="22"/>
    </w:rPr>
  </w:style>
  <w:style w:type="character" w:customStyle="1" w:styleId="TitleChar">
    <w:name w:val="Title Char"/>
    <w:basedOn w:val="DefaultParagraphFont"/>
    <w:link w:val="Title"/>
    <w:rsid w:val="004D4F40"/>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7046921">
      <w:bodyDiv w:val="1"/>
      <w:marLeft w:val="0"/>
      <w:marRight w:val="0"/>
      <w:marTop w:val="0"/>
      <w:marBottom w:val="0"/>
      <w:divBdr>
        <w:top w:val="none" w:sz="0" w:space="0" w:color="auto"/>
        <w:left w:val="none" w:sz="0" w:space="0" w:color="auto"/>
        <w:bottom w:val="none" w:sz="0" w:space="0" w:color="auto"/>
        <w:right w:val="none" w:sz="0" w:space="0" w:color="auto"/>
      </w:divBdr>
    </w:div>
    <w:div w:id="1812747641">
      <w:bodyDiv w:val="1"/>
      <w:marLeft w:val="0"/>
      <w:marRight w:val="0"/>
      <w:marTop w:val="0"/>
      <w:marBottom w:val="0"/>
      <w:divBdr>
        <w:top w:val="none" w:sz="0" w:space="0" w:color="auto"/>
        <w:left w:val="none" w:sz="0" w:space="0" w:color="auto"/>
        <w:bottom w:val="none" w:sz="0" w:space="0" w:color="auto"/>
        <w:right w:val="none" w:sz="0" w:space="0" w:color="auto"/>
      </w:divBdr>
    </w:div>
    <w:div w:id="20665647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olt.eu/en/business/products/" TargetMode="External"/><Relationship Id="rId18" Type="http://schemas.openxmlformats.org/officeDocument/2006/relationships/hyperlink" Target="https://www.mdpi.com/2227-9717/10/10/2035" TargetMode="External"/><Relationship Id="rId26" Type="http://schemas.openxmlformats.org/officeDocument/2006/relationships/hyperlink" Target="https://www.sciencedirect.com/science/article/pii/S0968090X21000358"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ordorintelligence.com/industry-reports/ride-hailing-market"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heseus.fi/bitstream/handle/10024/869571/Alsaew_Nazim.pdf?sequence=3" TargetMode="External"/><Relationship Id="rId17" Type="http://schemas.openxmlformats.org/officeDocument/2006/relationships/hyperlink" Target="https://www.zervx.com/blog/uber-vs-bolt/" TargetMode="External"/><Relationship Id="rId25" Type="http://schemas.openxmlformats.org/officeDocument/2006/relationships/hyperlink" Target="https://www.sciencedirect.com/science/article/pii/S0965856423003567"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merald.com/insight/content/doi/10.1108/ijebr-03-2024-0311/full/html" TargetMode="External"/><Relationship Id="rId20" Type="http://schemas.openxmlformats.org/officeDocument/2006/relationships/hyperlink" Target="https://www.marketsandata.com/industry-reports/india-ride-hailing-market" TargetMode="External"/><Relationship Id="rId29" Type="http://schemas.openxmlformats.org/officeDocument/2006/relationships/hyperlink" Target="https://www.uber.com/en-FI/blog/advancing-invoice-document-processing-using-genai/?uclick_id=9dfec8dd-6f2e-4ea7-a580-96dfa2a68e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uters.com/business/autos-transportation/uber-files-legal-appeal-against-paris-mayors-transport-restrictions-2024-01-26/"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1108/ejim-03-2022-0103" TargetMode="External"/><Relationship Id="rId23" Type="http://schemas.openxmlformats.org/officeDocument/2006/relationships/hyperlink" Target="https://discovery.ucl.ac.uk/id/eprint/10137106/1/Governance-and-Regulation-of-Ride-hailing-Services-in-Emerging-Markets-Challenges-Experiences-and-Implications.pdf" TargetMode="External"/><Relationship Id="rId28" Type="http://schemas.openxmlformats.org/officeDocument/2006/relationships/hyperlink" Target="https://www.uber.com/in/en/about/sustainability/?uclick_id=9dfec8dd-6f2e-4ea7-a580-96dfa2a68e71" TargetMode="External"/><Relationship Id="rId36"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yperlink" Target="https://www.sciencedirect.com/science/article/pii/S0966692324001455" TargetMode="External"/><Relationship Id="rId31" Type="http://schemas.openxmlformats.org/officeDocument/2006/relationships/hyperlink" Target="https://www.nature.com/articles/s41598-025-15908-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lt.eu/en/sustainability/zero-emission/" TargetMode="External"/><Relationship Id="rId22" Type="http://schemas.openxmlformats.org/officeDocument/2006/relationships/hyperlink" Target="https://journals.sagepub.com/doi/abs/10.1111/poms.13905" TargetMode="External"/><Relationship Id="rId27" Type="http://schemas.openxmlformats.org/officeDocument/2006/relationships/hyperlink" Target="https://www.annualreports.com/HostedData/AnnualReports/PDF/NYSE_UBER_2024.pdf" TargetMode="External"/><Relationship Id="rId30" Type="http://schemas.openxmlformats.org/officeDocument/2006/relationships/hyperlink" Target="https://bmjopensem.bmj.com/content/7/1/e000984"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3hjE81R9jrDME2mDcUspjPlNmxg==">CgMxLjAyDmguYzNlOHJ2M2R4cXRrMg5oLmhiN3A3dDFmbG4wNjIOaC4xMmhhYndremhtdjcyDmguMzd4aTV2cm8xN3FyMg5oLmQ4YnkyMGE3enRneDIOaC5tcTE1anNiNXc0ZjMyDmgua2p0azM4bnl1bzd4Mg5oLjF0MXpxd3QyYnlwdzIOaC42eTkzdm1xMjc4amoyDmguZmp4M2pocWdpeWo2OAByITFXNTJxbjZlY0s4SXZ6VDNDZnViUy1EdnNpOHY2WnFWZQ==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A9BF2DA-6500-47BB-8658-710325680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3819</Words>
  <Characters>21772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7</cp:revision>
  <dcterms:created xsi:type="dcterms:W3CDTF">2025-10-16T22:18:00Z</dcterms:created>
  <dcterms:modified xsi:type="dcterms:W3CDTF">2025-10-23T00:47:00Z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c5987f81-9c8f-4fe1-93a6-6f8f49817269</vt:lpwstr>
  </property>
</Properties>
</file>