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802F670" w14:textId="77777777" w:rsidR="00BA1BB0" w:rsidRDefault="00BA1BB0" w:rsidP="00BA1BB0">
      <w:pPr>
        <w:jc w:val="center"/>
      </w:pPr>
      <w:r>
        <w:rPr>
          <w:noProof/>
        </w:rPr>
        <w:drawing>
          <wp:inline distT="0" distB="0" distL="0" distR="0" wp14:anchorId="11A2C310" wp14:editId="2C21F037">
            <wp:extent cx="4546600" cy="2012521"/>
            <wp:effectExtent l="0" t="0" r="6350" b="6985"/>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1345" cy="2023474"/>
                    </a:xfrm>
                    <a:prstGeom prst="rect">
                      <a:avLst/>
                    </a:prstGeom>
                    <a:noFill/>
                  </pic:spPr>
                </pic:pic>
              </a:graphicData>
            </a:graphic>
          </wp:inline>
        </w:drawing>
      </w:r>
    </w:p>
    <w:p w14:paraId="54B50F83" w14:textId="77777777" w:rsidR="00BA1BB0" w:rsidRDefault="00BA1BB0" w:rsidP="00BA1BB0"/>
    <w:p w14:paraId="4120F2DA" w14:textId="77777777" w:rsidR="00BA1BB0" w:rsidRDefault="00BA1BB0" w:rsidP="00BA1BB0"/>
    <w:p w14:paraId="28115C01" w14:textId="77777777" w:rsidR="00BA1BB0" w:rsidRDefault="00BA1BB0" w:rsidP="00BA1BB0"/>
    <w:p w14:paraId="3D035ECA" w14:textId="77777777" w:rsidR="00BA1BB0" w:rsidRDefault="00BA1BB0" w:rsidP="00BA1BB0"/>
    <w:p w14:paraId="45584FB6" w14:textId="51FB13CE" w:rsidR="00BA1BB0" w:rsidRPr="007151D0" w:rsidRDefault="00BA1BB0" w:rsidP="00BA1BB0">
      <w:pPr>
        <w:jc w:val="both"/>
        <w:rPr>
          <w:rFonts w:asciiTheme="minorBidi" w:hAnsiTheme="minorBidi"/>
          <w:sz w:val="28"/>
          <w:szCs w:val="28"/>
          <w:lang w:val="en-GB"/>
        </w:rPr>
      </w:pPr>
      <w:r w:rsidRPr="002D0F3C">
        <w:rPr>
          <w:rFonts w:asciiTheme="minorBidi" w:hAnsiTheme="minorBidi"/>
          <w:b/>
          <w:bCs/>
          <w:sz w:val="28"/>
          <w:szCs w:val="28"/>
        </w:rPr>
        <w:t xml:space="preserve">Name: </w:t>
      </w:r>
      <w:r w:rsidR="007151D0">
        <w:rPr>
          <w:rFonts w:asciiTheme="minorBidi" w:hAnsiTheme="minorBidi"/>
          <w:sz w:val="28"/>
          <w:szCs w:val="28"/>
          <w:lang w:val="en-GB"/>
        </w:rPr>
        <w:t xml:space="preserve">      Parmjit Kaur</w:t>
      </w:r>
    </w:p>
    <w:p w14:paraId="67F6DB45" w14:textId="1FCEA24C" w:rsidR="00BA1BB0" w:rsidRPr="007151D0" w:rsidRDefault="00BA1BB0" w:rsidP="00BA1BB0">
      <w:pPr>
        <w:jc w:val="both"/>
        <w:rPr>
          <w:rFonts w:asciiTheme="minorBidi" w:hAnsiTheme="minorBidi"/>
          <w:b/>
          <w:bCs/>
          <w:sz w:val="28"/>
          <w:szCs w:val="28"/>
          <w:lang w:val="en-GB"/>
        </w:rPr>
      </w:pPr>
      <w:r w:rsidRPr="002D0F3C">
        <w:rPr>
          <w:rFonts w:asciiTheme="minorBidi" w:hAnsiTheme="minorBidi"/>
          <w:b/>
          <w:bCs/>
          <w:sz w:val="28"/>
          <w:szCs w:val="28"/>
        </w:rPr>
        <w:t xml:space="preserve">Student ID: </w:t>
      </w:r>
      <w:r w:rsidR="007151D0">
        <w:rPr>
          <w:rFonts w:asciiTheme="minorBidi" w:hAnsiTheme="minorBidi"/>
          <w:b/>
          <w:bCs/>
          <w:sz w:val="28"/>
          <w:szCs w:val="28"/>
          <w:lang w:val="en-GB"/>
        </w:rPr>
        <w:t xml:space="preserve">  2541766</w:t>
      </w:r>
    </w:p>
    <w:p w14:paraId="0446E453" w14:textId="77777777" w:rsidR="00BA1BB0" w:rsidRPr="002D0F3C" w:rsidRDefault="00BA1BB0" w:rsidP="00BA1BB0">
      <w:pPr>
        <w:jc w:val="both"/>
        <w:rPr>
          <w:rFonts w:asciiTheme="minorBidi" w:hAnsiTheme="minorBidi"/>
          <w:b/>
          <w:bCs/>
          <w:sz w:val="28"/>
          <w:szCs w:val="28"/>
        </w:rPr>
      </w:pPr>
      <w:r w:rsidRPr="002D0F3C">
        <w:rPr>
          <w:rFonts w:asciiTheme="minorBidi" w:hAnsiTheme="minorBidi"/>
          <w:b/>
          <w:bCs/>
          <w:sz w:val="28"/>
          <w:szCs w:val="28"/>
        </w:rPr>
        <w:t xml:space="preserve">Module Code: </w:t>
      </w:r>
      <w:r>
        <w:rPr>
          <w:rFonts w:asciiTheme="minorBidi" w:hAnsiTheme="minorBidi"/>
          <w:b/>
          <w:bCs/>
          <w:sz w:val="28"/>
          <w:szCs w:val="28"/>
        </w:rPr>
        <w:t xml:space="preserve">         </w:t>
      </w:r>
      <w:r w:rsidRPr="00391E61">
        <w:rPr>
          <w:rFonts w:asciiTheme="minorBidi" w:hAnsiTheme="minorBidi"/>
          <w:bCs/>
          <w:sz w:val="28"/>
          <w:szCs w:val="28"/>
        </w:rPr>
        <w:t>LCHS4001</w:t>
      </w:r>
    </w:p>
    <w:p w14:paraId="2EB1FA1A" w14:textId="77777777" w:rsidR="00BA1BB0" w:rsidRPr="002D0F3C" w:rsidRDefault="00BA1BB0" w:rsidP="00BA1BB0">
      <w:pPr>
        <w:jc w:val="both"/>
        <w:rPr>
          <w:rFonts w:asciiTheme="minorBidi" w:hAnsiTheme="minorBidi"/>
          <w:b/>
          <w:bCs/>
          <w:sz w:val="28"/>
          <w:szCs w:val="28"/>
        </w:rPr>
      </w:pPr>
      <w:r w:rsidRPr="002D0F3C">
        <w:rPr>
          <w:rFonts w:asciiTheme="minorBidi" w:hAnsiTheme="minorBidi"/>
          <w:b/>
          <w:bCs/>
          <w:sz w:val="28"/>
          <w:szCs w:val="28"/>
        </w:rPr>
        <w:t xml:space="preserve">Module: </w:t>
      </w:r>
      <w:r>
        <w:rPr>
          <w:rFonts w:asciiTheme="minorBidi" w:hAnsiTheme="minorBidi"/>
          <w:b/>
          <w:bCs/>
          <w:sz w:val="28"/>
          <w:szCs w:val="28"/>
        </w:rPr>
        <w:t xml:space="preserve">                   </w:t>
      </w:r>
      <w:r w:rsidRPr="00391E61">
        <w:rPr>
          <w:rFonts w:asciiTheme="minorBidi" w:hAnsiTheme="minorBidi"/>
          <w:bCs/>
          <w:sz w:val="28"/>
          <w:szCs w:val="28"/>
        </w:rPr>
        <w:t>Academic and Employability skills</w:t>
      </w:r>
    </w:p>
    <w:p w14:paraId="7CD488E4" w14:textId="710CD8DE" w:rsidR="00BA1BB0" w:rsidRPr="00391E61" w:rsidRDefault="00BA1BB0" w:rsidP="00BA1BB0">
      <w:pPr>
        <w:spacing w:before="120" w:after="120"/>
        <w:jc w:val="both"/>
        <w:rPr>
          <w:rFonts w:ascii="Arial" w:hAnsi="Arial" w:cs="Arial"/>
          <w:b/>
          <w:bCs/>
          <w:sz w:val="22"/>
        </w:rPr>
      </w:pPr>
      <w:r w:rsidRPr="002D0F3C">
        <w:rPr>
          <w:rFonts w:asciiTheme="minorBidi" w:hAnsiTheme="minorBidi"/>
          <w:b/>
          <w:bCs/>
          <w:sz w:val="28"/>
          <w:szCs w:val="28"/>
        </w:rPr>
        <w:t xml:space="preserve">Lecturer: </w:t>
      </w:r>
      <w:r>
        <w:rPr>
          <w:rFonts w:asciiTheme="minorBidi" w:hAnsiTheme="minorBidi"/>
          <w:b/>
          <w:bCs/>
          <w:sz w:val="28"/>
          <w:szCs w:val="28"/>
        </w:rPr>
        <w:t xml:space="preserve">            </w:t>
      </w:r>
      <w:r w:rsidR="007151D0">
        <w:rPr>
          <w:rFonts w:asciiTheme="minorBidi" w:hAnsiTheme="minorBidi"/>
          <w:sz w:val="28"/>
          <w:szCs w:val="28"/>
          <w:lang w:val="en-GB"/>
        </w:rPr>
        <w:t>Oluwadamilola Tayo</w:t>
      </w:r>
      <w:r>
        <w:rPr>
          <w:rFonts w:asciiTheme="minorBidi" w:hAnsiTheme="minorBidi"/>
          <w:b/>
          <w:bCs/>
          <w:sz w:val="28"/>
          <w:szCs w:val="28"/>
        </w:rPr>
        <w:t xml:space="preserve">     </w:t>
      </w:r>
    </w:p>
    <w:p w14:paraId="00947DAE" w14:textId="74A04678" w:rsidR="00BA1BB0" w:rsidRPr="007151D0" w:rsidRDefault="00BA1BB0" w:rsidP="00BA1BB0">
      <w:pPr>
        <w:jc w:val="both"/>
        <w:rPr>
          <w:rFonts w:asciiTheme="minorBidi" w:hAnsiTheme="minorBidi"/>
          <w:sz w:val="28"/>
          <w:szCs w:val="28"/>
          <w:lang w:val="en-GB"/>
        </w:rPr>
      </w:pPr>
      <w:r w:rsidRPr="002D0F3C">
        <w:rPr>
          <w:rFonts w:asciiTheme="minorBidi" w:hAnsiTheme="minorBidi"/>
          <w:b/>
          <w:bCs/>
          <w:sz w:val="28"/>
          <w:szCs w:val="28"/>
        </w:rPr>
        <w:t xml:space="preserve">Submitted on:  </w:t>
      </w:r>
      <w:r w:rsidR="007151D0">
        <w:rPr>
          <w:rFonts w:asciiTheme="minorBidi" w:hAnsiTheme="minorBidi"/>
          <w:sz w:val="28"/>
          <w:szCs w:val="28"/>
          <w:lang w:val="en-GB"/>
        </w:rPr>
        <w:t>22.08.2026</w:t>
      </w:r>
    </w:p>
    <w:p w14:paraId="506860AF" w14:textId="77777777" w:rsidR="00EB160C" w:rsidRDefault="00EB160C" w:rsidP="00BA1BB0">
      <w:pPr>
        <w:jc w:val="both"/>
        <w:rPr>
          <w:rFonts w:asciiTheme="minorBidi" w:hAnsiTheme="minorBidi"/>
          <w:b/>
          <w:bCs/>
          <w:sz w:val="28"/>
          <w:szCs w:val="28"/>
        </w:rPr>
      </w:pPr>
    </w:p>
    <w:p w14:paraId="15EE3B71" w14:textId="77777777" w:rsidR="00EB160C" w:rsidRDefault="00EB160C" w:rsidP="00BA1BB0">
      <w:pPr>
        <w:jc w:val="both"/>
        <w:rPr>
          <w:rFonts w:asciiTheme="minorBidi" w:hAnsiTheme="minorBidi"/>
          <w:b/>
          <w:bCs/>
          <w:sz w:val="28"/>
          <w:szCs w:val="28"/>
        </w:rPr>
      </w:pPr>
    </w:p>
    <w:p w14:paraId="7AB72C43" w14:textId="77777777" w:rsidR="00EB160C" w:rsidRDefault="00EB160C" w:rsidP="00BA1BB0">
      <w:pPr>
        <w:jc w:val="both"/>
        <w:rPr>
          <w:rFonts w:asciiTheme="minorBidi" w:hAnsiTheme="minorBidi"/>
          <w:b/>
          <w:bCs/>
          <w:sz w:val="28"/>
          <w:szCs w:val="28"/>
        </w:rPr>
      </w:pPr>
    </w:p>
    <w:p w14:paraId="46416024" w14:textId="77777777" w:rsidR="00EB160C" w:rsidRDefault="00EB160C" w:rsidP="00BA1BB0">
      <w:pPr>
        <w:jc w:val="both"/>
        <w:rPr>
          <w:rFonts w:asciiTheme="minorBidi" w:hAnsiTheme="minorBidi"/>
          <w:b/>
          <w:bCs/>
          <w:sz w:val="28"/>
          <w:szCs w:val="28"/>
        </w:rPr>
      </w:pPr>
    </w:p>
    <w:p w14:paraId="33868B8D" w14:textId="77777777" w:rsidR="00EB160C" w:rsidRDefault="00EB160C" w:rsidP="00BA1BB0">
      <w:pPr>
        <w:jc w:val="both"/>
        <w:rPr>
          <w:rFonts w:asciiTheme="minorBidi" w:hAnsiTheme="minorBidi"/>
          <w:b/>
          <w:bCs/>
          <w:sz w:val="28"/>
          <w:szCs w:val="28"/>
        </w:rPr>
      </w:pPr>
    </w:p>
    <w:p w14:paraId="006CE3AB" w14:textId="77777777" w:rsidR="00EB160C" w:rsidRDefault="00EB160C" w:rsidP="00BA1BB0">
      <w:pPr>
        <w:jc w:val="both"/>
        <w:rPr>
          <w:rFonts w:asciiTheme="minorBidi" w:hAnsiTheme="minorBidi"/>
          <w:b/>
          <w:bCs/>
          <w:sz w:val="28"/>
          <w:szCs w:val="28"/>
        </w:rPr>
      </w:pPr>
    </w:p>
    <w:p w14:paraId="3F5A370A" w14:textId="77777777" w:rsidR="00EB160C" w:rsidRDefault="00EB160C" w:rsidP="00BA1BB0">
      <w:pPr>
        <w:jc w:val="both"/>
        <w:rPr>
          <w:rFonts w:asciiTheme="minorBidi" w:hAnsiTheme="minorBidi"/>
          <w:b/>
          <w:bCs/>
          <w:sz w:val="28"/>
          <w:szCs w:val="28"/>
        </w:rPr>
      </w:pPr>
    </w:p>
    <w:p w14:paraId="70DC048F" w14:textId="77777777" w:rsidR="00EB160C" w:rsidRDefault="00EB160C" w:rsidP="00BA1BB0">
      <w:pPr>
        <w:jc w:val="both"/>
        <w:rPr>
          <w:rFonts w:asciiTheme="minorBidi" w:hAnsiTheme="minorBidi"/>
          <w:b/>
          <w:bCs/>
          <w:sz w:val="28"/>
          <w:szCs w:val="28"/>
        </w:rPr>
      </w:pPr>
    </w:p>
    <w:p w14:paraId="190F2CB1" w14:textId="77777777" w:rsidR="00EB160C" w:rsidRDefault="00EB160C" w:rsidP="00BA1BB0">
      <w:pPr>
        <w:jc w:val="both"/>
        <w:rPr>
          <w:rFonts w:asciiTheme="minorBidi" w:hAnsiTheme="minorBidi"/>
          <w:b/>
          <w:bCs/>
          <w:sz w:val="28"/>
          <w:szCs w:val="28"/>
        </w:rPr>
      </w:pPr>
    </w:p>
    <w:p w14:paraId="0295DED1" w14:textId="77777777" w:rsidR="00EB160C" w:rsidRDefault="00EB160C" w:rsidP="00BA1BB0">
      <w:pPr>
        <w:jc w:val="both"/>
        <w:rPr>
          <w:rFonts w:asciiTheme="minorBidi" w:hAnsiTheme="minorBidi"/>
          <w:b/>
          <w:bCs/>
          <w:sz w:val="28"/>
          <w:szCs w:val="28"/>
        </w:rPr>
      </w:pPr>
    </w:p>
    <w:sdt>
      <w:sdtPr>
        <w:rPr>
          <w:rFonts w:asciiTheme="minorHAnsi" w:eastAsiaTheme="minorHAnsi" w:hAnsiTheme="minorHAnsi" w:cstheme="minorBidi"/>
          <w:color w:val="auto"/>
          <w:kern w:val="2"/>
          <w:sz w:val="24"/>
          <w:szCs w:val="24"/>
          <w:lang/>
          <w14:ligatures w14:val="standardContextual"/>
        </w:rPr>
        <w:id w:val="839125711"/>
        <w:docPartObj>
          <w:docPartGallery w:val="Table of Contents"/>
          <w:docPartUnique/>
        </w:docPartObj>
      </w:sdtPr>
      <w:sdtEndPr>
        <w:rPr>
          <w:b/>
          <w:bCs/>
          <w:noProof/>
        </w:rPr>
      </w:sdtEndPr>
      <w:sdtContent>
        <w:p w14:paraId="73B194B2" w14:textId="25E68ED5" w:rsidR="00EB160C" w:rsidRDefault="00EB160C">
          <w:pPr>
            <w:pStyle w:val="TOCHeading"/>
          </w:pPr>
          <w:r>
            <w:t>Table of Contents</w:t>
          </w:r>
        </w:p>
        <w:p w14:paraId="29F567E8" w14:textId="0CB2A44C" w:rsidR="00EB160C" w:rsidRDefault="00EB160C">
          <w:pPr>
            <w:pStyle w:val="TOC1"/>
            <w:tabs>
              <w:tab w:val="right" w:leader="dot" w:pos="9016"/>
            </w:tabs>
            <w:rPr>
              <w:rFonts w:eastAsiaTheme="minorEastAsia"/>
              <w:noProof/>
              <w:lang/>
            </w:rPr>
          </w:pPr>
          <w:r>
            <w:fldChar w:fldCharType="begin"/>
          </w:r>
          <w:r>
            <w:instrText xml:space="preserve"> TOC \o "1-3" \h \z \u </w:instrText>
          </w:r>
          <w:r>
            <w:fldChar w:fldCharType="separate"/>
          </w:r>
          <w:hyperlink w:anchor="_Toc237532950" w:history="1">
            <w:r w:rsidRPr="00E6229B">
              <w:rPr>
                <w:rStyle w:val="Hyperlink"/>
                <w:rFonts w:ascii="Arial" w:hAnsi="Arial" w:cs="Arial"/>
                <w:b/>
                <w:bCs/>
                <w:noProof/>
              </w:rPr>
              <w:t>Task 3 – Academic Report</w:t>
            </w:r>
            <w:r>
              <w:rPr>
                <w:noProof/>
                <w:webHidden/>
              </w:rPr>
              <w:tab/>
            </w:r>
            <w:r>
              <w:rPr>
                <w:noProof/>
                <w:webHidden/>
              </w:rPr>
              <w:fldChar w:fldCharType="begin"/>
            </w:r>
            <w:r>
              <w:rPr>
                <w:noProof/>
                <w:webHidden/>
              </w:rPr>
              <w:instrText xml:space="preserve"> PAGEREF _Toc237532950 \h </w:instrText>
            </w:r>
            <w:r>
              <w:rPr>
                <w:noProof/>
                <w:webHidden/>
              </w:rPr>
            </w:r>
            <w:r>
              <w:rPr>
                <w:noProof/>
                <w:webHidden/>
              </w:rPr>
              <w:fldChar w:fldCharType="separate"/>
            </w:r>
            <w:r>
              <w:rPr>
                <w:noProof/>
                <w:webHidden/>
              </w:rPr>
              <w:t>3</w:t>
            </w:r>
            <w:r>
              <w:rPr>
                <w:noProof/>
                <w:webHidden/>
              </w:rPr>
              <w:fldChar w:fldCharType="end"/>
            </w:r>
          </w:hyperlink>
        </w:p>
        <w:p w14:paraId="469FF590" w14:textId="3C101C5F" w:rsidR="00EB160C" w:rsidRDefault="00EB160C">
          <w:pPr>
            <w:pStyle w:val="TOC2"/>
            <w:tabs>
              <w:tab w:val="right" w:leader="dot" w:pos="9016"/>
            </w:tabs>
            <w:rPr>
              <w:rFonts w:eastAsiaTheme="minorEastAsia"/>
              <w:noProof/>
              <w:lang/>
            </w:rPr>
          </w:pPr>
          <w:hyperlink w:anchor="_Toc237532951" w:history="1">
            <w:r w:rsidRPr="00E6229B">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_Toc237532951 \h </w:instrText>
            </w:r>
            <w:r>
              <w:rPr>
                <w:noProof/>
                <w:webHidden/>
              </w:rPr>
            </w:r>
            <w:r>
              <w:rPr>
                <w:noProof/>
                <w:webHidden/>
              </w:rPr>
              <w:fldChar w:fldCharType="separate"/>
            </w:r>
            <w:r>
              <w:rPr>
                <w:noProof/>
                <w:webHidden/>
              </w:rPr>
              <w:t>3</w:t>
            </w:r>
            <w:r>
              <w:rPr>
                <w:noProof/>
                <w:webHidden/>
              </w:rPr>
              <w:fldChar w:fldCharType="end"/>
            </w:r>
          </w:hyperlink>
        </w:p>
        <w:p w14:paraId="019C7DB1" w14:textId="69B851AD" w:rsidR="00EB160C" w:rsidRPr="00EB160C" w:rsidRDefault="00EB160C">
          <w:pPr>
            <w:pStyle w:val="TOC2"/>
            <w:tabs>
              <w:tab w:val="right" w:leader="dot" w:pos="9016"/>
            </w:tabs>
            <w:rPr>
              <w:rFonts w:eastAsiaTheme="minorEastAsia"/>
              <w:noProof/>
              <w:lang/>
            </w:rPr>
          </w:pPr>
          <w:hyperlink w:anchor="_Toc237532952" w:history="1">
            <w:r w:rsidRPr="00EB160C">
              <w:rPr>
                <w:rStyle w:val="Hyperlink"/>
                <w:rFonts w:ascii="Arial" w:hAnsi="Arial" w:cs="Arial"/>
                <w:noProof/>
              </w:rPr>
              <w:t>2 Health Visitor in the Health and Social Care Field</w:t>
            </w:r>
            <w:r w:rsidRPr="00EB160C">
              <w:rPr>
                <w:noProof/>
                <w:webHidden/>
              </w:rPr>
              <w:tab/>
            </w:r>
            <w:r w:rsidRPr="00EB160C">
              <w:rPr>
                <w:noProof/>
                <w:webHidden/>
              </w:rPr>
              <w:fldChar w:fldCharType="begin"/>
            </w:r>
            <w:r w:rsidRPr="00EB160C">
              <w:rPr>
                <w:noProof/>
                <w:webHidden/>
              </w:rPr>
              <w:instrText xml:space="preserve"> PAGEREF _Toc237532952 \h </w:instrText>
            </w:r>
            <w:r w:rsidRPr="00EB160C">
              <w:rPr>
                <w:noProof/>
                <w:webHidden/>
              </w:rPr>
            </w:r>
            <w:r w:rsidRPr="00EB160C">
              <w:rPr>
                <w:noProof/>
                <w:webHidden/>
              </w:rPr>
              <w:fldChar w:fldCharType="separate"/>
            </w:r>
            <w:r w:rsidRPr="00EB160C">
              <w:rPr>
                <w:noProof/>
                <w:webHidden/>
              </w:rPr>
              <w:t>3</w:t>
            </w:r>
            <w:r w:rsidRPr="00EB160C">
              <w:rPr>
                <w:noProof/>
                <w:webHidden/>
              </w:rPr>
              <w:fldChar w:fldCharType="end"/>
            </w:r>
          </w:hyperlink>
        </w:p>
        <w:p w14:paraId="6B8EA3C0" w14:textId="424D48C2" w:rsidR="00EB160C" w:rsidRPr="00EB160C" w:rsidRDefault="00EB160C">
          <w:pPr>
            <w:pStyle w:val="TOC2"/>
            <w:tabs>
              <w:tab w:val="right" w:leader="dot" w:pos="9016"/>
            </w:tabs>
            <w:rPr>
              <w:rFonts w:eastAsiaTheme="minorEastAsia"/>
              <w:noProof/>
              <w:lang/>
            </w:rPr>
          </w:pPr>
          <w:hyperlink w:anchor="_Toc237532953" w:history="1">
            <w:r w:rsidRPr="00EB160C">
              <w:rPr>
                <w:rStyle w:val="Hyperlink"/>
                <w:rFonts w:ascii="Arial" w:hAnsi="Arial" w:cs="Arial"/>
                <w:noProof/>
              </w:rPr>
              <w:t>2.1 Description of Health Visitor in Health and Social Care</w:t>
            </w:r>
            <w:r w:rsidRPr="00EB160C">
              <w:rPr>
                <w:noProof/>
                <w:webHidden/>
              </w:rPr>
              <w:tab/>
            </w:r>
            <w:r w:rsidRPr="00EB160C">
              <w:rPr>
                <w:noProof/>
                <w:webHidden/>
              </w:rPr>
              <w:fldChar w:fldCharType="begin"/>
            </w:r>
            <w:r w:rsidRPr="00EB160C">
              <w:rPr>
                <w:noProof/>
                <w:webHidden/>
              </w:rPr>
              <w:instrText xml:space="preserve"> PAGEREF _Toc237532953 \h </w:instrText>
            </w:r>
            <w:r w:rsidRPr="00EB160C">
              <w:rPr>
                <w:noProof/>
                <w:webHidden/>
              </w:rPr>
            </w:r>
            <w:r w:rsidRPr="00EB160C">
              <w:rPr>
                <w:noProof/>
                <w:webHidden/>
              </w:rPr>
              <w:fldChar w:fldCharType="separate"/>
            </w:r>
            <w:r w:rsidRPr="00EB160C">
              <w:rPr>
                <w:noProof/>
                <w:webHidden/>
              </w:rPr>
              <w:t>3</w:t>
            </w:r>
            <w:r w:rsidRPr="00EB160C">
              <w:rPr>
                <w:noProof/>
                <w:webHidden/>
              </w:rPr>
              <w:fldChar w:fldCharType="end"/>
            </w:r>
          </w:hyperlink>
        </w:p>
        <w:p w14:paraId="5A2CDC49" w14:textId="0895A911" w:rsidR="00EB160C" w:rsidRPr="00EB160C" w:rsidRDefault="00EB160C">
          <w:pPr>
            <w:pStyle w:val="TOC2"/>
            <w:tabs>
              <w:tab w:val="right" w:leader="dot" w:pos="9016"/>
            </w:tabs>
            <w:rPr>
              <w:rFonts w:eastAsiaTheme="minorEastAsia"/>
              <w:noProof/>
              <w:lang/>
            </w:rPr>
          </w:pPr>
          <w:hyperlink w:anchor="_Toc237532954" w:history="1">
            <w:r w:rsidRPr="00EB160C">
              <w:rPr>
                <w:rStyle w:val="Hyperlink"/>
                <w:rFonts w:ascii="Arial" w:hAnsi="Arial" w:cs="Arial"/>
                <w:noProof/>
              </w:rPr>
              <w:t>2.2 Explanation of Most Significant Skills Needed for Health Visitor in Health and Social Care</w:t>
            </w:r>
            <w:r w:rsidRPr="00EB160C">
              <w:rPr>
                <w:noProof/>
                <w:webHidden/>
              </w:rPr>
              <w:tab/>
            </w:r>
            <w:r w:rsidRPr="00EB160C">
              <w:rPr>
                <w:noProof/>
                <w:webHidden/>
              </w:rPr>
              <w:fldChar w:fldCharType="begin"/>
            </w:r>
            <w:r w:rsidRPr="00EB160C">
              <w:rPr>
                <w:noProof/>
                <w:webHidden/>
              </w:rPr>
              <w:instrText xml:space="preserve"> PAGEREF _Toc237532954 \h </w:instrText>
            </w:r>
            <w:r w:rsidRPr="00EB160C">
              <w:rPr>
                <w:noProof/>
                <w:webHidden/>
              </w:rPr>
            </w:r>
            <w:r w:rsidRPr="00EB160C">
              <w:rPr>
                <w:noProof/>
                <w:webHidden/>
              </w:rPr>
              <w:fldChar w:fldCharType="separate"/>
            </w:r>
            <w:r w:rsidRPr="00EB160C">
              <w:rPr>
                <w:noProof/>
                <w:webHidden/>
              </w:rPr>
              <w:t>4</w:t>
            </w:r>
            <w:r w:rsidRPr="00EB160C">
              <w:rPr>
                <w:noProof/>
                <w:webHidden/>
              </w:rPr>
              <w:fldChar w:fldCharType="end"/>
            </w:r>
          </w:hyperlink>
        </w:p>
        <w:p w14:paraId="060BB251" w14:textId="0367C254" w:rsidR="00EB160C" w:rsidRPr="00EB160C" w:rsidRDefault="00EB160C">
          <w:pPr>
            <w:pStyle w:val="TOC2"/>
            <w:tabs>
              <w:tab w:val="right" w:leader="dot" w:pos="9016"/>
            </w:tabs>
            <w:rPr>
              <w:rFonts w:eastAsiaTheme="minorEastAsia"/>
              <w:noProof/>
              <w:lang/>
            </w:rPr>
          </w:pPr>
          <w:hyperlink w:anchor="_Toc237532955" w:history="1">
            <w:r w:rsidRPr="00EB160C">
              <w:rPr>
                <w:rStyle w:val="Hyperlink"/>
                <w:rFonts w:ascii="Arial" w:hAnsi="Arial" w:cs="Arial"/>
                <w:noProof/>
              </w:rPr>
              <w:t>3 Strategies for Skill Improvement for Health Visitor</w:t>
            </w:r>
            <w:r w:rsidRPr="00EB160C">
              <w:rPr>
                <w:noProof/>
                <w:webHidden/>
              </w:rPr>
              <w:tab/>
            </w:r>
            <w:r w:rsidRPr="00EB160C">
              <w:rPr>
                <w:noProof/>
                <w:webHidden/>
              </w:rPr>
              <w:fldChar w:fldCharType="begin"/>
            </w:r>
            <w:r w:rsidRPr="00EB160C">
              <w:rPr>
                <w:noProof/>
                <w:webHidden/>
              </w:rPr>
              <w:instrText xml:space="preserve"> PAGEREF _Toc237532955 \h </w:instrText>
            </w:r>
            <w:r w:rsidRPr="00EB160C">
              <w:rPr>
                <w:noProof/>
                <w:webHidden/>
              </w:rPr>
            </w:r>
            <w:r w:rsidRPr="00EB160C">
              <w:rPr>
                <w:noProof/>
                <w:webHidden/>
              </w:rPr>
              <w:fldChar w:fldCharType="separate"/>
            </w:r>
            <w:r w:rsidRPr="00EB160C">
              <w:rPr>
                <w:noProof/>
                <w:webHidden/>
              </w:rPr>
              <w:t>5</w:t>
            </w:r>
            <w:r w:rsidRPr="00EB160C">
              <w:rPr>
                <w:noProof/>
                <w:webHidden/>
              </w:rPr>
              <w:fldChar w:fldCharType="end"/>
            </w:r>
          </w:hyperlink>
        </w:p>
        <w:p w14:paraId="09C48015" w14:textId="3A59A864" w:rsidR="00EB160C" w:rsidRPr="00EB160C" w:rsidRDefault="00EB160C">
          <w:pPr>
            <w:pStyle w:val="TOC2"/>
            <w:tabs>
              <w:tab w:val="right" w:leader="dot" w:pos="9016"/>
            </w:tabs>
            <w:rPr>
              <w:rFonts w:eastAsiaTheme="minorEastAsia"/>
              <w:noProof/>
              <w:lang/>
            </w:rPr>
          </w:pPr>
          <w:hyperlink w:anchor="_Toc237532956" w:history="1">
            <w:r w:rsidRPr="00EB160C">
              <w:rPr>
                <w:rStyle w:val="Hyperlink"/>
                <w:rFonts w:ascii="Arial" w:hAnsi="Arial" w:cs="Arial"/>
                <w:noProof/>
              </w:rPr>
              <w:t>3.1 Three Strategies to Improve the Skills for Health Visitor</w:t>
            </w:r>
            <w:r w:rsidRPr="00EB160C">
              <w:rPr>
                <w:noProof/>
                <w:webHidden/>
              </w:rPr>
              <w:tab/>
            </w:r>
            <w:r w:rsidRPr="00EB160C">
              <w:rPr>
                <w:noProof/>
                <w:webHidden/>
              </w:rPr>
              <w:fldChar w:fldCharType="begin"/>
            </w:r>
            <w:r w:rsidRPr="00EB160C">
              <w:rPr>
                <w:noProof/>
                <w:webHidden/>
              </w:rPr>
              <w:instrText xml:space="preserve"> PAGEREF _Toc237532956 \h </w:instrText>
            </w:r>
            <w:r w:rsidRPr="00EB160C">
              <w:rPr>
                <w:noProof/>
                <w:webHidden/>
              </w:rPr>
            </w:r>
            <w:r w:rsidRPr="00EB160C">
              <w:rPr>
                <w:noProof/>
                <w:webHidden/>
              </w:rPr>
              <w:fldChar w:fldCharType="separate"/>
            </w:r>
            <w:r w:rsidRPr="00EB160C">
              <w:rPr>
                <w:noProof/>
                <w:webHidden/>
              </w:rPr>
              <w:t>5</w:t>
            </w:r>
            <w:r w:rsidRPr="00EB160C">
              <w:rPr>
                <w:noProof/>
                <w:webHidden/>
              </w:rPr>
              <w:fldChar w:fldCharType="end"/>
            </w:r>
          </w:hyperlink>
        </w:p>
        <w:p w14:paraId="52725103" w14:textId="70BF9983" w:rsidR="00EB160C" w:rsidRPr="00EB160C" w:rsidRDefault="00EB160C">
          <w:pPr>
            <w:pStyle w:val="TOC2"/>
            <w:tabs>
              <w:tab w:val="right" w:leader="dot" w:pos="9016"/>
            </w:tabs>
            <w:rPr>
              <w:rFonts w:eastAsiaTheme="minorEastAsia"/>
              <w:noProof/>
              <w:lang/>
            </w:rPr>
          </w:pPr>
          <w:hyperlink w:anchor="_Toc237532957" w:history="1">
            <w:r w:rsidRPr="00EB160C">
              <w:rPr>
                <w:rStyle w:val="Hyperlink"/>
                <w:rFonts w:ascii="Arial" w:hAnsi="Arial" w:cs="Arial"/>
                <w:noProof/>
              </w:rPr>
              <w:t>4 Conclusion</w:t>
            </w:r>
            <w:r w:rsidRPr="00EB160C">
              <w:rPr>
                <w:noProof/>
                <w:webHidden/>
              </w:rPr>
              <w:tab/>
            </w:r>
            <w:r w:rsidRPr="00EB160C">
              <w:rPr>
                <w:noProof/>
                <w:webHidden/>
              </w:rPr>
              <w:fldChar w:fldCharType="begin"/>
            </w:r>
            <w:r w:rsidRPr="00EB160C">
              <w:rPr>
                <w:noProof/>
                <w:webHidden/>
              </w:rPr>
              <w:instrText xml:space="preserve"> PAGEREF _Toc237532957 \h </w:instrText>
            </w:r>
            <w:r w:rsidRPr="00EB160C">
              <w:rPr>
                <w:noProof/>
                <w:webHidden/>
              </w:rPr>
            </w:r>
            <w:r w:rsidRPr="00EB160C">
              <w:rPr>
                <w:noProof/>
                <w:webHidden/>
              </w:rPr>
              <w:fldChar w:fldCharType="separate"/>
            </w:r>
            <w:r w:rsidRPr="00EB160C">
              <w:rPr>
                <w:noProof/>
                <w:webHidden/>
              </w:rPr>
              <w:t>6</w:t>
            </w:r>
            <w:r w:rsidRPr="00EB160C">
              <w:rPr>
                <w:noProof/>
                <w:webHidden/>
              </w:rPr>
              <w:fldChar w:fldCharType="end"/>
            </w:r>
          </w:hyperlink>
        </w:p>
        <w:p w14:paraId="069AC074" w14:textId="6EA36340" w:rsidR="00EB160C" w:rsidRPr="00EB160C" w:rsidRDefault="00EB160C">
          <w:pPr>
            <w:pStyle w:val="TOC2"/>
            <w:tabs>
              <w:tab w:val="right" w:leader="dot" w:pos="9016"/>
            </w:tabs>
            <w:rPr>
              <w:rFonts w:eastAsiaTheme="minorEastAsia"/>
              <w:noProof/>
              <w:lang/>
            </w:rPr>
          </w:pPr>
          <w:hyperlink w:anchor="_Toc237532958" w:history="1">
            <w:r w:rsidRPr="00EB160C">
              <w:rPr>
                <w:rStyle w:val="Hyperlink"/>
                <w:rFonts w:ascii="Arial" w:hAnsi="Arial" w:cs="Arial"/>
                <w:noProof/>
              </w:rPr>
              <w:t>5 Reference List</w:t>
            </w:r>
            <w:r w:rsidRPr="00EB160C">
              <w:rPr>
                <w:noProof/>
                <w:webHidden/>
              </w:rPr>
              <w:tab/>
            </w:r>
            <w:r w:rsidRPr="00EB160C">
              <w:rPr>
                <w:noProof/>
                <w:webHidden/>
              </w:rPr>
              <w:fldChar w:fldCharType="begin"/>
            </w:r>
            <w:r w:rsidRPr="00EB160C">
              <w:rPr>
                <w:noProof/>
                <w:webHidden/>
              </w:rPr>
              <w:instrText xml:space="preserve"> PAGEREF _Toc237532958 \h </w:instrText>
            </w:r>
            <w:r w:rsidRPr="00EB160C">
              <w:rPr>
                <w:noProof/>
                <w:webHidden/>
              </w:rPr>
            </w:r>
            <w:r w:rsidRPr="00EB160C">
              <w:rPr>
                <w:noProof/>
                <w:webHidden/>
              </w:rPr>
              <w:fldChar w:fldCharType="separate"/>
            </w:r>
            <w:r w:rsidRPr="00EB160C">
              <w:rPr>
                <w:noProof/>
                <w:webHidden/>
              </w:rPr>
              <w:t>7</w:t>
            </w:r>
            <w:r w:rsidRPr="00EB160C">
              <w:rPr>
                <w:noProof/>
                <w:webHidden/>
              </w:rPr>
              <w:fldChar w:fldCharType="end"/>
            </w:r>
          </w:hyperlink>
        </w:p>
        <w:p w14:paraId="7EA26C4B" w14:textId="0D237FB2" w:rsidR="00EB160C" w:rsidRDefault="00EB160C">
          <w:r>
            <w:rPr>
              <w:b/>
              <w:bCs/>
              <w:noProof/>
            </w:rPr>
            <w:fldChar w:fldCharType="end"/>
          </w:r>
        </w:p>
      </w:sdtContent>
    </w:sdt>
    <w:p w14:paraId="53240C2D" w14:textId="77777777" w:rsidR="00EB160C" w:rsidRPr="002D0F3C" w:rsidRDefault="00EB160C" w:rsidP="00BA1BB0">
      <w:pPr>
        <w:jc w:val="both"/>
        <w:rPr>
          <w:rFonts w:asciiTheme="minorBidi" w:hAnsiTheme="minorBidi"/>
          <w:b/>
          <w:bCs/>
          <w:sz w:val="28"/>
          <w:szCs w:val="28"/>
        </w:rPr>
      </w:pPr>
    </w:p>
    <w:p w14:paraId="5BA63096" w14:textId="77777777" w:rsidR="00BA1BB0" w:rsidRDefault="00BA1BB0" w:rsidP="00BA1BB0">
      <w:pPr>
        <w:jc w:val="both"/>
        <w:rPr>
          <w:rFonts w:asciiTheme="minorBidi" w:hAnsiTheme="minorBidi"/>
          <w:sz w:val="28"/>
          <w:szCs w:val="28"/>
        </w:rPr>
      </w:pPr>
      <w:r>
        <w:rPr>
          <w:rFonts w:asciiTheme="minorBidi" w:hAnsiTheme="minorBidi"/>
          <w:sz w:val="28"/>
          <w:szCs w:val="28"/>
        </w:rPr>
        <w:t xml:space="preserve">  </w:t>
      </w:r>
    </w:p>
    <w:p w14:paraId="4FDFD8D1" w14:textId="77777777" w:rsidR="00B14A4D" w:rsidRPr="0014727F" w:rsidRDefault="00B14A4D" w:rsidP="0014727F">
      <w:pPr>
        <w:spacing w:line="360" w:lineRule="auto"/>
        <w:jc w:val="both"/>
        <w:rPr>
          <w:rFonts w:ascii="Arial" w:hAnsi="Arial" w:cs="Arial"/>
          <w:b/>
          <w:bCs/>
          <w:sz w:val="32"/>
          <w:szCs w:val="32"/>
        </w:rPr>
      </w:pPr>
    </w:p>
    <w:p w14:paraId="79D507A2" w14:textId="313042E9" w:rsidR="00B14A4D" w:rsidRPr="00946F79" w:rsidRDefault="00B14A4D" w:rsidP="0014727F">
      <w:pPr>
        <w:spacing w:line="360" w:lineRule="auto"/>
        <w:jc w:val="both"/>
        <w:rPr>
          <w:rFonts w:ascii="Arial" w:hAnsi="Arial" w:cs="Arial"/>
          <w:b/>
          <w:bCs/>
          <w:sz w:val="32"/>
          <w:szCs w:val="32"/>
        </w:rPr>
      </w:pPr>
      <w:r w:rsidRPr="0014727F">
        <w:rPr>
          <w:rFonts w:ascii="Arial" w:hAnsi="Arial" w:cs="Arial"/>
          <w:b/>
          <w:bCs/>
          <w:sz w:val="32"/>
          <w:szCs w:val="32"/>
        </w:rPr>
        <w:br w:type="page"/>
      </w:r>
    </w:p>
    <w:p w14:paraId="7C92CD41" w14:textId="77777777" w:rsidR="00B14A4D" w:rsidRPr="0014727F" w:rsidRDefault="00B14A4D" w:rsidP="0014727F">
      <w:pPr>
        <w:pStyle w:val="Heading1"/>
        <w:spacing w:line="360" w:lineRule="auto"/>
        <w:jc w:val="center"/>
        <w:rPr>
          <w:rFonts w:ascii="Arial" w:hAnsi="Arial" w:cs="Arial"/>
          <w:b/>
          <w:bCs/>
        </w:rPr>
      </w:pPr>
      <w:bookmarkStart w:id="0" w:name="_Toc234887165"/>
      <w:bookmarkStart w:id="1" w:name="_Toc237532950"/>
      <w:r w:rsidRPr="0014727F">
        <w:rPr>
          <w:rFonts w:ascii="Arial" w:hAnsi="Arial" w:cs="Arial"/>
          <w:b/>
          <w:bCs/>
        </w:rPr>
        <w:lastRenderedPageBreak/>
        <w:t>Task 3 – Academic Report</w:t>
      </w:r>
      <w:bookmarkEnd w:id="0"/>
      <w:bookmarkEnd w:id="1"/>
    </w:p>
    <w:p w14:paraId="770A36CE" w14:textId="77777777" w:rsidR="00B14A4D" w:rsidRPr="0014727F" w:rsidRDefault="00B14A4D" w:rsidP="0014727F">
      <w:pPr>
        <w:spacing w:line="360" w:lineRule="auto"/>
        <w:jc w:val="both"/>
        <w:rPr>
          <w:rFonts w:ascii="Arial" w:hAnsi="Arial" w:cs="Arial"/>
          <w:b/>
          <w:bCs/>
          <w:sz w:val="32"/>
          <w:szCs w:val="32"/>
        </w:rPr>
      </w:pPr>
      <w:bookmarkStart w:id="2" w:name="_Toc233455159"/>
    </w:p>
    <w:p w14:paraId="5DE582A8" w14:textId="1E1118B5" w:rsidR="00B14A4D" w:rsidRPr="0014727F" w:rsidRDefault="00B14A4D" w:rsidP="0014727F">
      <w:pPr>
        <w:pStyle w:val="Heading2"/>
        <w:spacing w:line="360" w:lineRule="auto"/>
        <w:jc w:val="both"/>
        <w:rPr>
          <w:rFonts w:ascii="Arial" w:hAnsi="Arial" w:cs="Arial"/>
          <w:color w:val="auto"/>
          <w:sz w:val="22"/>
          <w:szCs w:val="24"/>
        </w:rPr>
      </w:pPr>
      <w:bookmarkStart w:id="3" w:name="_Toc234887166"/>
      <w:bookmarkStart w:id="4" w:name="_Toc237532951"/>
      <w:r w:rsidRPr="0014727F">
        <w:rPr>
          <w:rFonts w:ascii="Arial" w:hAnsi="Arial" w:cs="Arial"/>
        </w:rPr>
        <w:t>1 Introduction</w:t>
      </w:r>
      <w:bookmarkEnd w:id="2"/>
      <w:bookmarkEnd w:id="3"/>
      <w:bookmarkEnd w:id="4"/>
    </w:p>
    <w:p w14:paraId="48D250C1" w14:textId="77777777" w:rsidR="00B14A4D" w:rsidRPr="007151D0" w:rsidRDefault="00B14A4D" w:rsidP="0014727F">
      <w:pPr>
        <w:spacing w:line="360" w:lineRule="auto"/>
        <w:jc w:val="both"/>
        <w:rPr>
          <w:rFonts w:ascii="Arial" w:hAnsi="Arial" w:cs="Arial"/>
          <w:sz w:val="22"/>
          <w:szCs w:val="22"/>
        </w:rPr>
      </w:pPr>
      <w:r w:rsidRPr="007151D0">
        <w:rPr>
          <w:rFonts w:ascii="Arial" w:hAnsi="Arial" w:cs="Arial"/>
          <w:sz w:val="22"/>
          <w:szCs w:val="22"/>
        </w:rPr>
        <w:t>The health and social care system is a key contributor to health, wellbeing and preventing illness and improving the health of the individual, the family and the community (Department of Health and Social Care, 2023; Public Health England, 2021). In this area health visitors play an important role in a range of activities that includes health promotion, early help, safeguarding and developmental reviews for families with young children. This report aims to look at the health and social care role of a health visitor. Firstly, it will define the role and responsibilities of a health visitor, then go on to discuss three skills that are crucial in effective health visitor practice. The report will then reflect on three evidence-based ways, these skills can be taught and will end with an overview on the significance of these skills in providing safe, quality, family-centered care (Nursing and Midwifery Council, 2024). There is an increasing shortage of health visitors in the UK (Institute of Health Visiting, 2024).</w:t>
      </w:r>
    </w:p>
    <w:p w14:paraId="4770E144" w14:textId="77777777" w:rsidR="00B14A4D" w:rsidRPr="0014727F" w:rsidRDefault="00B14A4D" w:rsidP="0014727F">
      <w:pPr>
        <w:pStyle w:val="Heading2"/>
        <w:spacing w:line="360" w:lineRule="auto"/>
        <w:jc w:val="both"/>
        <w:rPr>
          <w:rFonts w:ascii="Arial" w:hAnsi="Arial" w:cs="Arial"/>
          <w:b/>
          <w:bCs/>
        </w:rPr>
      </w:pPr>
      <w:bookmarkStart w:id="5" w:name="_Toc234887167"/>
      <w:bookmarkStart w:id="6" w:name="_Toc237532952"/>
      <w:r w:rsidRPr="0014727F">
        <w:rPr>
          <w:rFonts w:ascii="Arial" w:hAnsi="Arial" w:cs="Arial"/>
          <w:b/>
          <w:bCs/>
        </w:rPr>
        <w:t>2 Health Visitor in the Health and Social Care Field</w:t>
      </w:r>
      <w:bookmarkEnd w:id="5"/>
      <w:bookmarkEnd w:id="6"/>
    </w:p>
    <w:p w14:paraId="507ECFC9" w14:textId="77777777" w:rsidR="00B14A4D" w:rsidRPr="0014727F" w:rsidRDefault="00B14A4D" w:rsidP="0014727F">
      <w:pPr>
        <w:pStyle w:val="Heading2"/>
        <w:spacing w:line="360" w:lineRule="auto"/>
        <w:jc w:val="both"/>
        <w:rPr>
          <w:rFonts w:ascii="Arial" w:hAnsi="Arial" w:cs="Arial"/>
        </w:rPr>
      </w:pPr>
      <w:bookmarkStart w:id="7" w:name="_Toc233455161"/>
      <w:bookmarkStart w:id="8" w:name="_Toc234887168"/>
      <w:bookmarkStart w:id="9" w:name="_Toc237532953"/>
      <w:r w:rsidRPr="0014727F">
        <w:rPr>
          <w:rFonts w:ascii="Arial" w:hAnsi="Arial" w:cs="Arial"/>
        </w:rPr>
        <w:t>2.1 Description of Health Visitor in Health and Social Care</w:t>
      </w:r>
      <w:bookmarkEnd w:id="7"/>
      <w:bookmarkEnd w:id="8"/>
      <w:bookmarkEnd w:id="9"/>
      <w:r w:rsidRPr="0014727F">
        <w:rPr>
          <w:rFonts w:ascii="Arial" w:hAnsi="Arial" w:cs="Arial"/>
        </w:rPr>
        <w:t xml:space="preserve"> </w:t>
      </w:r>
    </w:p>
    <w:p w14:paraId="2BF622F2" w14:textId="77777777" w:rsidR="00B14A4D" w:rsidRPr="0014727F" w:rsidRDefault="00B14A4D" w:rsidP="0014727F">
      <w:pPr>
        <w:spacing w:after="0" w:line="360" w:lineRule="auto"/>
        <w:jc w:val="both"/>
        <w:rPr>
          <w:rFonts w:ascii="Arial" w:hAnsi="Arial" w:cs="Arial"/>
          <w:sz w:val="22"/>
        </w:rPr>
      </w:pPr>
    </w:p>
    <w:p w14:paraId="1CA757FC" w14:textId="77777777" w:rsidR="00B14A4D" w:rsidRPr="007151D0" w:rsidRDefault="00B14A4D" w:rsidP="0014727F">
      <w:pPr>
        <w:spacing w:after="0" w:line="360" w:lineRule="auto"/>
        <w:jc w:val="both"/>
        <w:rPr>
          <w:rFonts w:ascii="Arial" w:hAnsi="Arial" w:cs="Arial"/>
          <w:sz w:val="22"/>
          <w:szCs w:val="22"/>
        </w:rPr>
      </w:pPr>
      <w:r w:rsidRPr="007151D0">
        <w:rPr>
          <w:rFonts w:ascii="Arial" w:hAnsi="Arial" w:cs="Arial"/>
          <w:sz w:val="22"/>
          <w:szCs w:val="22"/>
        </w:rPr>
        <w:t xml:space="preserve">The role of health visitors is fundamental to the health and social care service as they support children's health, development and wellbeing from birth to five years and help parents and families (Institute of Health Visiting, 2024; Public Health England, 2021). Health visitors are midwives or nurses trained as specialists in public health and are based in the community, with a focus on early help, preventing ill health and tackling health inequalities (Department of Health and Social Care, 2023). They are crucial as they can make a difference to a child's and family's future if health, developmental or safeguarding issues are spotted early (NICE, 2024). As they work closely with the general practitioner, the midwife, the social worker, schools and other health and social services, they are able to offer support and help children appropriately in the early years of their lives where children are at the heart of their care (UNICEF UK, 2023; NICE, 2023). </w:t>
      </w:r>
    </w:p>
    <w:p w14:paraId="5AE72F9E" w14:textId="77777777" w:rsidR="00B14A4D" w:rsidRPr="0014727F" w:rsidRDefault="00B14A4D" w:rsidP="0014727F">
      <w:pPr>
        <w:spacing w:after="0" w:line="360" w:lineRule="auto"/>
        <w:jc w:val="both"/>
        <w:rPr>
          <w:rFonts w:ascii="Arial" w:hAnsi="Arial" w:cs="Arial"/>
          <w:sz w:val="22"/>
        </w:rPr>
      </w:pPr>
    </w:p>
    <w:p w14:paraId="721AAEC4" w14:textId="77777777" w:rsidR="00B14A4D" w:rsidRPr="0014727F" w:rsidRDefault="00B14A4D" w:rsidP="0014727F">
      <w:pPr>
        <w:pStyle w:val="Heading2"/>
        <w:spacing w:line="360" w:lineRule="auto"/>
        <w:jc w:val="both"/>
        <w:rPr>
          <w:rFonts w:ascii="Arial" w:hAnsi="Arial" w:cs="Arial"/>
          <w:b/>
          <w:bCs/>
        </w:rPr>
      </w:pPr>
      <w:bookmarkStart w:id="10" w:name="_Toc234887169"/>
      <w:bookmarkStart w:id="11" w:name="_Toc237532954"/>
      <w:r w:rsidRPr="0014727F">
        <w:rPr>
          <w:rFonts w:ascii="Arial" w:hAnsi="Arial" w:cs="Arial"/>
        </w:rPr>
        <w:lastRenderedPageBreak/>
        <w:t>2.2 Explanation of Most Significant Skills Needed for Health Visitor in Health and Social Care</w:t>
      </w:r>
      <w:bookmarkEnd w:id="10"/>
      <w:bookmarkEnd w:id="11"/>
    </w:p>
    <w:p w14:paraId="04AF8467" w14:textId="77777777" w:rsidR="00B14A4D" w:rsidRPr="007151D0" w:rsidRDefault="00B14A4D" w:rsidP="0014727F">
      <w:pPr>
        <w:spacing w:after="0" w:line="360" w:lineRule="auto"/>
        <w:jc w:val="both"/>
        <w:rPr>
          <w:rFonts w:ascii="Arial" w:hAnsi="Arial" w:cs="Arial"/>
          <w:sz w:val="22"/>
          <w:szCs w:val="22"/>
        </w:rPr>
      </w:pPr>
      <w:r w:rsidRPr="007151D0">
        <w:rPr>
          <w:rFonts w:ascii="Arial" w:hAnsi="Arial" w:cs="Arial"/>
          <w:sz w:val="22"/>
          <w:szCs w:val="22"/>
        </w:rPr>
        <w:t xml:space="preserve">Communication is one of the most important skills needed by a health visitor as it helps to assess children accurately, to educate children and families about health and care and to build relationships of trust, understanding and friendship with children and families. Health visitors interact with parents from diverse cultural, educational and socioeconomic backgrounds and information needs to be clearly, sensitively and in a way that is comprehensible to parents (Health and Care Professions Council (HCPC), 2024). Also, collaborative working with other professionals such as GP, midwife, social worker and members of multi-professional teams is supported by strong communication. </w:t>
      </w:r>
    </w:p>
    <w:p w14:paraId="5D26BE59" w14:textId="77777777" w:rsidR="00B14A4D" w:rsidRPr="007151D0" w:rsidRDefault="00B14A4D" w:rsidP="0014727F">
      <w:pPr>
        <w:spacing w:after="0" w:line="360" w:lineRule="auto"/>
        <w:jc w:val="both"/>
        <w:rPr>
          <w:rFonts w:ascii="Arial" w:hAnsi="Arial" w:cs="Arial"/>
          <w:sz w:val="22"/>
          <w:szCs w:val="22"/>
        </w:rPr>
      </w:pPr>
      <w:r w:rsidRPr="007151D0">
        <w:rPr>
          <w:rFonts w:ascii="Arial" w:hAnsi="Arial" w:cs="Arial"/>
          <w:sz w:val="22"/>
          <w:szCs w:val="22"/>
        </w:rPr>
        <w:t xml:space="preserve">Another key skill is empathy as health visitors will often be supporting families facing emotional, social or financial issues. Empathy helps professionals to know what the parents are thinking, makes a connection and offer compassionate, family centred care without making assumptions and judgements (Thompson, 2020). When families feel valued, heard and understood they are more likely to participate in services. For example, during home visits a first-time mother with postnatal depression may feel anxious or overwhelmed. An empathetic health visitor can identify emotional distress, offer reassurance, discuss reassuring and supporting options with the mother and refer to mental health services when appropriate. </w:t>
      </w:r>
    </w:p>
    <w:p w14:paraId="592B27D7" w14:textId="77777777" w:rsidR="00B14A4D" w:rsidRPr="007151D0" w:rsidRDefault="00B14A4D" w:rsidP="0014727F">
      <w:pPr>
        <w:spacing w:after="0" w:line="360" w:lineRule="auto"/>
        <w:jc w:val="both"/>
        <w:rPr>
          <w:rFonts w:ascii="Arial" w:hAnsi="Arial" w:cs="Arial"/>
          <w:sz w:val="22"/>
          <w:szCs w:val="22"/>
        </w:rPr>
      </w:pPr>
      <w:r w:rsidRPr="007151D0">
        <w:rPr>
          <w:rFonts w:ascii="Arial" w:hAnsi="Arial" w:cs="Arial"/>
          <w:sz w:val="22"/>
          <w:szCs w:val="22"/>
        </w:rPr>
        <w:t xml:space="preserve">The other key skill is clinical decision making and assessment, as health visitors have to recognize health or safeguarding issues and make decisions on what to do. The skills will include gathering information, analysing evidence, identifying potential risks and making professional judgements to ensure the wellbeing of children and families (Nursing and Midwifery Council (NMC), 2024). The physical development, developmental progress, nutrition and home environment of children are routinely assessed and children are identified as being at risk of neglect or harm by health visitors. If a home visiting programme is repeated and there is a weight gain issue, delayed speech development and parental substance misuse is an issue, then the health visitor needs to consider the evidence, liaise with the other safeguarding professionals and make suitable referrals. </w:t>
      </w:r>
    </w:p>
    <w:p w14:paraId="25FEBC58" w14:textId="77777777" w:rsidR="00B14A4D" w:rsidRPr="007151D0" w:rsidRDefault="00B14A4D" w:rsidP="0014727F">
      <w:pPr>
        <w:spacing w:after="0" w:line="360" w:lineRule="auto"/>
        <w:jc w:val="both"/>
        <w:rPr>
          <w:rFonts w:ascii="Arial" w:hAnsi="Arial" w:cs="Arial"/>
          <w:sz w:val="22"/>
          <w:szCs w:val="22"/>
        </w:rPr>
      </w:pPr>
      <w:r w:rsidRPr="007151D0">
        <w:rPr>
          <w:rFonts w:ascii="Arial" w:hAnsi="Arial" w:cs="Arial"/>
          <w:sz w:val="22"/>
          <w:szCs w:val="22"/>
        </w:rPr>
        <w:t xml:space="preserve">The lack of these basic skills can have negative implications for children, families and health services. Poor communication can lead to parents not understanding key health information, which can lead to missed immunizations, reduced engagement in health services or inappropriate infant feeding practices. Families may not be willing to share important information about domestic abuse, mental health or safeguarding concerns with practitioners if they do not have empathy. Likewise, poor assessment and decision-making competencies can result in delayed identification of developmental issues or concerns related to child </w:t>
      </w:r>
      <w:r w:rsidRPr="007151D0">
        <w:rPr>
          <w:rFonts w:ascii="Arial" w:hAnsi="Arial" w:cs="Arial"/>
          <w:sz w:val="22"/>
          <w:szCs w:val="22"/>
        </w:rPr>
        <w:lastRenderedPageBreak/>
        <w:t>protection, increasing children's potential for harm. The Health and Care Professions Council (HCPC 2024) states that good communication, sound professional judgement and person-centred practice are essential in the delivery of safe and quality care by professionals working in health and social care. It is essential that these three skills are part of every health visitor's toolkit in order to safeguard children, support families and contribute to health visitor public health role.</w:t>
      </w:r>
    </w:p>
    <w:p w14:paraId="388C3165" w14:textId="77777777" w:rsidR="00B14A4D" w:rsidRPr="0014727F" w:rsidRDefault="00B14A4D" w:rsidP="0014727F">
      <w:pPr>
        <w:spacing w:after="0" w:line="360" w:lineRule="auto"/>
        <w:jc w:val="both"/>
        <w:rPr>
          <w:rFonts w:ascii="Arial" w:hAnsi="Arial" w:cs="Arial"/>
          <w:sz w:val="22"/>
        </w:rPr>
      </w:pPr>
    </w:p>
    <w:p w14:paraId="754FB6B8" w14:textId="77777777" w:rsidR="00B14A4D" w:rsidRPr="0014727F" w:rsidRDefault="00B14A4D" w:rsidP="0014727F">
      <w:pPr>
        <w:pStyle w:val="Heading2"/>
        <w:spacing w:line="360" w:lineRule="auto"/>
        <w:jc w:val="both"/>
        <w:rPr>
          <w:rFonts w:ascii="Arial" w:hAnsi="Arial" w:cs="Arial"/>
          <w:b/>
          <w:bCs/>
        </w:rPr>
      </w:pPr>
      <w:bookmarkStart w:id="12" w:name="_Toc234887170"/>
      <w:bookmarkStart w:id="13" w:name="_Toc237532955"/>
      <w:r w:rsidRPr="0014727F">
        <w:rPr>
          <w:rFonts w:ascii="Arial" w:hAnsi="Arial" w:cs="Arial"/>
          <w:b/>
          <w:bCs/>
        </w:rPr>
        <w:t>3 Strategies for Skill Improvement for Health Visitor</w:t>
      </w:r>
      <w:bookmarkEnd w:id="12"/>
      <w:bookmarkEnd w:id="13"/>
    </w:p>
    <w:p w14:paraId="0E21B88B" w14:textId="77777777" w:rsidR="00B14A4D" w:rsidRPr="0014727F" w:rsidRDefault="00B14A4D" w:rsidP="0014727F">
      <w:pPr>
        <w:pStyle w:val="Heading2"/>
        <w:spacing w:line="360" w:lineRule="auto"/>
        <w:jc w:val="both"/>
        <w:rPr>
          <w:rFonts w:ascii="Arial" w:hAnsi="Arial" w:cs="Arial"/>
        </w:rPr>
      </w:pPr>
      <w:bookmarkStart w:id="14" w:name="_Toc233455164"/>
      <w:bookmarkStart w:id="15" w:name="_Toc234887171"/>
      <w:bookmarkStart w:id="16" w:name="_Toc237532956"/>
      <w:r w:rsidRPr="0014727F">
        <w:rPr>
          <w:rFonts w:ascii="Arial" w:hAnsi="Arial" w:cs="Arial"/>
        </w:rPr>
        <w:t>3.1 Three Strategies to Improve the Skills for Health Visitor</w:t>
      </w:r>
      <w:bookmarkEnd w:id="14"/>
      <w:bookmarkEnd w:id="15"/>
      <w:bookmarkEnd w:id="16"/>
    </w:p>
    <w:p w14:paraId="3576A83C" w14:textId="77777777" w:rsidR="00B14A4D" w:rsidRPr="007151D0" w:rsidRDefault="00B14A4D" w:rsidP="0014727F">
      <w:pPr>
        <w:spacing w:after="0" w:line="360" w:lineRule="auto"/>
        <w:jc w:val="both"/>
        <w:rPr>
          <w:rFonts w:ascii="Arial" w:hAnsi="Arial" w:cs="Arial"/>
          <w:sz w:val="22"/>
          <w:szCs w:val="22"/>
        </w:rPr>
      </w:pPr>
      <w:r w:rsidRPr="007151D0">
        <w:rPr>
          <w:rFonts w:ascii="Arial" w:hAnsi="Arial" w:cs="Arial"/>
          <w:sz w:val="22"/>
          <w:szCs w:val="22"/>
        </w:rPr>
        <w:t xml:space="preserve">Professional communication training has been recognised as a key method of enhancing communication with service users and multi-disciplinary team and therefore is an effective way to strengthen communication skills. Structured communication training fosters active listening, questioning abilities, health education competencies and clear and compassionate delivery of complex health information (Health and Care Professions Council (HCPC), 2024). This strategy is especially useful as health visitors provide information to parents regularly on a range of issues including breastfeeding, childhood immunisations, nutrition and child development, which are not necessarily the same topics for every cultural group and socio-economic group. </w:t>
      </w:r>
    </w:p>
    <w:p w14:paraId="614CA720" w14:textId="10ED87A3" w:rsidR="00B14A4D" w:rsidRPr="007151D0" w:rsidRDefault="00B14A4D" w:rsidP="0014727F">
      <w:pPr>
        <w:spacing w:after="0" w:line="360" w:lineRule="auto"/>
        <w:jc w:val="both"/>
        <w:rPr>
          <w:rFonts w:ascii="Arial" w:hAnsi="Arial" w:cs="Arial"/>
          <w:sz w:val="22"/>
          <w:szCs w:val="22"/>
        </w:rPr>
      </w:pPr>
      <w:r w:rsidRPr="007151D0">
        <w:rPr>
          <w:rFonts w:ascii="Arial" w:hAnsi="Arial" w:cs="Arial"/>
          <w:sz w:val="22"/>
          <w:szCs w:val="22"/>
        </w:rPr>
        <w:t xml:space="preserve">Reflective practice can be used to build capacity for empathy and involves health professionals critically reviewing their experiences, feelings and professional reactions after engaging with service users. Reflective practice helps health visitors to highlight what they have done well, understand what they need to improve and be more aware of the emotional needs of families (Nursing and Midwifery Council (NMC), 2024). Reflection is also a part of professional resilience by allowing practitioners to learn from difficult situations whilst keeping professional boundaries. For example a health visitor who has supported a mother with postpartum depression might look back at how well they communicated with her, the emotional support they gave and if they might have made earlier referrals. The process allows for continuous learning and will enable future interactions to be more compassionate, responsive and person centred (Nursing and Midwifery Council, 2024). </w:t>
      </w:r>
    </w:p>
    <w:p w14:paraId="0B1A7277" w14:textId="36A77C81" w:rsidR="00EB160C" w:rsidRPr="007151D0" w:rsidRDefault="00EB160C" w:rsidP="0014727F">
      <w:pPr>
        <w:spacing w:after="0" w:line="360" w:lineRule="auto"/>
        <w:jc w:val="both"/>
        <w:rPr>
          <w:rFonts w:ascii="Arial" w:hAnsi="Arial" w:cs="Arial"/>
          <w:sz w:val="22"/>
          <w:szCs w:val="22"/>
        </w:rPr>
      </w:pPr>
      <w:r w:rsidRPr="007151D0">
        <w:rPr>
          <w:rFonts w:ascii="Arial" w:hAnsi="Arial" w:cs="Arial"/>
          <w:sz w:val="22"/>
          <w:szCs w:val="22"/>
        </w:rPr>
        <w:t xml:space="preserve">Assessment and clinical decision making is also an important aspect of a health visitor's practice and interaction with families and is fundamental in enhancing practice. This includes the capacity to systematically collect relevant data, to identify early warning signs and to make timely and evidence-based decisions regarding a child's health, development or safeguarding needs (National Institute for Health and Care Excellence (NICE), 2024). By developing this skill, health visitors can identify a normal variation in child development and where further </w:t>
      </w:r>
      <w:r w:rsidRPr="007151D0">
        <w:rPr>
          <w:rFonts w:ascii="Arial" w:hAnsi="Arial" w:cs="Arial"/>
          <w:sz w:val="22"/>
          <w:szCs w:val="22"/>
        </w:rPr>
        <w:lastRenderedPageBreak/>
        <w:t>intervention or referral is indicated, minimise the risk of missed concerns. For instance, if a health visitor is observing a baby who is not gaining weight well, they will need to consider the clinical factors along with family factors before making the decision to refer to the GP or safeguarding team. Structured assessment instruments and ongoing learning and training in decision-making help to ensure consistency and confidence in practice. This ends up enhancing clinical security and the trust families have in their health visitor.</w:t>
      </w:r>
    </w:p>
    <w:p w14:paraId="47A2B78C" w14:textId="77777777" w:rsidR="00DB3A81" w:rsidRDefault="00DB3A81" w:rsidP="0014727F">
      <w:pPr>
        <w:pStyle w:val="Heading2"/>
        <w:spacing w:line="360" w:lineRule="auto"/>
        <w:jc w:val="both"/>
        <w:rPr>
          <w:rFonts w:ascii="Arial" w:hAnsi="Arial" w:cs="Arial"/>
          <w:lang w:val="en-GB"/>
        </w:rPr>
      </w:pPr>
      <w:bookmarkStart w:id="17" w:name="_Toc233455165"/>
      <w:bookmarkStart w:id="18" w:name="_Toc234887172"/>
      <w:bookmarkStart w:id="19" w:name="_Toc237532957"/>
    </w:p>
    <w:p w14:paraId="54B464C5" w14:textId="6DC55D8C" w:rsidR="00B14A4D" w:rsidRPr="0014727F" w:rsidRDefault="00B14A4D" w:rsidP="0014727F">
      <w:pPr>
        <w:pStyle w:val="Heading2"/>
        <w:spacing w:line="360" w:lineRule="auto"/>
        <w:jc w:val="both"/>
        <w:rPr>
          <w:rFonts w:ascii="Arial" w:hAnsi="Arial" w:cs="Arial"/>
        </w:rPr>
      </w:pPr>
      <w:r w:rsidRPr="0014727F">
        <w:rPr>
          <w:rFonts w:ascii="Arial" w:hAnsi="Arial" w:cs="Arial"/>
        </w:rPr>
        <w:t>4 Conclusion</w:t>
      </w:r>
      <w:bookmarkEnd w:id="17"/>
      <w:bookmarkEnd w:id="18"/>
      <w:bookmarkEnd w:id="19"/>
    </w:p>
    <w:p w14:paraId="0F22ADAE" w14:textId="77777777" w:rsidR="00B14A4D" w:rsidRPr="007151D0" w:rsidRDefault="00B14A4D" w:rsidP="0014727F">
      <w:pPr>
        <w:spacing w:line="360" w:lineRule="auto"/>
        <w:jc w:val="both"/>
        <w:rPr>
          <w:rFonts w:ascii="Arial" w:hAnsi="Arial" w:cs="Arial"/>
          <w:sz w:val="22"/>
          <w:szCs w:val="22"/>
        </w:rPr>
      </w:pPr>
      <w:r w:rsidRPr="007151D0">
        <w:rPr>
          <w:rFonts w:ascii="Arial" w:hAnsi="Arial" w:cs="Arial"/>
          <w:sz w:val="22"/>
          <w:szCs w:val="22"/>
        </w:rPr>
        <w:t>The health visitor's role is significant in supporting children and families in all aspects of health and wellbeing by providing developmental support, health education, safeguarding and early intervention. This report has highlighted the importance of effective communication, empathy and clinical decision making for health visitors to provide safe, family centred and evidence based care (Nursing and Midwifery Council, 2024). It has also identified that communication training, reflective practice and continuous professional development are good ways of enhancing these professional skills and practice (Skills for Care, 2024). In total, the development of competent and compassionate health visitors is a core part of providing children, families and communities with high quality health care and social care services and improved longer-term outcomes (Public Health England, 2021; Department of Health and Social Care, 2023).</w:t>
      </w:r>
    </w:p>
    <w:p w14:paraId="406DACE0" w14:textId="77777777" w:rsidR="00F03409" w:rsidRPr="0014727F" w:rsidRDefault="00F03409" w:rsidP="0014727F">
      <w:pPr>
        <w:spacing w:line="360" w:lineRule="auto"/>
        <w:jc w:val="both"/>
        <w:rPr>
          <w:rFonts w:ascii="Arial" w:hAnsi="Arial" w:cs="Arial"/>
          <w:sz w:val="22"/>
        </w:rPr>
      </w:pPr>
    </w:p>
    <w:p w14:paraId="4A8DDDD9" w14:textId="77777777" w:rsidR="00F03409" w:rsidRPr="0014727F" w:rsidRDefault="00F03409" w:rsidP="0014727F">
      <w:pPr>
        <w:pStyle w:val="Heading2"/>
        <w:spacing w:line="360" w:lineRule="auto"/>
        <w:jc w:val="both"/>
        <w:rPr>
          <w:rFonts w:ascii="Arial" w:hAnsi="Arial" w:cs="Arial"/>
          <w:b/>
          <w:bCs/>
        </w:rPr>
      </w:pPr>
      <w:bookmarkStart w:id="20" w:name="_Toc234887173"/>
      <w:bookmarkStart w:id="21" w:name="_Toc237532958"/>
      <w:r w:rsidRPr="0014727F">
        <w:rPr>
          <w:rFonts w:ascii="Arial" w:hAnsi="Arial" w:cs="Arial"/>
        </w:rPr>
        <w:t>5 Reference List</w:t>
      </w:r>
      <w:bookmarkEnd w:id="20"/>
      <w:bookmarkEnd w:id="21"/>
    </w:p>
    <w:p w14:paraId="3F84AAD2" w14:textId="77777777" w:rsidR="00F03409" w:rsidRPr="007151D0" w:rsidRDefault="00F03409" w:rsidP="0014727F">
      <w:pPr>
        <w:spacing w:line="360" w:lineRule="auto"/>
        <w:jc w:val="both"/>
        <w:rPr>
          <w:rFonts w:ascii="Arial" w:hAnsi="Arial" w:cs="Arial"/>
          <w:sz w:val="22"/>
          <w:szCs w:val="22"/>
        </w:rPr>
      </w:pPr>
    </w:p>
    <w:p w14:paraId="261D033E" w14:textId="0A3830D6" w:rsidR="00EB4194" w:rsidRPr="00AE3BA6" w:rsidRDefault="00EB4194" w:rsidP="00EB4194">
      <w:pPr>
        <w:spacing w:line="360" w:lineRule="auto"/>
        <w:jc w:val="both"/>
        <w:rPr>
          <w:rFonts w:ascii="Arial" w:hAnsi="Arial" w:cs="Arial"/>
          <w:sz w:val="22"/>
          <w:szCs w:val="22"/>
          <w:lang w:val="en-GB"/>
        </w:rPr>
      </w:pPr>
      <w:r w:rsidRPr="007151D0">
        <w:rPr>
          <w:rFonts w:ascii="Arial" w:hAnsi="Arial" w:cs="Arial"/>
          <w:sz w:val="22"/>
          <w:szCs w:val="22"/>
        </w:rPr>
        <w:t xml:space="preserve">Department of Health and Social Care (2023) </w:t>
      </w:r>
      <w:r w:rsidRPr="007151D0">
        <w:rPr>
          <w:rFonts w:ascii="Arial" w:hAnsi="Arial" w:cs="Arial"/>
          <w:i/>
          <w:iCs/>
          <w:sz w:val="22"/>
          <w:szCs w:val="22"/>
        </w:rPr>
        <w:t>Healthy child programme: Pregnancy and the first 5 years of life</w:t>
      </w:r>
      <w:r w:rsidRPr="007151D0">
        <w:rPr>
          <w:rFonts w:ascii="Arial" w:hAnsi="Arial" w:cs="Arial"/>
          <w:sz w:val="22"/>
          <w:szCs w:val="22"/>
        </w:rPr>
        <w:t xml:space="preserve">. Available at: </w:t>
      </w:r>
      <w:hyperlink r:id="rId9" w:history="1">
        <w:r w:rsidRPr="007151D0">
          <w:rPr>
            <w:rStyle w:val="Hyperlink"/>
            <w:rFonts w:ascii="Arial" w:hAnsi="Arial" w:cs="Arial"/>
            <w:sz w:val="22"/>
            <w:szCs w:val="22"/>
          </w:rPr>
          <w:t>https://www.gov.uk/government/publications/healthy-child-programme-pregnancy-and-the-first-5-years-of-life</w:t>
        </w:r>
      </w:hyperlink>
      <w:r w:rsidR="00AE3BA6">
        <w:rPr>
          <w:rFonts w:ascii="Arial" w:hAnsi="Arial" w:cs="Arial"/>
          <w:sz w:val="22"/>
          <w:szCs w:val="22"/>
          <w:lang w:val="en-GB"/>
        </w:rPr>
        <w:t xml:space="preserve"> (</w:t>
      </w:r>
      <w:r w:rsidR="0002186C">
        <w:rPr>
          <w:rFonts w:ascii="Arial" w:hAnsi="Arial" w:cs="Arial"/>
          <w:sz w:val="22"/>
          <w:szCs w:val="22"/>
          <w:lang w:val="en-GB"/>
        </w:rPr>
        <w:t>A</w:t>
      </w:r>
      <w:r w:rsidR="00E44D94">
        <w:rPr>
          <w:rFonts w:ascii="Arial" w:hAnsi="Arial" w:cs="Arial"/>
          <w:sz w:val="22"/>
          <w:szCs w:val="22"/>
          <w:lang w:val="en-GB"/>
        </w:rPr>
        <w:t>ccessed 5 July 2026).</w:t>
      </w:r>
    </w:p>
    <w:p w14:paraId="421227E2" w14:textId="1D78E778" w:rsidR="00EB4194" w:rsidRPr="00B9603B" w:rsidRDefault="00EB4194" w:rsidP="00EB4194">
      <w:pPr>
        <w:spacing w:line="360" w:lineRule="auto"/>
        <w:jc w:val="both"/>
        <w:rPr>
          <w:rFonts w:ascii="Arial" w:hAnsi="Arial" w:cs="Arial"/>
          <w:sz w:val="22"/>
          <w:szCs w:val="22"/>
          <w:lang w:val="en-GB"/>
        </w:rPr>
      </w:pPr>
      <w:r w:rsidRPr="007151D0">
        <w:rPr>
          <w:rFonts w:ascii="Arial" w:hAnsi="Arial" w:cs="Arial"/>
          <w:sz w:val="22"/>
          <w:szCs w:val="22"/>
        </w:rPr>
        <w:t xml:space="preserve">Health and Care Professions Council (2024) </w:t>
      </w:r>
      <w:r w:rsidRPr="007151D0">
        <w:rPr>
          <w:rFonts w:ascii="Arial" w:hAnsi="Arial" w:cs="Arial"/>
          <w:i/>
          <w:iCs/>
          <w:sz w:val="22"/>
          <w:szCs w:val="22"/>
        </w:rPr>
        <w:t>Standards of proficiency: Specialist community public health nurses</w:t>
      </w:r>
      <w:r w:rsidRPr="007151D0">
        <w:rPr>
          <w:rFonts w:ascii="Arial" w:hAnsi="Arial" w:cs="Arial"/>
          <w:sz w:val="22"/>
          <w:szCs w:val="22"/>
        </w:rPr>
        <w:t xml:space="preserve">. Available at: </w:t>
      </w:r>
      <w:hyperlink r:id="rId10" w:history="1">
        <w:r w:rsidRPr="007151D0">
          <w:rPr>
            <w:rStyle w:val="Hyperlink"/>
            <w:rFonts w:ascii="Arial" w:hAnsi="Arial" w:cs="Arial"/>
            <w:sz w:val="22"/>
            <w:szCs w:val="22"/>
          </w:rPr>
          <w:t>https://www.nmc.org.uk/standards/standards-for-post-registration/standards-of-proficiency-for-specialist-community-public-health-nurses2/</w:t>
        </w:r>
      </w:hyperlink>
      <w:r w:rsidR="00B9603B">
        <w:rPr>
          <w:rFonts w:ascii="Arial" w:hAnsi="Arial" w:cs="Arial"/>
          <w:sz w:val="22"/>
          <w:szCs w:val="22"/>
          <w:lang w:val="en-GB"/>
        </w:rPr>
        <w:t xml:space="preserve"> (A</w:t>
      </w:r>
      <w:r w:rsidR="00457B24">
        <w:rPr>
          <w:rFonts w:ascii="Arial" w:hAnsi="Arial" w:cs="Arial"/>
          <w:sz w:val="22"/>
          <w:szCs w:val="22"/>
          <w:lang w:val="en-GB"/>
        </w:rPr>
        <w:t>ccessed 12 July 2026).</w:t>
      </w:r>
    </w:p>
    <w:p w14:paraId="4D90D215" w14:textId="1E90FD66" w:rsidR="00EB4194" w:rsidRPr="00457B24" w:rsidRDefault="00EB4194" w:rsidP="00EB4194">
      <w:pPr>
        <w:spacing w:line="360" w:lineRule="auto"/>
        <w:jc w:val="both"/>
        <w:rPr>
          <w:rFonts w:ascii="Arial" w:hAnsi="Arial" w:cs="Arial"/>
          <w:sz w:val="22"/>
          <w:szCs w:val="22"/>
          <w:lang w:val="en-GB"/>
        </w:rPr>
      </w:pPr>
      <w:r w:rsidRPr="007151D0">
        <w:rPr>
          <w:rFonts w:ascii="Arial" w:hAnsi="Arial" w:cs="Arial"/>
          <w:sz w:val="22"/>
          <w:szCs w:val="22"/>
        </w:rPr>
        <w:t xml:space="preserve">Institute of Health Visiting (2024) </w:t>
      </w:r>
      <w:r w:rsidRPr="007151D0">
        <w:rPr>
          <w:rFonts w:ascii="Arial" w:hAnsi="Arial" w:cs="Arial"/>
          <w:i/>
          <w:iCs/>
          <w:sz w:val="22"/>
          <w:szCs w:val="22"/>
        </w:rPr>
        <w:t>About health visiting</w:t>
      </w:r>
      <w:r w:rsidRPr="007151D0">
        <w:rPr>
          <w:rFonts w:ascii="Arial" w:hAnsi="Arial" w:cs="Arial"/>
          <w:sz w:val="22"/>
          <w:szCs w:val="22"/>
        </w:rPr>
        <w:t xml:space="preserve">. Available at: </w:t>
      </w:r>
      <w:hyperlink r:id="rId11" w:history="1">
        <w:r w:rsidRPr="007151D0">
          <w:rPr>
            <w:rStyle w:val="Hyperlink"/>
            <w:rFonts w:ascii="Arial" w:hAnsi="Arial" w:cs="Arial"/>
            <w:sz w:val="22"/>
            <w:szCs w:val="22"/>
          </w:rPr>
          <w:t>https://ihv.org.uk/about-us/</w:t>
        </w:r>
      </w:hyperlink>
      <w:r w:rsidR="00457B24">
        <w:rPr>
          <w:rFonts w:ascii="Arial" w:hAnsi="Arial" w:cs="Arial"/>
          <w:sz w:val="22"/>
          <w:szCs w:val="22"/>
          <w:lang w:val="en-GB"/>
        </w:rPr>
        <w:t xml:space="preserve"> (</w:t>
      </w:r>
      <w:r w:rsidR="003A2C13">
        <w:rPr>
          <w:rFonts w:ascii="Arial" w:hAnsi="Arial" w:cs="Arial"/>
          <w:sz w:val="22"/>
          <w:szCs w:val="22"/>
          <w:lang w:val="en-GB"/>
        </w:rPr>
        <w:t xml:space="preserve">Accessed  5 </w:t>
      </w:r>
      <w:r w:rsidR="0078415D">
        <w:rPr>
          <w:rFonts w:ascii="Arial" w:hAnsi="Arial" w:cs="Arial"/>
          <w:sz w:val="22"/>
          <w:szCs w:val="22"/>
          <w:lang w:val="en-GB"/>
        </w:rPr>
        <w:t>July</w:t>
      </w:r>
      <w:r w:rsidR="003A2C13">
        <w:rPr>
          <w:rFonts w:ascii="Arial" w:hAnsi="Arial" w:cs="Arial"/>
          <w:sz w:val="22"/>
          <w:szCs w:val="22"/>
          <w:lang w:val="en-GB"/>
        </w:rPr>
        <w:t xml:space="preserve"> 2026</w:t>
      </w:r>
      <w:r w:rsidR="0078415D">
        <w:rPr>
          <w:rFonts w:ascii="Arial" w:hAnsi="Arial" w:cs="Arial"/>
          <w:sz w:val="22"/>
          <w:szCs w:val="22"/>
          <w:lang w:val="en-GB"/>
        </w:rPr>
        <w:t>).</w:t>
      </w:r>
    </w:p>
    <w:p w14:paraId="47D84652" w14:textId="103EBC71" w:rsidR="00EB4194" w:rsidRPr="0078415D" w:rsidRDefault="00EB4194" w:rsidP="00EB4194">
      <w:pPr>
        <w:spacing w:line="360" w:lineRule="auto"/>
        <w:jc w:val="both"/>
        <w:rPr>
          <w:rFonts w:ascii="Arial" w:hAnsi="Arial" w:cs="Arial"/>
          <w:sz w:val="22"/>
          <w:szCs w:val="22"/>
          <w:lang w:val="en-GB"/>
        </w:rPr>
      </w:pPr>
      <w:r w:rsidRPr="007151D0">
        <w:rPr>
          <w:rFonts w:ascii="Arial" w:hAnsi="Arial" w:cs="Arial"/>
          <w:sz w:val="22"/>
          <w:szCs w:val="22"/>
        </w:rPr>
        <w:lastRenderedPageBreak/>
        <w:t xml:space="preserve">National Institute for Health and Care Excellence (2023) </w:t>
      </w:r>
      <w:r w:rsidRPr="007151D0">
        <w:rPr>
          <w:rFonts w:ascii="Arial" w:hAnsi="Arial" w:cs="Arial"/>
          <w:i/>
          <w:iCs/>
          <w:sz w:val="22"/>
          <w:szCs w:val="22"/>
        </w:rPr>
        <w:t>Postnatal care</w:t>
      </w:r>
      <w:r w:rsidRPr="007151D0">
        <w:rPr>
          <w:rFonts w:ascii="Arial" w:hAnsi="Arial" w:cs="Arial"/>
          <w:sz w:val="22"/>
          <w:szCs w:val="22"/>
        </w:rPr>
        <w:t xml:space="preserve"> (NICE Guideline NG194). Available at: </w:t>
      </w:r>
      <w:hyperlink r:id="rId12" w:history="1">
        <w:r w:rsidRPr="007151D0">
          <w:rPr>
            <w:rStyle w:val="Hyperlink"/>
            <w:rFonts w:ascii="Arial" w:hAnsi="Arial" w:cs="Arial"/>
            <w:sz w:val="22"/>
            <w:szCs w:val="22"/>
          </w:rPr>
          <w:t>https://www.nice.org.uk/guidance/ng194</w:t>
        </w:r>
      </w:hyperlink>
      <w:r w:rsidR="0078415D">
        <w:rPr>
          <w:rFonts w:ascii="Arial" w:hAnsi="Arial" w:cs="Arial"/>
          <w:sz w:val="22"/>
          <w:szCs w:val="22"/>
          <w:lang w:val="en-GB"/>
        </w:rPr>
        <w:t xml:space="preserve"> (Accessed </w:t>
      </w:r>
      <w:r w:rsidR="00DB09C9">
        <w:rPr>
          <w:rFonts w:ascii="Arial" w:hAnsi="Arial" w:cs="Arial"/>
          <w:sz w:val="22"/>
          <w:szCs w:val="22"/>
          <w:lang w:val="en-GB"/>
        </w:rPr>
        <w:t>5 July 2026).</w:t>
      </w:r>
    </w:p>
    <w:p w14:paraId="5288C1C9" w14:textId="00E56C3E" w:rsidR="00DA2275" w:rsidRPr="00506ECF" w:rsidRDefault="00EB4194" w:rsidP="00DA2275">
      <w:pPr>
        <w:pStyle w:val="p1"/>
        <w:rPr>
          <w:sz w:val="22"/>
          <w:szCs w:val="22"/>
        </w:rPr>
      </w:pPr>
      <w:r w:rsidRPr="00506ECF">
        <w:rPr>
          <w:sz w:val="22"/>
          <w:szCs w:val="22"/>
        </w:rPr>
        <w:t xml:space="preserve">National Institute for Health and Care Excellence (2024) </w:t>
      </w:r>
      <w:r w:rsidRPr="00506ECF">
        <w:rPr>
          <w:i/>
          <w:iCs/>
          <w:sz w:val="22"/>
          <w:szCs w:val="22"/>
        </w:rPr>
        <w:t>Child abuse and neglect</w:t>
      </w:r>
      <w:r w:rsidRPr="00506ECF">
        <w:rPr>
          <w:sz w:val="22"/>
          <w:szCs w:val="22"/>
        </w:rPr>
        <w:t xml:space="preserve"> (NICE Guideline NG76). </w:t>
      </w:r>
      <w:r w:rsidR="00DA2275" w:rsidRPr="00506ECF">
        <w:rPr>
          <w:sz w:val="22"/>
          <w:szCs w:val="22"/>
        </w:rPr>
        <w:t xml:space="preserve">Available at: </w:t>
      </w:r>
      <w:r w:rsidR="00DA2275" w:rsidRPr="00506ECF">
        <w:rPr>
          <w:rStyle w:val="s1"/>
          <w:sz w:val="22"/>
          <w:szCs w:val="22"/>
        </w:rPr>
        <w:t>https://www.nice.org.uk/guidance/ng76</w:t>
      </w:r>
      <w:r w:rsidR="00DA2275" w:rsidRPr="00506ECF">
        <w:rPr>
          <w:sz w:val="22"/>
          <w:szCs w:val="22"/>
        </w:rPr>
        <w:t xml:space="preserve"> (Accessed 3 August</w:t>
      </w:r>
    </w:p>
    <w:p w14:paraId="637F2A3D" w14:textId="77777777" w:rsidR="00DA2275" w:rsidRPr="00506ECF" w:rsidRDefault="00DA2275" w:rsidP="00DA2275">
      <w:pPr>
        <w:pStyle w:val="p1"/>
        <w:rPr>
          <w:sz w:val="22"/>
          <w:szCs w:val="22"/>
        </w:rPr>
      </w:pPr>
      <w:r w:rsidRPr="00506ECF">
        <w:rPr>
          <w:sz w:val="22"/>
          <w:szCs w:val="22"/>
        </w:rPr>
        <w:t>2026).</w:t>
      </w:r>
    </w:p>
    <w:p w14:paraId="01F1CB53" w14:textId="77777777" w:rsidR="00F55FCF" w:rsidRDefault="00F55FCF" w:rsidP="00EB4194">
      <w:pPr>
        <w:spacing w:line="360" w:lineRule="auto"/>
        <w:jc w:val="both"/>
        <w:rPr>
          <w:rFonts w:ascii="Arial" w:hAnsi="Arial" w:cs="Arial"/>
          <w:sz w:val="22"/>
          <w:szCs w:val="22"/>
          <w:lang w:val="en-GB"/>
        </w:rPr>
      </w:pPr>
    </w:p>
    <w:p w14:paraId="7DDE74AE" w14:textId="7274B287" w:rsidR="00EB4194" w:rsidRPr="00DD72FB" w:rsidRDefault="00EB4194" w:rsidP="00EB4194">
      <w:pPr>
        <w:spacing w:line="360" w:lineRule="auto"/>
        <w:jc w:val="both"/>
        <w:rPr>
          <w:rFonts w:ascii="Arial" w:hAnsi="Arial" w:cs="Arial"/>
          <w:sz w:val="22"/>
          <w:szCs w:val="22"/>
          <w:lang w:val="en-GB"/>
        </w:rPr>
      </w:pPr>
      <w:r w:rsidRPr="007151D0">
        <w:rPr>
          <w:rFonts w:ascii="Arial" w:hAnsi="Arial" w:cs="Arial"/>
          <w:sz w:val="22"/>
          <w:szCs w:val="22"/>
        </w:rPr>
        <w:t xml:space="preserve">Nursing and Midwifery Council (2024) </w:t>
      </w:r>
      <w:r w:rsidRPr="007151D0">
        <w:rPr>
          <w:rFonts w:ascii="Arial" w:hAnsi="Arial" w:cs="Arial"/>
          <w:i/>
          <w:iCs/>
          <w:sz w:val="22"/>
          <w:szCs w:val="22"/>
        </w:rPr>
        <w:t>The Code: Professional standards of practice and behaviour for nurses, midwives and nursing associates</w:t>
      </w:r>
      <w:r w:rsidRPr="007151D0">
        <w:rPr>
          <w:rFonts w:ascii="Arial" w:hAnsi="Arial" w:cs="Arial"/>
          <w:sz w:val="22"/>
          <w:szCs w:val="22"/>
        </w:rPr>
        <w:t xml:space="preserve">. Available at: </w:t>
      </w:r>
      <w:hyperlink r:id="rId13" w:history="1">
        <w:r w:rsidRPr="007151D0">
          <w:rPr>
            <w:rStyle w:val="Hyperlink"/>
            <w:rFonts w:ascii="Arial" w:hAnsi="Arial" w:cs="Arial"/>
            <w:sz w:val="22"/>
            <w:szCs w:val="22"/>
          </w:rPr>
          <w:t>https://www.nmc.org.uk/standards/code/</w:t>
        </w:r>
      </w:hyperlink>
      <w:r w:rsidR="00DD72FB">
        <w:rPr>
          <w:rFonts w:ascii="Arial" w:hAnsi="Arial" w:cs="Arial"/>
          <w:sz w:val="22"/>
          <w:szCs w:val="22"/>
          <w:lang w:val="en-GB"/>
        </w:rPr>
        <w:t xml:space="preserve"> </w:t>
      </w:r>
      <w:r w:rsidR="00BA46C9">
        <w:rPr>
          <w:rFonts w:ascii="Arial" w:hAnsi="Arial" w:cs="Arial"/>
          <w:sz w:val="22"/>
          <w:szCs w:val="22"/>
          <w:lang w:val="en-GB"/>
        </w:rPr>
        <w:t>(Accessed 8 August 2026).</w:t>
      </w:r>
    </w:p>
    <w:p w14:paraId="5A2F426D" w14:textId="634411FD" w:rsidR="00EB4194" w:rsidRPr="00BA46C9" w:rsidRDefault="00EB4194" w:rsidP="00EB4194">
      <w:pPr>
        <w:spacing w:line="360" w:lineRule="auto"/>
        <w:jc w:val="both"/>
        <w:rPr>
          <w:rFonts w:ascii="Arial" w:hAnsi="Arial" w:cs="Arial"/>
          <w:sz w:val="22"/>
          <w:szCs w:val="22"/>
          <w:lang w:val="en-GB"/>
        </w:rPr>
      </w:pPr>
      <w:r w:rsidRPr="007151D0">
        <w:rPr>
          <w:rFonts w:ascii="Arial" w:hAnsi="Arial" w:cs="Arial"/>
          <w:sz w:val="22"/>
          <w:szCs w:val="22"/>
        </w:rPr>
        <w:t xml:space="preserve">Public Health England (2021) </w:t>
      </w:r>
      <w:r w:rsidRPr="007151D0">
        <w:rPr>
          <w:rFonts w:ascii="Arial" w:hAnsi="Arial" w:cs="Arial"/>
          <w:i/>
          <w:iCs/>
          <w:sz w:val="22"/>
          <w:szCs w:val="22"/>
        </w:rPr>
        <w:t>Best start in life and beyond: Improving public health outcomes for children, young people and families</w:t>
      </w:r>
      <w:r w:rsidRPr="007151D0">
        <w:rPr>
          <w:rFonts w:ascii="Arial" w:hAnsi="Arial" w:cs="Arial"/>
          <w:sz w:val="22"/>
          <w:szCs w:val="22"/>
        </w:rPr>
        <w:t xml:space="preserve">. London: Public Health England. Available at: </w:t>
      </w:r>
      <w:hyperlink r:id="rId14" w:history="1">
        <w:r w:rsidRPr="007151D0">
          <w:rPr>
            <w:rStyle w:val="Hyperlink"/>
            <w:rFonts w:ascii="Arial" w:hAnsi="Arial" w:cs="Arial"/>
            <w:sz w:val="22"/>
            <w:szCs w:val="22"/>
          </w:rPr>
          <w:t>https://dera.ioe.ac.uk/id/eprint/31241/1/best_start_in_life_and_beyond_commissioning_guidance_1.pdf</w:t>
        </w:r>
      </w:hyperlink>
      <w:r w:rsidR="00BA46C9">
        <w:rPr>
          <w:rFonts w:ascii="Arial" w:hAnsi="Arial" w:cs="Arial"/>
          <w:sz w:val="22"/>
          <w:szCs w:val="22"/>
          <w:lang w:val="en-GB"/>
        </w:rPr>
        <w:t xml:space="preserve"> </w:t>
      </w:r>
      <w:r w:rsidR="00DD1DB9">
        <w:rPr>
          <w:rFonts w:ascii="Arial" w:hAnsi="Arial" w:cs="Arial"/>
          <w:sz w:val="22"/>
          <w:szCs w:val="22"/>
          <w:lang w:val="en-GB"/>
        </w:rPr>
        <w:t xml:space="preserve">(Accessed 24 July 2026). </w:t>
      </w:r>
    </w:p>
    <w:p w14:paraId="62143C51" w14:textId="00DB1DF3" w:rsidR="00EB4194" w:rsidRPr="00DD1DB9" w:rsidRDefault="00EB4194" w:rsidP="00EB4194">
      <w:pPr>
        <w:spacing w:line="360" w:lineRule="auto"/>
        <w:jc w:val="both"/>
        <w:rPr>
          <w:rFonts w:ascii="Arial" w:hAnsi="Arial" w:cs="Arial"/>
          <w:sz w:val="22"/>
          <w:szCs w:val="22"/>
          <w:lang w:val="en-GB"/>
        </w:rPr>
      </w:pPr>
      <w:r w:rsidRPr="007151D0">
        <w:rPr>
          <w:rFonts w:ascii="Arial" w:hAnsi="Arial" w:cs="Arial"/>
          <w:sz w:val="22"/>
          <w:szCs w:val="22"/>
        </w:rPr>
        <w:t xml:space="preserve">Skills for Care (2024) </w:t>
      </w:r>
      <w:r w:rsidRPr="007151D0">
        <w:rPr>
          <w:rFonts w:ascii="Arial" w:hAnsi="Arial" w:cs="Arial"/>
          <w:i/>
          <w:iCs/>
          <w:sz w:val="22"/>
          <w:szCs w:val="22"/>
        </w:rPr>
        <w:t>Continuing professional development</w:t>
      </w:r>
      <w:r w:rsidRPr="007151D0">
        <w:rPr>
          <w:rFonts w:ascii="Arial" w:hAnsi="Arial" w:cs="Arial"/>
          <w:sz w:val="22"/>
          <w:szCs w:val="22"/>
        </w:rPr>
        <w:t xml:space="preserve">. Available at: </w:t>
      </w:r>
      <w:hyperlink r:id="rId15" w:history="1">
        <w:r w:rsidRPr="007151D0">
          <w:rPr>
            <w:rStyle w:val="Hyperlink"/>
            <w:rFonts w:ascii="Arial" w:hAnsi="Arial" w:cs="Arial"/>
            <w:sz w:val="22"/>
            <w:szCs w:val="22"/>
          </w:rPr>
          <w:t>https://www.skillsforcare.org.uk/</w:t>
        </w:r>
      </w:hyperlink>
      <w:r w:rsidR="00DD1DB9">
        <w:rPr>
          <w:rFonts w:ascii="Arial" w:hAnsi="Arial" w:cs="Arial"/>
          <w:sz w:val="22"/>
          <w:szCs w:val="22"/>
          <w:lang w:val="en-GB"/>
        </w:rPr>
        <w:t xml:space="preserve"> (</w:t>
      </w:r>
      <w:r w:rsidR="008A5219">
        <w:rPr>
          <w:rFonts w:ascii="Arial" w:hAnsi="Arial" w:cs="Arial"/>
          <w:sz w:val="22"/>
          <w:szCs w:val="22"/>
          <w:lang w:val="en-GB"/>
        </w:rPr>
        <w:t xml:space="preserve">Accessed </w:t>
      </w:r>
      <w:r w:rsidR="00587EA5">
        <w:rPr>
          <w:rFonts w:ascii="Arial" w:hAnsi="Arial" w:cs="Arial"/>
          <w:sz w:val="22"/>
          <w:szCs w:val="22"/>
          <w:lang w:val="en-GB"/>
        </w:rPr>
        <w:t>30 July 2026).</w:t>
      </w:r>
    </w:p>
    <w:p w14:paraId="3D5ADEC5" w14:textId="05EA2AE7" w:rsidR="00EB4194" w:rsidRPr="00587EA5" w:rsidRDefault="00EB4194" w:rsidP="00EB4194">
      <w:pPr>
        <w:spacing w:line="360" w:lineRule="auto"/>
        <w:jc w:val="both"/>
        <w:rPr>
          <w:rFonts w:ascii="Arial" w:hAnsi="Arial" w:cs="Arial"/>
          <w:sz w:val="22"/>
          <w:szCs w:val="22"/>
          <w:lang w:val="en-GB"/>
        </w:rPr>
      </w:pPr>
      <w:r w:rsidRPr="007151D0">
        <w:rPr>
          <w:rFonts w:ascii="Arial" w:hAnsi="Arial" w:cs="Arial"/>
          <w:sz w:val="22"/>
          <w:szCs w:val="22"/>
        </w:rPr>
        <w:t xml:space="preserve">UNICEF UK (2023) </w:t>
      </w:r>
      <w:r w:rsidRPr="007151D0">
        <w:rPr>
          <w:rFonts w:ascii="Arial" w:hAnsi="Arial" w:cs="Arial"/>
          <w:i/>
          <w:iCs/>
          <w:sz w:val="22"/>
          <w:szCs w:val="22"/>
        </w:rPr>
        <w:t>The Baby Friendly Initiative: Standards and guidance</w:t>
      </w:r>
      <w:r w:rsidRPr="007151D0">
        <w:rPr>
          <w:rFonts w:ascii="Arial" w:hAnsi="Arial" w:cs="Arial"/>
          <w:sz w:val="22"/>
          <w:szCs w:val="22"/>
        </w:rPr>
        <w:t xml:space="preserve">. Available at: </w:t>
      </w:r>
      <w:hyperlink r:id="rId16" w:history="1">
        <w:r w:rsidRPr="007151D0">
          <w:rPr>
            <w:rStyle w:val="Hyperlink"/>
            <w:rFonts w:ascii="Arial" w:hAnsi="Arial" w:cs="Arial"/>
            <w:sz w:val="22"/>
            <w:szCs w:val="22"/>
          </w:rPr>
          <w:t>https://www.unicef.org.uk/babyfriendly/about/standards/</w:t>
        </w:r>
      </w:hyperlink>
      <w:r w:rsidR="00587EA5">
        <w:rPr>
          <w:rFonts w:ascii="Arial" w:hAnsi="Arial" w:cs="Arial"/>
          <w:sz w:val="22"/>
          <w:szCs w:val="22"/>
          <w:lang w:val="en-GB"/>
        </w:rPr>
        <w:t xml:space="preserve"> (</w:t>
      </w:r>
      <w:r w:rsidR="008A5219">
        <w:rPr>
          <w:rFonts w:ascii="Arial" w:hAnsi="Arial" w:cs="Arial"/>
          <w:sz w:val="22"/>
          <w:szCs w:val="22"/>
          <w:lang w:val="en-GB"/>
        </w:rPr>
        <w:t xml:space="preserve"> </w:t>
      </w:r>
      <w:r w:rsidR="00C12F31">
        <w:rPr>
          <w:rFonts w:ascii="Arial" w:hAnsi="Arial" w:cs="Arial"/>
          <w:sz w:val="22"/>
          <w:szCs w:val="22"/>
          <w:lang w:val="en-GB"/>
        </w:rPr>
        <w:t xml:space="preserve">Accessed 2 </w:t>
      </w:r>
      <w:r w:rsidR="001F15FF">
        <w:rPr>
          <w:rFonts w:ascii="Arial" w:hAnsi="Arial" w:cs="Arial"/>
          <w:sz w:val="22"/>
          <w:szCs w:val="22"/>
          <w:lang w:val="en-GB"/>
        </w:rPr>
        <w:t xml:space="preserve">August </w:t>
      </w:r>
      <w:r w:rsidR="00A53F03">
        <w:rPr>
          <w:rFonts w:ascii="Arial" w:hAnsi="Arial" w:cs="Arial"/>
          <w:sz w:val="22"/>
          <w:szCs w:val="22"/>
          <w:lang w:val="en-GB"/>
        </w:rPr>
        <w:t>2026</w:t>
      </w:r>
      <w:r w:rsidR="001F15FF">
        <w:rPr>
          <w:rFonts w:ascii="Arial" w:hAnsi="Arial" w:cs="Arial"/>
          <w:sz w:val="22"/>
          <w:szCs w:val="22"/>
          <w:lang w:val="en-GB"/>
        </w:rPr>
        <w:t>)</w:t>
      </w:r>
      <w:r w:rsidR="00C761C5">
        <w:rPr>
          <w:rFonts w:ascii="Arial" w:hAnsi="Arial" w:cs="Arial"/>
          <w:sz w:val="22"/>
          <w:szCs w:val="22"/>
          <w:lang w:val="en-GB"/>
        </w:rPr>
        <w:t>.</w:t>
      </w:r>
    </w:p>
    <w:p w14:paraId="62210242" w14:textId="66426A3E" w:rsidR="00EB4194" w:rsidRPr="00C761C5" w:rsidRDefault="00EB4194" w:rsidP="00EB4194">
      <w:pPr>
        <w:spacing w:line="360" w:lineRule="auto"/>
        <w:jc w:val="both"/>
        <w:rPr>
          <w:rFonts w:ascii="Arial" w:hAnsi="Arial" w:cs="Arial"/>
          <w:sz w:val="22"/>
          <w:szCs w:val="22"/>
          <w:lang w:val="en-GB"/>
        </w:rPr>
      </w:pPr>
      <w:r w:rsidRPr="007151D0">
        <w:rPr>
          <w:rFonts w:ascii="Arial" w:hAnsi="Arial" w:cs="Arial"/>
          <w:sz w:val="22"/>
          <w:szCs w:val="22"/>
        </w:rPr>
        <w:t xml:space="preserve">Thompson, N. (2020) </w:t>
      </w:r>
      <w:r w:rsidRPr="007151D0">
        <w:rPr>
          <w:rFonts w:ascii="Arial" w:hAnsi="Arial" w:cs="Arial"/>
          <w:i/>
          <w:iCs/>
          <w:sz w:val="22"/>
          <w:szCs w:val="22"/>
        </w:rPr>
        <w:t>Understanding Social Work: Preparing for Practice</w:t>
      </w:r>
      <w:r w:rsidRPr="007151D0">
        <w:rPr>
          <w:rFonts w:ascii="Arial" w:hAnsi="Arial" w:cs="Arial"/>
          <w:sz w:val="22"/>
          <w:szCs w:val="22"/>
        </w:rPr>
        <w:t xml:space="preserve">. 5th edn. London: Red Globe Press. </w:t>
      </w:r>
      <w:r w:rsidR="00CB0B52">
        <w:rPr>
          <w:rFonts w:ascii="Arial" w:hAnsi="Arial" w:cs="Arial"/>
          <w:sz w:val="22"/>
          <w:szCs w:val="22"/>
          <w:lang w:val="en-GB"/>
        </w:rPr>
        <w:t>(Accessed</w:t>
      </w:r>
      <w:r w:rsidR="00C761C5">
        <w:rPr>
          <w:rFonts w:ascii="Arial" w:hAnsi="Arial" w:cs="Arial"/>
          <w:sz w:val="22"/>
          <w:szCs w:val="22"/>
          <w:lang w:val="en-GB"/>
        </w:rPr>
        <w:t xml:space="preserve"> 5 </w:t>
      </w:r>
      <w:r w:rsidR="00CB0B52">
        <w:rPr>
          <w:rFonts w:ascii="Arial" w:hAnsi="Arial" w:cs="Arial"/>
          <w:sz w:val="22"/>
          <w:szCs w:val="22"/>
          <w:lang w:val="en-GB"/>
        </w:rPr>
        <w:t>July</w:t>
      </w:r>
      <w:r w:rsidR="00C761C5">
        <w:rPr>
          <w:rFonts w:ascii="Arial" w:hAnsi="Arial" w:cs="Arial"/>
          <w:sz w:val="22"/>
          <w:szCs w:val="22"/>
          <w:lang w:val="en-GB"/>
        </w:rPr>
        <w:t xml:space="preserve"> </w:t>
      </w:r>
      <w:r w:rsidR="00CB0B52">
        <w:rPr>
          <w:rFonts w:ascii="Arial" w:hAnsi="Arial" w:cs="Arial"/>
          <w:sz w:val="22"/>
          <w:szCs w:val="22"/>
          <w:lang w:val="en-GB"/>
        </w:rPr>
        <w:t>2026).</w:t>
      </w:r>
    </w:p>
    <w:p w14:paraId="4D256542" w14:textId="71D57CAE" w:rsidR="00F04D36" w:rsidRPr="0014727F" w:rsidRDefault="00F04D36" w:rsidP="00EB4194">
      <w:pPr>
        <w:spacing w:line="360" w:lineRule="auto"/>
        <w:jc w:val="both"/>
        <w:rPr>
          <w:rFonts w:ascii="Arial" w:hAnsi="Arial" w:cs="Arial"/>
        </w:rPr>
      </w:pPr>
    </w:p>
    <w:sectPr w:rsidR="00F04D36" w:rsidRPr="0014727F" w:rsidSect="008B7B91">
      <w:footerReference w:type="even" r:id="rId17"/>
      <w:footerReference w:type="default" r:id="rId1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DBC5E92" w14:textId="77777777" w:rsidR="002D59FB" w:rsidRDefault="002D59FB" w:rsidP="00AE3BA6">
      <w:pPr>
        <w:spacing w:after="0" w:line="240" w:lineRule="auto"/>
      </w:pPr>
      <w:r>
        <w:separator/>
      </w:r>
    </w:p>
  </w:endnote>
  <w:endnote w:type="continuationSeparator" w:id="0">
    <w:p w14:paraId="28D0FF23" w14:textId="77777777" w:rsidR="002D59FB" w:rsidRDefault="002D59FB" w:rsidP="00AE3B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533329099"/>
      <w:docPartObj>
        <w:docPartGallery w:val="Page Numbers (Bottom of Page)"/>
        <w:docPartUnique/>
      </w:docPartObj>
    </w:sdtPr>
    <w:sdtContent>
      <w:p w14:paraId="0A0EE4F7" w14:textId="5D16E4A4" w:rsidR="00AE3BA6" w:rsidRDefault="00AE3BA6" w:rsidP="0080380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A3839D1" w14:textId="77777777" w:rsidR="00AE3BA6" w:rsidRDefault="00AE3BA6" w:rsidP="00AE3BA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361091775"/>
      <w:docPartObj>
        <w:docPartGallery w:val="Page Numbers (Bottom of Page)"/>
        <w:docPartUnique/>
      </w:docPartObj>
    </w:sdtPr>
    <w:sdtContent>
      <w:p w14:paraId="7C93C48B" w14:textId="2E3371D3" w:rsidR="00AE3BA6" w:rsidRDefault="00AE3BA6" w:rsidP="0080380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390943E" w14:textId="77777777" w:rsidR="00AE3BA6" w:rsidRDefault="00AE3BA6" w:rsidP="00AE3BA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11634E1" w14:textId="77777777" w:rsidR="002D59FB" w:rsidRDefault="002D59FB" w:rsidP="00AE3BA6">
      <w:pPr>
        <w:spacing w:after="0" w:line="240" w:lineRule="auto"/>
      </w:pPr>
      <w:r>
        <w:separator/>
      </w:r>
    </w:p>
  </w:footnote>
  <w:footnote w:type="continuationSeparator" w:id="0">
    <w:p w14:paraId="1EE80621" w14:textId="77777777" w:rsidR="002D59FB" w:rsidRDefault="002D59FB" w:rsidP="00AE3B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1832744"/>
    <w:multiLevelType w:val="hybridMultilevel"/>
    <w:tmpl w:val="07FE142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63E0676E"/>
    <w:multiLevelType w:val="hybridMultilevel"/>
    <w:tmpl w:val="6E88F62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6DD60A84"/>
    <w:multiLevelType w:val="hybridMultilevel"/>
    <w:tmpl w:val="3E0EF27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72324587"/>
    <w:multiLevelType w:val="hybridMultilevel"/>
    <w:tmpl w:val="41361CE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751612A8"/>
    <w:multiLevelType w:val="hybridMultilevel"/>
    <w:tmpl w:val="C9A65F7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7A207710"/>
    <w:multiLevelType w:val="hybridMultilevel"/>
    <w:tmpl w:val="F2CAE9B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504982284">
    <w:abstractNumId w:val="5"/>
  </w:num>
  <w:num w:numId="2" w16cid:durableId="855997377">
    <w:abstractNumId w:val="4"/>
  </w:num>
  <w:num w:numId="3" w16cid:durableId="1423792022">
    <w:abstractNumId w:val="2"/>
  </w:num>
  <w:num w:numId="4" w16cid:durableId="425422190">
    <w:abstractNumId w:val="1"/>
  </w:num>
  <w:num w:numId="5" w16cid:durableId="943079287">
    <w:abstractNumId w:val="0"/>
  </w:num>
  <w:num w:numId="6" w16cid:durableId="756753155">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456"/>
    <w:rsid w:val="0002186C"/>
    <w:rsid w:val="000472B7"/>
    <w:rsid w:val="0006395A"/>
    <w:rsid w:val="000B2F04"/>
    <w:rsid w:val="0014727F"/>
    <w:rsid w:val="001F15FF"/>
    <w:rsid w:val="002D59FB"/>
    <w:rsid w:val="00323E70"/>
    <w:rsid w:val="003A2C13"/>
    <w:rsid w:val="00422BC4"/>
    <w:rsid w:val="00457B24"/>
    <w:rsid w:val="004F0C65"/>
    <w:rsid w:val="004F4946"/>
    <w:rsid w:val="00506ECF"/>
    <w:rsid w:val="00587EA5"/>
    <w:rsid w:val="005976B3"/>
    <w:rsid w:val="005C4757"/>
    <w:rsid w:val="00623ADB"/>
    <w:rsid w:val="0068320D"/>
    <w:rsid w:val="007151D0"/>
    <w:rsid w:val="0078415D"/>
    <w:rsid w:val="008A5219"/>
    <w:rsid w:val="008B7B91"/>
    <w:rsid w:val="008B7E20"/>
    <w:rsid w:val="00923024"/>
    <w:rsid w:val="00946F79"/>
    <w:rsid w:val="00982EAA"/>
    <w:rsid w:val="00991458"/>
    <w:rsid w:val="00A53F03"/>
    <w:rsid w:val="00A8282B"/>
    <w:rsid w:val="00AE3BA6"/>
    <w:rsid w:val="00B14A4D"/>
    <w:rsid w:val="00B27E36"/>
    <w:rsid w:val="00B55456"/>
    <w:rsid w:val="00B9603B"/>
    <w:rsid w:val="00BA1BB0"/>
    <w:rsid w:val="00BA46C9"/>
    <w:rsid w:val="00BD3549"/>
    <w:rsid w:val="00C12F31"/>
    <w:rsid w:val="00C44CC9"/>
    <w:rsid w:val="00C761C5"/>
    <w:rsid w:val="00C87D5F"/>
    <w:rsid w:val="00CB0B52"/>
    <w:rsid w:val="00D72BB9"/>
    <w:rsid w:val="00DA2275"/>
    <w:rsid w:val="00DB09C9"/>
    <w:rsid w:val="00DB3A81"/>
    <w:rsid w:val="00DD1DB9"/>
    <w:rsid w:val="00DD72FB"/>
    <w:rsid w:val="00E30F76"/>
    <w:rsid w:val="00E44D94"/>
    <w:rsid w:val="00EB160C"/>
    <w:rsid w:val="00EB3292"/>
    <w:rsid w:val="00EB4194"/>
    <w:rsid w:val="00F03409"/>
    <w:rsid w:val="00F04D36"/>
    <w:rsid w:val="00F55FCF"/>
    <w:rsid w:val="00F62B0A"/>
    <w:rsid w:val="00FD7804"/>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0E72D"/>
  <w15:chartTrackingRefBased/>
  <w15:docId w15:val="{AFD06581-2B41-4482-80D7-186F165C4B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54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554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54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54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54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54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54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54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54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54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554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54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54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54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54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54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54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5456"/>
    <w:rPr>
      <w:rFonts w:eastAsiaTheme="majorEastAsia" w:cstheme="majorBidi"/>
      <w:color w:val="272727" w:themeColor="text1" w:themeTint="D8"/>
    </w:rPr>
  </w:style>
  <w:style w:type="paragraph" w:styleId="Title">
    <w:name w:val="Title"/>
    <w:basedOn w:val="Normal"/>
    <w:next w:val="Normal"/>
    <w:link w:val="TitleChar"/>
    <w:uiPriority w:val="10"/>
    <w:qFormat/>
    <w:rsid w:val="00B554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54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54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54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5456"/>
    <w:pPr>
      <w:spacing w:before="160"/>
      <w:jc w:val="center"/>
    </w:pPr>
    <w:rPr>
      <w:i/>
      <w:iCs/>
      <w:color w:val="404040" w:themeColor="text1" w:themeTint="BF"/>
    </w:rPr>
  </w:style>
  <w:style w:type="character" w:customStyle="1" w:styleId="QuoteChar">
    <w:name w:val="Quote Char"/>
    <w:basedOn w:val="DefaultParagraphFont"/>
    <w:link w:val="Quote"/>
    <w:uiPriority w:val="29"/>
    <w:rsid w:val="00B55456"/>
    <w:rPr>
      <w:i/>
      <w:iCs/>
      <w:color w:val="404040" w:themeColor="text1" w:themeTint="BF"/>
    </w:rPr>
  </w:style>
  <w:style w:type="paragraph" w:styleId="ListParagraph">
    <w:name w:val="List Paragraph"/>
    <w:basedOn w:val="Normal"/>
    <w:uiPriority w:val="34"/>
    <w:qFormat/>
    <w:rsid w:val="00B55456"/>
    <w:pPr>
      <w:ind w:left="720"/>
      <w:contextualSpacing/>
    </w:pPr>
  </w:style>
  <w:style w:type="character" w:styleId="IntenseEmphasis">
    <w:name w:val="Intense Emphasis"/>
    <w:basedOn w:val="DefaultParagraphFont"/>
    <w:uiPriority w:val="21"/>
    <w:qFormat/>
    <w:rsid w:val="00B55456"/>
    <w:rPr>
      <w:i/>
      <w:iCs/>
      <w:color w:val="0F4761" w:themeColor="accent1" w:themeShade="BF"/>
    </w:rPr>
  </w:style>
  <w:style w:type="paragraph" w:styleId="IntenseQuote">
    <w:name w:val="Intense Quote"/>
    <w:basedOn w:val="Normal"/>
    <w:next w:val="Normal"/>
    <w:link w:val="IntenseQuoteChar"/>
    <w:uiPriority w:val="30"/>
    <w:qFormat/>
    <w:rsid w:val="00B554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5456"/>
    <w:rPr>
      <w:i/>
      <w:iCs/>
      <w:color w:val="0F4761" w:themeColor="accent1" w:themeShade="BF"/>
    </w:rPr>
  </w:style>
  <w:style w:type="character" w:styleId="IntenseReference">
    <w:name w:val="Intense Reference"/>
    <w:basedOn w:val="DefaultParagraphFont"/>
    <w:uiPriority w:val="32"/>
    <w:qFormat/>
    <w:rsid w:val="00B55456"/>
    <w:rPr>
      <w:b/>
      <w:bCs/>
      <w:smallCaps/>
      <w:color w:val="0F4761" w:themeColor="accent1" w:themeShade="BF"/>
      <w:spacing w:val="5"/>
    </w:rPr>
  </w:style>
  <w:style w:type="paragraph" w:styleId="TOCHeading">
    <w:name w:val="TOC Heading"/>
    <w:basedOn w:val="Heading1"/>
    <w:next w:val="Normal"/>
    <w:uiPriority w:val="39"/>
    <w:unhideWhenUsed/>
    <w:qFormat/>
    <w:rsid w:val="00B14A4D"/>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B14A4D"/>
    <w:pPr>
      <w:spacing w:after="100"/>
      <w:ind w:left="240"/>
    </w:pPr>
  </w:style>
  <w:style w:type="character" w:styleId="Hyperlink">
    <w:name w:val="Hyperlink"/>
    <w:basedOn w:val="DefaultParagraphFont"/>
    <w:uiPriority w:val="99"/>
    <w:unhideWhenUsed/>
    <w:rsid w:val="00B14A4D"/>
    <w:rPr>
      <w:color w:val="467886" w:themeColor="hyperlink"/>
      <w:u w:val="single"/>
    </w:rPr>
  </w:style>
  <w:style w:type="paragraph" w:styleId="TOC1">
    <w:name w:val="toc 1"/>
    <w:basedOn w:val="Normal"/>
    <w:next w:val="Normal"/>
    <w:autoRedefine/>
    <w:uiPriority w:val="39"/>
    <w:unhideWhenUsed/>
    <w:rsid w:val="00F03409"/>
    <w:pPr>
      <w:spacing w:after="100"/>
    </w:pPr>
  </w:style>
  <w:style w:type="character" w:styleId="UnresolvedMention">
    <w:name w:val="Unresolved Mention"/>
    <w:basedOn w:val="DefaultParagraphFont"/>
    <w:uiPriority w:val="99"/>
    <w:semiHidden/>
    <w:unhideWhenUsed/>
    <w:rsid w:val="00EB4194"/>
    <w:rPr>
      <w:color w:val="605E5C"/>
      <w:shd w:val="clear" w:color="auto" w:fill="E1DFDD"/>
    </w:rPr>
  </w:style>
  <w:style w:type="paragraph" w:styleId="Footer">
    <w:name w:val="footer"/>
    <w:basedOn w:val="Normal"/>
    <w:link w:val="FooterChar"/>
    <w:uiPriority w:val="99"/>
    <w:unhideWhenUsed/>
    <w:rsid w:val="00AE3B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3BA6"/>
  </w:style>
  <w:style w:type="character" w:styleId="PageNumber">
    <w:name w:val="page number"/>
    <w:basedOn w:val="DefaultParagraphFont"/>
    <w:uiPriority w:val="99"/>
    <w:semiHidden/>
    <w:unhideWhenUsed/>
    <w:rsid w:val="00AE3BA6"/>
  </w:style>
  <w:style w:type="character" w:styleId="FollowedHyperlink">
    <w:name w:val="FollowedHyperlink"/>
    <w:basedOn w:val="DefaultParagraphFont"/>
    <w:uiPriority w:val="99"/>
    <w:semiHidden/>
    <w:unhideWhenUsed/>
    <w:rsid w:val="00F62B0A"/>
    <w:rPr>
      <w:color w:val="96607D" w:themeColor="followedHyperlink"/>
      <w:u w:val="single"/>
    </w:rPr>
  </w:style>
  <w:style w:type="paragraph" w:customStyle="1" w:styleId="p1">
    <w:name w:val="p1"/>
    <w:basedOn w:val="Normal"/>
    <w:rsid w:val="00DA2275"/>
    <w:pPr>
      <w:spacing w:after="0" w:line="240" w:lineRule="auto"/>
    </w:pPr>
    <w:rPr>
      <w:rFonts w:ascii="Arial" w:eastAsia="Times New Roman" w:hAnsi="Arial" w:cs="Arial"/>
      <w:color w:val="000000"/>
      <w:kern w:val="0"/>
      <w:sz w:val="17"/>
      <w:szCs w:val="17"/>
      <w:lang w:val="en-GB" w:eastAsia="en-GB"/>
      <w14:ligatures w14:val="none"/>
    </w:rPr>
  </w:style>
  <w:style w:type="character" w:customStyle="1" w:styleId="s1">
    <w:name w:val="s1"/>
    <w:basedOn w:val="DefaultParagraphFont"/>
    <w:rsid w:val="00DA2275"/>
    <w:rPr>
      <w:color w:val="386573"/>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mc.org.uk/standards/code/"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ce.org.uk/guidance/ng194"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unicef.org.uk/babyfriendly/about/standard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hv.org.uk/about-us/" TargetMode="External"/><Relationship Id="rId5" Type="http://schemas.openxmlformats.org/officeDocument/2006/relationships/webSettings" Target="webSettings.xml"/><Relationship Id="rId15" Type="http://schemas.openxmlformats.org/officeDocument/2006/relationships/hyperlink" Target="https://www.skillsforcare.org.uk/" TargetMode="External"/><Relationship Id="rId10" Type="http://schemas.openxmlformats.org/officeDocument/2006/relationships/hyperlink" Target="https://www.nmc.org.uk/standards/standards-for-post-registration/standards-of-proficiency-for-specialist-community-public-health-nurses2/"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v.uk/government/publications/healthy-child-programme-pregnancy-and-the-first-5-years-of-life" TargetMode="External"/><Relationship Id="rId14" Type="http://schemas.openxmlformats.org/officeDocument/2006/relationships/hyperlink" Target="https://dera.ioe.ac.uk/id/eprint/31241/1/best_start_in_life_and_beyond_commissioning_guidance_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6B1976-7BF9-4B30-A15E-78A8C1548D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7</Pages>
  <Words>2004</Words>
  <Characters>11423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Tooba Ashraf</dc:creator>
  <cp:keywords/>
  <dc:description/>
  <cp:lastModifiedBy>Parmjit Kaur (2541766)</cp:lastModifiedBy>
  <cp:revision>32</cp:revision>
  <dcterms:created xsi:type="dcterms:W3CDTF">2026-08-13T14:57:00Z</dcterms:created>
  <dcterms:modified xsi:type="dcterms:W3CDTF">2026-08-13T15:23:00Z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886e226-cfd0-4c2d-b2ff-bd9be0eaa4b4_Enabled">
    <vt:lpwstr>true</vt:lpwstr>
  </property>
  <property fmtid="{D5CDD505-2E9C-101B-9397-08002B2CF9AE}" pid="3" name="MSIP_Label_0886e226-cfd0-4c2d-b2ff-bd9be0eaa4b4_SetDate">
    <vt:lpwstr>2026-07-13T13:31:15Z</vt:lpwstr>
  </property>
  <property fmtid="{D5CDD505-2E9C-101B-9397-08002B2CF9AE}" pid="4" name="MSIP_Label_0886e226-cfd0-4c2d-b2ff-bd9be0eaa4b4_Method">
    <vt:lpwstr>Standard</vt:lpwstr>
  </property>
  <property fmtid="{D5CDD505-2E9C-101B-9397-08002B2CF9AE}" pid="5" name="MSIP_Label_0886e226-cfd0-4c2d-b2ff-bd9be0eaa4b4_Name">
    <vt:lpwstr>Internal</vt:lpwstr>
  </property>
  <property fmtid="{D5CDD505-2E9C-101B-9397-08002B2CF9AE}" pid="6" name="MSIP_Label_0886e226-cfd0-4c2d-b2ff-bd9be0eaa4b4_SiteId">
    <vt:lpwstr>5764b349-a60c-4df1-8cf5-62d06dd5b2c3</vt:lpwstr>
  </property>
  <property fmtid="{D5CDD505-2E9C-101B-9397-08002B2CF9AE}" pid="7" name="MSIP_Label_0886e226-cfd0-4c2d-b2ff-bd9be0eaa4b4_ActionId">
    <vt:lpwstr>319130c8-23e6-4848-955d-f08e7027f7e7</vt:lpwstr>
  </property>
  <property fmtid="{D5CDD505-2E9C-101B-9397-08002B2CF9AE}" pid="8" name="MSIP_Label_0886e226-cfd0-4c2d-b2ff-bd9be0eaa4b4_ContentBits">
    <vt:lpwstr>0</vt:lpwstr>
  </property>
  <property fmtid="{D5CDD505-2E9C-101B-9397-08002B2CF9AE}" pid="9" name="MSIP_Label_0886e226-cfd0-4c2d-b2ff-bd9be0eaa4b4_Tag">
    <vt:lpwstr>10, 3, 0, 1</vt:lpwstr>
  </property>
</Properties>
</file>