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F5035" w14:textId="77777777" w:rsidR="004F3FA6" w:rsidRPr="003E5FB1" w:rsidRDefault="004F3FA6" w:rsidP="004F3FA6">
      <w:pPr>
        <w:spacing w:line="360" w:lineRule="auto"/>
        <w:jc w:val="center"/>
        <w:rPr>
          <w:rFonts w:ascii="Times New Roman" w:hAnsi="Times New Roman" w:cs="Times New Roman"/>
          <w:b/>
          <w:bCs/>
          <w:sz w:val="24"/>
          <w:szCs w:val="24"/>
          <w:u w:val="single"/>
        </w:rPr>
      </w:pPr>
      <w:r w:rsidRPr="003E5FB1">
        <w:rPr>
          <w:rFonts w:ascii="Times New Roman" w:hAnsi="Times New Roman" w:cs="Times New Roman"/>
          <w:b/>
          <w:bCs/>
          <w:sz w:val="24"/>
          <w:szCs w:val="24"/>
          <w:u w:val="single"/>
        </w:rPr>
        <w:t>ENTREPRENEURIAL STRATEGIES FOR THE ESTABLISHMENT OF A CUSTOMER-FOCUSED, HEALTH-ORIENTED TRADITIONAL SOUTH INDIAN RESTAURANT IN COIMBATORE</w:t>
      </w:r>
    </w:p>
    <w:p w14:paraId="7F74C0DD" w14:textId="77777777" w:rsidR="004F3FA6" w:rsidRPr="003E5FB1" w:rsidRDefault="004F3FA6" w:rsidP="004F3FA6">
      <w:pPr>
        <w:spacing w:line="360" w:lineRule="auto"/>
        <w:jc w:val="both"/>
        <w:rPr>
          <w:rFonts w:ascii="Times New Roman" w:hAnsi="Times New Roman" w:cs="Times New Roman"/>
          <w:b/>
          <w:bCs/>
          <w:sz w:val="24"/>
          <w:szCs w:val="24"/>
          <w:u w:val="single"/>
        </w:rPr>
      </w:pPr>
    </w:p>
    <w:p w14:paraId="3D17E6A8" w14:textId="77777777" w:rsidR="004F3FA6" w:rsidRPr="003E5FB1" w:rsidRDefault="004F3FA6" w:rsidP="004F3FA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CHAPTER </w:t>
      </w:r>
      <w:r w:rsidRPr="003E5FB1">
        <w:rPr>
          <w:rFonts w:ascii="Times New Roman" w:hAnsi="Times New Roman" w:cs="Times New Roman"/>
          <w:b/>
          <w:bCs/>
          <w:sz w:val="24"/>
          <w:szCs w:val="24"/>
        </w:rPr>
        <w:t>1</w:t>
      </w:r>
      <w:r>
        <w:rPr>
          <w:rFonts w:ascii="Times New Roman" w:hAnsi="Times New Roman" w:cs="Times New Roman"/>
          <w:b/>
          <w:bCs/>
          <w:sz w:val="24"/>
          <w:szCs w:val="24"/>
        </w:rPr>
        <w:t xml:space="preserve">: </w:t>
      </w:r>
      <w:r w:rsidRPr="003E5FB1">
        <w:rPr>
          <w:rFonts w:ascii="Times New Roman" w:hAnsi="Times New Roman" w:cs="Times New Roman"/>
          <w:b/>
          <w:bCs/>
          <w:sz w:val="24"/>
          <w:szCs w:val="24"/>
        </w:rPr>
        <w:t>INTRODUCTION</w:t>
      </w:r>
    </w:p>
    <w:p w14:paraId="58F884FC"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India’s culinary landscape has witnessed a remarkable transformation over the past few decades, reflecting the intersection of economic growth, urbanisation, and changing lifestyle aspirations. Traditional diets based on millets, pulses, fermented foods, and seasonal vegetables have shifted towards processed, convenience-oriented, globally influenced habits (Paul and Paul, 2022; Tak, Shankar and Kadiyala, 2019. While reflecting modernisation, this transition has contributed to rising public health issues such as obesity, diabetes, and other lifestyle diseases (</w:t>
      </w:r>
      <w:proofErr w:type="spellStart"/>
      <w:r w:rsidRPr="003E5FB1">
        <w:rPr>
          <w:rFonts w:ascii="Times New Roman" w:hAnsi="Times New Roman" w:cs="Times New Roman"/>
          <w:sz w:val="24"/>
          <w:szCs w:val="24"/>
        </w:rPr>
        <w:t>Fardet</w:t>
      </w:r>
      <w:proofErr w:type="spellEnd"/>
      <w:r w:rsidRPr="003E5FB1">
        <w:rPr>
          <w:rFonts w:ascii="Times New Roman" w:hAnsi="Times New Roman" w:cs="Times New Roman"/>
          <w:sz w:val="24"/>
          <w:szCs w:val="24"/>
        </w:rPr>
        <w:t xml:space="preserve"> et al., 2022). Increasingly, consumers are becoming aware of these health challenges and are now seeking culinary experiences that integrate health, authenticity, and sustainability (KPMG, 2021).</w:t>
      </w:r>
    </w:p>
    <w:p w14:paraId="51129C1A"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Within this evolving context, India’s restaurant industry has emerged as one of the fastest-growing segments in the country’s service economy. Valued at approximately USD 95 billion by 2025, the industry’s expansion is driven by a young, tech-savvy population, rising disposable incomes, and a heightened awareness of health and nutrition (IBEF, 2023). A particularly dynamic niche is represented by restaurants that combine wellness, local sourcing, and cultural authenticity. Importantly, this trend is no longer confined to major metropolitan centres but is increasingly visible in tier-two cities such as Coimbatore, where cultural pride, educational advancement, and entrepreneurial spirit converge to create fertile ground for innovative dining ventures.</w:t>
      </w:r>
    </w:p>
    <w:p w14:paraId="51FB6224" w14:textId="77777777" w:rsidR="004F3FA6" w:rsidRPr="003E5FB1" w:rsidRDefault="004F3FA6" w:rsidP="004F3FA6">
      <w:pPr>
        <w:spacing w:line="360" w:lineRule="auto"/>
        <w:jc w:val="both"/>
        <w:rPr>
          <w:rFonts w:ascii="Times New Roman" w:hAnsi="Times New Roman" w:cs="Times New Roman"/>
          <w:sz w:val="24"/>
          <w:szCs w:val="24"/>
        </w:rPr>
      </w:pPr>
    </w:p>
    <w:p w14:paraId="33F0F0F8" w14:textId="77777777" w:rsidR="004F3FA6" w:rsidRPr="003E5FB1" w:rsidRDefault="004F3FA6" w:rsidP="004F3FA6">
      <w:pPr>
        <w:pStyle w:val="ListParagraph"/>
        <w:numPr>
          <w:ilvl w:val="1"/>
          <w:numId w:val="3"/>
        </w:num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HISTORICAL AND CULTURAL EVOLUTION OF INDIAN FOOD</w:t>
      </w:r>
    </w:p>
    <w:p w14:paraId="3D593788" w14:textId="77777777" w:rsidR="004F3FA6" w:rsidRPr="003E5FB1" w:rsidRDefault="004F3FA6" w:rsidP="004F3FA6">
      <w:pPr>
        <w:pStyle w:val="NormalWeb"/>
        <w:spacing w:line="360" w:lineRule="auto"/>
        <w:jc w:val="both"/>
      </w:pPr>
      <w:r w:rsidRPr="003E5FB1">
        <w:t xml:space="preserve">Indian cuisine is one of the world’s oldest and most diverse culinary traditions, shaped by centuries of socio-historical evolution, ecological diversity, and cultural exchange. Ray and Ray (2022) trace Indian food evolution from prehistoric millet-based diets and Vedic dietary systems to Mughal and European influences. Each stage added ingredients, techniques, and symbolic meanings, producing a cuisine that is rooted yet adaptive. This evolution transcends </w:t>
      </w:r>
      <w:r w:rsidRPr="003E5FB1">
        <w:lastRenderedPageBreak/>
        <w:t>the culinary domain, reflecting wider shifts in religion, caste, socio-political organisation, and material culture across the Indian subcontinent.</w:t>
      </w:r>
    </w:p>
    <w:p w14:paraId="73BAA146" w14:textId="6F30F7CA" w:rsidR="004F3FA6" w:rsidRDefault="004F3FA6" w:rsidP="004F3FA6">
      <w:pPr>
        <w:pStyle w:val="NormalWeb"/>
        <w:spacing w:line="360" w:lineRule="auto"/>
        <w:jc w:val="both"/>
      </w:pPr>
      <w:r w:rsidRPr="003E5FB1">
        <w:t>While academic scholarship underscores these long-term historical dynamics, contemporary narratives also shape public understanding of Indian cuisine. Popular media and cultural blogs often celebrate India’s regional diversity, the symbolic significance of spices, and the emotional resonance of food traditions. Although such sources may lack academic rigour, they illustrate how cultural identity and heritage remain central to modern culinary representation. Furthermore, external pressures such as urbanisation, globalisation, and crises like the COVID-19 pandemic have reshaped food production, distribution, and consumption patterns in India. Pandey and Kumar (2021) highlight how these disruptions renewed public appreciation for local supply chains and traditional food systems. Together, these perspectives reveal the dynamic relationship between India’s historical food culture and its contemporary transformation.</w:t>
      </w:r>
    </w:p>
    <w:p w14:paraId="1EAA9D12" w14:textId="77777777" w:rsidR="00C853F7" w:rsidRPr="003E5FB1" w:rsidRDefault="00C853F7" w:rsidP="004F3FA6">
      <w:pPr>
        <w:pStyle w:val="NormalWeb"/>
        <w:spacing w:line="360" w:lineRule="auto"/>
        <w:jc w:val="both"/>
      </w:pPr>
    </w:p>
    <w:p w14:paraId="59CA0100"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1.2 CONTEXTUAL OVERVIEW OF TAMIL FOOD</w:t>
      </w:r>
    </w:p>
    <w:p w14:paraId="35953F88"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 xml:space="preserve">Over the past five decades, Tamil cuisine has undergone a profound transformation, evolving from its agrarian and household origins into a globally recognised culinary identity. Historically, it was sustained through home-based cooking traditions using seasonal millets and region-specific dishes such as </w:t>
      </w:r>
      <w:proofErr w:type="spellStart"/>
      <w:r w:rsidRPr="003E5FB1">
        <w:rPr>
          <w:rFonts w:ascii="Times New Roman" w:hAnsi="Times New Roman" w:cs="Times New Roman"/>
          <w:sz w:val="24"/>
          <w:szCs w:val="24"/>
        </w:rPr>
        <w:t>Chettinad</w:t>
      </w:r>
      <w:proofErr w:type="spellEnd"/>
      <w:r w:rsidRPr="003E5FB1">
        <w:rPr>
          <w:rFonts w:ascii="Times New Roman" w:hAnsi="Times New Roman" w:cs="Times New Roman"/>
          <w:sz w:val="24"/>
          <w:szCs w:val="24"/>
        </w:rPr>
        <w:t xml:space="preserve"> curries and </w:t>
      </w:r>
      <w:proofErr w:type="spellStart"/>
      <w:r w:rsidRPr="003E5FB1">
        <w:rPr>
          <w:rFonts w:ascii="Times New Roman" w:hAnsi="Times New Roman" w:cs="Times New Roman"/>
          <w:sz w:val="24"/>
          <w:szCs w:val="24"/>
        </w:rPr>
        <w:t>Kongu</w:t>
      </w:r>
      <w:proofErr w:type="spellEnd"/>
      <w:r w:rsidRPr="003E5FB1">
        <w:rPr>
          <w:rFonts w:ascii="Times New Roman" w:hAnsi="Times New Roman" w:cs="Times New Roman"/>
          <w:sz w:val="24"/>
          <w:szCs w:val="24"/>
        </w:rPr>
        <w:t xml:space="preserve"> </w:t>
      </w:r>
      <w:proofErr w:type="spellStart"/>
      <w:r w:rsidRPr="003E5FB1">
        <w:rPr>
          <w:rFonts w:ascii="Times New Roman" w:hAnsi="Times New Roman" w:cs="Times New Roman"/>
          <w:sz w:val="24"/>
          <w:szCs w:val="24"/>
        </w:rPr>
        <w:t>poriyals</w:t>
      </w:r>
      <w:proofErr w:type="spellEnd"/>
      <w:r w:rsidRPr="003E5FB1">
        <w:rPr>
          <w:rFonts w:ascii="Times New Roman" w:hAnsi="Times New Roman" w:cs="Times New Roman"/>
          <w:sz w:val="24"/>
          <w:szCs w:val="24"/>
        </w:rPr>
        <w:t xml:space="preserve"> (Bharathi and Elango, 2024). Cooking practices often relied on traditional tools such as stone grinders and wood-fired stoves, with recipes transmitted across generations. However, rapid urbanisation and migration in the 1980s and 1990s led to the widespread use of packaged masalas and standardised tiffin restaurants, while Tamil diaspora communities across the Gulf and Southeast Asia disseminated these foodways internationally (Karthick, Arulmani and Ravi, 2023). These developments contributed to both a homogenisation of local practices and the rise of innovative fusion cuisines that combined Tamil flavours with global influences.</w:t>
      </w:r>
    </w:p>
    <w:p w14:paraId="39B318C7"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In recent years, there has been a revival of interest in minor millets, traditional cookware, and fermented foods, reflecting growing societal concern for health, sustainability, and heritage preservation. Millets such as finger millet and foxtail millet once marginalised are now revalued as “</w:t>
      </w:r>
      <w:proofErr w:type="spellStart"/>
      <w:r w:rsidRPr="003E5FB1">
        <w:rPr>
          <w:rFonts w:ascii="Times New Roman" w:hAnsi="Times New Roman" w:cs="Times New Roman"/>
          <w:sz w:val="24"/>
          <w:szCs w:val="24"/>
        </w:rPr>
        <w:t>nutri</w:t>
      </w:r>
      <w:proofErr w:type="spellEnd"/>
      <w:r w:rsidRPr="003E5FB1">
        <w:rPr>
          <w:rFonts w:ascii="Times New Roman" w:hAnsi="Times New Roman" w:cs="Times New Roman"/>
          <w:sz w:val="24"/>
          <w:szCs w:val="24"/>
        </w:rPr>
        <w:t xml:space="preserve">-cereals” for their micronutrient density and low glycaemic index (Bharathi and Elango, 2024). The resurgence of these practices has been amplified by social media and </w:t>
      </w:r>
      <w:r w:rsidRPr="003E5FB1">
        <w:rPr>
          <w:rFonts w:ascii="Times New Roman" w:hAnsi="Times New Roman" w:cs="Times New Roman"/>
          <w:sz w:val="24"/>
          <w:szCs w:val="24"/>
        </w:rPr>
        <w:lastRenderedPageBreak/>
        <w:t xml:space="preserve">food tourism, which have propelled Tamil cuisine to international prominence. Traditional dishes such as </w:t>
      </w:r>
      <w:proofErr w:type="spellStart"/>
      <w:r w:rsidRPr="003E5FB1">
        <w:rPr>
          <w:rFonts w:ascii="Times New Roman" w:hAnsi="Times New Roman" w:cs="Times New Roman"/>
          <w:sz w:val="24"/>
          <w:szCs w:val="24"/>
        </w:rPr>
        <w:t>koozh</w:t>
      </w:r>
      <w:proofErr w:type="spellEnd"/>
      <w:r w:rsidRPr="003E5FB1">
        <w:rPr>
          <w:rFonts w:ascii="Times New Roman" w:hAnsi="Times New Roman" w:cs="Times New Roman"/>
          <w:sz w:val="24"/>
          <w:szCs w:val="24"/>
        </w:rPr>
        <w:t xml:space="preserve"> (a fermented millet porridge) have regained popularity, symbolising both cultural continuity and modern wellness trends (Mohanan et al., 2025). Tamil food thus represents not only a marker of identity but also a strategic asset for emerging industries such as culinary tourism, gastronomic branding, and sustainable food entrepreneurship.</w:t>
      </w:r>
    </w:p>
    <w:p w14:paraId="26CA5200" w14:textId="77777777" w:rsidR="004F3FA6" w:rsidRPr="003E5FB1" w:rsidRDefault="004F3FA6" w:rsidP="004F3FA6">
      <w:pPr>
        <w:spacing w:line="360" w:lineRule="auto"/>
        <w:jc w:val="both"/>
        <w:rPr>
          <w:rFonts w:ascii="Times New Roman" w:hAnsi="Times New Roman" w:cs="Times New Roman"/>
          <w:sz w:val="24"/>
          <w:szCs w:val="24"/>
        </w:rPr>
      </w:pPr>
    </w:p>
    <w:p w14:paraId="3AB89D52"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1.3 CONTEXTUAL OVERVIEW OF COIMBATORE</w:t>
      </w:r>
    </w:p>
    <w:p w14:paraId="57782C07"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 xml:space="preserve">Coimbatore, known as the “Manchester of South India,” is located in western Tamil Nadu near the </w:t>
      </w:r>
      <w:proofErr w:type="spellStart"/>
      <w:r w:rsidRPr="003E5FB1">
        <w:rPr>
          <w:rFonts w:ascii="Times New Roman" w:hAnsi="Times New Roman" w:cs="Times New Roman"/>
          <w:sz w:val="24"/>
          <w:szCs w:val="24"/>
        </w:rPr>
        <w:t>Nilgiri</w:t>
      </w:r>
      <w:proofErr w:type="spellEnd"/>
      <w:r w:rsidRPr="003E5FB1">
        <w:rPr>
          <w:rFonts w:ascii="Times New Roman" w:hAnsi="Times New Roman" w:cs="Times New Roman"/>
          <w:sz w:val="24"/>
          <w:szCs w:val="24"/>
        </w:rPr>
        <w:t xml:space="preserve"> hills. It is among the state’s fastest-growing urban centres, with a population exceeding 1.6 million and a socio-economically diverse metropolitan area (NDTV Food, 2023). The city’s moderate climate supports thriving agricultural production, particularly of vegetables, millets, and pulses (Tamil Nadu Government, 2025).</w:t>
      </w:r>
    </w:p>
    <w:p w14:paraId="383DEF32"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 xml:space="preserve">Culturally, Coimbatore blends traditional Tamil values with modern industrial progress. Festivals such as Pongal and the Tamil New Year are celebrated with regional culinary specialities that reinforce the city’s rich food heritage. The local cuisine known as </w:t>
      </w:r>
      <w:proofErr w:type="spellStart"/>
      <w:r w:rsidRPr="003E5FB1">
        <w:rPr>
          <w:rFonts w:ascii="Times New Roman" w:hAnsi="Times New Roman" w:cs="Times New Roman"/>
          <w:sz w:val="24"/>
          <w:szCs w:val="24"/>
        </w:rPr>
        <w:t>Kongu</w:t>
      </w:r>
      <w:proofErr w:type="spellEnd"/>
      <w:r w:rsidRPr="003E5FB1">
        <w:rPr>
          <w:rFonts w:ascii="Times New Roman" w:hAnsi="Times New Roman" w:cs="Times New Roman"/>
          <w:sz w:val="24"/>
          <w:szCs w:val="24"/>
        </w:rPr>
        <w:t xml:space="preserve"> Nadu cuisine is characterised by balance, nutrition, and simplicity. Staple ingredients such as rice, lentils, and local vegetables are prepared with minimal oil and freshly ground spices (My Little Moppet, 2025). The city’s food landscape now features both a vibrant street-food culture and a growing fine-dining sector. Traditional dishes like ghee roast dosa and Mysore </w:t>
      </w:r>
      <w:proofErr w:type="spellStart"/>
      <w:r w:rsidRPr="003E5FB1">
        <w:rPr>
          <w:rFonts w:ascii="Times New Roman" w:hAnsi="Times New Roman" w:cs="Times New Roman"/>
          <w:sz w:val="24"/>
          <w:szCs w:val="24"/>
        </w:rPr>
        <w:t>pak</w:t>
      </w:r>
      <w:proofErr w:type="spellEnd"/>
      <w:r w:rsidRPr="003E5FB1">
        <w:rPr>
          <w:rFonts w:ascii="Times New Roman" w:hAnsi="Times New Roman" w:cs="Times New Roman"/>
          <w:sz w:val="24"/>
          <w:szCs w:val="24"/>
        </w:rPr>
        <w:t xml:space="preserve"> coexist with innovative health-oriented interpretations, reflecting a nuanced evolution of local taste preferences (NDTV Food, 2023; </w:t>
      </w:r>
      <w:proofErr w:type="spellStart"/>
      <w:r w:rsidRPr="003E5FB1">
        <w:rPr>
          <w:rFonts w:ascii="Times New Roman" w:hAnsi="Times New Roman" w:cs="Times New Roman"/>
          <w:sz w:val="24"/>
          <w:szCs w:val="24"/>
        </w:rPr>
        <w:t>Nuego</w:t>
      </w:r>
      <w:proofErr w:type="spellEnd"/>
      <w:r w:rsidRPr="003E5FB1">
        <w:rPr>
          <w:rFonts w:ascii="Times New Roman" w:hAnsi="Times New Roman" w:cs="Times New Roman"/>
          <w:sz w:val="24"/>
          <w:szCs w:val="24"/>
        </w:rPr>
        <w:t>, 2025).</w:t>
      </w:r>
    </w:p>
    <w:p w14:paraId="3B0E2529" w14:textId="77777777" w:rsidR="004F3FA6" w:rsidRPr="003E5FB1" w:rsidRDefault="004F3FA6" w:rsidP="004F3FA6">
      <w:pPr>
        <w:spacing w:line="360" w:lineRule="auto"/>
        <w:jc w:val="both"/>
        <w:rPr>
          <w:rFonts w:ascii="Times New Roman" w:hAnsi="Times New Roman" w:cs="Times New Roman"/>
          <w:sz w:val="24"/>
          <w:szCs w:val="24"/>
        </w:rPr>
      </w:pPr>
    </w:p>
    <w:p w14:paraId="28B46120"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1.4 CONCEPTUAL FRAMEWORK LINK</w:t>
      </w:r>
    </w:p>
    <w:p w14:paraId="2AFECA30"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Building on the insights presented in this chapter, the conceptual framework of this study outlines how consumer preferences, traditional culinary practices, and entrepreneurial strategies interact within Coimbatore’s health-oriented restaurant landscape. It draws from entrepreneurship, consumer behaviour, and food studies to explain these interconnections. By examining how local market dynamics, nutritional awareness, and cultural authenticity influence entrepreneurial decision-making, the framework ensures that the study remains both theoretically grounded and practically applicable.</w:t>
      </w:r>
    </w:p>
    <w:p w14:paraId="0B9F6ACF"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lastRenderedPageBreak/>
        <w:t>The model integrates three interdependent domains entrepreneurial strategy, consumer behaviour, and health-oriented culinary innovation. It posits that entrepreneurial success in the modern restaurant industry depends on aligning consumer insights (preferences, motivations, and lifestyles) with strategic agility (innovation, market adaptation, and value creation). Sustainability and cultural authenticity act as mediating factors that enhance brand differentiation and competitive advantage.</w:t>
      </w:r>
    </w:p>
    <w:p w14:paraId="7DD132BB"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This integrative model underpins the literature review in Chapter 2, where each domain entrepreneurship, consumer behaviour, and sustainable gastronomy is examined in depth. It informs the research design and analytical framework used to interpret findings and formulate actionable entrepreneurial strategies relevant to Coimbatore’s evolving food ecosystem. By connecting theory with context, the framework maintains both academic rigour and real-world relevance.</w:t>
      </w:r>
    </w:p>
    <w:p w14:paraId="5D941E3A" w14:textId="77777777" w:rsidR="004F3FA6" w:rsidRPr="003E5FB1" w:rsidRDefault="004F3FA6" w:rsidP="004F3FA6">
      <w:pPr>
        <w:spacing w:line="360" w:lineRule="auto"/>
        <w:jc w:val="both"/>
        <w:rPr>
          <w:rFonts w:ascii="Times New Roman" w:hAnsi="Times New Roman" w:cs="Times New Roman"/>
          <w:b/>
          <w:bCs/>
          <w:sz w:val="24"/>
          <w:szCs w:val="24"/>
        </w:rPr>
      </w:pPr>
    </w:p>
    <w:p w14:paraId="16587F4C"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1.5 BACKGROUND OF THE RESEARCH</w:t>
      </w:r>
    </w:p>
    <w:p w14:paraId="5C18537C"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Tamil Nadu’s culinary traditions emphasise balance, sustainability, and regional distinctiveness. Diets dominated by whole grains, lentils, and fermented foods were nutritionally robust. Since the 1970s, urbanisation and global food trends have shifted patterns, replacing traditional staples with refined and processed foods (Barnett and Prieto Martín, 2017). This transformation has resulted in two key challenges: the gradual erosion of traditional food knowledge and the rise of nutrition-related non-communicable diseases (Kothari, 2016; World Food Travel Association, 2022).</w:t>
      </w:r>
    </w:p>
    <w:p w14:paraId="2C47A3D3"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Despite these challenges, Tamil Nadu retains a strong agricultural foundation that supports opportunities for revival through local sourcing. The state produces over 100 lakh metric tonnes of food grains annually, supported by a vibrant horticultural sector (Tamil Nadu Government, 2025). By integrating locally grown ingredients into restaurant menus, entrepreneurs can foster community-based agriculture, reduce supply chain dependencies, and promote nutritional sustainability (</w:t>
      </w:r>
      <w:proofErr w:type="spellStart"/>
      <w:r w:rsidRPr="003E5FB1">
        <w:rPr>
          <w:rFonts w:ascii="Times New Roman" w:hAnsi="Times New Roman" w:cs="Times New Roman"/>
          <w:sz w:val="24"/>
          <w:szCs w:val="24"/>
        </w:rPr>
        <w:t>Socio.Health</w:t>
      </w:r>
      <w:proofErr w:type="spellEnd"/>
      <w:r w:rsidRPr="003E5FB1">
        <w:rPr>
          <w:rFonts w:ascii="Times New Roman" w:hAnsi="Times New Roman" w:cs="Times New Roman"/>
          <w:sz w:val="24"/>
          <w:szCs w:val="24"/>
        </w:rPr>
        <w:t>, 2023).</w:t>
      </w:r>
    </w:p>
    <w:p w14:paraId="5637C2C4" w14:textId="77777777" w:rsidR="004F3FA6" w:rsidRDefault="004F3FA6" w:rsidP="004F3FA6">
      <w:pPr>
        <w:spacing w:line="360" w:lineRule="auto"/>
        <w:jc w:val="both"/>
        <w:rPr>
          <w:rFonts w:ascii="Times New Roman" w:hAnsi="Times New Roman" w:cs="Times New Roman"/>
          <w:sz w:val="24"/>
          <w:szCs w:val="24"/>
        </w:rPr>
      </w:pPr>
    </w:p>
    <w:p w14:paraId="3EC4E328" w14:textId="77777777" w:rsidR="00975E39" w:rsidRPr="003E5FB1" w:rsidRDefault="00975E39" w:rsidP="004F3FA6">
      <w:pPr>
        <w:spacing w:line="360" w:lineRule="auto"/>
        <w:jc w:val="both"/>
        <w:rPr>
          <w:rFonts w:ascii="Times New Roman" w:hAnsi="Times New Roman" w:cs="Times New Roman"/>
          <w:sz w:val="24"/>
          <w:szCs w:val="24"/>
        </w:rPr>
      </w:pPr>
    </w:p>
    <w:p w14:paraId="3437C6C0"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lastRenderedPageBreak/>
        <w:t>1.5.1 TRADITIONAL SPECIALITIES AND HEALTH-ORIENTED TRENDS IN COIMBATORE</w:t>
      </w:r>
    </w:p>
    <w:p w14:paraId="5AD07CA7"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 xml:space="preserve">Coimbatore’s food culture, deeply rooted in </w:t>
      </w:r>
      <w:proofErr w:type="spellStart"/>
      <w:r w:rsidRPr="003E5FB1">
        <w:rPr>
          <w:rFonts w:ascii="Times New Roman" w:hAnsi="Times New Roman" w:cs="Times New Roman"/>
          <w:sz w:val="24"/>
          <w:szCs w:val="24"/>
        </w:rPr>
        <w:t>Kongu</w:t>
      </w:r>
      <w:proofErr w:type="spellEnd"/>
      <w:r w:rsidRPr="003E5FB1">
        <w:rPr>
          <w:rFonts w:ascii="Times New Roman" w:hAnsi="Times New Roman" w:cs="Times New Roman"/>
          <w:sz w:val="24"/>
          <w:szCs w:val="24"/>
        </w:rPr>
        <w:t xml:space="preserve"> Nadu traditions, has successfully adapted to modern health-conscious dining trends. Traditional dishes such as </w:t>
      </w:r>
      <w:proofErr w:type="spellStart"/>
      <w:r w:rsidRPr="003E5FB1">
        <w:rPr>
          <w:rFonts w:ascii="Times New Roman" w:hAnsi="Times New Roman" w:cs="Times New Roman"/>
          <w:sz w:val="24"/>
          <w:szCs w:val="24"/>
        </w:rPr>
        <w:t>Kalkandu</w:t>
      </w:r>
      <w:proofErr w:type="spellEnd"/>
      <w:r w:rsidRPr="003E5FB1">
        <w:rPr>
          <w:rFonts w:ascii="Times New Roman" w:hAnsi="Times New Roman" w:cs="Times New Roman"/>
          <w:sz w:val="24"/>
          <w:szCs w:val="24"/>
        </w:rPr>
        <w:t xml:space="preserve"> Pongal (sweet rice and jaggery porridge), </w:t>
      </w:r>
      <w:proofErr w:type="spellStart"/>
      <w:r w:rsidRPr="003E5FB1">
        <w:rPr>
          <w:rFonts w:ascii="Times New Roman" w:hAnsi="Times New Roman" w:cs="Times New Roman"/>
          <w:sz w:val="24"/>
          <w:szCs w:val="24"/>
        </w:rPr>
        <w:t>Arisi</w:t>
      </w:r>
      <w:proofErr w:type="spellEnd"/>
      <w:r w:rsidRPr="003E5FB1">
        <w:rPr>
          <w:rFonts w:ascii="Times New Roman" w:hAnsi="Times New Roman" w:cs="Times New Roman"/>
          <w:sz w:val="24"/>
          <w:szCs w:val="24"/>
        </w:rPr>
        <w:t xml:space="preserve"> </w:t>
      </w:r>
      <w:proofErr w:type="spellStart"/>
      <w:r w:rsidRPr="003E5FB1">
        <w:rPr>
          <w:rFonts w:ascii="Times New Roman" w:hAnsi="Times New Roman" w:cs="Times New Roman"/>
          <w:sz w:val="24"/>
          <w:szCs w:val="24"/>
        </w:rPr>
        <w:t>Paruppu</w:t>
      </w:r>
      <w:proofErr w:type="spellEnd"/>
      <w:r w:rsidRPr="003E5FB1">
        <w:rPr>
          <w:rFonts w:ascii="Times New Roman" w:hAnsi="Times New Roman" w:cs="Times New Roman"/>
          <w:sz w:val="24"/>
          <w:szCs w:val="24"/>
        </w:rPr>
        <w:t xml:space="preserve"> </w:t>
      </w:r>
      <w:proofErr w:type="spellStart"/>
      <w:r w:rsidRPr="003E5FB1">
        <w:rPr>
          <w:rFonts w:ascii="Times New Roman" w:hAnsi="Times New Roman" w:cs="Times New Roman"/>
          <w:sz w:val="24"/>
          <w:szCs w:val="24"/>
        </w:rPr>
        <w:t>Satham</w:t>
      </w:r>
      <w:proofErr w:type="spellEnd"/>
      <w:r w:rsidRPr="003E5FB1">
        <w:rPr>
          <w:rFonts w:ascii="Times New Roman" w:hAnsi="Times New Roman" w:cs="Times New Roman"/>
          <w:sz w:val="24"/>
          <w:szCs w:val="24"/>
        </w:rPr>
        <w:t xml:space="preserve"> (rice and lentil khichdi), and Kollu Rasam (horse gram soup) exemplify the region’s emphasis on balanced nutrition and the use of locally sourced ingredients (My Little Moppet, 2025). These culinary traditions provide fertile ground for innovation within the wellness-oriented dining sector, merging heritage with contemporary nutritional awareness.</w:t>
      </w:r>
    </w:p>
    <w:p w14:paraId="0B4B08C2"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Tamil Nadu’s culinary diversity</w:t>
      </w:r>
      <w:r>
        <w:rPr>
          <w:rFonts w:ascii="Times New Roman" w:hAnsi="Times New Roman" w:cs="Times New Roman"/>
          <w:sz w:val="24"/>
          <w:szCs w:val="24"/>
        </w:rPr>
        <w:t xml:space="preserve"> </w:t>
      </w:r>
      <w:r w:rsidRPr="003E5FB1">
        <w:rPr>
          <w:rFonts w:ascii="Times New Roman" w:hAnsi="Times New Roman" w:cs="Times New Roman"/>
          <w:sz w:val="24"/>
          <w:szCs w:val="24"/>
        </w:rPr>
        <w:t xml:space="preserve">featuring dishes like </w:t>
      </w:r>
      <w:proofErr w:type="spellStart"/>
      <w:r w:rsidRPr="003E5FB1">
        <w:rPr>
          <w:rFonts w:ascii="Times New Roman" w:hAnsi="Times New Roman" w:cs="Times New Roman"/>
          <w:sz w:val="24"/>
          <w:szCs w:val="24"/>
        </w:rPr>
        <w:t>kootu</w:t>
      </w:r>
      <w:proofErr w:type="spellEnd"/>
      <w:r w:rsidRPr="003E5FB1">
        <w:rPr>
          <w:rFonts w:ascii="Times New Roman" w:hAnsi="Times New Roman" w:cs="Times New Roman"/>
          <w:sz w:val="24"/>
          <w:szCs w:val="24"/>
        </w:rPr>
        <w:t xml:space="preserve">, </w:t>
      </w:r>
      <w:proofErr w:type="spellStart"/>
      <w:r w:rsidRPr="003E5FB1">
        <w:rPr>
          <w:rFonts w:ascii="Times New Roman" w:hAnsi="Times New Roman" w:cs="Times New Roman"/>
          <w:sz w:val="24"/>
          <w:szCs w:val="24"/>
        </w:rPr>
        <w:t>rasam</w:t>
      </w:r>
      <w:proofErr w:type="spellEnd"/>
      <w:r w:rsidRPr="003E5FB1">
        <w:rPr>
          <w:rFonts w:ascii="Times New Roman" w:hAnsi="Times New Roman" w:cs="Times New Roman"/>
          <w:sz w:val="24"/>
          <w:szCs w:val="24"/>
        </w:rPr>
        <w:t xml:space="preserve">, and </w:t>
      </w:r>
      <w:proofErr w:type="spellStart"/>
      <w:r w:rsidRPr="003E5FB1">
        <w:rPr>
          <w:rFonts w:ascii="Times New Roman" w:hAnsi="Times New Roman" w:cs="Times New Roman"/>
          <w:sz w:val="24"/>
          <w:szCs w:val="24"/>
        </w:rPr>
        <w:t>kuzhi</w:t>
      </w:r>
      <w:proofErr w:type="spellEnd"/>
      <w:r w:rsidRPr="003E5FB1">
        <w:rPr>
          <w:rFonts w:ascii="Times New Roman" w:hAnsi="Times New Roman" w:cs="Times New Roman"/>
          <w:sz w:val="24"/>
          <w:szCs w:val="24"/>
        </w:rPr>
        <w:t xml:space="preserve"> </w:t>
      </w:r>
      <w:proofErr w:type="spellStart"/>
      <w:r w:rsidRPr="003E5FB1">
        <w:rPr>
          <w:rFonts w:ascii="Times New Roman" w:hAnsi="Times New Roman" w:cs="Times New Roman"/>
          <w:sz w:val="24"/>
          <w:szCs w:val="24"/>
        </w:rPr>
        <w:t>paniyaram</w:t>
      </w:r>
      <w:proofErr w:type="spellEnd"/>
      <w:r w:rsidRPr="003E5FB1">
        <w:rPr>
          <w:rFonts w:ascii="Times New Roman" w:hAnsi="Times New Roman" w:cs="Times New Roman"/>
          <w:sz w:val="24"/>
          <w:szCs w:val="24"/>
        </w:rPr>
        <w:t xml:space="preserve"> offers a strong foundation for restaurant ventures that seek to balance taste, nutrition, and cultural authenticity (Club Mahindra, 2025). The region’s food ecosystem already contains many of the attributes that align with modern wellness models, making it ideal for entrepreneurial exploration.</w:t>
      </w:r>
    </w:p>
    <w:p w14:paraId="589BB824"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 xml:space="preserve">Coimbatore’s restaurant scene demonstrates this intersection between innovation and tradition. For example, </w:t>
      </w:r>
      <w:proofErr w:type="spellStart"/>
      <w:r w:rsidRPr="003E5FB1">
        <w:rPr>
          <w:rFonts w:ascii="Times New Roman" w:hAnsi="Times New Roman" w:cs="Times New Roman"/>
          <w:sz w:val="24"/>
          <w:szCs w:val="24"/>
        </w:rPr>
        <w:t>Padayal</w:t>
      </w:r>
      <w:proofErr w:type="spellEnd"/>
      <w:r w:rsidRPr="003E5FB1">
        <w:rPr>
          <w:rFonts w:ascii="Times New Roman" w:hAnsi="Times New Roman" w:cs="Times New Roman"/>
          <w:sz w:val="24"/>
          <w:szCs w:val="24"/>
        </w:rPr>
        <w:t xml:space="preserve"> Restaurant’s “No Boil, No Oil” initiative by Chef Sivakumar showcases over 2,500 recipes prepared without boiling or frying, employing techniques such as steaming, baking, and grilling to preserve nutrients (Homegrown, 2023). This approach exemplifies how restaurateurs can blend authenticity and health consciousness, offering a differentiated market position. Consumers increasingly expect transparency, nutritional value, and creativity in presentation while maintaining a connection to traditional favourites like ghee roast dosa and Mysore </w:t>
      </w:r>
      <w:proofErr w:type="spellStart"/>
      <w:r w:rsidRPr="003E5FB1">
        <w:rPr>
          <w:rFonts w:ascii="Times New Roman" w:hAnsi="Times New Roman" w:cs="Times New Roman"/>
          <w:sz w:val="24"/>
          <w:szCs w:val="24"/>
        </w:rPr>
        <w:t>pak</w:t>
      </w:r>
      <w:proofErr w:type="spellEnd"/>
      <w:r w:rsidRPr="003E5FB1">
        <w:rPr>
          <w:rFonts w:ascii="Times New Roman" w:hAnsi="Times New Roman" w:cs="Times New Roman"/>
          <w:sz w:val="24"/>
          <w:szCs w:val="24"/>
        </w:rPr>
        <w:t xml:space="preserve"> (NDTV Food, 2023; </w:t>
      </w:r>
      <w:proofErr w:type="spellStart"/>
      <w:r w:rsidRPr="003E5FB1">
        <w:rPr>
          <w:rFonts w:ascii="Times New Roman" w:hAnsi="Times New Roman" w:cs="Times New Roman"/>
          <w:sz w:val="24"/>
          <w:szCs w:val="24"/>
        </w:rPr>
        <w:t>Nuego</w:t>
      </w:r>
      <w:proofErr w:type="spellEnd"/>
      <w:r w:rsidRPr="003E5FB1">
        <w:rPr>
          <w:rFonts w:ascii="Times New Roman" w:hAnsi="Times New Roman" w:cs="Times New Roman"/>
          <w:sz w:val="24"/>
          <w:szCs w:val="24"/>
        </w:rPr>
        <w:t>, 2025). These evolving preferences highlight the need for entrepreneurial strategies that align with both cultural heritage and modern dietary aspirations.</w:t>
      </w:r>
    </w:p>
    <w:p w14:paraId="68F429B9" w14:textId="77777777" w:rsidR="004F3FA6" w:rsidRPr="003E5FB1" w:rsidRDefault="004F3FA6" w:rsidP="004F3FA6">
      <w:pPr>
        <w:spacing w:line="360" w:lineRule="auto"/>
        <w:jc w:val="both"/>
        <w:rPr>
          <w:rFonts w:ascii="Times New Roman" w:hAnsi="Times New Roman" w:cs="Times New Roman"/>
          <w:sz w:val="24"/>
          <w:szCs w:val="24"/>
        </w:rPr>
      </w:pPr>
    </w:p>
    <w:p w14:paraId="79F18694"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1.6 RATIONALE FOR THE STUDY</w:t>
      </w:r>
    </w:p>
    <w:p w14:paraId="41C4DCF1"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 xml:space="preserve">This study is guided by both academic and entrepreneurial motivations. From a practical perspective, the researcher aims to develop a viable business concept for a health-oriented, traditional South Indian restaurant in Coimbatore upon completion of the MBA programme. However, success in this venture requires more than culinary enthusiasm it demands strategic </w:t>
      </w:r>
      <w:r w:rsidRPr="003E5FB1">
        <w:rPr>
          <w:rFonts w:ascii="Times New Roman" w:hAnsi="Times New Roman" w:cs="Times New Roman"/>
          <w:sz w:val="24"/>
          <w:szCs w:val="24"/>
        </w:rPr>
        <w:lastRenderedPageBreak/>
        <w:t>planning, entrepreneurial competence, and a thorough understanding of consumer behaviour and local market dynamics (Hisrich, Peters and Shepherd, 2017).</w:t>
      </w:r>
    </w:p>
    <w:p w14:paraId="385CE916"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Academically, the study contributes to the fields of entrepreneurship, consumer psychology, and sustainable food systems by exploring how consumer preferences can inform business models that integrate authenticity, health, and cultural continuity. Through the synthesis of theoretical and empirical insights, the study seeks to develop a strategic framework to guide aspiring restaurateurs in designing customer-centric, sustainable, and competitive ventures in emerging urban markets such as Coimbatore.</w:t>
      </w:r>
    </w:p>
    <w:p w14:paraId="5F66BB2B"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Recent national studies highlight a marked increase in consumer awareness of nutrition, transparency, and wellness-oriented dining. Over 70 percent of urban Indian consumers now report prioritising health when choosing where and what to eat, signalling rapid expansion of the wellness-focused food services segment (Market.us, 2024). This shift validates the study’s focus on health-conscious entrepreneurship and underscores the relevance of exploring culturally grounded restaurant concepts that align with these evolving preferences.</w:t>
      </w:r>
    </w:p>
    <w:p w14:paraId="03275A15"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A mixed-methods approach is employed, integrating quantitative and qualitative perspectives. The quantitative component involves a structured survey of 120 participants representing diverse socio-economic backgrounds in Coimbatore, aiming to capture preferences, consumption patterns, and attitudes towards health-oriented traditional cuisine. Complementing this, the qualitative component consists of semi-structured interviews with ten restaurant entrepreneurs and consumers to explore motivations, challenges, and perceptions in depth. This combination enhances the validity of findings and facilitates the development of evidence-based entrepreneurial strategies tailored to the Coimbatore market.</w:t>
      </w:r>
    </w:p>
    <w:p w14:paraId="17B79BF7" w14:textId="77777777" w:rsidR="004F3FA6" w:rsidRPr="003E5FB1" w:rsidRDefault="004F3FA6" w:rsidP="004F3FA6">
      <w:pPr>
        <w:spacing w:line="360" w:lineRule="auto"/>
        <w:jc w:val="both"/>
        <w:rPr>
          <w:rFonts w:ascii="Times New Roman" w:hAnsi="Times New Roman" w:cs="Times New Roman"/>
          <w:sz w:val="24"/>
          <w:szCs w:val="24"/>
        </w:rPr>
      </w:pPr>
    </w:p>
    <w:p w14:paraId="79E71F62"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1.7 RESEARCH AIM, QUESTION, AND OBJECTIVES</w:t>
      </w:r>
    </w:p>
    <w:p w14:paraId="32ABDC7A"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AIM</w:t>
      </w:r>
    </w:p>
    <w:p w14:paraId="06360120"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sz w:val="24"/>
          <w:szCs w:val="24"/>
        </w:rPr>
        <w:t>To explore and formulate entrepreneurial strategies grounded in consumer preferences and local market dynamics for launching a customer-centric restaurant in Coimbatore that integrates health-conscious practices with traditional South Indian cuisine.</w:t>
      </w:r>
    </w:p>
    <w:p w14:paraId="60D5E311" w14:textId="77777777" w:rsidR="004F3FA6" w:rsidRDefault="004F3FA6" w:rsidP="004F3FA6">
      <w:pPr>
        <w:spacing w:line="360" w:lineRule="auto"/>
        <w:jc w:val="both"/>
        <w:rPr>
          <w:rFonts w:ascii="Times New Roman" w:hAnsi="Times New Roman" w:cs="Times New Roman"/>
          <w:b/>
          <w:bCs/>
          <w:sz w:val="24"/>
          <w:szCs w:val="24"/>
        </w:rPr>
      </w:pPr>
    </w:p>
    <w:p w14:paraId="0874F718" w14:textId="77777777" w:rsidR="004F3FA6" w:rsidRDefault="004F3FA6" w:rsidP="004F3FA6">
      <w:pPr>
        <w:spacing w:line="360" w:lineRule="auto"/>
        <w:jc w:val="both"/>
        <w:rPr>
          <w:rFonts w:ascii="Times New Roman" w:hAnsi="Times New Roman" w:cs="Times New Roman"/>
          <w:b/>
          <w:bCs/>
          <w:sz w:val="24"/>
          <w:szCs w:val="24"/>
        </w:rPr>
      </w:pPr>
    </w:p>
    <w:p w14:paraId="0A380720"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lastRenderedPageBreak/>
        <w:t>QUESTION</w:t>
      </w:r>
    </w:p>
    <w:p w14:paraId="2275FAF8"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How do consumer preferences and local market conditions contribute to the development of an effective entrepreneurial strategy for launching a customer-centric, health-oriented traditional South Indian restaurant in Coimbatore?</w:t>
      </w:r>
    </w:p>
    <w:p w14:paraId="2329B33E" w14:textId="77777777" w:rsidR="004F3FA6" w:rsidRPr="003E5FB1" w:rsidRDefault="004F3FA6" w:rsidP="004F3FA6">
      <w:pPr>
        <w:spacing w:line="360" w:lineRule="auto"/>
        <w:jc w:val="both"/>
        <w:rPr>
          <w:rFonts w:ascii="Times New Roman" w:hAnsi="Times New Roman" w:cs="Times New Roman"/>
          <w:sz w:val="24"/>
          <w:szCs w:val="24"/>
        </w:rPr>
      </w:pPr>
    </w:p>
    <w:p w14:paraId="11CE1F61"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OBJECTIVES</w:t>
      </w:r>
    </w:p>
    <w:p w14:paraId="2B967527" w14:textId="77777777" w:rsidR="004F3FA6" w:rsidRPr="003E5FB1" w:rsidRDefault="004F3FA6" w:rsidP="004F3FA6">
      <w:pPr>
        <w:numPr>
          <w:ilvl w:val="0"/>
          <w:numId w:val="1"/>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To critically analyse the preferences, behaviours, and expectations of consumers in Coimbatore regarding health-conscious and traditional South Indian culinary offerings.</w:t>
      </w:r>
    </w:p>
    <w:p w14:paraId="46191363" w14:textId="77777777" w:rsidR="004F3FA6" w:rsidRPr="003E5FB1" w:rsidRDefault="004F3FA6" w:rsidP="004F3FA6">
      <w:pPr>
        <w:numPr>
          <w:ilvl w:val="0"/>
          <w:numId w:val="1"/>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To examine the local market landscape in Coimbatore, focusing on understanding the competitive environment, evolving consumer behaviours, and socio-cultural factors influencing the development of the health-oriented restaurant industry.</w:t>
      </w:r>
    </w:p>
    <w:p w14:paraId="4B099BF9" w14:textId="77777777" w:rsidR="004F3FA6" w:rsidRPr="003E5FB1" w:rsidRDefault="004F3FA6" w:rsidP="004F3FA6">
      <w:pPr>
        <w:numPr>
          <w:ilvl w:val="0"/>
          <w:numId w:val="1"/>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To identify and critically evaluate entrepreneurial strategies that facilitate the successful launch of a customer-centric restaurant specialising in health-conscious traditional cuisine.</w:t>
      </w:r>
    </w:p>
    <w:p w14:paraId="4AB18595" w14:textId="77777777" w:rsidR="004F3FA6" w:rsidRPr="003E5FB1" w:rsidRDefault="004F3FA6" w:rsidP="004F3FA6">
      <w:pPr>
        <w:numPr>
          <w:ilvl w:val="0"/>
          <w:numId w:val="1"/>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To develop a strategic business model that effectively incorporates consumer insights, current health trends, and regional culinary traditions to create a sustainable and innovative restaurant concept.</w:t>
      </w:r>
    </w:p>
    <w:p w14:paraId="175E9513" w14:textId="77777777" w:rsidR="004F3FA6" w:rsidRPr="003E5FB1" w:rsidRDefault="004F3FA6" w:rsidP="004F3FA6">
      <w:pPr>
        <w:numPr>
          <w:ilvl w:val="0"/>
          <w:numId w:val="1"/>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To formulate evidence-based recommendations designed to enhance customer engagement, establish distinct brand differentiation, and foster sustainable growth within the Coimbatore food service industry.</w:t>
      </w:r>
    </w:p>
    <w:p w14:paraId="2289BB9E" w14:textId="77777777" w:rsidR="004F3FA6" w:rsidRPr="003E5FB1" w:rsidRDefault="004F3FA6" w:rsidP="004F3FA6">
      <w:pPr>
        <w:spacing w:line="360" w:lineRule="auto"/>
        <w:jc w:val="both"/>
        <w:rPr>
          <w:rFonts w:ascii="Times New Roman" w:hAnsi="Times New Roman" w:cs="Times New Roman"/>
          <w:sz w:val="24"/>
          <w:szCs w:val="24"/>
        </w:rPr>
      </w:pPr>
    </w:p>
    <w:p w14:paraId="18EF5B57" w14:textId="77777777" w:rsidR="004F3FA6" w:rsidRPr="003E5FB1" w:rsidRDefault="004F3FA6" w:rsidP="004F3FA6">
      <w:pPr>
        <w:spacing w:line="360" w:lineRule="auto"/>
        <w:jc w:val="both"/>
        <w:rPr>
          <w:rFonts w:ascii="Times New Roman" w:hAnsi="Times New Roman" w:cs="Times New Roman"/>
          <w:b/>
          <w:bCs/>
          <w:sz w:val="24"/>
          <w:szCs w:val="24"/>
        </w:rPr>
      </w:pPr>
      <w:r w:rsidRPr="003E5FB1">
        <w:rPr>
          <w:rFonts w:ascii="Times New Roman" w:hAnsi="Times New Roman" w:cs="Times New Roman"/>
          <w:b/>
          <w:bCs/>
          <w:sz w:val="24"/>
          <w:szCs w:val="24"/>
        </w:rPr>
        <w:t>1.8 STRUCTURE AND CONTRIBUTION OF THE STUDY</w:t>
      </w:r>
    </w:p>
    <w:p w14:paraId="318FE243"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This dissertation is organised into five chapters:</w:t>
      </w:r>
    </w:p>
    <w:p w14:paraId="77E7ED04" w14:textId="77777777" w:rsidR="004F3FA6" w:rsidRPr="003E5FB1" w:rsidRDefault="004F3FA6" w:rsidP="004F3FA6">
      <w:pPr>
        <w:numPr>
          <w:ilvl w:val="0"/>
          <w:numId w:val="2"/>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Chapter 1 introduces the research background, rationale, research- aim, question and objectives.</w:t>
      </w:r>
    </w:p>
    <w:p w14:paraId="177CBA00" w14:textId="77777777" w:rsidR="004F3FA6" w:rsidRPr="003E5FB1" w:rsidRDefault="004F3FA6" w:rsidP="004F3FA6">
      <w:pPr>
        <w:numPr>
          <w:ilvl w:val="0"/>
          <w:numId w:val="2"/>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Chapter 2 reviews the literature on entrepreneurship, consumer behaviour, and health-oriented culinary innovation, forming the theoretical foundation.</w:t>
      </w:r>
    </w:p>
    <w:p w14:paraId="26F85C1B" w14:textId="77777777" w:rsidR="004F3FA6" w:rsidRPr="003E5FB1" w:rsidRDefault="004F3FA6" w:rsidP="004F3FA6">
      <w:pPr>
        <w:numPr>
          <w:ilvl w:val="0"/>
          <w:numId w:val="2"/>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lastRenderedPageBreak/>
        <w:t>Chapter 3 explains the research design, detailing sampling strategy, data collection tools, and analysis methods.</w:t>
      </w:r>
    </w:p>
    <w:p w14:paraId="20F243F0" w14:textId="77777777" w:rsidR="004F3FA6" w:rsidRPr="003E5FB1" w:rsidRDefault="004F3FA6" w:rsidP="004F3FA6">
      <w:pPr>
        <w:numPr>
          <w:ilvl w:val="0"/>
          <w:numId w:val="2"/>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Chapter 4 presents and interprets the findings through comparative analysis of qualitative and quantitative results.</w:t>
      </w:r>
    </w:p>
    <w:p w14:paraId="092516A6" w14:textId="77777777" w:rsidR="004F3FA6" w:rsidRPr="003E5FB1" w:rsidRDefault="004F3FA6" w:rsidP="004F3FA6">
      <w:pPr>
        <w:numPr>
          <w:ilvl w:val="0"/>
          <w:numId w:val="2"/>
        </w:num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Chapter 5 concludes with implications, strategic recommendations, and directions for future research.</w:t>
      </w:r>
    </w:p>
    <w:p w14:paraId="6EE28437"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The study contributes by bridging theoretical insights and practical application, integrating entrepreneurship principles with consumer preferences and local culinary culture. It offers a strategic framework for establishing culturally authentic, health-oriented, and customer-centric dining ventures in emerging urban environments like Coimbatore.</w:t>
      </w:r>
    </w:p>
    <w:p w14:paraId="02F72EBD" w14:textId="77777777" w:rsidR="004F3FA6" w:rsidRPr="003E5FB1" w:rsidRDefault="004F3FA6" w:rsidP="004F3FA6">
      <w:pPr>
        <w:spacing w:line="360" w:lineRule="auto"/>
        <w:jc w:val="both"/>
        <w:rPr>
          <w:rFonts w:ascii="Times New Roman" w:hAnsi="Times New Roman" w:cs="Times New Roman"/>
          <w:sz w:val="24"/>
          <w:szCs w:val="24"/>
        </w:rPr>
      </w:pPr>
      <w:r w:rsidRPr="003E5FB1">
        <w:rPr>
          <w:rFonts w:ascii="Times New Roman" w:hAnsi="Times New Roman" w:cs="Times New Roman"/>
          <w:sz w:val="24"/>
          <w:szCs w:val="24"/>
        </w:rPr>
        <w:t>The following chapter builds on this contextual and conceptual groundwork by critically examining the existing body of literature that informs the theoretical and empirical foundations of this research.</w:t>
      </w:r>
    </w:p>
    <w:p w14:paraId="5FC8CCC5" w14:textId="77777777" w:rsidR="004F3FA6" w:rsidRPr="003E5FB1" w:rsidRDefault="004F3FA6" w:rsidP="004F3FA6">
      <w:pPr>
        <w:spacing w:line="360" w:lineRule="auto"/>
        <w:jc w:val="both"/>
        <w:rPr>
          <w:rFonts w:ascii="Times New Roman" w:hAnsi="Times New Roman" w:cs="Times New Roman"/>
          <w:sz w:val="24"/>
          <w:szCs w:val="24"/>
        </w:rPr>
      </w:pPr>
    </w:p>
    <w:p w14:paraId="35647FAE" w14:textId="77777777" w:rsidR="004F3FA6" w:rsidRPr="003E5FB1" w:rsidRDefault="004F3FA6" w:rsidP="004F3FA6">
      <w:pPr>
        <w:spacing w:line="360" w:lineRule="auto"/>
        <w:jc w:val="both"/>
        <w:rPr>
          <w:rFonts w:ascii="Times New Roman" w:hAnsi="Times New Roman" w:cs="Times New Roman"/>
          <w:sz w:val="24"/>
          <w:szCs w:val="24"/>
        </w:rPr>
      </w:pPr>
    </w:p>
    <w:p w14:paraId="6B830615" w14:textId="77777777" w:rsidR="004F3FA6" w:rsidRPr="003E5FB1" w:rsidRDefault="004F3FA6" w:rsidP="004F3FA6">
      <w:pPr>
        <w:spacing w:line="360" w:lineRule="auto"/>
        <w:jc w:val="both"/>
        <w:rPr>
          <w:rFonts w:ascii="Times New Roman" w:hAnsi="Times New Roman" w:cs="Times New Roman"/>
          <w:sz w:val="24"/>
          <w:szCs w:val="24"/>
        </w:rPr>
      </w:pPr>
    </w:p>
    <w:p w14:paraId="36BB0771" w14:textId="77777777" w:rsidR="00697F12" w:rsidRDefault="00697F12"/>
    <w:p w14:paraId="1079B8CC" w14:textId="77777777" w:rsidR="00DA577C" w:rsidRDefault="00DA577C"/>
    <w:p w14:paraId="7D37A17F" w14:textId="77777777" w:rsidR="00DA577C" w:rsidRDefault="00DA577C"/>
    <w:p w14:paraId="357BFEA7" w14:textId="77777777" w:rsidR="00DA577C" w:rsidRDefault="00DA577C"/>
    <w:p w14:paraId="1FB5D56A" w14:textId="77777777" w:rsidR="00DA577C" w:rsidRDefault="00DA577C"/>
    <w:p w14:paraId="41C93271" w14:textId="77777777" w:rsidR="00DA577C" w:rsidRDefault="00DA577C"/>
    <w:p w14:paraId="618CCFBD" w14:textId="77777777" w:rsidR="00DA577C" w:rsidRDefault="00DA577C"/>
    <w:p w14:paraId="13773DBE" w14:textId="77777777" w:rsidR="00DA577C" w:rsidRDefault="00DA577C"/>
    <w:p w14:paraId="6C02419D" w14:textId="77777777" w:rsidR="00DA577C" w:rsidRDefault="00DA577C"/>
    <w:p w14:paraId="58DF58A6" w14:textId="77777777" w:rsidR="00DA577C" w:rsidRDefault="00DA577C"/>
    <w:p w14:paraId="671B4B91" w14:textId="77777777" w:rsidR="00DA577C" w:rsidRDefault="00DA577C"/>
    <w:p w14:paraId="29135984" w14:textId="77777777" w:rsidR="00DA577C" w:rsidRDefault="00DA577C"/>
    <w:p w14:paraId="386B6A01" w14:textId="77777777" w:rsidR="00DA577C" w:rsidRDefault="00DA577C"/>
    <w:p w14:paraId="26067751"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lastRenderedPageBreak/>
        <w:t>CHAPTER 2: REVIEW OF LITERATURE</w:t>
      </w:r>
    </w:p>
    <w:p w14:paraId="611C29E0"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This literature review examines the growing body of research guiding business strategies for customer-centric, health-conscious, and tradition-oriented restaurants in India. It combines academic scholarship with industry insights to show how entrepreneurs respond to changing food preferences, rising health awareness, and the enduring role of cultural identity in dining. The review also investigates how restaurateurs blend innovation with long-standing culinary practices to create experiences that are both authentic and appealing to contemporary consumers.</w:t>
      </w:r>
    </w:p>
    <w:p w14:paraId="107F7335"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By analysing consumer behaviour, service quality expectations, and patterns of entrepreneurial adaptation in emerging urban centres such as Coimbatore, the chapter bridges theoretical frameworks and practical applications. It further considers how urbanisation, lifestyle changes, and global food trends shape strategic decisions in modern restaurants. Ultimately, the review identifies research gaps, emerging trends, and key factors that can inform sustainable, resilient, and customer-focused strategies in India’s dynamic food service sector.</w:t>
      </w:r>
    </w:p>
    <w:p w14:paraId="04738343" w14:textId="77777777" w:rsidR="00DA577C" w:rsidRPr="00B25D47" w:rsidRDefault="00DA577C" w:rsidP="00DA577C">
      <w:pPr>
        <w:spacing w:line="360" w:lineRule="auto"/>
        <w:jc w:val="both"/>
        <w:rPr>
          <w:rFonts w:ascii="Times New Roman" w:hAnsi="Times New Roman" w:cs="Times New Roman"/>
          <w:sz w:val="24"/>
          <w:szCs w:val="24"/>
        </w:rPr>
      </w:pPr>
    </w:p>
    <w:p w14:paraId="5E7F4DFF"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2.1 INTRODUCTION</w:t>
      </w:r>
    </w:p>
    <w:p w14:paraId="54E0135E"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The Indian foodservice sector has experienced substantial and multidimensional transformation over the past decade, influenced by evolving lifestyles, heightened health consciousness, and the rapid expansion of digital ecosystems, particularly app-based food delivery platforms. In fast-growing urban areas like Coimbatore where age-old regional food customs mingle with international flavours and contemporary eating practices entrepreneurs encounter the increasingly challenging responsibility of preserving cultural integrity while also adopting innovation. They must respond to the expectations of health-oriented consumers yet continue to honour the traditional flavours, preparation methods, and cultural narratives that define local food identity and customer loyalty. Recent data show that India’s food-service start-ups are expanding at over 10 percent annually, with wellness-driven and locally sourced ventures accounting for a growing share of new entrants (NRAI, 2024). This acceleration reflects a broader shift toward consumer-led entrepreneurship that values transparency, health, and cultural relevance.</w:t>
      </w:r>
    </w:p>
    <w:p w14:paraId="3353CDEC"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chapter provides a structured and comprehensive review of the literature relevant to these dynamics, organised across five interconnected themes: (1) consumer preferences and rising </w:t>
      </w:r>
      <w:r w:rsidRPr="00B25D47">
        <w:rPr>
          <w:rFonts w:ascii="Times New Roman" w:hAnsi="Times New Roman" w:cs="Times New Roman"/>
          <w:sz w:val="24"/>
          <w:szCs w:val="24"/>
        </w:rPr>
        <w:lastRenderedPageBreak/>
        <w:t xml:space="preserve">health awareness, (2) local cultural and market influences, (3) entrepreneurial strategies within the contemporary food sector, (4) business model design (5) customer engagement practices, and (6) operational challenges, constraints, and emerging opportunities. </w:t>
      </w:r>
    </w:p>
    <w:p w14:paraId="310FA93B"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Each theme directly corresponds to one or more of the research objectives and is examined through theoretical lenses Entrepreneurial Process Theory (Bygrave &amp; Hofer, 1991), Customer-Centricity Theory (Shah et al., 2006), Consumer Culture Theory (Arnould &amp; Thompson, 2005), Value Proposition Design (Osterwalder et al., 2014), and the Business Model Canvas (Osterwalder &amp; Pigneur, 2010). Together they explain how cultural heritage, consumer motivation, and entrepreneurial design interact to create health-traditional food ventures in Coimbatore.</w:t>
      </w:r>
    </w:p>
    <w:p w14:paraId="40DC15C0" w14:textId="77777777" w:rsidR="00DA577C" w:rsidRPr="00B25D47" w:rsidRDefault="00DA577C" w:rsidP="00DA577C">
      <w:pPr>
        <w:spacing w:line="360" w:lineRule="auto"/>
        <w:jc w:val="both"/>
        <w:rPr>
          <w:rFonts w:ascii="Times New Roman" w:hAnsi="Times New Roman" w:cs="Times New Roman"/>
          <w:sz w:val="24"/>
          <w:szCs w:val="24"/>
        </w:rPr>
      </w:pPr>
    </w:p>
    <w:p w14:paraId="563B2E01"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2.2 CONSUMER PREFERENCES AND HEALTH AWARENESS IN INDIA</w:t>
      </w:r>
    </w:p>
    <w:p w14:paraId="3760D29A"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section addresses </w:t>
      </w:r>
      <w:r>
        <w:rPr>
          <w:rFonts w:ascii="Times New Roman" w:hAnsi="Times New Roman" w:cs="Times New Roman"/>
          <w:sz w:val="24"/>
          <w:szCs w:val="24"/>
        </w:rPr>
        <w:t>r</w:t>
      </w:r>
      <w:r w:rsidRPr="00B25D47">
        <w:rPr>
          <w:rFonts w:ascii="Times New Roman" w:hAnsi="Times New Roman" w:cs="Times New Roman"/>
          <w:sz w:val="24"/>
          <w:szCs w:val="24"/>
        </w:rPr>
        <w:t xml:space="preserve">esearch </w:t>
      </w:r>
      <w:r>
        <w:rPr>
          <w:rFonts w:ascii="Times New Roman" w:hAnsi="Times New Roman" w:cs="Times New Roman"/>
          <w:sz w:val="24"/>
          <w:szCs w:val="24"/>
        </w:rPr>
        <w:t>o</w:t>
      </w:r>
      <w:r w:rsidRPr="00B25D47">
        <w:rPr>
          <w:rFonts w:ascii="Times New Roman" w:hAnsi="Times New Roman" w:cs="Times New Roman"/>
          <w:sz w:val="24"/>
          <w:szCs w:val="24"/>
        </w:rPr>
        <w:t>bjective 1, examining consumer preferences and behaviours regarding health-conscious traditional South Indian cuisine.</w:t>
      </w:r>
    </w:p>
    <w:p w14:paraId="187C298D"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The rise of health-conscious consumers has shifted food choices in India from taste-centric to health-driven decision-making. The 2024 KPMG report indicates that over 75 per cent of urban consumers now prioritise “health and authenticity” when selecting restaurants, signalling a strong move toward mindful consumption (KPMG, 2024). Bharathi and Elango (2024) note that Indian consumers increasingly associate millets and other indigenous grains with nutritional balance, enhanced immunity, and lower glycaemic impact. This trend reflects broader lifestyle shifts linking personal wellness with sustainability and ethical consumption. However, </w:t>
      </w:r>
      <w:proofErr w:type="spellStart"/>
      <w:r w:rsidRPr="00B25D47">
        <w:rPr>
          <w:rFonts w:ascii="Times New Roman" w:hAnsi="Times New Roman" w:cs="Times New Roman"/>
          <w:sz w:val="24"/>
          <w:szCs w:val="24"/>
        </w:rPr>
        <w:t>Subhalakshmi</w:t>
      </w:r>
      <w:proofErr w:type="spellEnd"/>
      <w:r w:rsidRPr="00B25D47">
        <w:rPr>
          <w:rFonts w:ascii="Times New Roman" w:hAnsi="Times New Roman" w:cs="Times New Roman"/>
          <w:sz w:val="24"/>
          <w:szCs w:val="24"/>
        </w:rPr>
        <w:t xml:space="preserve"> et al. (2024) observe that socio-economic status, education, and awareness significantly influence consumers’ willingness to adopt millet-based and other functional foods. Urban consumers are motivated both by perceived health benefits and cultural familiarity, reflecting a hybrid motivation rooted in modern aspirations and traditional trust.</w:t>
      </w:r>
    </w:p>
    <w:p w14:paraId="6E52C443"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Mohanan et al. (2025) report that concern over non-communicable diseases has revived traditional ingredients, blending rural authenticity with urban wellness ideals. Yet, as Vasanth Kumar and </w:t>
      </w:r>
      <w:proofErr w:type="spellStart"/>
      <w:r w:rsidRPr="00B25D47">
        <w:rPr>
          <w:rFonts w:ascii="Times New Roman" w:hAnsi="Times New Roman" w:cs="Times New Roman"/>
          <w:sz w:val="24"/>
          <w:szCs w:val="24"/>
        </w:rPr>
        <w:t>Jayaprakasam</w:t>
      </w:r>
      <w:proofErr w:type="spellEnd"/>
      <w:r w:rsidRPr="00B25D47">
        <w:rPr>
          <w:rFonts w:ascii="Times New Roman" w:hAnsi="Times New Roman" w:cs="Times New Roman"/>
          <w:sz w:val="24"/>
          <w:szCs w:val="24"/>
        </w:rPr>
        <w:t xml:space="preserve"> (2025) argue, affordability and accessibility still limit widespread adoption, highlighting the structural gap between aspiration and practicality that entrepreneurs must address. Ray and Ray (2022) trace this health orientation to ancient </w:t>
      </w:r>
      <w:proofErr w:type="spellStart"/>
      <w:r w:rsidRPr="00B25D47">
        <w:rPr>
          <w:rFonts w:ascii="Times New Roman" w:hAnsi="Times New Roman" w:cs="Times New Roman"/>
          <w:sz w:val="24"/>
          <w:szCs w:val="24"/>
        </w:rPr>
        <w:t>guṇa</w:t>
      </w:r>
      <w:proofErr w:type="spellEnd"/>
      <w:r w:rsidRPr="00B25D47">
        <w:rPr>
          <w:rFonts w:ascii="Times New Roman" w:hAnsi="Times New Roman" w:cs="Times New Roman"/>
          <w:sz w:val="24"/>
          <w:szCs w:val="24"/>
        </w:rPr>
        <w:t xml:space="preserve"> philosophy</w:t>
      </w:r>
      <w:r>
        <w:rPr>
          <w:rFonts w:ascii="Times New Roman" w:hAnsi="Times New Roman" w:cs="Times New Roman"/>
          <w:sz w:val="24"/>
          <w:szCs w:val="24"/>
        </w:rPr>
        <w:t xml:space="preserve"> </w:t>
      </w:r>
      <w:r w:rsidRPr="00B25D47">
        <w:rPr>
          <w:rFonts w:ascii="Times New Roman" w:hAnsi="Times New Roman" w:cs="Times New Roman"/>
          <w:sz w:val="24"/>
          <w:szCs w:val="24"/>
        </w:rPr>
        <w:t>sattva, rajas, tamas</w:t>
      </w:r>
      <w:r>
        <w:rPr>
          <w:rFonts w:ascii="Times New Roman" w:hAnsi="Times New Roman" w:cs="Times New Roman"/>
          <w:sz w:val="24"/>
          <w:szCs w:val="24"/>
        </w:rPr>
        <w:t xml:space="preserve"> </w:t>
      </w:r>
      <w:r w:rsidRPr="00B25D47">
        <w:rPr>
          <w:rFonts w:ascii="Times New Roman" w:hAnsi="Times New Roman" w:cs="Times New Roman"/>
          <w:sz w:val="24"/>
          <w:szCs w:val="24"/>
        </w:rPr>
        <w:t xml:space="preserve">showing that modern “wellness” often repackages traditional holistic </w:t>
      </w:r>
      <w:r w:rsidRPr="00B25D47">
        <w:rPr>
          <w:rFonts w:ascii="Times New Roman" w:hAnsi="Times New Roman" w:cs="Times New Roman"/>
          <w:sz w:val="24"/>
          <w:szCs w:val="24"/>
        </w:rPr>
        <w:lastRenderedPageBreak/>
        <w:t>frameworks. Popular commentaries (Ibn Battuta Mall, 2023) similarly associate freshness and purity with moral value.</w:t>
      </w:r>
    </w:p>
    <w:p w14:paraId="78402776"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Industry data corroborate these findings: the NRAI (2024) reports that nearly two-thirds of diners prioritise wellness, with 74 per cent favouring plant-based menus. Yet, practical costs and supply gaps remain barriers, while hygiene, trust, and transparency, especially post-COVID, shape consumer expectations (Kavya &amp; Renugadevi, 2023; Vijay et al., 2023). From a Value Proposition Design perspective (Osterwalder et al., 2014), restaurateurs address these “pains” by reviving traditional recipes as modern “gains.” Health awareness thus emerges not only as a social trend but as a structural opportunity influencing innovation and branding in Coimbatore’s evolving restaurant sector.</w:t>
      </w:r>
    </w:p>
    <w:p w14:paraId="5036D413"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Understanding these preferences provides a foundation for analysing how local culture and identity influence purchasing behaviour, explored in the next section.</w:t>
      </w:r>
    </w:p>
    <w:p w14:paraId="6272C0A1" w14:textId="77777777" w:rsidR="00DA577C" w:rsidRPr="00B25D47" w:rsidRDefault="00DA577C" w:rsidP="00DA577C">
      <w:pPr>
        <w:spacing w:line="360" w:lineRule="auto"/>
        <w:jc w:val="both"/>
        <w:rPr>
          <w:rFonts w:ascii="Times New Roman" w:hAnsi="Times New Roman" w:cs="Times New Roman"/>
          <w:sz w:val="24"/>
          <w:szCs w:val="24"/>
        </w:rPr>
      </w:pPr>
    </w:p>
    <w:p w14:paraId="6754D79F"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2.3 LOCAL MARKET AND CULTURAL INFLUENCES IN INDIA</w:t>
      </w:r>
    </w:p>
    <w:p w14:paraId="3CE0E79F"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section addresses </w:t>
      </w:r>
      <w:r>
        <w:rPr>
          <w:rFonts w:ascii="Times New Roman" w:hAnsi="Times New Roman" w:cs="Times New Roman"/>
          <w:sz w:val="24"/>
          <w:szCs w:val="24"/>
        </w:rPr>
        <w:t>r</w:t>
      </w:r>
      <w:r w:rsidRPr="00B25D47">
        <w:rPr>
          <w:rFonts w:ascii="Times New Roman" w:hAnsi="Times New Roman" w:cs="Times New Roman"/>
          <w:sz w:val="24"/>
          <w:szCs w:val="24"/>
        </w:rPr>
        <w:t xml:space="preserve">esearch </w:t>
      </w:r>
      <w:r>
        <w:rPr>
          <w:rFonts w:ascii="Times New Roman" w:hAnsi="Times New Roman" w:cs="Times New Roman"/>
          <w:sz w:val="24"/>
          <w:szCs w:val="24"/>
        </w:rPr>
        <w:t>o</w:t>
      </w:r>
      <w:r w:rsidRPr="00B25D47">
        <w:rPr>
          <w:rFonts w:ascii="Times New Roman" w:hAnsi="Times New Roman" w:cs="Times New Roman"/>
          <w:sz w:val="24"/>
          <w:szCs w:val="24"/>
        </w:rPr>
        <w:t>bjective 2, examining local market and socio-cultural factors shaping restaurant development in Coimbatore.</w:t>
      </w:r>
    </w:p>
    <w:p w14:paraId="1B229814"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Cultural identity strongly influences food choices and market behaviour in India, affecting not only what people consume but how they interpret and value food. Seth (2025) emphasises that millets and other traditional foods represent more than everyday dietary options; they function as symbols of regional identity, pride, and collective memory. In Tamil Nadu, these foods embody continuity, community, and cultural resilience, reinforcing enduring links between cuisine and heritage. Palanichamy et al. (2024) note that consumers with strong cultural ties are more receptive to indigenous foods, with a sense of rootedness shaping purchasing and consumption patterns. Conversely, Alae-Carew et al. (2019) caution that globalisation can weaken this connection, making authenticity a strategic differentiator for entrepreneurs.</w:t>
      </w:r>
    </w:p>
    <w:p w14:paraId="1930FE86"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Saravanakumar (2025) highlights that regional cuisines such as </w:t>
      </w:r>
      <w:proofErr w:type="spellStart"/>
      <w:r w:rsidRPr="00B25D47">
        <w:rPr>
          <w:rFonts w:ascii="Times New Roman" w:hAnsi="Times New Roman" w:cs="Times New Roman"/>
          <w:sz w:val="24"/>
          <w:szCs w:val="24"/>
        </w:rPr>
        <w:t>Chettinad</w:t>
      </w:r>
      <w:proofErr w:type="spellEnd"/>
      <w:r w:rsidRPr="00B25D47">
        <w:rPr>
          <w:rFonts w:ascii="Times New Roman" w:hAnsi="Times New Roman" w:cs="Times New Roman"/>
          <w:sz w:val="24"/>
          <w:szCs w:val="24"/>
        </w:rPr>
        <w:t xml:space="preserve"> and </w:t>
      </w:r>
      <w:proofErr w:type="spellStart"/>
      <w:r w:rsidRPr="00B25D47">
        <w:rPr>
          <w:rFonts w:ascii="Times New Roman" w:hAnsi="Times New Roman" w:cs="Times New Roman"/>
          <w:sz w:val="24"/>
          <w:szCs w:val="24"/>
        </w:rPr>
        <w:t>Kongunadu</w:t>
      </w:r>
      <w:proofErr w:type="spellEnd"/>
      <w:r w:rsidRPr="00B25D47">
        <w:rPr>
          <w:rFonts w:ascii="Times New Roman" w:hAnsi="Times New Roman" w:cs="Times New Roman"/>
          <w:sz w:val="24"/>
          <w:szCs w:val="24"/>
        </w:rPr>
        <w:t xml:space="preserve"> foster cultural preservation and tourism, positioning food as cultural capital. Patel et al. (2014) and Pandey &amp; Kumar (2021) emphasise that authenticity also relies on local supply chains; without community-driven sourcing, symbolic value may diminish.</w:t>
      </w:r>
    </w:p>
    <w:p w14:paraId="07A12A8F" w14:textId="77777777" w:rsidR="00DA577C" w:rsidRPr="00B25D47" w:rsidRDefault="00DA577C" w:rsidP="00DA577C">
      <w:pPr>
        <w:spacing w:line="360" w:lineRule="auto"/>
        <w:jc w:val="both"/>
        <w:rPr>
          <w:rFonts w:ascii="Times New Roman" w:hAnsi="Times New Roman" w:cs="Times New Roman"/>
          <w:sz w:val="24"/>
          <w:szCs w:val="24"/>
        </w:rPr>
      </w:pPr>
      <w:proofErr w:type="spellStart"/>
      <w:r w:rsidRPr="00B25D47">
        <w:rPr>
          <w:rFonts w:ascii="Times New Roman" w:hAnsi="Times New Roman" w:cs="Times New Roman"/>
          <w:sz w:val="24"/>
          <w:szCs w:val="24"/>
        </w:rPr>
        <w:lastRenderedPageBreak/>
        <w:t>Kongunadu</w:t>
      </w:r>
      <w:proofErr w:type="spellEnd"/>
      <w:r w:rsidRPr="00B25D47">
        <w:rPr>
          <w:rFonts w:ascii="Times New Roman" w:hAnsi="Times New Roman" w:cs="Times New Roman"/>
          <w:sz w:val="24"/>
          <w:szCs w:val="24"/>
        </w:rPr>
        <w:t xml:space="preserve"> cuisine, emblematic of Coimbatore, illustrates the convergence of heritage and health. Rich in nutrient-dense ingredients such as </w:t>
      </w:r>
      <w:proofErr w:type="spellStart"/>
      <w:r w:rsidRPr="00B25D47">
        <w:rPr>
          <w:rFonts w:ascii="Times New Roman" w:hAnsi="Times New Roman" w:cs="Times New Roman"/>
          <w:sz w:val="24"/>
          <w:szCs w:val="24"/>
        </w:rPr>
        <w:t>kambu</w:t>
      </w:r>
      <w:proofErr w:type="spellEnd"/>
      <w:r w:rsidRPr="00B25D47">
        <w:rPr>
          <w:rFonts w:ascii="Times New Roman" w:hAnsi="Times New Roman" w:cs="Times New Roman"/>
          <w:sz w:val="24"/>
          <w:szCs w:val="24"/>
        </w:rPr>
        <w:t xml:space="preserve"> (pearl millet), moringa, and horse gram, it supports nutritional well-being and ecological sustainability (Mahapatra, 2022; Tamil Nadu Tourism, 2024). Authenticity is a key determinant of customer satisfaction in South Indian restaurants (Ranjana &amp; Umabharathi, 2025; Kalimuthu, 2018), highlighting the importance of cultural fidelity in dining experiences. Consumer Culture Theory (Arnould &amp; Thompson, 2005) further posits that food consumption acts as a site of cultural expression, allowing individuals to affirm identity and belonging. In Coimbatore, enjoying a meal out is more than just eating; it is a way to honour and reserve cultural backgrounds.</w:t>
      </w:r>
    </w:p>
    <w:p w14:paraId="4CEA5530"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Competition within Coimbatore’s food market is increasingly intense, encompassing long-established family-run eateries, contemporary dine-in restaurants, and the swiftly growing presence of cloud kitchen models. Successful ventures differentiate themselves by maintaining consistent product quality, transparent ingredient sourcing, and strict hygiene standards (Kalaivani &amp; Girija, 2018). Many restaurateurs also adopt health-oriented practices</w:t>
      </w:r>
      <w:r>
        <w:rPr>
          <w:rFonts w:ascii="Times New Roman" w:hAnsi="Times New Roman" w:cs="Times New Roman"/>
          <w:sz w:val="24"/>
          <w:szCs w:val="24"/>
        </w:rPr>
        <w:t xml:space="preserve"> </w:t>
      </w:r>
      <w:r w:rsidRPr="00B25D47">
        <w:rPr>
          <w:rFonts w:ascii="Times New Roman" w:hAnsi="Times New Roman" w:cs="Times New Roman"/>
          <w:sz w:val="24"/>
          <w:szCs w:val="24"/>
        </w:rPr>
        <w:t>steaming, cold-pressing, and substituting refined grains with millets</w:t>
      </w:r>
      <w:r>
        <w:rPr>
          <w:rFonts w:ascii="Times New Roman" w:hAnsi="Times New Roman" w:cs="Times New Roman"/>
          <w:sz w:val="24"/>
          <w:szCs w:val="24"/>
        </w:rPr>
        <w:t xml:space="preserve"> </w:t>
      </w:r>
      <w:r w:rsidRPr="00B25D47">
        <w:rPr>
          <w:rFonts w:ascii="Times New Roman" w:hAnsi="Times New Roman" w:cs="Times New Roman"/>
          <w:sz w:val="24"/>
          <w:szCs w:val="24"/>
        </w:rPr>
        <w:t xml:space="preserve">while preserving traditional flavours and cultural integrity (Perfect Recorder, 2023; </w:t>
      </w:r>
      <w:proofErr w:type="spellStart"/>
      <w:r w:rsidRPr="00B25D47">
        <w:rPr>
          <w:rFonts w:ascii="Times New Roman" w:hAnsi="Times New Roman" w:cs="Times New Roman"/>
          <w:sz w:val="24"/>
          <w:szCs w:val="24"/>
        </w:rPr>
        <w:t>Karky</w:t>
      </w:r>
      <w:proofErr w:type="spellEnd"/>
      <w:r w:rsidRPr="00B25D47">
        <w:rPr>
          <w:rFonts w:ascii="Times New Roman" w:hAnsi="Times New Roman" w:cs="Times New Roman"/>
          <w:sz w:val="24"/>
          <w:szCs w:val="24"/>
        </w:rPr>
        <w:t>, 2024). Innovation and tradition thus coexist as mutually reinforcing forces shaping Coimbatore’s culinary identity.</w:t>
      </w:r>
    </w:p>
    <w:p w14:paraId="54D2F6D7"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Building on this understanding, the next section examines how entrepreneurs leverage strategic frameworks to convert cultural heritage into competitive advantage.</w:t>
      </w:r>
    </w:p>
    <w:p w14:paraId="3C547F3B" w14:textId="77777777" w:rsidR="00DA577C" w:rsidRPr="00B25D47" w:rsidRDefault="00DA577C" w:rsidP="00DA577C">
      <w:pPr>
        <w:spacing w:line="360" w:lineRule="auto"/>
        <w:jc w:val="both"/>
        <w:rPr>
          <w:rFonts w:ascii="Times New Roman" w:hAnsi="Times New Roman" w:cs="Times New Roman"/>
          <w:sz w:val="24"/>
          <w:szCs w:val="24"/>
        </w:rPr>
      </w:pPr>
    </w:p>
    <w:p w14:paraId="10A1CE35"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2.4 ENTREPRENEURIAL STRATEGY AND EXPECTATIONS IN INDIA</w:t>
      </w:r>
    </w:p>
    <w:p w14:paraId="2A707D94"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section focuses on </w:t>
      </w:r>
      <w:r>
        <w:rPr>
          <w:rFonts w:ascii="Times New Roman" w:hAnsi="Times New Roman" w:cs="Times New Roman"/>
          <w:sz w:val="24"/>
          <w:szCs w:val="24"/>
        </w:rPr>
        <w:t>r</w:t>
      </w:r>
      <w:r w:rsidRPr="00B25D47">
        <w:rPr>
          <w:rFonts w:ascii="Times New Roman" w:hAnsi="Times New Roman" w:cs="Times New Roman"/>
          <w:sz w:val="24"/>
          <w:szCs w:val="24"/>
        </w:rPr>
        <w:t xml:space="preserve">esearch </w:t>
      </w:r>
      <w:r>
        <w:rPr>
          <w:rFonts w:ascii="Times New Roman" w:hAnsi="Times New Roman" w:cs="Times New Roman"/>
          <w:sz w:val="24"/>
          <w:szCs w:val="24"/>
        </w:rPr>
        <w:t>o</w:t>
      </w:r>
      <w:r w:rsidRPr="00B25D47">
        <w:rPr>
          <w:rFonts w:ascii="Times New Roman" w:hAnsi="Times New Roman" w:cs="Times New Roman"/>
          <w:sz w:val="24"/>
          <w:szCs w:val="24"/>
        </w:rPr>
        <w:t>bjective 3 and examines entrepreneurial strategies for establishing customer-centric, health-oriented traditional restaurants.</w:t>
      </w:r>
    </w:p>
    <w:p w14:paraId="388E64B1"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Entrepreneurial strategy in India’s food sector is increasingly shaped by a delicate balance between cultural tradition and modern innovation. Traditional foods, deeply rooted in regional identity, are no longer just dietary staples they are also entrepreneurial opportunities. Karthick, Arulmani, and Ravi (2023) observe that the decline in millet cultivation has created a space for entrepreneurs to revive these nutrient-rich grains through creative branding, innovative processing, and value-added products. By contrast, Veeramani et al. (2024) highlight that urban consumers are seeking convenient, ready-to-cook and ready-to-eat options that do not </w:t>
      </w:r>
      <w:r w:rsidRPr="00B25D47">
        <w:rPr>
          <w:rFonts w:ascii="Times New Roman" w:hAnsi="Times New Roman" w:cs="Times New Roman"/>
          <w:sz w:val="24"/>
          <w:szCs w:val="24"/>
        </w:rPr>
        <w:lastRenderedPageBreak/>
        <w:t>compromise on nutrition or authenticity, reflecting changing lifestyles and evolving expectations.</w:t>
      </w:r>
    </w:p>
    <w:p w14:paraId="49B9B08B"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Within Entrepreneurial Process Theory (Bygrave &amp; Hofer, 1991), these entrepreneurs identify emerging opportunities, mobilise local resources, and generate value by merging traditional culinary knowledge with contemporary business practices. In Coimbatore, where authentic, health-focused dining experiences are relatively scarce, this intersection of heritage and innovation presents a particularly fertile ground for new ventures. Short food supply chains further enhance the resilience of these models, allowing businesses to adapt to disruptions such as the COVID-19 pandemic (Cappelli &amp; Cini, 2020; Pandey &amp; Kumar, 2021), while the modernisation of traditional industries, as noted by MSME (2018), demonstrates how technology can support efficiency, scalability, and market reach.</w:t>
      </w:r>
    </w:p>
    <w:p w14:paraId="73B6A0F4"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Equally important is the focus on the consumer experience. Customer-Centricity Theory (Shah et al., 2006) underscores the importance of empathy, co-creation, and long-term relationship building. Entrepreneurs cultivate emotional loyalty through authenticity, compelling storytelling, and consistent reliability, which resonates strongly in a market where 86% of urban diners associate satisfaction with hygiene, dependability, and personalised care (</w:t>
      </w:r>
      <w:proofErr w:type="spellStart"/>
      <w:r w:rsidRPr="00B25D47">
        <w:rPr>
          <w:rFonts w:ascii="Times New Roman" w:hAnsi="Times New Roman" w:cs="Times New Roman"/>
          <w:sz w:val="24"/>
          <w:szCs w:val="24"/>
        </w:rPr>
        <w:t>Tharmalingam</w:t>
      </w:r>
      <w:proofErr w:type="spellEnd"/>
      <w:r w:rsidRPr="00B25D47">
        <w:rPr>
          <w:rFonts w:ascii="Times New Roman" w:hAnsi="Times New Roman" w:cs="Times New Roman"/>
          <w:sz w:val="24"/>
          <w:szCs w:val="24"/>
        </w:rPr>
        <w:t xml:space="preserve">, Jayaraman &amp; Mohan, 2025). </w:t>
      </w:r>
    </w:p>
    <w:p w14:paraId="4049B663"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Applying marketing strategies, such as STP (Segmentation, Targeting, Positioning) frameworks (Kotler, Bowen &amp; Makens, 2013), enable these ventures to tailor their offerings to diverse consumer segments from busy professionals to families and older adults each drawn to traditional yet wholesome meals that connect with their sense of culture and well-being. As Tak, Shankar &amp; Kadiyala (2019) observe, Tamil Nadu’s cuisines already align with global wellness movements. The strategic challenge lies not merely in serving meals but in offering experiences that celebrate cultural identity, promote health, and respond to the aspirations of contemporary urban consumers</w:t>
      </w:r>
      <w:r>
        <w:rPr>
          <w:rFonts w:ascii="Times New Roman" w:hAnsi="Times New Roman" w:cs="Times New Roman"/>
          <w:sz w:val="24"/>
          <w:szCs w:val="24"/>
        </w:rPr>
        <w:t xml:space="preserve"> </w:t>
      </w:r>
      <w:r w:rsidRPr="00B25D47">
        <w:rPr>
          <w:rFonts w:ascii="Times New Roman" w:hAnsi="Times New Roman" w:cs="Times New Roman"/>
          <w:sz w:val="24"/>
          <w:szCs w:val="24"/>
        </w:rPr>
        <w:t>demonstrating that food can simultaneously nourish the body, uphold heritage, and drive sustainable business growth.</w:t>
      </w:r>
    </w:p>
    <w:p w14:paraId="66E6D6A5"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To implement these strategies sustainably, entrepreneurs must design business models that align customer needs, cultural authenticity, and financial viability</w:t>
      </w:r>
      <w:r>
        <w:rPr>
          <w:rFonts w:ascii="Times New Roman" w:hAnsi="Times New Roman" w:cs="Times New Roman"/>
          <w:sz w:val="24"/>
          <w:szCs w:val="24"/>
        </w:rPr>
        <w:t xml:space="preserve"> </w:t>
      </w:r>
      <w:r w:rsidRPr="00B25D47">
        <w:rPr>
          <w:rFonts w:ascii="Times New Roman" w:hAnsi="Times New Roman" w:cs="Times New Roman"/>
          <w:sz w:val="24"/>
          <w:szCs w:val="24"/>
        </w:rPr>
        <w:t>discussed in the next section.</w:t>
      </w:r>
    </w:p>
    <w:p w14:paraId="40C55A3F" w14:textId="77777777" w:rsidR="00DA577C" w:rsidRDefault="00DA577C" w:rsidP="00DA577C">
      <w:pPr>
        <w:spacing w:line="360" w:lineRule="auto"/>
        <w:jc w:val="both"/>
        <w:rPr>
          <w:rFonts w:ascii="Times New Roman" w:hAnsi="Times New Roman" w:cs="Times New Roman"/>
          <w:sz w:val="24"/>
          <w:szCs w:val="24"/>
        </w:rPr>
      </w:pPr>
    </w:p>
    <w:p w14:paraId="6E2408B6" w14:textId="77777777" w:rsidR="00DA577C" w:rsidRDefault="00DA577C" w:rsidP="00DA577C">
      <w:pPr>
        <w:spacing w:line="360" w:lineRule="auto"/>
        <w:jc w:val="both"/>
        <w:rPr>
          <w:rFonts w:ascii="Times New Roman" w:hAnsi="Times New Roman" w:cs="Times New Roman"/>
          <w:sz w:val="24"/>
          <w:szCs w:val="24"/>
        </w:rPr>
      </w:pPr>
    </w:p>
    <w:p w14:paraId="776F288C" w14:textId="77777777" w:rsidR="00DA577C" w:rsidRPr="00B25D47" w:rsidRDefault="00DA577C" w:rsidP="00DA577C">
      <w:pPr>
        <w:spacing w:line="360" w:lineRule="auto"/>
        <w:jc w:val="both"/>
        <w:rPr>
          <w:rFonts w:ascii="Times New Roman" w:hAnsi="Times New Roman" w:cs="Times New Roman"/>
          <w:sz w:val="24"/>
          <w:szCs w:val="24"/>
        </w:rPr>
      </w:pPr>
    </w:p>
    <w:p w14:paraId="7E737B91"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lastRenderedPageBreak/>
        <w:t>2.5 BUSINESS MODEL DESIGN IN INDIA</w:t>
      </w:r>
    </w:p>
    <w:p w14:paraId="2F585B7E"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section focuses on </w:t>
      </w:r>
      <w:r>
        <w:rPr>
          <w:rFonts w:ascii="Times New Roman" w:hAnsi="Times New Roman" w:cs="Times New Roman"/>
          <w:sz w:val="24"/>
          <w:szCs w:val="24"/>
        </w:rPr>
        <w:t>r</w:t>
      </w:r>
      <w:r w:rsidRPr="00B25D47">
        <w:rPr>
          <w:rFonts w:ascii="Times New Roman" w:hAnsi="Times New Roman" w:cs="Times New Roman"/>
          <w:sz w:val="24"/>
          <w:szCs w:val="24"/>
        </w:rPr>
        <w:t xml:space="preserve">esearch </w:t>
      </w:r>
      <w:r>
        <w:rPr>
          <w:rFonts w:ascii="Times New Roman" w:hAnsi="Times New Roman" w:cs="Times New Roman"/>
          <w:sz w:val="24"/>
          <w:szCs w:val="24"/>
        </w:rPr>
        <w:t>o</w:t>
      </w:r>
      <w:r w:rsidRPr="00B25D47">
        <w:rPr>
          <w:rFonts w:ascii="Times New Roman" w:hAnsi="Times New Roman" w:cs="Times New Roman"/>
          <w:sz w:val="24"/>
          <w:szCs w:val="24"/>
        </w:rPr>
        <w:t xml:space="preserve">bjective 4: </w:t>
      </w:r>
      <w:r>
        <w:rPr>
          <w:rFonts w:ascii="Times New Roman" w:hAnsi="Times New Roman" w:cs="Times New Roman"/>
          <w:sz w:val="24"/>
          <w:szCs w:val="24"/>
        </w:rPr>
        <w:t>T</w:t>
      </w:r>
      <w:r w:rsidRPr="00B25D47">
        <w:rPr>
          <w:rFonts w:ascii="Times New Roman" w:hAnsi="Times New Roman" w:cs="Times New Roman"/>
          <w:sz w:val="24"/>
          <w:szCs w:val="24"/>
        </w:rPr>
        <w:t>he development of a strategic business model that integrates consumer insights, health trends, and regional culinary traditions.</w:t>
      </w:r>
    </w:p>
    <w:p w14:paraId="6BBAC750"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Business model innovation has become a vital differentiator in India's fast-changing restaurant industry, allowing enterprises to adapt to changing consumer tastes and broader societal trends. Market research in 2024 further confirms that consumers associate sustainability with trust and long-term value, preferring brands that demonstrate local sourcing and nutritional transparency (Euromonitor International, 2024). Mohanan et al. (2025) emphasise that the ecological advantages of millets such as low water requirements and climate resilience facilitate the development of sustainable and circular business models that balance profitability with environmental stewardship. Similarly, Sasirekha, Kowsalya, and Rao (2025) highlight how policy-level interventions, including the integration of millets into the Public Distribution System, create hybrid opportunities that merge commercial viability with social impact, encouraging entrepreneurs to consider broader community benefits alongside financial goals.</w:t>
      </w:r>
    </w:p>
    <w:p w14:paraId="777D4065"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The Business Model Canvas (Osterwalder &amp; Pigneur, 2010) provides a structured framework through which restaurateurs can systematically align customer segments, value propositions, key activities, and critical resources. In Coimbatore, this structure supports ventures targeting health-conscious families while preserving authenticity through local sourcing and traditional preparation. However, consumers are placing greater importance on products that effortlessly combine tradition and innovation (</w:t>
      </w:r>
      <w:proofErr w:type="spellStart"/>
      <w:r w:rsidRPr="00B25D47">
        <w:rPr>
          <w:rFonts w:ascii="Times New Roman" w:hAnsi="Times New Roman" w:cs="Times New Roman"/>
          <w:sz w:val="24"/>
          <w:szCs w:val="24"/>
        </w:rPr>
        <w:t>Guiné</w:t>
      </w:r>
      <w:proofErr w:type="spellEnd"/>
      <w:r w:rsidRPr="00B25D47">
        <w:rPr>
          <w:rFonts w:ascii="Times New Roman" w:hAnsi="Times New Roman" w:cs="Times New Roman"/>
          <w:sz w:val="24"/>
          <w:szCs w:val="24"/>
        </w:rPr>
        <w:t xml:space="preserve"> et al., 2021; Chuk, 2023), and research by Balaji (2021) and SNR &amp; SJCT (2021–2024) shows that menu innovations using local ingredients especially millet-centric dishes deeply connect with younger audiences, highlighting a generational change in dining preferences.</w:t>
      </w:r>
    </w:p>
    <w:p w14:paraId="1B1C581B"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Using Value Proposition Design (Osterwalder et al., 2014), these entrepreneurial ventures identify consumer “pain points,” such as the prevalence of unhealthy dining options, and transform them into “gains” by offering wholesome, culturally familiar meals that align with modern wellness ideals. At the same time, cloud kitchens and virtual brands provide scalability and wider reach, but they necessitate stringent quality control, brand consistency, and operational discipline to maintain customer trust (IJRPR, 2022; Jadhav, 2018). Consequently, hybrid business models that integrate dine-in experiences, takeaway services, and online delivery platforms have emerged as dominant strategies in Coimbatore’s contemporary food ecosystem.</w:t>
      </w:r>
    </w:p>
    <w:p w14:paraId="296CCF90"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lastRenderedPageBreak/>
        <w:t>The literature suggests that sustainable restaurant models achieve long-term relevance by bridging community identity with operational efficiency. By combining authenticity, nutritional value, and innovative service design, these ventures not only meet the evolving expectations of urban consumers but also reinforce cultural heritage and foster a sense of local pride. In this way, business model innovation in Coimbatore exemplifies how tradition, health, and modern enterprise can coexist synergistically, creating resilient, socially conscious, and commercially viable food ventures in India’s dynamic restaurant landscape.</w:t>
      </w:r>
    </w:p>
    <w:p w14:paraId="4E63934A" w14:textId="77777777" w:rsidR="00DA577C" w:rsidRPr="00B25D47" w:rsidRDefault="00DA577C" w:rsidP="00DA577C">
      <w:pPr>
        <w:spacing w:line="360" w:lineRule="auto"/>
        <w:jc w:val="both"/>
        <w:rPr>
          <w:rFonts w:ascii="Times New Roman" w:hAnsi="Times New Roman" w:cs="Times New Roman"/>
          <w:sz w:val="24"/>
          <w:szCs w:val="24"/>
        </w:rPr>
      </w:pPr>
    </w:p>
    <w:p w14:paraId="5D165EC3"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2.6 CUSTOMER ENGAGEMENT AND RETENTION IN INDIA</w:t>
      </w:r>
    </w:p>
    <w:p w14:paraId="3E3E59B9"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section addresses </w:t>
      </w:r>
      <w:r>
        <w:rPr>
          <w:rFonts w:ascii="Times New Roman" w:hAnsi="Times New Roman" w:cs="Times New Roman"/>
          <w:sz w:val="24"/>
          <w:szCs w:val="24"/>
        </w:rPr>
        <w:t>r</w:t>
      </w:r>
      <w:r w:rsidRPr="00B25D47">
        <w:rPr>
          <w:rFonts w:ascii="Times New Roman" w:hAnsi="Times New Roman" w:cs="Times New Roman"/>
          <w:sz w:val="24"/>
          <w:szCs w:val="24"/>
        </w:rPr>
        <w:t xml:space="preserve">esearch </w:t>
      </w:r>
      <w:r>
        <w:rPr>
          <w:rFonts w:ascii="Times New Roman" w:hAnsi="Times New Roman" w:cs="Times New Roman"/>
          <w:sz w:val="24"/>
          <w:szCs w:val="24"/>
        </w:rPr>
        <w:t>o</w:t>
      </w:r>
      <w:r w:rsidRPr="00B25D47">
        <w:rPr>
          <w:rFonts w:ascii="Times New Roman" w:hAnsi="Times New Roman" w:cs="Times New Roman"/>
          <w:sz w:val="24"/>
          <w:szCs w:val="24"/>
        </w:rPr>
        <w:t>bjective 5</w:t>
      </w:r>
      <w:r>
        <w:rPr>
          <w:rFonts w:ascii="Times New Roman" w:hAnsi="Times New Roman" w:cs="Times New Roman"/>
          <w:sz w:val="24"/>
          <w:szCs w:val="24"/>
        </w:rPr>
        <w:t xml:space="preserve"> that</w:t>
      </w:r>
      <w:r w:rsidRPr="00B25D47">
        <w:rPr>
          <w:rFonts w:ascii="Times New Roman" w:hAnsi="Times New Roman" w:cs="Times New Roman"/>
          <w:sz w:val="24"/>
          <w:szCs w:val="24"/>
        </w:rPr>
        <w:t xml:space="preserve"> propose strategies for enhancing customer engagement, brand differentiation, and sustainable growth</w:t>
      </w:r>
      <w:r>
        <w:rPr>
          <w:rFonts w:ascii="Times New Roman" w:hAnsi="Times New Roman" w:cs="Times New Roman"/>
          <w:sz w:val="24"/>
          <w:szCs w:val="24"/>
        </w:rPr>
        <w:t>.</w:t>
      </w:r>
    </w:p>
    <w:p w14:paraId="7904E3D9"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In India’s evolving food industry, customer engagement has shifted from transactional satisfaction to emotional connection rooted in cultural and health values. </w:t>
      </w:r>
      <w:proofErr w:type="spellStart"/>
      <w:r w:rsidRPr="00B25D47">
        <w:rPr>
          <w:rFonts w:ascii="Times New Roman" w:hAnsi="Times New Roman" w:cs="Times New Roman"/>
          <w:sz w:val="24"/>
          <w:szCs w:val="24"/>
        </w:rPr>
        <w:t>Subhalakshmi</w:t>
      </w:r>
      <w:proofErr w:type="spellEnd"/>
      <w:r w:rsidRPr="00B25D47">
        <w:rPr>
          <w:rFonts w:ascii="Times New Roman" w:hAnsi="Times New Roman" w:cs="Times New Roman"/>
          <w:sz w:val="24"/>
          <w:szCs w:val="24"/>
        </w:rPr>
        <w:t xml:space="preserve"> et al. (2024) demonstrate that awareness of millets’ nutritional benefits strengthens loyalty, while Saravanakumar (2025) emphasises the role of heritage storytelling and cultural branding in cultivating belonging. In contrast, campaigns focusing solely on discounts or convenience often fail to generate long-term retention, underscoring the superiority of value-based engagement over price-based loyalty.</w:t>
      </w:r>
    </w:p>
    <w:p w14:paraId="4BA5ED46"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Ray and Ray (2022) contextualise food as both ritual and social practice, positioning eating as an act of community affirmation. Consequently, customer engagement in the Indian context is inherently experiential, symbolic, and culturally embedded. This aligns with Customer-Centricity Theory (Shah et al., 2006), emphasising empathy, transparency, and co-creation as critical mechanisms for fostering long-term, meaningful relationships. For restaurateurs in Coimbatore, this means that health and authenticity must be matched by service personalisation</w:t>
      </w:r>
      <w:r>
        <w:rPr>
          <w:rFonts w:ascii="Times New Roman" w:hAnsi="Times New Roman" w:cs="Times New Roman"/>
          <w:sz w:val="24"/>
          <w:szCs w:val="24"/>
        </w:rPr>
        <w:t xml:space="preserve"> </w:t>
      </w:r>
      <w:r w:rsidRPr="00B25D47">
        <w:rPr>
          <w:rFonts w:ascii="Times New Roman" w:hAnsi="Times New Roman" w:cs="Times New Roman"/>
          <w:sz w:val="24"/>
          <w:szCs w:val="24"/>
        </w:rPr>
        <w:t>turning dining into a symbolic reaffirmation of identity.</w:t>
      </w:r>
    </w:p>
    <w:p w14:paraId="378C7092"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Pandey and Kumar (2021) extend this understanding by linking short food supply chains to enhanced farmer–consumer relationships, where transparency, proximity, and traceability foster trust and encourage repeat patronage. Similarly, </w:t>
      </w:r>
      <w:proofErr w:type="spellStart"/>
      <w:r w:rsidRPr="00B25D47">
        <w:rPr>
          <w:rFonts w:ascii="Times New Roman" w:hAnsi="Times New Roman" w:cs="Times New Roman"/>
          <w:sz w:val="24"/>
          <w:szCs w:val="24"/>
        </w:rPr>
        <w:t>Pandiselvam</w:t>
      </w:r>
      <w:proofErr w:type="spellEnd"/>
      <w:r w:rsidRPr="00B25D47">
        <w:rPr>
          <w:rFonts w:ascii="Times New Roman" w:hAnsi="Times New Roman" w:cs="Times New Roman"/>
          <w:sz w:val="24"/>
          <w:szCs w:val="24"/>
        </w:rPr>
        <w:t xml:space="preserve"> et al. (2017) and Kumar et al. (2019) confirm that the consistent preservation of quality and authenticity directly contributes to credibility, satisfaction, and long-term engagement. These findings suggest that </w:t>
      </w:r>
      <w:r w:rsidRPr="00B25D47">
        <w:rPr>
          <w:rFonts w:ascii="Times New Roman" w:hAnsi="Times New Roman" w:cs="Times New Roman"/>
          <w:sz w:val="24"/>
          <w:szCs w:val="24"/>
        </w:rPr>
        <w:lastRenderedPageBreak/>
        <w:t>successful engagement strategies must integrate product integrity with emotional connection, ensuring that diners feel both valued and culturally affirmed.</w:t>
      </w:r>
    </w:p>
    <w:p w14:paraId="21C75839"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In Coimbatore, urban diners increasingly expect not only hygienically prepared, high-quality meals but also attentive and personalised service that reflects local traditions (Chopra, Seth &amp; Lamba, 2025; </w:t>
      </w:r>
      <w:proofErr w:type="spellStart"/>
      <w:r w:rsidRPr="00B25D47">
        <w:rPr>
          <w:rFonts w:ascii="Times New Roman" w:hAnsi="Times New Roman" w:cs="Times New Roman"/>
          <w:sz w:val="24"/>
          <w:szCs w:val="24"/>
        </w:rPr>
        <w:t>Shunmuga</w:t>
      </w:r>
      <w:proofErr w:type="spellEnd"/>
      <w:r w:rsidRPr="00B25D47">
        <w:rPr>
          <w:rFonts w:ascii="Times New Roman" w:hAnsi="Times New Roman" w:cs="Times New Roman"/>
          <w:sz w:val="24"/>
          <w:szCs w:val="24"/>
        </w:rPr>
        <w:t xml:space="preserve"> Jothi &amp; Revathi, 2025). Loyalty programs, consistent communication, and a visible commitment to regional culture strengthen relational bonds and cultivate long-term consumer attachment (</w:t>
      </w:r>
      <w:proofErr w:type="spellStart"/>
      <w:r w:rsidRPr="00B25D47">
        <w:rPr>
          <w:rFonts w:ascii="Times New Roman" w:hAnsi="Times New Roman" w:cs="Times New Roman"/>
          <w:sz w:val="24"/>
          <w:szCs w:val="24"/>
        </w:rPr>
        <w:t>Tharmalingam</w:t>
      </w:r>
      <w:proofErr w:type="spellEnd"/>
      <w:r w:rsidRPr="00B25D47">
        <w:rPr>
          <w:rFonts w:ascii="Times New Roman" w:hAnsi="Times New Roman" w:cs="Times New Roman"/>
          <w:sz w:val="24"/>
          <w:szCs w:val="24"/>
        </w:rPr>
        <w:t>, Jayaraman &amp; Mohan, 2025).</w:t>
      </w:r>
    </w:p>
    <w:p w14:paraId="77904B9C"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Digital transformation has further reshaped customer engagement, making convenience, immediacy, and responsiveness central to satisfaction. Platforms such as Zomato and Swiggy now mediate much of the dining experience, while word-of-mouth, social media reviews, and influencer endorsements play an increasingly decisive role in shaping brand perception (Divya Prabha &amp; </w:t>
      </w:r>
      <w:proofErr w:type="spellStart"/>
      <w:r w:rsidRPr="00B25D47">
        <w:rPr>
          <w:rFonts w:ascii="Times New Roman" w:hAnsi="Times New Roman" w:cs="Times New Roman"/>
          <w:sz w:val="24"/>
          <w:szCs w:val="24"/>
        </w:rPr>
        <w:t>Mathipurani</w:t>
      </w:r>
      <w:proofErr w:type="spellEnd"/>
      <w:r w:rsidRPr="00B25D47">
        <w:rPr>
          <w:rFonts w:ascii="Times New Roman" w:hAnsi="Times New Roman" w:cs="Times New Roman"/>
          <w:sz w:val="24"/>
          <w:szCs w:val="24"/>
        </w:rPr>
        <w:t xml:space="preserve">, 2022; Ilavarasi, </w:t>
      </w:r>
      <w:proofErr w:type="spellStart"/>
      <w:r w:rsidRPr="00B25D47">
        <w:rPr>
          <w:rFonts w:ascii="Times New Roman" w:hAnsi="Times New Roman" w:cs="Times New Roman"/>
          <w:sz w:val="24"/>
          <w:szCs w:val="24"/>
        </w:rPr>
        <w:t>Vyashini</w:t>
      </w:r>
      <w:proofErr w:type="spellEnd"/>
      <w:r w:rsidRPr="00B25D47">
        <w:rPr>
          <w:rFonts w:ascii="Times New Roman" w:hAnsi="Times New Roman" w:cs="Times New Roman"/>
          <w:sz w:val="24"/>
          <w:szCs w:val="24"/>
        </w:rPr>
        <w:t xml:space="preserve"> &amp; Abarna, 2024; Ranjana &amp; Umabharathi, 2025; Kalimuthu, 2018). As a result, engagement in health-oriented, traditional restaurants now requires a careful balance between cultural storytelling, consistent service quality, and digital responsiveness. When implemented successfully, this blend not only personalizes the dining experience but also cultivates lasting loyalty, turns meals into significant experiences, and enhances the emotional and cultural connections between restaurant owners and their communities.</w:t>
      </w:r>
    </w:p>
    <w:p w14:paraId="75B195C2" w14:textId="77777777" w:rsidR="00DA577C" w:rsidRPr="00B25D47" w:rsidRDefault="00DA577C" w:rsidP="00DA577C">
      <w:pPr>
        <w:spacing w:line="360" w:lineRule="auto"/>
        <w:jc w:val="both"/>
        <w:rPr>
          <w:rFonts w:ascii="Times New Roman" w:hAnsi="Times New Roman" w:cs="Times New Roman"/>
          <w:sz w:val="24"/>
          <w:szCs w:val="24"/>
        </w:rPr>
      </w:pPr>
    </w:p>
    <w:p w14:paraId="38CB1782"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2.7 OPERATIONAL CHALLENGES AND OPPORTUNITIES IN INDIA</w:t>
      </w:r>
    </w:p>
    <w:p w14:paraId="62519C95"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section contributes to the achievement of </w:t>
      </w:r>
      <w:r>
        <w:rPr>
          <w:rFonts w:ascii="Times New Roman" w:hAnsi="Times New Roman" w:cs="Times New Roman"/>
          <w:sz w:val="24"/>
          <w:szCs w:val="24"/>
        </w:rPr>
        <w:t>r</w:t>
      </w:r>
      <w:r w:rsidRPr="00B25D47">
        <w:rPr>
          <w:rFonts w:ascii="Times New Roman" w:hAnsi="Times New Roman" w:cs="Times New Roman"/>
          <w:sz w:val="24"/>
          <w:szCs w:val="24"/>
        </w:rPr>
        <w:t xml:space="preserve">esearch </w:t>
      </w:r>
      <w:r>
        <w:rPr>
          <w:rFonts w:ascii="Times New Roman" w:hAnsi="Times New Roman" w:cs="Times New Roman"/>
          <w:sz w:val="24"/>
          <w:szCs w:val="24"/>
        </w:rPr>
        <w:t>o</w:t>
      </w:r>
      <w:r w:rsidRPr="00B25D47">
        <w:rPr>
          <w:rFonts w:ascii="Times New Roman" w:hAnsi="Times New Roman" w:cs="Times New Roman"/>
          <w:sz w:val="24"/>
          <w:szCs w:val="24"/>
        </w:rPr>
        <w:t>bjectives 3 and 4 by critically examining aspects of implementation, risk, and sustainability.</w:t>
      </w:r>
    </w:p>
    <w:p w14:paraId="6FF0EF78"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Operational excellence has become a decisive factor in the success of India’s restaurant industry. Palanichamy et al. (2024) highlight persistent systemic challenges, including price volatility, limited processing infrastructure, and fragmented supply chains issues particularly pronounced within the millet economy. Yet, Karthick, Arulmani, and Ravi (2023) argue that upgrading agricultural and processing technologies can strengthen local supply networks and create meaningful value addition, turning structural weaknesses into strategic advantages. Similarly, Mohanan et al. (2025) observe that sustainability-driven entrepreneurship can transform limitations into competitive advantages, aligning profitability with environmental responsibility.</w:t>
      </w:r>
    </w:p>
    <w:p w14:paraId="091FCBA7"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lastRenderedPageBreak/>
        <w:t>The COVID-19 pandemic brought these dynamics into sharp relief. Pandey and Kumar (2021) observed that the crisis exposed the vulnerability of long, centralized supply chains, while simultaneously highlighting the resilience of decentralized, locally grounded models. This aligns with historical evidence presented by Ray and Ray (2022), who show that India’s food systems have long been characterized by adaptability, continually reshaping themselves in response to socio-economic and environmental shifts.</w:t>
      </w:r>
    </w:p>
    <w:p w14:paraId="23D47F4A"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Simultaneously, digital intermediaries like Swiggy and Zomato have revolutionised logistics and market reach but introduced new dependencies, including commission fees and algorithmic visibility (</w:t>
      </w:r>
      <w:proofErr w:type="spellStart"/>
      <w:r w:rsidRPr="00B25D47">
        <w:rPr>
          <w:rFonts w:ascii="Times New Roman" w:hAnsi="Times New Roman" w:cs="Times New Roman"/>
          <w:sz w:val="24"/>
          <w:szCs w:val="24"/>
        </w:rPr>
        <w:t>RestoLabs</w:t>
      </w:r>
      <w:proofErr w:type="spellEnd"/>
      <w:r w:rsidRPr="00B25D47">
        <w:rPr>
          <w:rFonts w:ascii="Times New Roman" w:hAnsi="Times New Roman" w:cs="Times New Roman"/>
          <w:sz w:val="24"/>
          <w:szCs w:val="24"/>
        </w:rPr>
        <w:t>, 2023; Jadhav, 2018). Reuters; Industry Reviews 2024) and Industry Reviews highlight that hybrid delivery systems</w:t>
      </w:r>
      <w:r>
        <w:rPr>
          <w:rFonts w:ascii="Times New Roman" w:hAnsi="Times New Roman" w:cs="Times New Roman"/>
          <w:sz w:val="24"/>
          <w:szCs w:val="24"/>
        </w:rPr>
        <w:t xml:space="preserve"> </w:t>
      </w:r>
      <w:r w:rsidRPr="00B25D47">
        <w:rPr>
          <w:rFonts w:ascii="Times New Roman" w:hAnsi="Times New Roman" w:cs="Times New Roman"/>
          <w:sz w:val="24"/>
          <w:szCs w:val="24"/>
        </w:rPr>
        <w:t>combining in-house logistics with external platforms</w:t>
      </w:r>
      <w:r>
        <w:rPr>
          <w:rFonts w:ascii="Times New Roman" w:hAnsi="Times New Roman" w:cs="Times New Roman"/>
          <w:sz w:val="24"/>
          <w:szCs w:val="24"/>
        </w:rPr>
        <w:t xml:space="preserve"> </w:t>
      </w:r>
      <w:r w:rsidRPr="00B25D47">
        <w:rPr>
          <w:rFonts w:ascii="Times New Roman" w:hAnsi="Times New Roman" w:cs="Times New Roman"/>
          <w:sz w:val="24"/>
          <w:szCs w:val="24"/>
        </w:rPr>
        <w:t>offer optimal balance between reach and control.</w:t>
      </w:r>
    </w:p>
    <w:p w14:paraId="2A240783"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Operational excellence is not solely focused on efficiency; it also integrates safety, compliance, and ethical obligations. Increasingly, consumers view hygiene and food safety as indicators of credibility and trust (Vijay et al., 2023; Mythili &amp; Akalya, 2020). Regulatory measures in Tamil Nadu, such as restrictions on repeated oil usage in restaurants (Times of India, 2025), reflect these rising expectations. Ethical </w:t>
      </w:r>
      <w:proofErr w:type="spellStart"/>
      <w:r w:rsidRPr="00B25D47">
        <w:rPr>
          <w:rFonts w:ascii="Times New Roman" w:hAnsi="Times New Roman" w:cs="Times New Roman"/>
          <w:sz w:val="24"/>
          <w:szCs w:val="24"/>
        </w:rPr>
        <w:t>labor</w:t>
      </w:r>
      <w:proofErr w:type="spellEnd"/>
      <w:r w:rsidRPr="00B25D47">
        <w:rPr>
          <w:rFonts w:ascii="Times New Roman" w:hAnsi="Times New Roman" w:cs="Times New Roman"/>
          <w:sz w:val="24"/>
          <w:szCs w:val="24"/>
        </w:rPr>
        <w:t xml:space="preserve"> practices are equally pressing: studies document significant stress and income insecurity among delivery workers (VLB </w:t>
      </w:r>
      <w:proofErr w:type="spellStart"/>
      <w:r w:rsidRPr="00B25D47">
        <w:rPr>
          <w:rFonts w:ascii="Times New Roman" w:hAnsi="Times New Roman" w:cs="Times New Roman"/>
          <w:sz w:val="24"/>
          <w:szCs w:val="24"/>
        </w:rPr>
        <w:t>Janakiammal</w:t>
      </w:r>
      <w:proofErr w:type="spellEnd"/>
      <w:r w:rsidRPr="00B25D47">
        <w:rPr>
          <w:rFonts w:ascii="Times New Roman" w:hAnsi="Times New Roman" w:cs="Times New Roman"/>
          <w:sz w:val="24"/>
          <w:szCs w:val="24"/>
        </w:rPr>
        <w:t xml:space="preserve"> College, 2024), underscoring the human dimension of operational responsibility that businesses must navigate.</w:t>
      </w:r>
    </w:p>
    <w:p w14:paraId="4340E6F6"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Meanwhile, initiatives promoting organic farming and Farmer Producer Organisations (</w:t>
      </w:r>
      <w:proofErr w:type="spellStart"/>
      <w:r w:rsidRPr="00B25D47">
        <w:rPr>
          <w:rFonts w:ascii="Times New Roman" w:hAnsi="Times New Roman" w:cs="Times New Roman"/>
          <w:sz w:val="24"/>
          <w:szCs w:val="24"/>
        </w:rPr>
        <w:t>Mushthari</w:t>
      </w:r>
      <w:proofErr w:type="spellEnd"/>
      <w:r w:rsidRPr="00B25D47">
        <w:rPr>
          <w:rFonts w:ascii="Times New Roman" w:hAnsi="Times New Roman" w:cs="Times New Roman"/>
          <w:sz w:val="24"/>
          <w:szCs w:val="24"/>
        </w:rPr>
        <w:t xml:space="preserve">, 1992; Anbu &amp; Jayanthi, 2023; </w:t>
      </w:r>
      <w:proofErr w:type="spellStart"/>
      <w:r w:rsidRPr="00B25D47">
        <w:rPr>
          <w:rFonts w:ascii="Times New Roman" w:hAnsi="Times New Roman" w:cs="Times New Roman"/>
          <w:sz w:val="24"/>
          <w:szCs w:val="24"/>
        </w:rPr>
        <w:t>Janakanandhini</w:t>
      </w:r>
      <w:proofErr w:type="spellEnd"/>
      <w:r w:rsidRPr="00B25D47">
        <w:rPr>
          <w:rFonts w:ascii="Times New Roman" w:hAnsi="Times New Roman" w:cs="Times New Roman"/>
          <w:sz w:val="24"/>
          <w:szCs w:val="24"/>
        </w:rPr>
        <w:t xml:space="preserve"> et al., 2022) provide potential sourcing pathways, though high certification costs and bureaucratic obstacles hinder small-scale adoption.</w:t>
      </w:r>
    </w:p>
    <w:p w14:paraId="2BE931F4"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Thus, operational excellence in Coimbatore demands not only efficiency but also social and ethical responsibility. Integrating sustainability, compliance, and cultural authenticity builds resilience and reinforces consumer confidence—a prerequisite for long-term success in the health-traditional restaurant sector.</w:t>
      </w:r>
    </w:p>
    <w:p w14:paraId="2C2E152A" w14:textId="77777777" w:rsidR="00DA577C" w:rsidRDefault="00DA577C" w:rsidP="00DA577C">
      <w:pPr>
        <w:spacing w:line="360" w:lineRule="auto"/>
        <w:jc w:val="both"/>
        <w:rPr>
          <w:rFonts w:ascii="Times New Roman" w:hAnsi="Times New Roman" w:cs="Times New Roman"/>
          <w:sz w:val="24"/>
          <w:szCs w:val="24"/>
        </w:rPr>
      </w:pPr>
    </w:p>
    <w:p w14:paraId="7EEEB695" w14:textId="77777777" w:rsidR="00DA577C" w:rsidRDefault="00DA577C" w:rsidP="00DA577C">
      <w:pPr>
        <w:spacing w:line="360" w:lineRule="auto"/>
        <w:jc w:val="both"/>
        <w:rPr>
          <w:rFonts w:ascii="Times New Roman" w:hAnsi="Times New Roman" w:cs="Times New Roman"/>
          <w:sz w:val="24"/>
          <w:szCs w:val="24"/>
        </w:rPr>
      </w:pPr>
    </w:p>
    <w:p w14:paraId="26DF7987" w14:textId="77777777" w:rsidR="00DA577C" w:rsidRPr="00B25D47" w:rsidRDefault="00DA577C" w:rsidP="00DA577C">
      <w:pPr>
        <w:spacing w:line="360" w:lineRule="auto"/>
        <w:jc w:val="both"/>
        <w:rPr>
          <w:rFonts w:ascii="Times New Roman" w:hAnsi="Times New Roman" w:cs="Times New Roman"/>
          <w:sz w:val="24"/>
          <w:szCs w:val="24"/>
        </w:rPr>
      </w:pPr>
    </w:p>
    <w:p w14:paraId="6645EC35"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lastRenderedPageBreak/>
        <w:t>2.8 INTEGRATED THEORETICAL FRAMEWORK</w:t>
      </w:r>
    </w:p>
    <w:p w14:paraId="2383A7FD"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The review of existing literature points to a rich and multi-layered theoretical foundation that illuminates the interplay between entrepreneurship, culture, consumer behaviour, and innovation. </w:t>
      </w:r>
    </w:p>
    <w:p w14:paraId="0CD05C9F"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At the core of this structure, the Entrepreneurial Process Theory (Bygrave &amp; Hofer, 1991) sheds light on how entrepreneurs navigate complex markets</w:t>
      </w:r>
      <w:r>
        <w:rPr>
          <w:rFonts w:ascii="Times New Roman" w:hAnsi="Times New Roman" w:cs="Times New Roman"/>
          <w:sz w:val="24"/>
          <w:szCs w:val="24"/>
        </w:rPr>
        <w:t xml:space="preserve"> </w:t>
      </w:r>
      <w:r w:rsidRPr="00B25D47">
        <w:rPr>
          <w:rFonts w:ascii="Times New Roman" w:hAnsi="Times New Roman" w:cs="Times New Roman"/>
          <w:sz w:val="24"/>
          <w:szCs w:val="24"/>
        </w:rPr>
        <w:t>particularly those rooted in health and tradition</w:t>
      </w:r>
      <w:r>
        <w:rPr>
          <w:rFonts w:ascii="Times New Roman" w:hAnsi="Times New Roman" w:cs="Times New Roman"/>
          <w:sz w:val="24"/>
          <w:szCs w:val="24"/>
        </w:rPr>
        <w:t xml:space="preserve"> </w:t>
      </w:r>
      <w:r w:rsidRPr="00B25D47">
        <w:rPr>
          <w:rFonts w:ascii="Times New Roman" w:hAnsi="Times New Roman" w:cs="Times New Roman"/>
          <w:sz w:val="24"/>
          <w:szCs w:val="24"/>
        </w:rPr>
        <w:t>by recognizing opportunities, mobilizing local and cultural resources, and transforming them into meaningful value. In essence, it underscores entrepreneurship not merely as business creation but as a culturally embedded process of resourceful problem-solving.</w:t>
      </w:r>
    </w:p>
    <w:p w14:paraId="307DECB8"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Complementing this perspective, Customer-Centricity Theory (Shah et al., 2006) highlights the relational dimension of business success. It emphasizes that cultivating empathy, building trust, and engaging in co-creation are crucial for sustaining customer loyalty, particularly in competitive food markets where differentiation depends as much on relationships as on products. Entrepreneurs who can listen to and collaborate with their consumers, rather than simply serving meals, position themselves to foster enduring connections that transcend transactional interactions.</w:t>
      </w:r>
    </w:p>
    <w:p w14:paraId="69EF2815"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Translating these insights into tangible offerings, Value Proposition Design (Osterwalder et al., 2014) provides a roadmap for converting consumer needs such as the rising demand for nutritious, authentic meals into creative, value-driven solutions. These offerings are not only functional but also symbolic, conveying care, authenticity, and a commitment to health. In parallel, Consumer Culture Theory (Arnould &amp; Thompson, 2005) situates food consumption within a socio-cultural lens, showing that eating is often an act of identity, belonging, and cultural expression. Within Coimbatore’s pragmatic and tradition-oriented consumer base, these cultural meanings shape preferences and guide choices, making the success of food ventures contingent on their ability to align with local values while appealing to contemporary wellness trends.</w:t>
      </w:r>
    </w:p>
    <w:p w14:paraId="16E19449"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The Business Model Canvas (Osterwalder &amp; Pigneur, 2010) provides a unifying structure, integrating these diverse theoretical insights into a coherent framework for operational and strategic alignment. It offers entrepreneurs a blueprint to balance authenticity, efficiency, and innovation, ensuring that cultural and health-oriented values are not lost amid commercial pressures.</w:t>
      </w:r>
    </w:p>
    <w:p w14:paraId="67026226"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lastRenderedPageBreak/>
        <w:t>These theories interact dynamically rather than sequentially. Entrepreneurial Process Theory establishes opportunity creation; Customer-Centricity and Consumer Culture Theory interpret how those opportunities resonate emotionally and culturally; Value Proposition Design and the Business Model Canvas translate them into operational form.</w:t>
      </w:r>
    </w:p>
    <w:p w14:paraId="617C3D65"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Collectively, this integration supports a holistic understanding of Coimbatore’s entrepreneurial ecosystem linking theory to practice in a continuous feedback loop between innovation, culture, and consumer need.</w:t>
      </w:r>
    </w:p>
    <w:p w14:paraId="764C339D" w14:textId="77777777" w:rsidR="00DA577C" w:rsidRPr="00B25D47" w:rsidRDefault="00DA577C" w:rsidP="00DA577C">
      <w:pPr>
        <w:spacing w:line="360" w:lineRule="auto"/>
        <w:jc w:val="both"/>
        <w:rPr>
          <w:rFonts w:ascii="Times New Roman" w:hAnsi="Times New Roman" w:cs="Times New Roman"/>
          <w:sz w:val="24"/>
          <w:szCs w:val="24"/>
        </w:rPr>
      </w:pPr>
    </w:p>
    <w:p w14:paraId="64650BC3"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2.9 CONCEPTUAL FRAMEWORK ILLUSTRATION</w:t>
      </w:r>
    </w:p>
    <w:p w14:paraId="01DA23AF" w14:textId="3E64D6D9" w:rsidR="003E273F" w:rsidRDefault="003E273F" w:rsidP="00DA577C">
      <w:pPr>
        <w:spacing w:line="360" w:lineRule="auto"/>
        <w:jc w:val="both"/>
        <w:rPr>
          <w:rFonts w:ascii="Times New Roman" w:hAnsi="Times New Roman" w:cs="Times New Roman"/>
          <w:sz w:val="24"/>
          <w:szCs w:val="24"/>
        </w:rPr>
      </w:pPr>
      <w:r w:rsidRPr="003E273F">
        <w:rPr>
          <w:rFonts w:ascii="Times New Roman" w:hAnsi="Times New Roman" w:cs="Times New Roman"/>
          <w:sz w:val="24"/>
          <w:szCs w:val="24"/>
        </w:rPr>
        <w:t>Figure 2.1 presents a visual synthesis of the theoretical interconnections underpinning this study. It integrates five core frameworks</w:t>
      </w:r>
      <w:r>
        <w:rPr>
          <w:rFonts w:ascii="Times New Roman" w:hAnsi="Times New Roman" w:cs="Times New Roman"/>
          <w:sz w:val="24"/>
          <w:szCs w:val="24"/>
        </w:rPr>
        <w:t xml:space="preserve"> </w:t>
      </w:r>
      <w:r w:rsidRPr="003E273F">
        <w:rPr>
          <w:rFonts w:ascii="Times New Roman" w:hAnsi="Times New Roman" w:cs="Times New Roman"/>
          <w:sz w:val="24"/>
          <w:szCs w:val="24"/>
        </w:rPr>
        <w:t>Entrepreneurial Process Theory, Customer-Centricity Theory, Consumer Culture Theory, Value Proposition Design, and the Business Model Canvas</w:t>
      </w:r>
      <w:r>
        <w:rPr>
          <w:rFonts w:ascii="Times New Roman" w:hAnsi="Times New Roman" w:cs="Times New Roman"/>
          <w:sz w:val="24"/>
          <w:szCs w:val="24"/>
        </w:rPr>
        <w:t xml:space="preserve"> </w:t>
      </w:r>
      <w:r w:rsidRPr="003E273F">
        <w:rPr>
          <w:rFonts w:ascii="Times New Roman" w:hAnsi="Times New Roman" w:cs="Times New Roman"/>
          <w:sz w:val="24"/>
          <w:szCs w:val="24"/>
        </w:rPr>
        <w:t>illustrating their interdependence and collective contribution to understanding entrepreneurial dynamics. The framework shows that entrepreneurial innovation arises at the intersection of three dimensions: health consciousness, cultural identity, and business adaptability. Within this space, entrepreneurs respond to shifting consumer preferences by aligning local cultural heritage with modern wellness trends, developing offerings and operational processes that are both efficient and socially meaningful. By visualising these dynamics, the model clarifies theoretical relationships and underscores the iterative, adaptive nature of entrepreneurship in Coimbatore’s food sector.</w:t>
      </w:r>
    </w:p>
    <w:p w14:paraId="4743A7E2" w14:textId="04C1BC9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Figure 2.1 Circular Flow of Theoretical Integration in Health-Traditional Food Entrepreneurship in Coimbatore.</w:t>
      </w:r>
      <w:r w:rsidR="003E273F">
        <w:rPr>
          <w:rFonts w:ascii="Times New Roman" w:hAnsi="Times New Roman" w:cs="Times New Roman"/>
          <w:sz w:val="24"/>
          <w:szCs w:val="24"/>
        </w:rPr>
        <w:t xml:space="preserve"> </w:t>
      </w:r>
      <w:r w:rsidR="003E273F" w:rsidRPr="00B25D47">
        <w:rPr>
          <w:rFonts w:ascii="Times New Roman" w:hAnsi="Times New Roman" w:cs="Times New Roman"/>
          <w:sz w:val="24"/>
          <w:szCs w:val="24"/>
        </w:rPr>
        <w:t xml:space="preserve">Source: Author’s own work (2025). </w:t>
      </w:r>
    </w:p>
    <w:p w14:paraId="098C56BB"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noProof/>
          <w:sz w:val="24"/>
          <w:szCs w:val="24"/>
        </w:rPr>
        <w:drawing>
          <wp:inline distT="0" distB="0" distL="0" distR="0" wp14:anchorId="7C348F5F" wp14:editId="74373599">
            <wp:extent cx="5731510" cy="2343150"/>
            <wp:effectExtent l="57150" t="57150" r="59690" b="57150"/>
            <wp:docPr id="402280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80545" name=""/>
                    <pic:cNvPicPr/>
                  </pic:nvPicPr>
                  <pic:blipFill>
                    <a:blip r:embed="rId5"/>
                    <a:stretch>
                      <a:fillRect/>
                    </a:stretch>
                  </pic:blipFill>
                  <pic:spPr>
                    <a:xfrm>
                      <a:off x="0" y="0"/>
                      <a:ext cx="5731510" cy="2343150"/>
                    </a:xfrm>
                    <a:prstGeom prst="rect">
                      <a:avLst/>
                    </a:prstGeom>
                    <a:ln>
                      <a:solidFill>
                        <a:schemeClr val="tx2"/>
                      </a:solidFill>
                    </a:ln>
                    <a:scene3d>
                      <a:camera prst="orthographicFront"/>
                      <a:lightRig rig="threePt" dir="t"/>
                    </a:scene3d>
                    <a:sp3d>
                      <a:bevelT prst="angle"/>
                    </a:sp3d>
                  </pic:spPr>
                </pic:pic>
              </a:graphicData>
            </a:graphic>
          </wp:inline>
        </w:drawing>
      </w:r>
    </w:p>
    <w:p w14:paraId="4A13BCEB"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lastRenderedPageBreak/>
        <w:t>In essence, this conceptual map functions as a guiding analytical lens, offering a structured perspective on the city’s evolving ecosystem of health-traditional food ventures. It underscores how successful entrepreneurship in this context depends on the simultaneous integration of cultural authenticity, consumer-centric innovation, and operational resilience, providing a foundation for both scholarly inquiry and practical application in the region.</w:t>
      </w:r>
    </w:p>
    <w:p w14:paraId="72436141" w14:textId="77777777" w:rsidR="00DA577C" w:rsidRPr="00B25D47" w:rsidRDefault="00DA577C" w:rsidP="00DA577C">
      <w:pPr>
        <w:spacing w:line="360" w:lineRule="auto"/>
        <w:jc w:val="both"/>
        <w:rPr>
          <w:rFonts w:ascii="Times New Roman" w:hAnsi="Times New Roman" w:cs="Times New Roman"/>
          <w:sz w:val="24"/>
          <w:szCs w:val="24"/>
        </w:rPr>
      </w:pPr>
    </w:p>
    <w:p w14:paraId="1DF6EB4F"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2.10 LITERATURE GAP</w:t>
      </w:r>
    </w:p>
    <w:p w14:paraId="24ADF05F"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The literature reveals several critical gaps. First, while prior studies provide insight into health awareness (Tak, Shankar &amp; Kadiyala, 2019; Shaw, 2019) and cultural significance (Kothari, 2016; </w:t>
      </w:r>
      <w:proofErr w:type="spellStart"/>
      <w:r w:rsidRPr="00B25D47">
        <w:rPr>
          <w:rFonts w:ascii="Times New Roman" w:hAnsi="Times New Roman" w:cs="Times New Roman"/>
          <w:sz w:val="24"/>
          <w:szCs w:val="24"/>
        </w:rPr>
        <w:t>Karky</w:t>
      </w:r>
      <w:proofErr w:type="spellEnd"/>
      <w:r w:rsidRPr="00B25D47">
        <w:rPr>
          <w:rFonts w:ascii="Times New Roman" w:hAnsi="Times New Roman" w:cs="Times New Roman"/>
          <w:sz w:val="24"/>
          <w:szCs w:val="24"/>
        </w:rPr>
        <w:t>, 2024), few attempt to integrate these domains within an entrepreneurial framework. The limited intersection between health, culture, and strategy has left a conceptual vacuum regarding how restaurateurs convert heritage into health-oriented innovation.</w:t>
      </w:r>
    </w:p>
    <w:p w14:paraId="3FEB289B"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Second, much of the research operates at a national level, overlooking micro-contexts such as Coimbatore, where industrial growth coexists with strong cultural continuity. This absence of region-specific analysis restricts understanding of how entrepreneurial decisions adapt to local consumer psychology and infrastructure realities.</w:t>
      </w:r>
    </w:p>
    <w:p w14:paraId="3B818FB6"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Third, existing literature often treats consumer behaviour, business design, and operations in isolation, neglecting the systemic feedback between them. Conflicting findings such as the gap between consumer aspiration and affordability or between tradition and scalability underscore the need for integrative research that bridges theory and practice.</w:t>
      </w:r>
    </w:p>
    <w:p w14:paraId="747304F1"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Accordingly, the present study aims to address this gap by examining how Coimbatore’s entrepreneurs integrate cultural authenticity, health consciousness, and strategic innovation to build sustainable restaurant models. By doing so, it contributes to both theoretical discussions on sustainable entrepreneurship and practical frameworks for health-focused start-ups in emerging Indian cities.</w:t>
      </w:r>
    </w:p>
    <w:p w14:paraId="7B918ADB" w14:textId="77777777" w:rsidR="00DA577C" w:rsidRPr="00B25D47" w:rsidRDefault="00DA577C" w:rsidP="00DA577C">
      <w:pPr>
        <w:spacing w:line="360" w:lineRule="auto"/>
        <w:jc w:val="both"/>
        <w:rPr>
          <w:rFonts w:ascii="Times New Roman" w:hAnsi="Times New Roman" w:cs="Times New Roman"/>
          <w:sz w:val="24"/>
          <w:szCs w:val="24"/>
        </w:rPr>
      </w:pPr>
    </w:p>
    <w:p w14:paraId="1988F6C3" w14:textId="77777777" w:rsidR="00DA577C" w:rsidRPr="00B25D47" w:rsidRDefault="00DA577C" w:rsidP="00DA577C">
      <w:pPr>
        <w:spacing w:line="360" w:lineRule="auto"/>
        <w:jc w:val="both"/>
        <w:rPr>
          <w:rFonts w:ascii="Times New Roman" w:hAnsi="Times New Roman" w:cs="Times New Roman"/>
          <w:b/>
          <w:bCs/>
          <w:sz w:val="24"/>
          <w:szCs w:val="24"/>
        </w:rPr>
      </w:pPr>
      <w:r w:rsidRPr="00B25D47">
        <w:rPr>
          <w:rFonts w:ascii="Times New Roman" w:hAnsi="Times New Roman" w:cs="Times New Roman"/>
          <w:b/>
          <w:bCs/>
          <w:sz w:val="24"/>
          <w:szCs w:val="24"/>
        </w:rPr>
        <w:t>2.11 SUMMARY AND TRANSITION</w:t>
      </w:r>
    </w:p>
    <w:p w14:paraId="366F4C6A"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 xml:space="preserve">This chapter has provided a structured, critical review of literature relevant to health-oriented traditional restaurant entrepreneurship in Coimbatore. It established that India’s restaurant </w:t>
      </w:r>
      <w:r w:rsidRPr="00B25D47">
        <w:rPr>
          <w:rFonts w:ascii="Times New Roman" w:hAnsi="Times New Roman" w:cs="Times New Roman"/>
          <w:sz w:val="24"/>
          <w:szCs w:val="24"/>
        </w:rPr>
        <w:lastRenderedPageBreak/>
        <w:t>industry is increasingly shaped by three converging forces: health consciousness, cultural identity, and entrepreneurial adaptability.</w:t>
      </w:r>
    </w:p>
    <w:p w14:paraId="66D35379"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Key studies demonstrate that consumers seek dining experiences that fulfil both wellness objectives and emotional ties to heritage, while entrepreneurs respond by integrating authenticity, efficiency, and digital innovation. However, tensions persist between affordability and aspiration, between authenticity and modernisation, and between scalability and sustainability. Addressing these tensions requires a multidimensional strategy grounded in both theory and local context.</w:t>
      </w:r>
    </w:p>
    <w:p w14:paraId="54364869"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The review further highlights that while multiple studies address isolated aspects</w:t>
      </w:r>
      <w:r>
        <w:rPr>
          <w:rFonts w:ascii="Times New Roman" w:hAnsi="Times New Roman" w:cs="Times New Roman"/>
          <w:sz w:val="24"/>
          <w:szCs w:val="24"/>
        </w:rPr>
        <w:t xml:space="preserve"> </w:t>
      </w:r>
      <w:r w:rsidRPr="00B25D47">
        <w:rPr>
          <w:rFonts w:ascii="Times New Roman" w:hAnsi="Times New Roman" w:cs="Times New Roman"/>
          <w:sz w:val="24"/>
          <w:szCs w:val="24"/>
        </w:rPr>
        <w:t>such as consumer behaviour, business strategy, or cultural heritage</w:t>
      </w:r>
      <w:r>
        <w:rPr>
          <w:rFonts w:ascii="Times New Roman" w:hAnsi="Times New Roman" w:cs="Times New Roman"/>
          <w:sz w:val="24"/>
          <w:szCs w:val="24"/>
        </w:rPr>
        <w:t xml:space="preserve"> </w:t>
      </w:r>
      <w:r w:rsidRPr="00B25D47">
        <w:rPr>
          <w:rFonts w:ascii="Times New Roman" w:hAnsi="Times New Roman" w:cs="Times New Roman"/>
          <w:sz w:val="24"/>
          <w:szCs w:val="24"/>
        </w:rPr>
        <w:t>there remains limited integration of these dimensions within a unified entrepreneurial framework. Understanding this intersection is vital for fostering restaurant models that are not only economically viable but also culturally resonant and socially responsible. Collectively, these recent reports (KPMG, 2024; NRAI, 2024; Euromonitor International, 2024) demonstrate that India’s dining sector is entering a pivotal phase where health orientation and cultural authenticity drive entrepreneurial opportunity. This evolving context reinforces the significance of the present study in addressing consumer-aligned, sustainable restaurant innovation in Coimbatore.</w:t>
      </w:r>
    </w:p>
    <w:p w14:paraId="4184BCDC" w14:textId="77777777" w:rsidR="00DA577C" w:rsidRPr="00B25D47" w:rsidRDefault="00DA577C" w:rsidP="00DA577C">
      <w:pPr>
        <w:spacing w:line="360" w:lineRule="auto"/>
        <w:jc w:val="both"/>
        <w:rPr>
          <w:rFonts w:ascii="Times New Roman" w:hAnsi="Times New Roman" w:cs="Times New Roman"/>
          <w:sz w:val="24"/>
          <w:szCs w:val="24"/>
        </w:rPr>
      </w:pPr>
      <w:r w:rsidRPr="00B25D47">
        <w:rPr>
          <w:rFonts w:ascii="Times New Roman" w:hAnsi="Times New Roman" w:cs="Times New Roman"/>
          <w:sz w:val="24"/>
          <w:szCs w:val="24"/>
        </w:rPr>
        <w:t>Hence, the following chapter (Chapter 3) details the research methodology adopted to explore these interconnections in Coimbatore’s food entrepreneurship landscape. It outlines the philosophical stance, research design, data collection methods, and analytical procedures that ensure methodological rigour, relevance, and alignment with the overarching objectives of the study.</w:t>
      </w:r>
    </w:p>
    <w:p w14:paraId="1C4E2029" w14:textId="77777777" w:rsidR="00DA577C" w:rsidRPr="00B25D47" w:rsidRDefault="00DA577C" w:rsidP="00DA577C">
      <w:pPr>
        <w:spacing w:line="360" w:lineRule="auto"/>
        <w:jc w:val="both"/>
        <w:rPr>
          <w:rFonts w:ascii="Times New Roman" w:hAnsi="Times New Roman" w:cs="Times New Roman"/>
          <w:sz w:val="24"/>
          <w:szCs w:val="24"/>
        </w:rPr>
      </w:pPr>
    </w:p>
    <w:p w14:paraId="0D76EA48" w14:textId="77777777" w:rsidR="00DA577C" w:rsidRDefault="00DA577C"/>
    <w:p w14:paraId="238217A6" w14:textId="77777777" w:rsidR="002871CA" w:rsidRDefault="002871CA"/>
    <w:p w14:paraId="22744CCD" w14:textId="77777777" w:rsidR="002871CA" w:rsidRDefault="002871CA"/>
    <w:p w14:paraId="0DAE7421" w14:textId="77777777" w:rsidR="002871CA" w:rsidRDefault="002871CA"/>
    <w:p w14:paraId="23525B09" w14:textId="77777777" w:rsidR="002871CA" w:rsidRDefault="002871CA"/>
    <w:p w14:paraId="761A5B12" w14:textId="77777777" w:rsidR="002871CA" w:rsidRDefault="002871CA"/>
    <w:p w14:paraId="54F09865" w14:textId="77777777" w:rsidR="002871CA" w:rsidRDefault="002871CA"/>
    <w:p w14:paraId="580EF1D5" w14:textId="77777777" w:rsidR="002871CA" w:rsidRDefault="002871CA"/>
    <w:p w14:paraId="07B93FBA" w14:textId="77777777" w:rsidR="002871CA" w:rsidRPr="00DC304A" w:rsidRDefault="002871CA" w:rsidP="002871C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w:t>
      </w:r>
      <w:r w:rsidRPr="00DC304A">
        <w:rPr>
          <w:rFonts w:ascii="Times New Roman" w:hAnsi="Times New Roman" w:cs="Times New Roman"/>
          <w:b/>
          <w:bCs/>
          <w:sz w:val="24"/>
          <w:szCs w:val="24"/>
        </w:rPr>
        <w:t>3</w:t>
      </w:r>
      <w:r>
        <w:rPr>
          <w:rFonts w:ascii="Times New Roman" w:hAnsi="Times New Roman" w:cs="Times New Roman"/>
          <w:b/>
          <w:bCs/>
          <w:sz w:val="24"/>
          <w:szCs w:val="24"/>
        </w:rPr>
        <w:t xml:space="preserve">: </w:t>
      </w:r>
      <w:r w:rsidRPr="00DC304A">
        <w:rPr>
          <w:rFonts w:ascii="Times New Roman" w:hAnsi="Times New Roman" w:cs="Times New Roman"/>
          <w:b/>
          <w:bCs/>
          <w:sz w:val="24"/>
          <w:szCs w:val="24"/>
        </w:rPr>
        <w:t>RESEARCH METHODOLGY</w:t>
      </w:r>
    </w:p>
    <w:p w14:paraId="68CE7811"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This section outlines the study’s philosophical foundation, the overall research design, the methods of data collection and analysis, the ethical considerations, resource planning, and the projected budget for the study. Collectively, these components provide a clear and organized framework for executing the research, guaranteeing that every stage stays tightly connected to the study’s main goals. By articulating these components in detail, the section underscores not only the academic rigour of the proposed inquiry but also its practical feasibility, thereby demonstrating a well-grounded and carefully planned research process.</w:t>
      </w:r>
    </w:p>
    <w:p w14:paraId="53E1188A" w14:textId="77777777" w:rsidR="002871CA" w:rsidRPr="00DC304A" w:rsidRDefault="002871CA" w:rsidP="002871CA">
      <w:pPr>
        <w:spacing w:line="360" w:lineRule="auto"/>
        <w:jc w:val="both"/>
        <w:rPr>
          <w:rFonts w:ascii="Times New Roman" w:hAnsi="Times New Roman" w:cs="Times New Roman"/>
          <w:sz w:val="24"/>
          <w:szCs w:val="24"/>
        </w:rPr>
      </w:pPr>
    </w:p>
    <w:p w14:paraId="7D774357"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3.1 RESEARCH PARADIGM</w:t>
      </w:r>
    </w:p>
    <w:p w14:paraId="635F5F4F"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A pragmatic research philosophy is employed, promoting the flexible merging of qualitative and quantitative strategies to create actionable insights. This approach is cantered on achieving results, emphasizing the importance of applying knowledge and solutions in practical ways rather than being tied to just one method. This paradigm is particularly well suited to the present investigation, which explores consumer behaviour and entrepreneurial strategies within the context of traditional dining practices. By maintaining a focus on outcomes, relevance, and real-world applicability, the pragmatic stance supports a balanced and purposeful fusion of empirical evidence with contextual understanding, thereby enriching the overall depth and utility of the research.</w:t>
      </w:r>
    </w:p>
    <w:p w14:paraId="5CD83988" w14:textId="77777777" w:rsidR="002871CA" w:rsidRPr="00DC304A" w:rsidRDefault="002871CA" w:rsidP="002871CA">
      <w:pPr>
        <w:spacing w:line="360" w:lineRule="auto"/>
        <w:jc w:val="both"/>
        <w:rPr>
          <w:rFonts w:ascii="Times New Roman" w:hAnsi="Times New Roman" w:cs="Times New Roman"/>
          <w:sz w:val="24"/>
          <w:szCs w:val="24"/>
        </w:rPr>
      </w:pPr>
    </w:p>
    <w:p w14:paraId="6E23FC75"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3.1.1 RESEARCH STRATEGY AND RATIONALE</w:t>
      </w:r>
    </w:p>
    <w:p w14:paraId="7598FD7A"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This study adopts a mixed-methods strategy to address its research objectives comprehensively. The approach combines quantitative precision with qualitative depth, enabling a fuller understanding of consumer preferences, health awareness and entrepreneurial strategy (Creswell and Plano Clark, 2018). Within Coimbatore’s food sector, this design captures measurable behavioural trends while revealing the cultural and motivational factors that shape them.</w:t>
      </w:r>
    </w:p>
    <w:p w14:paraId="09411D98"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 xml:space="preserve">As Saunders, Lewis and Thornhill (2019) explain, methodological triangulation enhances reliability and validity by allowing findings from one method to confirm those of another. The combination of survey and interview data aligns with the pragmatic philosophy underpinning </w:t>
      </w:r>
      <w:r w:rsidRPr="00DC304A">
        <w:rPr>
          <w:rFonts w:ascii="Times New Roman" w:hAnsi="Times New Roman" w:cs="Times New Roman"/>
          <w:sz w:val="24"/>
          <w:szCs w:val="24"/>
        </w:rPr>
        <w:lastRenderedPageBreak/>
        <w:t>the study, prioritising practical and contextually grounded insights over rigid adherence to a single method. This rationale ensures that the research remains both empirically robust and relevant to local entrepreneurial realities.</w:t>
      </w:r>
    </w:p>
    <w:p w14:paraId="221915D4" w14:textId="77777777" w:rsidR="002871CA" w:rsidRPr="00DC304A" w:rsidRDefault="002871CA" w:rsidP="002871CA">
      <w:pPr>
        <w:spacing w:line="360" w:lineRule="auto"/>
        <w:jc w:val="both"/>
        <w:rPr>
          <w:rFonts w:ascii="Times New Roman" w:hAnsi="Times New Roman" w:cs="Times New Roman"/>
          <w:sz w:val="24"/>
          <w:szCs w:val="24"/>
        </w:rPr>
      </w:pPr>
    </w:p>
    <w:p w14:paraId="3767360A"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3.2 RESEARCH DESIGN</w:t>
      </w:r>
    </w:p>
    <w:p w14:paraId="0D90F72D" w14:textId="77777777" w:rsidR="002871C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A mixed-methods strategy is utilized to enable a comprehensive and multifaceted grasp of the research issue. Quantitative data are collected through a structured questionnaire, providing measurable patterns and trends, while qualitative insights are generated via semi-structured interviews, offering richer and more nuanced perspectives. Integrating these complementary approaches allows for a deeper analysis of consumer behaviour and entrepreneurial strategies than either method alone. This combination enhances reliability, validity, and interpretive depth, effectively capturing both observable behavioural trends and the underlying motivations shaping participants’ actions.</w:t>
      </w:r>
    </w:p>
    <w:p w14:paraId="0D672F26" w14:textId="77777777" w:rsidR="002871CA" w:rsidRPr="00DC304A" w:rsidRDefault="002871CA" w:rsidP="002871CA">
      <w:pPr>
        <w:spacing w:line="360" w:lineRule="auto"/>
        <w:jc w:val="both"/>
        <w:rPr>
          <w:rFonts w:ascii="Times New Roman" w:hAnsi="Times New Roman" w:cs="Times New Roman"/>
          <w:sz w:val="24"/>
          <w:szCs w:val="24"/>
        </w:rPr>
      </w:pPr>
    </w:p>
    <w:p w14:paraId="4A888851"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3.2.1 POPULATION DEFINITION</w:t>
      </w:r>
    </w:p>
    <w:p w14:paraId="72E25826"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The study focuses on two primary groups in Coimbatore’s urban food ecosystem: consumers who engage with traditional or health-oriented cuisine, and restaurant entrepreneurs involved in this sector. These groups represent the demand and supply dimensions essential to examining customer-centric, health-based entrepreneurship.</w:t>
      </w:r>
    </w:p>
    <w:p w14:paraId="705CAA01"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Coimbatore’s mix of heritage and urban modernity makes it a relevant setting for exploring how health consciousness and cultural authenticity interact. Clearly defining these populations ensured that participants had meaningful exposure to the research themes, thereby strengthening the internal validity and contextual accuracy of the findings (Saunders, Lewis and Thornhill, 2019).</w:t>
      </w:r>
    </w:p>
    <w:p w14:paraId="2DF2E07A" w14:textId="77777777" w:rsidR="002871CA" w:rsidRPr="00DC304A" w:rsidRDefault="002871CA" w:rsidP="002871CA">
      <w:pPr>
        <w:spacing w:line="360" w:lineRule="auto"/>
        <w:jc w:val="both"/>
        <w:rPr>
          <w:rFonts w:ascii="Times New Roman" w:hAnsi="Times New Roman" w:cs="Times New Roman"/>
          <w:sz w:val="24"/>
          <w:szCs w:val="24"/>
        </w:rPr>
      </w:pPr>
    </w:p>
    <w:p w14:paraId="599A6263" w14:textId="77777777" w:rsidR="002871CA" w:rsidRPr="00DC304A" w:rsidRDefault="002871CA" w:rsidP="002871CA">
      <w:pPr>
        <w:pStyle w:val="ListParagraph"/>
        <w:numPr>
          <w:ilvl w:val="1"/>
          <w:numId w:val="4"/>
        </w:numPr>
        <w:spacing w:line="360" w:lineRule="auto"/>
        <w:jc w:val="both"/>
        <w:rPr>
          <w:rFonts w:ascii="Times New Roman" w:hAnsi="Times New Roman" w:cs="Times New Roman"/>
          <w:b/>
          <w:bCs/>
          <w:sz w:val="24"/>
          <w:szCs w:val="24"/>
        </w:rPr>
      </w:pPr>
      <w:bookmarkStart w:id="0" w:name="_Hlk205937225"/>
      <w:r w:rsidRPr="00DC304A">
        <w:rPr>
          <w:rFonts w:ascii="Times New Roman" w:hAnsi="Times New Roman" w:cs="Times New Roman"/>
          <w:b/>
          <w:bCs/>
          <w:sz w:val="24"/>
          <w:szCs w:val="24"/>
        </w:rPr>
        <w:t>SAMPLING STRATEGY</w:t>
      </w:r>
      <w:bookmarkEnd w:id="0"/>
    </w:p>
    <w:p w14:paraId="12BD6767"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 xml:space="preserve">Convenience sampling was employed in this study due to its practical advantages, particularly its efficiency and cost-effectiveness when working within constrained timeframes and limited resources. The participant pool consisted primarily of residents of Coimbatore, as well as individuals with specialised knowledge of, or familiarity with, the city’s indigenous and </w:t>
      </w:r>
      <w:r w:rsidRPr="00DC304A">
        <w:rPr>
          <w:rFonts w:ascii="Times New Roman" w:hAnsi="Times New Roman" w:cs="Times New Roman"/>
          <w:sz w:val="24"/>
          <w:szCs w:val="24"/>
        </w:rPr>
        <w:lastRenderedPageBreak/>
        <w:t>traditional culinary practices. The quantitative phase incorporated responses from 162 participants, whereas the qualitative phase engaged 12 individuals selected for their expertise in local culinary traditions. This sampling strategy facilitated the timely and accessible collection of relevant insights without necessitating complex or resource-intensive recruitment procedures.</w:t>
      </w:r>
    </w:p>
    <w:p w14:paraId="0734A26E"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Nonetheless, it is crucial to acknowledge the fundamental constraints of this method. The convenience sampling's non-random characteristics limit the generalisability of the results, and the likelihood of sampling bias could constrain how well the findings represent the wider population. Despite these constraints, the method offered a pragmatic and contextually appropriate means of gathering rich and meaningful data for the study’s purposes.</w:t>
      </w:r>
    </w:p>
    <w:p w14:paraId="0947F86E" w14:textId="77777777" w:rsidR="002871CA" w:rsidRPr="00DC304A" w:rsidRDefault="002871CA" w:rsidP="002871CA">
      <w:pPr>
        <w:spacing w:line="360" w:lineRule="auto"/>
        <w:jc w:val="both"/>
        <w:rPr>
          <w:rFonts w:ascii="Times New Roman" w:hAnsi="Times New Roman" w:cs="Times New Roman"/>
          <w:sz w:val="24"/>
          <w:szCs w:val="24"/>
        </w:rPr>
      </w:pPr>
    </w:p>
    <w:p w14:paraId="29125CB8"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 xml:space="preserve">3.4 </w:t>
      </w:r>
      <w:bookmarkStart w:id="1" w:name="_Hlk205937235"/>
      <w:r w:rsidRPr="00DC304A">
        <w:rPr>
          <w:rFonts w:ascii="Times New Roman" w:hAnsi="Times New Roman" w:cs="Times New Roman"/>
          <w:b/>
          <w:bCs/>
          <w:sz w:val="24"/>
          <w:szCs w:val="24"/>
        </w:rPr>
        <w:t>DATA COLLECTION METHOD</w:t>
      </w:r>
      <w:bookmarkEnd w:id="1"/>
    </w:p>
    <w:p w14:paraId="407BC0A2"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Data were collected through two complementary instruments: a structured online questionnaire and semi-structured interviews. The questionnaire, circulated via Google Forms, comprised Likert-scale and multiple-choice questions adapted from established models of food choice and health orientation (Steptoe, Pollard and Wardle, 1995; Ajzen, 1991). This ensured construct validity and consistency with previous studies.</w:t>
      </w:r>
    </w:p>
    <w:p w14:paraId="6699CCC2"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Semi-structured interviews explored deeper perspectives on how consumers and entrepreneurs interpret health, tradition and customer value. The guide was informed by literature themes such as authenticity, sustainability and innovation. Conducting both methods concurrently allowed triangulation, linking statistical patterns with lived experience and reinforcing the study’s credibility (Creswell and Plano Clark, 2018; Braun and Clarke, 2006).</w:t>
      </w:r>
    </w:p>
    <w:p w14:paraId="35511A60" w14:textId="77777777" w:rsidR="002871CA" w:rsidRPr="00DC304A" w:rsidRDefault="002871CA" w:rsidP="002871CA">
      <w:pPr>
        <w:spacing w:line="360" w:lineRule="auto"/>
        <w:jc w:val="both"/>
        <w:rPr>
          <w:rFonts w:ascii="Times New Roman" w:hAnsi="Times New Roman" w:cs="Times New Roman"/>
          <w:sz w:val="24"/>
          <w:szCs w:val="24"/>
        </w:rPr>
      </w:pPr>
    </w:p>
    <w:p w14:paraId="036D9DEF"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 xml:space="preserve">3.5 </w:t>
      </w:r>
      <w:bookmarkStart w:id="2" w:name="_Hlk205937244"/>
      <w:r w:rsidRPr="00DC304A">
        <w:rPr>
          <w:rFonts w:ascii="Times New Roman" w:hAnsi="Times New Roman" w:cs="Times New Roman"/>
          <w:b/>
          <w:bCs/>
          <w:sz w:val="24"/>
          <w:szCs w:val="24"/>
        </w:rPr>
        <w:t>METHODS OF DATA ANALYSIS</w:t>
      </w:r>
      <w:bookmarkEnd w:id="2"/>
    </w:p>
    <w:p w14:paraId="1F509120" w14:textId="77777777" w:rsidR="002871CA" w:rsidRPr="002C63AF" w:rsidRDefault="002871CA" w:rsidP="002871CA">
      <w:pPr>
        <w:spacing w:line="360" w:lineRule="auto"/>
        <w:jc w:val="both"/>
        <w:rPr>
          <w:rFonts w:ascii="Times New Roman" w:hAnsi="Times New Roman" w:cs="Times New Roman"/>
          <w:sz w:val="24"/>
          <w:szCs w:val="24"/>
        </w:rPr>
      </w:pPr>
      <w:r w:rsidRPr="002C63AF">
        <w:rPr>
          <w:rFonts w:ascii="Times New Roman" w:hAnsi="Times New Roman" w:cs="Times New Roman"/>
          <w:sz w:val="24"/>
          <w:szCs w:val="24"/>
        </w:rPr>
        <w:t>The quantitative data collected for this study were analysed through descriptive statistical techniques, primarily frequencies and percentages, with Microsoft Excel as the analytical tool. This approach enabled the systematic identification of key trends and behavioural patterns, producing a clear overview of consumer preferences within both traditional and health-oriented dining contexts.</w:t>
      </w:r>
    </w:p>
    <w:p w14:paraId="70DC2E0C" w14:textId="77777777" w:rsidR="002871CA" w:rsidRDefault="002871CA" w:rsidP="002871CA">
      <w:pPr>
        <w:spacing w:line="360" w:lineRule="auto"/>
        <w:jc w:val="both"/>
        <w:rPr>
          <w:rFonts w:ascii="Times New Roman" w:hAnsi="Times New Roman" w:cs="Times New Roman"/>
          <w:sz w:val="24"/>
          <w:szCs w:val="24"/>
        </w:rPr>
      </w:pPr>
      <w:r w:rsidRPr="002C63AF">
        <w:rPr>
          <w:rFonts w:ascii="Times New Roman" w:hAnsi="Times New Roman" w:cs="Times New Roman"/>
          <w:sz w:val="24"/>
          <w:szCs w:val="24"/>
        </w:rPr>
        <w:lastRenderedPageBreak/>
        <w:t>The qualitative data, gathered through semi-structured interviews, were examined using thematic analysis (Braun and Clarke, 2006) to uncover recurring motifs and underlying patterns within participants’ narratives. This method facilitated the exploration of customer expectations, perceived barriers, and attitudes toward health-focused adaptations of traditional cuisine, revealing the contextual and emotional factors that shape dining behaviour.</w:t>
      </w:r>
    </w:p>
    <w:p w14:paraId="49DF6FC1"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Integrating both quantitative and qualitative analyses fostered methodological triangulation, thereby enhancing the robustness, depth, and credibility of the study’s findings. While the quantitative results offered a broad, data-driven overview of observable consumer trends, the qualitative insights contributed a richer, contextually grounded interpretation of behaviours, motivations, and perceptions. This complementary and integrative approach proved particularly valuable in unpacking the complex interplay of consumer dynamics and entrepreneurial challenges characteristic of Coimbatore’s geographically expansive and culturally diverse culinary landscape.</w:t>
      </w:r>
    </w:p>
    <w:p w14:paraId="1BCF2073" w14:textId="77777777" w:rsidR="002871CA" w:rsidRPr="00DC304A" w:rsidRDefault="002871CA" w:rsidP="002871CA">
      <w:pPr>
        <w:spacing w:line="360" w:lineRule="auto"/>
        <w:jc w:val="both"/>
        <w:rPr>
          <w:rFonts w:ascii="Times New Roman" w:hAnsi="Times New Roman" w:cs="Times New Roman"/>
          <w:sz w:val="24"/>
          <w:szCs w:val="24"/>
        </w:rPr>
      </w:pPr>
    </w:p>
    <w:p w14:paraId="741C8D61"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3.6 METHODOLOGICAL EVALUATION</w:t>
      </w:r>
    </w:p>
    <w:p w14:paraId="0668A586"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Research Philosophy: Pragmatism</w:t>
      </w:r>
    </w:p>
    <w:p w14:paraId="77A2ACB7"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The study adopted a pragmatic research philosophy, allowing the integration of quantitative and qualitative approaches to address the multifaceted nature of entrepreneurial and consumer behaviour. Pragmatism emphasises flexibility, contextual understanding, and practical outcomes over rigid theoretical positions (Creswell, 2014). This orientation was well suited to exploring both measurable consumer preferences and the underlying motivations that influence health-oriented dining choices in Coimbatore.</w:t>
      </w:r>
    </w:p>
    <w:p w14:paraId="36C8DAAC"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Combining methods enhanced validity through methodological triangulation, enabling findings to be cross-verified across data sources (Johnson and Onwuegbuzie, 2004). This integration strengthened the credibility and depth of results, generating actionable insights relevant to business practice (Creswell and Plano Clark, 2018). However, mixed-methods research also demands careful balance to avoid dominance of one dataset and requires significant time and analytical expertise (</w:t>
      </w:r>
      <w:proofErr w:type="spellStart"/>
      <w:r w:rsidRPr="00DC304A">
        <w:rPr>
          <w:rFonts w:ascii="Times New Roman" w:hAnsi="Times New Roman" w:cs="Times New Roman"/>
          <w:sz w:val="24"/>
          <w:szCs w:val="24"/>
        </w:rPr>
        <w:t>Tashakkori</w:t>
      </w:r>
      <w:proofErr w:type="spellEnd"/>
      <w:r w:rsidRPr="00DC304A">
        <w:rPr>
          <w:rFonts w:ascii="Times New Roman" w:hAnsi="Times New Roman" w:cs="Times New Roman"/>
          <w:sz w:val="24"/>
          <w:szCs w:val="24"/>
        </w:rPr>
        <w:t xml:space="preserve"> and Teddlie, 2010).</w:t>
      </w:r>
    </w:p>
    <w:p w14:paraId="5279CB6E" w14:textId="77777777" w:rsidR="002871CA" w:rsidRDefault="002871CA" w:rsidP="002871CA">
      <w:pPr>
        <w:spacing w:line="360" w:lineRule="auto"/>
        <w:jc w:val="both"/>
        <w:rPr>
          <w:rFonts w:ascii="Times New Roman" w:hAnsi="Times New Roman" w:cs="Times New Roman"/>
          <w:sz w:val="24"/>
          <w:szCs w:val="24"/>
        </w:rPr>
      </w:pPr>
    </w:p>
    <w:p w14:paraId="257E17B9" w14:textId="77777777" w:rsidR="002871CA" w:rsidRPr="00DC304A" w:rsidRDefault="002871CA" w:rsidP="002871CA">
      <w:pPr>
        <w:spacing w:line="360" w:lineRule="auto"/>
        <w:jc w:val="both"/>
        <w:rPr>
          <w:rFonts w:ascii="Times New Roman" w:hAnsi="Times New Roman" w:cs="Times New Roman"/>
          <w:sz w:val="24"/>
          <w:szCs w:val="24"/>
        </w:rPr>
      </w:pPr>
    </w:p>
    <w:p w14:paraId="7160E919"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lastRenderedPageBreak/>
        <w:t>Sampling: Convenience Sampling</w:t>
      </w:r>
    </w:p>
    <w:p w14:paraId="2DDB5C91"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Convenience sampling was selected for this study due to its simplicity, practicality, and ease of implementation particularly in the context of an online data collection process. This method facilitated efficient access to participants, enabling timely responses without the logistical constraints of probability-based sampling.</w:t>
      </w:r>
    </w:p>
    <w:p w14:paraId="537B0383"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Convenience sampling is recognised as an effective and cost-efficient approach for gathering data from readily available participants, making it especially suitable for studies operating within limited timeframes or resource constraints (</w:t>
      </w:r>
      <w:proofErr w:type="spellStart"/>
      <w:r w:rsidRPr="00DC304A">
        <w:rPr>
          <w:rFonts w:ascii="Times New Roman" w:hAnsi="Times New Roman" w:cs="Times New Roman"/>
          <w:sz w:val="24"/>
          <w:szCs w:val="24"/>
        </w:rPr>
        <w:t>Etikan</w:t>
      </w:r>
      <w:proofErr w:type="spellEnd"/>
      <w:r w:rsidRPr="00DC304A">
        <w:rPr>
          <w:rFonts w:ascii="Times New Roman" w:hAnsi="Times New Roman" w:cs="Times New Roman"/>
          <w:sz w:val="24"/>
          <w:szCs w:val="24"/>
        </w:rPr>
        <w:t>, Musa, and Alkassim, 2016). It assists as a valuable tool during the exploratory stages of research, where the primary objective is to gain preliminary insights, detect emerging behavioural patterns, and identify trends that may inform subsequent, more rigorous investigations. Rapid data collection supports the generation of empirical insights that provide a foundation for future research and hypothesis refinement.</w:t>
      </w:r>
    </w:p>
    <w:p w14:paraId="31429474"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Nevertheless, convenience sampling is not without its limitations. The reliance on easily accessible participants introduces potential sampling bias, as the group may not reflect the broader Coimbatore population’s demographic or behavioural diversity. Consequently, the sample’s representativeness is constrained, and findings’ generalisability is limited. Therefore, while the method offers notable advantages in terms of practicality and feasibility, the interpretation of outcomes must be approached with thoughtfulness, admitting that the insights derived are context-specific and may not fully capture the spectrum of consumer preferences across the wider population.</w:t>
      </w:r>
    </w:p>
    <w:p w14:paraId="6245F424" w14:textId="77777777" w:rsidR="002871CA" w:rsidRPr="00DC304A" w:rsidRDefault="002871CA" w:rsidP="002871CA">
      <w:pPr>
        <w:spacing w:line="360" w:lineRule="auto"/>
        <w:jc w:val="both"/>
        <w:rPr>
          <w:rFonts w:ascii="Times New Roman" w:hAnsi="Times New Roman" w:cs="Times New Roman"/>
          <w:sz w:val="24"/>
          <w:szCs w:val="24"/>
        </w:rPr>
      </w:pPr>
    </w:p>
    <w:p w14:paraId="30B3E64A"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Data Collection: Structured Online Questionnaire</w:t>
      </w:r>
    </w:p>
    <w:p w14:paraId="00967D3A"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A structured online questionnaire provided a practical and reliable means of systematically collecting quantitative data on consumer preferences and behaviours. This approach facilitated standardised responses, suitable for detailed statistical analyses and the identification of measurable patterns. The structured design ensured consistency, reduced researcher bias, and enhanced the reliability of findings.</w:t>
      </w:r>
    </w:p>
    <w:p w14:paraId="284ED378"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 xml:space="preserve">Survey-based data collection is cost-effective and allows coverage of a relatively large sample, improving representativeness within research constraints (Evans and Mathur, 2005). The structured format enables efficient data management, straightforward coding, and comparative analysis, supporting the identification of quantifiable trends and correlations in consumer </w:t>
      </w:r>
      <w:r w:rsidRPr="00DC304A">
        <w:rPr>
          <w:rFonts w:ascii="Times New Roman" w:hAnsi="Times New Roman" w:cs="Times New Roman"/>
          <w:sz w:val="24"/>
          <w:szCs w:val="24"/>
        </w:rPr>
        <w:lastRenderedPageBreak/>
        <w:t>behaviour. Furthermore, the online format enhances accessibility and convenience, enabling participants to respond at their own pace while extending the study’s reach across diverse demographic segments.</w:t>
      </w:r>
    </w:p>
    <w:p w14:paraId="73135B50"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However, surveys can provide limited depth. Reliance on mainly closed-ended questions may restrict respondents’ ability to express the nuances of motivations, perceptions, or cultural influences shaping behaviour. While surveys are valuable for broad statistical insights, complementary qualitative methods are needed to capture richer, contextual dimensions of consumer experience.</w:t>
      </w:r>
    </w:p>
    <w:p w14:paraId="48A304A9" w14:textId="77777777" w:rsidR="002871CA" w:rsidRPr="00DC304A" w:rsidRDefault="002871CA" w:rsidP="002871CA">
      <w:pPr>
        <w:spacing w:line="360" w:lineRule="auto"/>
        <w:jc w:val="both"/>
        <w:rPr>
          <w:rFonts w:ascii="Times New Roman" w:hAnsi="Times New Roman" w:cs="Times New Roman"/>
          <w:sz w:val="24"/>
          <w:szCs w:val="24"/>
        </w:rPr>
      </w:pPr>
    </w:p>
    <w:p w14:paraId="30F69B8A"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Data Collection: Semi-Structured Interviews</w:t>
      </w:r>
    </w:p>
    <w:p w14:paraId="7FB9D64B"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Semi-structured interviews provided in-depth insights into how consumers make choices, perceive value, and how business owners navigate challenges in a changing restaurant environment. Allowing participants to express experiences in their own words offered a rich understanding of contextual, emotional, and social factors shaping consumer behaviour and entrepreneurial decisions. The conversational yet guided format encouraged openness, enabling reflection on motivations, expectations, and constraints.</w:t>
      </w:r>
    </w:p>
    <w:p w14:paraId="175F014C"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These interviews are particularly valuable for qualitative inquiry due to their flexibility, allowing researchers to probe deeper and adapt questions based on emerging responses (Kallio et al., 2016). This adaptability uncovers nuanced insights often missed in structured methods and contextualises quantitative findings, linking statistical patterns with personal narratives to capture the complexity of consumer attitudes and market dynamics.</w:t>
      </w:r>
    </w:p>
    <w:p w14:paraId="32C17270" w14:textId="77777777" w:rsidR="002871C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However, semi-structured interviews are time-consuming to conduct, transcribe, and analyse, limiting sample size and perspective breadth. Interviewer bias may also influence responses through cues, tone, or phrasing, affecting consistency. Careful training, reflexive note-taking, and transparent coding are essential to maintain rigour. Despite these challenges, their depth and contextual sensitivity make semi-structured interviews invaluable in mixed-method research, illuminating motivations and meanings behind quantitative data and enhancing explanatory power.</w:t>
      </w:r>
    </w:p>
    <w:p w14:paraId="42500482" w14:textId="77777777" w:rsidR="002871CA" w:rsidRDefault="002871CA" w:rsidP="002871CA">
      <w:pPr>
        <w:spacing w:line="360" w:lineRule="auto"/>
        <w:jc w:val="both"/>
        <w:rPr>
          <w:rFonts w:ascii="Times New Roman" w:hAnsi="Times New Roman" w:cs="Times New Roman"/>
          <w:sz w:val="24"/>
          <w:szCs w:val="24"/>
        </w:rPr>
      </w:pPr>
    </w:p>
    <w:p w14:paraId="12C9D68E" w14:textId="77777777" w:rsidR="002871CA" w:rsidRPr="00DC304A" w:rsidRDefault="002871CA" w:rsidP="002871CA">
      <w:pPr>
        <w:spacing w:line="360" w:lineRule="auto"/>
        <w:jc w:val="both"/>
        <w:rPr>
          <w:rFonts w:ascii="Times New Roman" w:hAnsi="Times New Roman" w:cs="Times New Roman"/>
          <w:sz w:val="24"/>
          <w:szCs w:val="24"/>
        </w:rPr>
      </w:pPr>
    </w:p>
    <w:p w14:paraId="6438CB91"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lastRenderedPageBreak/>
        <w:t>Data Analysis: Descriptive Statistics</w:t>
      </w:r>
    </w:p>
    <w:p w14:paraId="71E66C8A"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Descriptive statistics provide a straightforward yet powerful means of summarising and interpreting quantitative data, allowing researchers to identify distinct patterns and emerging trends in consumer preferences. By converting unprocessed data into a structured and interpretable form, this analytical approach enables a clearer understanding of how responses are distributed across variables and categories.</w:t>
      </w:r>
    </w:p>
    <w:p w14:paraId="2FDED56E"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Descriptive statistical analysis plays a crucial role in supporting the interpretation of data in ways that can inform sound and evidence-based business decisions. It is particularly effective in identifying measures of central tendency, variability, and frequency distributions, thereby revealing underlying patterns that characterise consumer behaviour. Through these insights, businesses and researchers can obtain a concise yet comprehensive overview of the dataset, facilitating the recognition of dominant preferences, behavioural tendencies, and areas of potential market opportunity.</w:t>
      </w:r>
    </w:p>
    <w:p w14:paraId="12AEBB00"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However, despite its value in providing clarity and structure, descriptive statistics are inherently limited in analytical depth. They do not permit causal inference or the examination of relationships between variables, restricting the ability to uncover underlying drivers or complex interactions within the data. As such, while descriptive statistics are indispensable for summarising and presenting information clearly, they are most effective when used in conjunction with inferential or qualitative methods that can probe deeper into the causes and contextual meanings behind the observed patterns.</w:t>
      </w:r>
    </w:p>
    <w:p w14:paraId="5448A0E7" w14:textId="77777777" w:rsidR="002871CA" w:rsidRPr="00DC304A" w:rsidRDefault="002871CA" w:rsidP="002871CA">
      <w:pPr>
        <w:spacing w:line="360" w:lineRule="auto"/>
        <w:jc w:val="both"/>
        <w:rPr>
          <w:rFonts w:ascii="Times New Roman" w:hAnsi="Times New Roman" w:cs="Times New Roman"/>
          <w:sz w:val="24"/>
          <w:szCs w:val="24"/>
        </w:rPr>
      </w:pPr>
    </w:p>
    <w:p w14:paraId="015196B6"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Data Analysis: Thematic Analysis</w:t>
      </w:r>
    </w:p>
    <w:p w14:paraId="320F80F6"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Thematic analysis guided the exploration of interview data, offering a structured yet flexible method for uncovering participants’ narratives (Braun &amp; Clarke, 2006). The process began with immersion in transcripts, fostering meaningful engagement with entrepreneurs’ and consumers’ perspectives. Initial impressions and interpretive notes provided a foundation for systematically identifying recurrent ideas and salient expressions.</w:t>
      </w:r>
    </w:p>
    <w:p w14:paraId="17D323BB"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 xml:space="preserve">Initial coding captured significant fragments of meaning, from strategic decisions and operational challenges to subtle cues about consumer expectations and emotional responses. As coding progressed, recurring patterns were grouped into overarching themes, highlighting </w:t>
      </w:r>
      <w:r w:rsidRPr="00DC304A">
        <w:rPr>
          <w:rFonts w:ascii="Times New Roman" w:hAnsi="Times New Roman" w:cs="Times New Roman"/>
          <w:sz w:val="24"/>
          <w:szCs w:val="24"/>
        </w:rPr>
        <w:lastRenderedPageBreak/>
        <w:t>entrepreneurial strategy, consumer needs, and the interplay between traditional and health-oriented dining experiences.</w:t>
      </w:r>
    </w:p>
    <w:p w14:paraId="1A0E6B0E"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While thematic analysis enables rich interpretation, it is influenced by the researcher’s positionality. Reflexivity was maintained to minimise bias, with careful attention to transparency and consistency: codes were reviewed, compared, and refined, and themes were repeatedly cross-checked against raw data to ensure representational accuracy.</w:t>
      </w:r>
    </w:p>
    <w:p w14:paraId="362DB710" w14:textId="77777777" w:rsidR="002871C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By treating thematic analysis as iterative and reflective, the study mapped patterns in the dataset while capturing the lived experiences, perceptions, and behaviours of those central to the entrepreneurial landscape. This approach generated contextually grounded insights that extend beyond surface trends, offering a deeper understanding of the human and strategic dimensions shaping contemporary consumer and entrepreneurial realities.</w:t>
      </w:r>
    </w:p>
    <w:p w14:paraId="12D4C123" w14:textId="77777777" w:rsidR="002871CA" w:rsidRPr="00DC304A" w:rsidRDefault="002871CA" w:rsidP="002871CA">
      <w:pPr>
        <w:spacing w:line="360" w:lineRule="auto"/>
        <w:jc w:val="both"/>
        <w:rPr>
          <w:rFonts w:ascii="Times New Roman" w:hAnsi="Times New Roman" w:cs="Times New Roman"/>
          <w:sz w:val="24"/>
          <w:szCs w:val="24"/>
        </w:rPr>
      </w:pPr>
    </w:p>
    <w:p w14:paraId="07020F1F"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 xml:space="preserve">3.7 </w:t>
      </w:r>
      <w:bookmarkStart w:id="3" w:name="_Hlk205937274"/>
      <w:r w:rsidRPr="00DC304A">
        <w:rPr>
          <w:rFonts w:ascii="Times New Roman" w:hAnsi="Times New Roman" w:cs="Times New Roman"/>
          <w:b/>
          <w:bCs/>
          <w:sz w:val="24"/>
          <w:szCs w:val="24"/>
        </w:rPr>
        <w:t>METHODOLOGICAL LIMITATIONS</w:t>
      </w:r>
      <w:bookmarkEnd w:id="3"/>
    </w:p>
    <w:p w14:paraId="750ABC99"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Despite thorough planning, the study encountered several obstacles that influenced both the execution of the research and the interpretation of the results. Among these, sampling bias emerged as a significant limitation. By relying primarily on online data collection, the study tended to engage participants who were digitally literate and already somewhat health-conscious, while inadvertently excluding those with limited internet access or different lifestyle habits. As a result, the data may reflect a narrower range of consumer perspectives, shaped not only by behaviour but also by the context in which participants were able to engage with the study.</w:t>
      </w:r>
    </w:p>
    <w:p w14:paraId="37F23D75"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The reliance on self-reported data introduced additional complexities. Participants may have unintentionally presented themselves in a more socially desirable manner, particularly when discussing health behaviours, diet, or lifestyle choices. While these responses provide meaningful insight, they also highlight the interpretive nature of the data, reflecting both actual behaviours and perceived norms.</w:t>
      </w:r>
    </w:p>
    <w:p w14:paraId="632C7F5A"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 xml:space="preserve">Generalisability also emerged as a notable consideration. Since the research focused specifically on Coimbatore, the findings may not fully represent consumer experiences in other cities or regions with differing cultural, social, or environmental contexts. Time constraints further shaped the study, limiting opportunities for extensive pilot testing and iterative </w:t>
      </w:r>
      <w:r w:rsidRPr="00DC304A">
        <w:rPr>
          <w:rFonts w:ascii="Times New Roman" w:hAnsi="Times New Roman" w:cs="Times New Roman"/>
          <w:sz w:val="24"/>
          <w:szCs w:val="24"/>
        </w:rPr>
        <w:lastRenderedPageBreak/>
        <w:t>refinement of the survey instruments, which could have enhanced the reliability and precision of the collected data.</w:t>
      </w:r>
    </w:p>
    <w:p w14:paraId="3D1E9555"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By acknowledging these limitations, the study aims to present its findings with transparency and contextual sensitivity. Recognising the boundaries of the research not only clarifies the scope of its contributions but also situates the insights within a broader interpretive framework, highlighting areas for future exploration and comparative studies in diverse consumer and entrepreneurial contexts.</w:t>
      </w:r>
    </w:p>
    <w:p w14:paraId="5953BE76" w14:textId="77777777" w:rsidR="002871CA" w:rsidRPr="00DC304A" w:rsidRDefault="002871CA" w:rsidP="002871CA">
      <w:pPr>
        <w:spacing w:line="360" w:lineRule="auto"/>
        <w:jc w:val="both"/>
        <w:rPr>
          <w:rFonts w:ascii="Times New Roman" w:hAnsi="Times New Roman" w:cs="Times New Roman"/>
          <w:sz w:val="24"/>
          <w:szCs w:val="24"/>
        </w:rPr>
      </w:pPr>
    </w:p>
    <w:p w14:paraId="7CBE93DF"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t xml:space="preserve">3.8 </w:t>
      </w:r>
      <w:bookmarkStart w:id="4" w:name="_Hlk205937297"/>
      <w:r w:rsidRPr="00DC304A">
        <w:rPr>
          <w:rFonts w:ascii="Times New Roman" w:hAnsi="Times New Roman" w:cs="Times New Roman"/>
          <w:b/>
          <w:bCs/>
          <w:sz w:val="24"/>
          <w:szCs w:val="24"/>
        </w:rPr>
        <w:t>RELIABILITY AND VALIDITY</w:t>
      </w:r>
      <w:bookmarkEnd w:id="4"/>
    </w:p>
    <w:p w14:paraId="363BDE81"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In the course of conducting this research, the study confronted several challenges that are typical in empirical work, especially concerning the reliability and validity of the findings. The use of self-administered questionnaires, for example, introduced the possibility that participants might interpret certain questions differently, leading to variation in responses. In the absence of extensive pilot testing, there was a risk that some survey items might not consistently capture the intended information, potentially affecting the overall reliability of the data.</w:t>
      </w:r>
    </w:p>
    <w:p w14:paraId="31D3C485"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Validity was another area requiring careful consideration. Given that the study drew on convenience sampling, the results are context-specific and cannot be assumed to reflect the experiences or behaviours of the broader population, which limits their external validity and applicability. Similarly, while the qualitative findings provided valuable depth and context regarding consumer behaviour, they may not have encompassed the full range of underlying motivations, leaving certain nuanced behaviours and intricate patterns unexamined. Internal validity also warranted attention, as participants may have provided socially desirable responses, particularly when discussing lifestyle or health-related behaviours, which could slightly skew the overall picture of attitudes and practices.</w:t>
      </w:r>
    </w:p>
    <w:p w14:paraId="2426EB00" w14:textId="77777777" w:rsidR="002871CA" w:rsidRPr="00DC304A" w:rsidRDefault="002871CA" w:rsidP="002871CA">
      <w:pPr>
        <w:spacing w:line="360" w:lineRule="auto"/>
        <w:jc w:val="both"/>
        <w:rPr>
          <w:rFonts w:ascii="Times New Roman" w:hAnsi="Times New Roman" w:cs="Times New Roman"/>
          <w:sz w:val="24"/>
          <w:szCs w:val="24"/>
        </w:rPr>
      </w:pPr>
      <w:r w:rsidRPr="00DC304A">
        <w:rPr>
          <w:rFonts w:ascii="Times New Roman" w:hAnsi="Times New Roman" w:cs="Times New Roman"/>
          <w:sz w:val="24"/>
          <w:szCs w:val="24"/>
        </w:rPr>
        <w:t>To mitigate these challenges, the study implemented several proactive measures. Survey questions were carefully constructed to ensure clarity, participants were assured of anonymity to encourage honest responses, and the integration of quantitative and qualitative methods enabled triangulation of findings. Collectively, these strategies strengthened both the credibility and richness of the results, allowing the study to provide a more comprehensive and contextually grounded understanding of consumer preferences and behaviours.</w:t>
      </w:r>
    </w:p>
    <w:p w14:paraId="041219D3" w14:textId="77777777" w:rsidR="002871CA" w:rsidRPr="00DC304A" w:rsidRDefault="002871CA" w:rsidP="002871CA">
      <w:pPr>
        <w:spacing w:line="360" w:lineRule="auto"/>
        <w:jc w:val="both"/>
        <w:rPr>
          <w:rFonts w:ascii="Times New Roman" w:hAnsi="Times New Roman" w:cs="Times New Roman"/>
          <w:b/>
          <w:bCs/>
          <w:sz w:val="24"/>
          <w:szCs w:val="24"/>
        </w:rPr>
      </w:pPr>
      <w:r w:rsidRPr="00DC304A">
        <w:rPr>
          <w:rFonts w:ascii="Times New Roman" w:hAnsi="Times New Roman" w:cs="Times New Roman"/>
          <w:b/>
          <w:bCs/>
          <w:sz w:val="24"/>
          <w:szCs w:val="24"/>
        </w:rPr>
        <w:lastRenderedPageBreak/>
        <w:t xml:space="preserve">3.9 </w:t>
      </w:r>
      <w:bookmarkStart w:id="5" w:name="_Hlk205937254"/>
      <w:r w:rsidRPr="00DC304A">
        <w:rPr>
          <w:rFonts w:ascii="Times New Roman" w:hAnsi="Times New Roman" w:cs="Times New Roman"/>
          <w:b/>
          <w:bCs/>
          <w:sz w:val="24"/>
          <w:szCs w:val="24"/>
        </w:rPr>
        <w:t>ETHICAL CONSIDERATIONS</w:t>
      </w:r>
      <w:bookmarkEnd w:id="5"/>
    </w:p>
    <w:p w14:paraId="45755751" w14:textId="77777777" w:rsidR="002871CA" w:rsidRPr="00824D79" w:rsidRDefault="002871CA" w:rsidP="002871CA">
      <w:pPr>
        <w:spacing w:line="360" w:lineRule="auto"/>
        <w:jc w:val="both"/>
        <w:rPr>
          <w:rFonts w:ascii="Times New Roman" w:hAnsi="Times New Roman" w:cs="Times New Roman"/>
          <w:sz w:val="24"/>
          <w:szCs w:val="24"/>
        </w:rPr>
      </w:pPr>
      <w:r w:rsidRPr="00824D79">
        <w:rPr>
          <w:rFonts w:ascii="Times New Roman" w:hAnsi="Times New Roman" w:cs="Times New Roman"/>
          <w:sz w:val="24"/>
          <w:szCs w:val="24"/>
        </w:rPr>
        <w:t xml:space="preserve">The protection of </w:t>
      </w:r>
      <w:r w:rsidRPr="00947CFE">
        <w:rPr>
          <w:rFonts w:ascii="Times New Roman" w:hAnsi="Times New Roman" w:cs="Times New Roman"/>
          <w:sz w:val="24"/>
          <w:szCs w:val="24"/>
        </w:rPr>
        <w:t>responden</w:t>
      </w:r>
      <w:r w:rsidRPr="00824D79">
        <w:rPr>
          <w:rFonts w:ascii="Times New Roman" w:hAnsi="Times New Roman" w:cs="Times New Roman"/>
          <w:sz w:val="24"/>
          <w:szCs w:val="24"/>
        </w:rPr>
        <w:t xml:space="preserve">ts’ rights, </w:t>
      </w:r>
      <w:r w:rsidRPr="00947CFE">
        <w:rPr>
          <w:rFonts w:ascii="Times New Roman" w:hAnsi="Times New Roman" w:cs="Times New Roman"/>
          <w:sz w:val="24"/>
          <w:szCs w:val="24"/>
        </w:rPr>
        <w:t>welfare</w:t>
      </w:r>
      <w:r w:rsidRPr="00824D79">
        <w:rPr>
          <w:rFonts w:ascii="Times New Roman" w:hAnsi="Times New Roman" w:cs="Times New Roman"/>
          <w:sz w:val="24"/>
          <w:szCs w:val="24"/>
        </w:rPr>
        <w:t xml:space="preserve">, and </w:t>
      </w:r>
      <w:r w:rsidRPr="00947CFE">
        <w:rPr>
          <w:rFonts w:ascii="Times New Roman" w:hAnsi="Times New Roman" w:cs="Times New Roman"/>
          <w:sz w:val="24"/>
          <w:szCs w:val="24"/>
        </w:rPr>
        <w:t>self-respect</w:t>
      </w:r>
      <w:r w:rsidRPr="00824D79">
        <w:rPr>
          <w:rFonts w:ascii="Times New Roman" w:hAnsi="Times New Roman" w:cs="Times New Roman"/>
          <w:sz w:val="24"/>
          <w:szCs w:val="24"/>
        </w:rPr>
        <w:t xml:space="preserve"> was upheld as a central principle throughout the study. Before participation, each individual received clear and comprehensive information on the study’s objectives, methodology, procedures, and potential implications. This transparency ensured that consent was fully informed and voluntary, enabling participants to make considered decisions about their involvement. They were </w:t>
      </w:r>
      <w:r w:rsidRPr="00947CFE">
        <w:rPr>
          <w:rFonts w:ascii="Times New Roman" w:hAnsi="Times New Roman" w:cs="Times New Roman"/>
          <w:sz w:val="24"/>
          <w:szCs w:val="24"/>
        </w:rPr>
        <w:t>guided</w:t>
      </w:r>
      <w:r w:rsidRPr="00824D79">
        <w:rPr>
          <w:rFonts w:ascii="Times New Roman" w:hAnsi="Times New Roman" w:cs="Times New Roman"/>
          <w:sz w:val="24"/>
          <w:szCs w:val="24"/>
        </w:rPr>
        <w:t xml:space="preserve"> that they could decline to answer any question or </w:t>
      </w:r>
      <w:r w:rsidRPr="00947CFE">
        <w:rPr>
          <w:rFonts w:ascii="Times New Roman" w:hAnsi="Times New Roman" w:cs="Times New Roman"/>
          <w:sz w:val="24"/>
          <w:szCs w:val="24"/>
        </w:rPr>
        <w:t>pull out</w:t>
      </w:r>
      <w:r w:rsidRPr="00824D79">
        <w:rPr>
          <w:rFonts w:ascii="Times New Roman" w:hAnsi="Times New Roman" w:cs="Times New Roman"/>
          <w:sz w:val="24"/>
          <w:szCs w:val="24"/>
        </w:rPr>
        <w:t xml:space="preserve"> from the study at any stage without consequence, reaffirming the research team’s commitment to autonomy and respect for individual choice.</w:t>
      </w:r>
    </w:p>
    <w:p w14:paraId="41A3A9F3" w14:textId="77777777" w:rsidR="002871CA" w:rsidRPr="00824D79" w:rsidRDefault="002871CA" w:rsidP="002871CA">
      <w:pPr>
        <w:spacing w:line="360" w:lineRule="auto"/>
        <w:jc w:val="both"/>
        <w:rPr>
          <w:rFonts w:ascii="Times New Roman" w:hAnsi="Times New Roman" w:cs="Times New Roman"/>
          <w:sz w:val="24"/>
          <w:szCs w:val="24"/>
        </w:rPr>
      </w:pPr>
      <w:r w:rsidRPr="00824D79">
        <w:rPr>
          <w:rFonts w:ascii="Times New Roman" w:hAnsi="Times New Roman" w:cs="Times New Roman"/>
          <w:sz w:val="24"/>
          <w:szCs w:val="24"/>
        </w:rPr>
        <w:t xml:space="preserve">Significant care was taken to minimise any potential discomfort or emotional strain. All survey and interview questions were designed to be sensitive, non-intrusive, and respectful of participants lived experiences. Participants were never required to respond to items that caused hesitation or unease. To preserve confidentiality, personal identifiers were removed, and all data were securely stored and reported only in aggregate form. The </w:t>
      </w:r>
      <w:r w:rsidRPr="00947CFE">
        <w:rPr>
          <w:rFonts w:ascii="Times New Roman" w:hAnsi="Times New Roman" w:cs="Times New Roman"/>
          <w:sz w:val="24"/>
          <w:szCs w:val="24"/>
        </w:rPr>
        <w:t>statistics</w:t>
      </w:r>
      <w:r w:rsidRPr="00824D79">
        <w:rPr>
          <w:rFonts w:ascii="Times New Roman" w:hAnsi="Times New Roman" w:cs="Times New Roman"/>
          <w:sz w:val="24"/>
          <w:szCs w:val="24"/>
        </w:rPr>
        <w:t xml:space="preserve"> were used </w:t>
      </w:r>
      <w:r w:rsidRPr="00947CFE">
        <w:rPr>
          <w:rFonts w:ascii="Times New Roman" w:hAnsi="Times New Roman" w:cs="Times New Roman"/>
          <w:sz w:val="24"/>
          <w:szCs w:val="24"/>
        </w:rPr>
        <w:t>exclusively</w:t>
      </w:r>
      <w:r w:rsidRPr="00824D79">
        <w:rPr>
          <w:rFonts w:ascii="Times New Roman" w:hAnsi="Times New Roman" w:cs="Times New Roman"/>
          <w:sz w:val="24"/>
          <w:szCs w:val="24"/>
        </w:rPr>
        <w:t xml:space="preserve"> for academic purposes, with no dissemination beyond the research context.</w:t>
      </w:r>
    </w:p>
    <w:p w14:paraId="3EBB9BDB" w14:textId="77777777" w:rsidR="002871CA" w:rsidRPr="00824D79" w:rsidRDefault="002871CA" w:rsidP="002871CA">
      <w:pPr>
        <w:spacing w:line="360" w:lineRule="auto"/>
        <w:jc w:val="both"/>
        <w:rPr>
          <w:rFonts w:ascii="Times New Roman" w:hAnsi="Times New Roman" w:cs="Times New Roman"/>
          <w:sz w:val="24"/>
          <w:szCs w:val="24"/>
        </w:rPr>
      </w:pPr>
      <w:r w:rsidRPr="00824D79">
        <w:rPr>
          <w:rFonts w:ascii="Times New Roman" w:hAnsi="Times New Roman" w:cs="Times New Roman"/>
          <w:sz w:val="24"/>
          <w:szCs w:val="24"/>
        </w:rPr>
        <w:t>Embedding these ethical safeguards at every stage ensured rigorous adherence to formal ethical standards while fostering trust and openness. This environment encouraged candid sharing, enriching the authenticity and interpretive depth of the findings. Ultimately, the study’s ethical framework ensured that the knowledge generated was both meaningful and responsible, grounded in integrity, respect, and thoughtful consideration for all participants.</w:t>
      </w:r>
    </w:p>
    <w:p w14:paraId="3E56EC76" w14:textId="77777777" w:rsidR="002871CA" w:rsidRPr="00DC304A" w:rsidRDefault="002871CA" w:rsidP="002871CA">
      <w:pPr>
        <w:spacing w:line="360" w:lineRule="auto"/>
        <w:jc w:val="both"/>
        <w:rPr>
          <w:rFonts w:ascii="Times New Roman" w:hAnsi="Times New Roman" w:cs="Times New Roman"/>
          <w:sz w:val="24"/>
          <w:szCs w:val="24"/>
        </w:rPr>
      </w:pPr>
    </w:p>
    <w:p w14:paraId="1A89BCA8" w14:textId="77777777" w:rsidR="002871CA" w:rsidRDefault="002871CA"/>
    <w:p w14:paraId="3E6020D6" w14:textId="77777777" w:rsidR="00B6764D" w:rsidRDefault="00B6764D"/>
    <w:p w14:paraId="735EE81B" w14:textId="77777777" w:rsidR="00B6764D" w:rsidRDefault="00B6764D"/>
    <w:p w14:paraId="32E1D628" w14:textId="77777777" w:rsidR="00B6764D" w:rsidRDefault="00B6764D"/>
    <w:p w14:paraId="138F407E" w14:textId="77777777" w:rsidR="00B6764D" w:rsidRDefault="00B6764D"/>
    <w:p w14:paraId="028F33A0" w14:textId="77777777" w:rsidR="00B6764D" w:rsidRDefault="00B6764D"/>
    <w:p w14:paraId="317FC684" w14:textId="77777777" w:rsidR="00B6764D" w:rsidRDefault="00B6764D"/>
    <w:p w14:paraId="3A7A8FC6" w14:textId="77777777" w:rsidR="00B6764D" w:rsidRDefault="00B6764D"/>
    <w:p w14:paraId="5D003394" w14:textId="77777777" w:rsidR="00B6764D" w:rsidRDefault="00B6764D"/>
    <w:p w14:paraId="62B67678" w14:textId="77777777" w:rsidR="00B6764D" w:rsidRDefault="00B6764D"/>
    <w:p w14:paraId="4BC7DE8B" w14:textId="77777777" w:rsidR="00B6764D" w:rsidRDefault="00B6764D"/>
    <w:p w14:paraId="294A55E2" w14:textId="77777777" w:rsidR="00B6764D" w:rsidRPr="00C12D7C" w:rsidRDefault="00B6764D" w:rsidP="00B6764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w:t>
      </w:r>
      <w:r w:rsidRPr="00C12D7C">
        <w:rPr>
          <w:rFonts w:ascii="Times New Roman" w:hAnsi="Times New Roman" w:cs="Times New Roman"/>
          <w:b/>
          <w:bCs/>
          <w:sz w:val="24"/>
          <w:szCs w:val="24"/>
        </w:rPr>
        <w:t>4</w:t>
      </w:r>
      <w:r>
        <w:rPr>
          <w:rFonts w:ascii="Times New Roman" w:hAnsi="Times New Roman" w:cs="Times New Roman"/>
          <w:b/>
          <w:bCs/>
          <w:sz w:val="24"/>
          <w:szCs w:val="24"/>
        </w:rPr>
        <w:t xml:space="preserve">: </w:t>
      </w:r>
      <w:r w:rsidRPr="00C12D7C">
        <w:rPr>
          <w:rFonts w:ascii="Times New Roman" w:hAnsi="Times New Roman" w:cs="Times New Roman"/>
          <w:b/>
          <w:bCs/>
          <w:sz w:val="24"/>
          <w:szCs w:val="24"/>
        </w:rPr>
        <w:t xml:space="preserve">DATA ANALYSIS </w:t>
      </w:r>
    </w:p>
    <w:p w14:paraId="23CD8815"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chapter analyses primary survey data, focusing on key factors influencing the establishment of a customer-oriented health and traditional cuisine restaurant in Coimbatore. The analysis is structured around four themes: Consumer Preferences and Health-Conscious Behaviour, Local Market Awareness and Cultural Influences, Business Model Expectations, and Customer Engagement, Loyalty, and Branding. Demographic data are also examined to contextualise consumer trends and business insights.</w:t>
      </w:r>
    </w:p>
    <w:p w14:paraId="1EEA645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Understanding participants’ demographics is essential for accurate interpretation. The survey collected age, education, occupation, gender, residential status, dietary preferences, interest in healthy eating, and weekly dining habits. Analysing these variables identified behavioural patterns defining the target market, ensuring findings and recommendations align with Coimbatore’s urban consumers’ characteristics, motivations, and lifestyles.</w:t>
      </w:r>
    </w:p>
    <w:p w14:paraId="21177DB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quantitative survey included 20 questions across five thematic sections: consumer decisions and health behaviour, local market and cultural influences, business model expectations, and customer engagement, loyalty, and branding. Responses were analysed using Excel and descriptive statistics such as frequency, percentage, mean, and standard deviation, providing a clear view of trends, averages, and differences to support further analysis.</w:t>
      </w:r>
    </w:p>
    <w:p w14:paraId="1D3E02B0"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Qualitative insights were gathered through structured interviews and discussions with stakeholders, including traditional restaurant owners, family-run outlets, catering services, and modern restaurateurs. These data provided deeper understanding of customer expectations, perceptions, and motivations beyond the survey. Thematic analysis (Braun &amp; Clarke, 2006) identified recurring patterns: Consumer Preferences and Health Awareness, Local Market and Cultural Influences, Entrepreneurial Strategy and Expectations, Business Model Design, Branding, Loyalty and Differentiation, and Overall Strategic Input.</w:t>
      </w:r>
    </w:p>
    <w:p w14:paraId="6EF9D86D"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By merging quantitative and qualitative data, the study offers a well-rounded view of Coimbatore’s market, supporting informed and actionable recommendations for establishing a customer-focused health and traditional cuisine restaurant.</w:t>
      </w:r>
    </w:p>
    <w:p w14:paraId="01F0BA2C" w14:textId="77777777" w:rsidR="00B6764D" w:rsidRDefault="00B6764D" w:rsidP="00B6764D">
      <w:pPr>
        <w:spacing w:line="360" w:lineRule="auto"/>
        <w:jc w:val="both"/>
        <w:rPr>
          <w:rFonts w:ascii="Times New Roman" w:hAnsi="Times New Roman" w:cs="Times New Roman"/>
          <w:sz w:val="24"/>
          <w:szCs w:val="24"/>
        </w:rPr>
      </w:pPr>
    </w:p>
    <w:p w14:paraId="0B22E51B" w14:textId="77777777" w:rsidR="00B6764D" w:rsidRDefault="00B6764D" w:rsidP="00B6764D">
      <w:pPr>
        <w:spacing w:line="360" w:lineRule="auto"/>
        <w:jc w:val="both"/>
        <w:rPr>
          <w:rFonts w:ascii="Times New Roman" w:hAnsi="Times New Roman" w:cs="Times New Roman"/>
          <w:sz w:val="24"/>
          <w:szCs w:val="24"/>
        </w:rPr>
      </w:pPr>
    </w:p>
    <w:p w14:paraId="54BBFC59" w14:textId="77777777" w:rsidR="00B6764D" w:rsidRPr="00C12D7C" w:rsidRDefault="00B6764D" w:rsidP="00B6764D">
      <w:pPr>
        <w:spacing w:line="360" w:lineRule="auto"/>
        <w:jc w:val="both"/>
        <w:rPr>
          <w:rFonts w:ascii="Times New Roman" w:hAnsi="Times New Roman" w:cs="Times New Roman"/>
          <w:sz w:val="24"/>
          <w:szCs w:val="24"/>
        </w:rPr>
      </w:pPr>
    </w:p>
    <w:p w14:paraId="4ACCD45D"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lastRenderedPageBreak/>
        <w:t>4.1 QUANTITATIVE ANALYSIS</w:t>
      </w:r>
    </w:p>
    <w:p w14:paraId="2EFBCFE0" w14:textId="77777777" w:rsidR="00B6764D"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chapter presents the quantitative analysis undertaken to examine the patterns and relationships suggested by the research questions. It outlines the data preparation process, introduces the key variables, and explains the statistical techniques used. Descriptive and inferential results are then reported to assess the strength and significance of these relationships. Together, these analyses provide a structured, empirical foundation for interpreting the study’s findings and linking them back to the broader theoretical framework.</w:t>
      </w:r>
    </w:p>
    <w:p w14:paraId="0D6280EC" w14:textId="77777777" w:rsidR="00B6764D" w:rsidRPr="00C12D7C" w:rsidRDefault="00B6764D" w:rsidP="00B6764D">
      <w:pPr>
        <w:spacing w:line="360" w:lineRule="auto"/>
        <w:jc w:val="both"/>
        <w:rPr>
          <w:rFonts w:ascii="Times New Roman" w:hAnsi="Times New Roman" w:cs="Times New Roman"/>
          <w:sz w:val="24"/>
          <w:szCs w:val="24"/>
        </w:rPr>
      </w:pPr>
    </w:p>
    <w:p w14:paraId="16F88839"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4.1.1 DEMOGRAPHIC DETAILS</w:t>
      </w:r>
    </w:p>
    <w:p w14:paraId="578EA5CF"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AGE</w:t>
      </w:r>
    </w:p>
    <w:p w14:paraId="167BCB65" w14:textId="77777777" w:rsidR="00B6764D" w:rsidRPr="00C12D7C" w:rsidRDefault="00B6764D" w:rsidP="00B6764D">
      <w:pPr>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4.1 Respondents’ Age</w:t>
      </w:r>
    </w:p>
    <w:p w14:paraId="2636A95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499B8202" wp14:editId="1834F915">
            <wp:extent cx="5651500" cy="2787650"/>
            <wp:effectExtent l="57150" t="57150" r="44450" b="50800"/>
            <wp:docPr id="854771279" name="Chart 1">
              <a:extLst xmlns:a="http://schemas.openxmlformats.org/drawingml/2006/main">
                <a:ext uri="{FF2B5EF4-FFF2-40B4-BE49-F238E27FC236}">
                  <a16:creationId xmlns:a16="http://schemas.microsoft.com/office/drawing/2014/main" id="{B20A3F84-D2AC-7688-E20B-7B4F49DA02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A0AA182"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24E2AF3A"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As shown in figure, the largest share of respondents (32%) were aged 21–30 years, followed by 31–40 years (28%) and 41–50 years (22%). Smaller proportions belonged to the 51–60 years (9%) and 61–70 years (7%) groups, while 1% preferred not to disclose their age.</w:t>
      </w:r>
    </w:p>
    <w:p w14:paraId="276903FC"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Overall, the sample was primarily composed of young and middle-aged adults, reflecting the demographic most actively engaged in dining-out and evolving food preferences.</w:t>
      </w:r>
    </w:p>
    <w:p w14:paraId="2E3BB612" w14:textId="77777777" w:rsidR="009C1B57" w:rsidRDefault="009C1B57" w:rsidP="00B6764D">
      <w:pPr>
        <w:spacing w:line="360" w:lineRule="auto"/>
        <w:jc w:val="both"/>
        <w:rPr>
          <w:rFonts w:ascii="Times New Roman" w:hAnsi="Times New Roman" w:cs="Times New Roman"/>
          <w:b/>
          <w:bCs/>
          <w:sz w:val="24"/>
          <w:szCs w:val="24"/>
        </w:rPr>
      </w:pPr>
    </w:p>
    <w:p w14:paraId="351DEFA6" w14:textId="43444C9B"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lastRenderedPageBreak/>
        <w:t>GENDER</w:t>
      </w:r>
    </w:p>
    <w:p w14:paraId="587F72FF" w14:textId="77777777" w:rsidR="00B6764D" w:rsidRPr="00C12D7C" w:rsidRDefault="00B6764D" w:rsidP="00B6764D">
      <w:pPr>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4.2 Respondents’ Gender</w:t>
      </w:r>
    </w:p>
    <w:p w14:paraId="2C6B7A41" w14:textId="77777777" w:rsidR="00B6764D" w:rsidRPr="00C12D7C" w:rsidRDefault="00B6764D" w:rsidP="00B6764D">
      <w:pPr>
        <w:spacing w:line="360" w:lineRule="auto"/>
        <w:jc w:val="both"/>
        <w:rPr>
          <w:rFonts w:ascii="Times New Roman" w:hAnsi="Times New Roman" w:cs="Times New Roman"/>
          <w:sz w:val="24"/>
          <w:szCs w:val="24"/>
        </w:rPr>
        <w:sectPr w:rsidR="00B6764D" w:rsidRPr="00C12D7C" w:rsidSect="00B6764D">
          <w:pgSz w:w="11906" w:h="16838"/>
          <w:pgMar w:top="1440" w:right="1440" w:bottom="1440" w:left="1440" w:header="708" w:footer="708" w:gutter="0"/>
          <w:cols w:space="708"/>
          <w:docGrid w:linePitch="360"/>
        </w:sectPr>
      </w:pPr>
    </w:p>
    <w:p w14:paraId="323DCC62"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7D3B4E57" wp14:editId="3208EE15">
            <wp:extent cx="5702300" cy="1955800"/>
            <wp:effectExtent l="57150" t="57150" r="50800" b="44450"/>
            <wp:docPr id="399426589" name="Chart 1">
              <a:extLst xmlns:a="http://schemas.openxmlformats.org/drawingml/2006/main">
                <a:ext uri="{FF2B5EF4-FFF2-40B4-BE49-F238E27FC236}">
                  <a16:creationId xmlns:a16="http://schemas.microsoft.com/office/drawing/2014/main" id="{24267B11-EAE1-8C19-8CC0-22F4671BCC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7D68AF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0AB7DC32" w14:textId="40ACC359"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As presented above figure, male respondents comprised 50% of the sample, while female respondents accounted for 48%. A small proportion (2%) preferred not to disclose their gender.</w:t>
      </w:r>
      <w:r w:rsidR="00011F36">
        <w:rPr>
          <w:rFonts w:ascii="Times New Roman" w:hAnsi="Times New Roman" w:cs="Times New Roman"/>
          <w:sz w:val="24"/>
          <w:szCs w:val="24"/>
        </w:rPr>
        <w:t xml:space="preserve"> </w:t>
      </w:r>
      <w:r w:rsidRPr="00C12D7C">
        <w:rPr>
          <w:rFonts w:ascii="Times New Roman" w:hAnsi="Times New Roman" w:cs="Times New Roman"/>
          <w:sz w:val="24"/>
          <w:szCs w:val="24"/>
        </w:rPr>
        <w:t>This near-equal representation of male and female participants indicates a balanced gender distribution, enhancing the inclusivity and reliability of perspectives reflected in the survey findings.</w:t>
      </w:r>
    </w:p>
    <w:p w14:paraId="4A87273B" w14:textId="77777777" w:rsidR="00B6764D" w:rsidRPr="00C12D7C" w:rsidRDefault="00B6764D" w:rsidP="00B6764D">
      <w:pPr>
        <w:spacing w:line="360" w:lineRule="auto"/>
        <w:jc w:val="both"/>
        <w:rPr>
          <w:rFonts w:ascii="Times New Roman" w:hAnsi="Times New Roman" w:cs="Times New Roman"/>
          <w:sz w:val="24"/>
          <w:szCs w:val="24"/>
        </w:rPr>
      </w:pPr>
    </w:p>
    <w:p w14:paraId="3DF8DDB2" w14:textId="77777777" w:rsidR="00B6764D" w:rsidRPr="00E864D7"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EDUCATION</w:t>
      </w:r>
    </w:p>
    <w:p w14:paraId="0F5DD8A6" w14:textId="77777777" w:rsidR="00B6764D" w:rsidRPr="00C12D7C" w:rsidRDefault="00B6764D" w:rsidP="00B6764D">
      <w:pPr>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4.3 Respondents’ Education</w:t>
      </w:r>
    </w:p>
    <w:p w14:paraId="1E4D09C2"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1F84D54B" wp14:editId="18E3A130">
            <wp:extent cx="5657850" cy="2413000"/>
            <wp:effectExtent l="57150" t="57150" r="38100" b="44450"/>
            <wp:docPr id="894343721" name="Chart 1">
              <a:extLst xmlns:a="http://schemas.openxmlformats.org/drawingml/2006/main">
                <a:ext uri="{FF2B5EF4-FFF2-40B4-BE49-F238E27FC236}">
                  <a16:creationId xmlns:a16="http://schemas.microsoft.com/office/drawing/2014/main" id="{688A5231-F803-06BD-DC35-31E327E248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7C2CD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12D049DC" w14:textId="77777777" w:rsidR="00B6764D" w:rsidRPr="00C12D7C" w:rsidRDefault="00B6764D" w:rsidP="00B6764D">
      <w:pPr>
        <w:spacing w:line="360" w:lineRule="auto"/>
        <w:jc w:val="both"/>
        <w:rPr>
          <w:rFonts w:ascii="Times New Roman" w:hAnsi="Times New Roman" w:cs="Times New Roman"/>
          <w:sz w:val="24"/>
          <w:szCs w:val="24"/>
        </w:rPr>
        <w:sectPr w:rsidR="00B6764D" w:rsidRPr="00C12D7C" w:rsidSect="00B6764D">
          <w:type w:val="continuous"/>
          <w:pgSz w:w="11906" w:h="16838"/>
          <w:pgMar w:top="1440" w:right="1440" w:bottom="1440" w:left="1440" w:header="708" w:footer="708" w:gutter="0"/>
          <w:cols w:space="708"/>
          <w:docGrid w:linePitch="360"/>
        </w:sectPr>
      </w:pPr>
    </w:p>
    <w:p w14:paraId="5BAE4108"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The figure shows that the majority of respondents were graduates (37%) and postgraduates (35%), followed by those with education up to HSC (9%) and 1st to 9th grade (9%). Smaller proportions had completed SSLC (4%), held a PhD (2%), or preferred not to disclose their qualification (4%).</w:t>
      </w:r>
    </w:p>
    <w:p w14:paraId="4701AE04"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Overall, the sample reflects a well-educated respondent base, suggesting that participants possessed the awareness and discernment necessary to provide informed responses to the survey.</w:t>
      </w:r>
    </w:p>
    <w:p w14:paraId="267DAEB0" w14:textId="77777777" w:rsidR="00B6764D" w:rsidRPr="00C12D7C" w:rsidRDefault="00B6764D" w:rsidP="00B6764D">
      <w:pPr>
        <w:spacing w:line="360" w:lineRule="auto"/>
        <w:jc w:val="both"/>
        <w:rPr>
          <w:rFonts w:ascii="Times New Roman" w:hAnsi="Times New Roman" w:cs="Times New Roman"/>
          <w:sz w:val="24"/>
          <w:szCs w:val="24"/>
        </w:rPr>
      </w:pPr>
    </w:p>
    <w:p w14:paraId="3EA36A9B"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OCCUPATION</w:t>
      </w:r>
    </w:p>
    <w:p w14:paraId="1E3D9FE4" w14:textId="77777777" w:rsidR="00B6764D" w:rsidRPr="00C12D7C" w:rsidRDefault="00B6764D" w:rsidP="00B6764D">
      <w:pPr>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4.4 Respondents’ Occupation</w:t>
      </w:r>
    </w:p>
    <w:p w14:paraId="3D2BB0AA"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3DC483D5" wp14:editId="3702692E">
            <wp:extent cx="5715000" cy="2870200"/>
            <wp:effectExtent l="57150" t="57150" r="38100" b="44450"/>
            <wp:docPr id="1329964321" name="Chart 1">
              <a:extLst xmlns:a="http://schemas.openxmlformats.org/drawingml/2006/main">
                <a:ext uri="{FF2B5EF4-FFF2-40B4-BE49-F238E27FC236}">
                  <a16:creationId xmlns:a16="http://schemas.microsoft.com/office/drawing/2014/main" id="{C04E1BDA-D8C4-9223-3EC3-A4C8E970E4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025447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40C194B4"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As shown in figure, over half of the respondents were working professionals (52%), followed by students (19%) and homemakers (15%). Smaller proportions identified as entrepreneurs (6%), preferred not to disclose their occupation (6%), or selected other (1%).</w:t>
      </w:r>
    </w:p>
    <w:p w14:paraId="5D728BB0"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distribution indicates that the survey primarily captured the views of employed individuals, reflecting perspectives shaped by active workforce participation and regular engagement in consumer activities.</w:t>
      </w:r>
    </w:p>
    <w:p w14:paraId="0E65D806" w14:textId="77777777" w:rsidR="00B6764D" w:rsidRPr="00C12D7C" w:rsidRDefault="00B6764D" w:rsidP="00B6764D">
      <w:pPr>
        <w:spacing w:line="360" w:lineRule="auto"/>
        <w:jc w:val="both"/>
        <w:rPr>
          <w:rFonts w:ascii="Times New Roman" w:hAnsi="Times New Roman" w:cs="Times New Roman"/>
          <w:sz w:val="24"/>
          <w:szCs w:val="24"/>
        </w:rPr>
      </w:pPr>
    </w:p>
    <w:p w14:paraId="741D2608"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lastRenderedPageBreak/>
        <w:t>RESIDENT OF COIMBATORE</w:t>
      </w:r>
    </w:p>
    <w:p w14:paraId="1D490887"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4.5 Respondents’ Resident Status</w:t>
      </w:r>
    </w:p>
    <w:p w14:paraId="15D8F431"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7289EBA4" wp14:editId="3021DBEE">
            <wp:extent cx="5695950" cy="2514600"/>
            <wp:effectExtent l="38100" t="57150" r="38100" b="38100"/>
            <wp:docPr id="244233923" name="Chart 1">
              <a:extLst xmlns:a="http://schemas.openxmlformats.org/drawingml/2006/main">
                <a:ext uri="{FF2B5EF4-FFF2-40B4-BE49-F238E27FC236}">
                  <a16:creationId xmlns:a16="http://schemas.microsoft.com/office/drawing/2014/main" id="{4087ECA3-147E-693B-0FC5-C7BD4BAE4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F1CCAC7"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50AC647E" w14:textId="3995A51D"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above figure indicates that the vast majority of respondents (97%) were residents, while only 3% were non-residents.</w:t>
      </w:r>
      <w:r w:rsidR="00395A31">
        <w:rPr>
          <w:rFonts w:ascii="Times New Roman" w:hAnsi="Times New Roman" w:cs="Times New Roman"/>
          <w:sz w:val="24"/>
          <w:szCs w:val="24"/>
        </w:rPr>
        <w:t xml:space="preserve"> </w:t>
      </w:r>
      <w:r w:rsidRPr="00C12D7C">
        <w:rPr>
          <w:rFonts w:ascii="Times New Roman" w:hAnsi="Times New Roman" w:cs="Times New Roman"/>
          <w:sz w:val="24"/>
          <w:szCs w:val="24"/>
        </w:rPr>
        <w:t>This strong representation of residents suggests that the findings predominantly reflect the perspectives of individuals who are locally based and therefore more familiar with the community’s dining habits and preferences.</w:t>
      </w:r>
    </w:p>
    <w:p w14:paraId="00981A68" w14:textId="77777777" w:rsidR="00B6764D" w:rsidRPr="00C12D7C" w:rsidRDefault="00B6764D" w:rsidP="00B6764D">
      <w:pPr>
        <w:spacing w:line="360" w:lineRule="auto"/>
        <w:jc w:val="both"/>
        <w:rPr>
          <w:rFonts w:ascii="Times New Roman" w:hAnsi="Times New Roman" w:cs="Times New Roman"/>
          <w:sz w:val="24"/>
          <w:szCs w:val="24"/>
        </w:rPr>
      </w:pPr>
    </w:p>
    <w:p w14:paraId="6639B915"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EATING OUT PER WEEK</w:t>
      </w:r>
    </w:p>
    <w:p w14:paraId="4F7E4866"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4.6 Respondents’ Eating Out Per Week</w:t>
      </w:r>
    </w:p>
    <w:p w14:paraId="3AAC5A54"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1DFEFBED" wp14:editId="5A136AFE">
            <wp:extent cx="5695950" cy="2216150"/>
            <wp:effectExtent l="38100" t="57150" r="38100" b="50800"/>
            <wp:docPr id="1846444621" name="Chart 1">
              <a:extLst xmlns:a="http://schemas.openxmlformats.org/drawingml/2006/main">
                <a:ext uri="{FF2B5EF4-FFF2-40B4-BE49-F238E27FC236}">
                  <a16:creationId xmlns:a16="http://schemas.microsoft.com/office/drawing/2014/main" id="{41859323-42CA-B57C-081D-0075739A7A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122A3A"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w:t>
      </w:r>
    </w:p>
    <w:p w14:paraId="30EAA127"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As presented in figure, the majority of respondents (57%) reported eating outside one to two times per week, followed by 20% who dined out three to four times per week. A smaller share (5%) ate out five to six times per week, while 17% indicated that they never ate outside.</w:t>
      </w:r>
    </w:p>
    <w:p w14:paraId="343523D8"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These findings suggest that occasional dining-out habits are most common among respondents, reflecting a preference for moderate engagement with food services rather than frequent or habitual dining-out behaviour.</w:t>
      </w:r>
    </w:p>
    <w:p w14:paraId="75ACF02B" w14:textId="77777777" w:rsidR="00B6764D" w:rsidRPr="00C12D7C" w:rsidRDefault="00B6764D" w:rsidP="00B6764D">
      <w:pPr>
        <w:spacing w:line="360" w:lineRule="auto"/>
        <w:jc w:val="both"/>
        <w:rPr>
          <w:rFonts w:ascii="Times New Roman" w:hAnsi="Times New Roman" w:cs="Times New Roman"/>
          <w:b/>
          <w:bCs/>
          <w:sz w:val="24"/>
          <w:szCs w:val="24"/>
        </w:rPr>
      </w:pPr>
    </w:p>
    <w:p w14:paraId="068689E3"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DIETARY PREFERENCE</w:t>
      </w:r>
    </w:p>
    <w:p w14:paraId="726486AE"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4.7 Respondents’ Dietary Preference</w:t>
      </w:r>
    </w:p>
    <w:p w14:paraId="158FAA6A"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35FC7F72" wp14:editId="32B204D8">
            <wp:extent cx="5695950" cy="2540000"/>
            <wp:effectExtent l="38100" t="57150" r="38100" b="50800"/>
            <wp:docPr id="1333694350" name="Chart 1">
              <a:extLst xmlns:a="http://schemas.openxmlformats.org/drawingml/2006/main">
                <a:ext uri="{FF2B5EF4-FFF2-40B4-BE49-F238E27FC236}">
                  <a16:creationId xmlns:a16="http://schemas.microsoft.com/office/drawing/2014/main" id="{4BEBF2AB-2330-0C24-BCBD-15684D6EFF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8958E2"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0723AEAC"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figure reveals that the majority of respondents (65%) identified as non-vegetarian, while 26% followed a vegetarian diet. A smaller proportion (7%) reported consuming both vegetarian and non-vegetarian foods, and only 1% identified as vegan.</w:t>
      </w:r>
    </w:p>
    <w:p w14:paraId="7EF0A46B"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distribution indicates that non-vegetarian dietary habits predominate among respondents, suggesting a general inclination toward mixed or meat-based diets within the sample population.</w:t>
      </w:r>
    </w:p>
    <w:p w14:paraId="70E095F4" w14:textId="77777777" w:rsidR="00B6764D" w:rsidRDefault="00B6764D" w:rsidP="00B6764D">
      <w:pPr>
        <w:spacing w:line="360" w:lineRule="auto"/>
        <w:jc w:val="both"/>
        <w:rPr>
          <w:rFonts w:ascii="Times New Roman" w:hAnsi="Times New Roman" w:cs="Times New Roman"/>
          <w:sz w:val="24"/>
          <w:szCs w:val="24"/>
        </w:rPr>
      </w:pPr>
    </w:p>
    <w:p w14:paraId="49F92CD7" w14:textId="77777777" w:rsidR="00395A31" w:rsidRDefault="00395A31" w:rsidP="00B6764D">
      <w:pPr>
        <w:spacing w:line="360" w:lineRule="auto"/>
        <w:jc w:val="both"/>
        <w:rPr>
          <w:rFonts w:ascii="Times New Roman" w:hAnsi="Times New Roman" w:cs="Times New Roman"/>
          <w:sz w:val="24"/>
          <w:szCs w:val="24"/>
        </w:rPr>
      </w:pPr>
    </w:p>
    <w:p w14:paraId="0991CA73" w14:textId="77777777" w:rsidR="00395A31" w:rsidRPr="00C12D7C" w:rsidRDefault="00395A31" w:rsidP="00B6764D">
      <w:pPr>
        <w:spacing w:line="360" w:lineRule="auto"/>
        <w:jc w:val="both"/>
        <w:rPr>
          <w:rFonts w:ascii="Times New Roman" w:hAnsi="Times New Roman" w:cs="Times New Roman"/>
          <w:sz w:val="24"/>
          <w:szCs w:val="24"/>
        </w:rPr>
      </w:pPr>
    </w:p>
    <w:p w14:paraId="72E59FDB"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lastRenderedPageBreak/>
        <w:t>SPECIFIC DIET PLAN</w:t>
      </w:r>
    </w:p>
    <w:p w14:paraId="6E329C40"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4.8 Respondents’ Diet Plan</w:t>
      </w:r>
    </w:p>
    <w:p w14:paraId="26A141A8"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7270906F" wp14:editId="454CCD27">
            <wp:extent cx="5715000" cy="2228850"/>
            <wp:effectExtent l="57150" t="57150" r="38100" b="38100"/>
            <wp:docPr id="380088392" name="Chart 1">
              <a:extLst xmlns:a="http://schemas.openxmlformats.org/drawingml/2006/main">
                <a:ext uri="{FF2B5EF4-FFF2-40B4-BE49-F238E27FC236}">
                  <a16:creationId xmlns:a16="http://schemas.microsoft.com/office/drawing/2014/main" id="{463985FC-0C00-7B32-AF50-5E09BD08C9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3608DF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3BC111E4" w14:textId="60359374"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As shown in above figure, more than half of the respondents (54%) reported following a high-protein diet, while 25% adhered to a low-fat diet. Smaller proportions followed heart-healthy (12%) and gluten-free (2%) diets. A few respondents selected all foods, normal, avoid, or no specific diet, each representing 1–4% of the total.</w:t>
      </w:r>
      <w:r w:rsidR="00395A31">
        <w:rPr>
          <w:rFonts w:ascii="Times New Roman" w:hAnsi="Times New Roman" w:cs="Times New Roman"/>
          <w:sz w:val="24"/>
          <w:szCs w:val="24"/>
        </w:rPr>
        <w:t xml:space="preserve"> </w:t>
      </w:r>
      <w:r w:rsidRPr="00C12D7C">
        <w:rPr>
          <w:rFonts w:ascii="Times New Roman" w:hAnsi="Times New Roman" w:cs="Times New Roman"/>
          <w:sz w:val="24"/>
          <w:szCs w:val="24"/>
        </w:rPr>
        <w:t>These results indicate that a high-protein and low-fat dietary focus predominates among participants, reflecting growing awareness of health-conscious eating habits within the sample group.</w:t>
      </w:r>
    </w:p>
    <w:p w14:paraId="453A578E" w14:textId="77777777" w:rsidR="00395A31" w:rsidRDefault="00395A31" w:rsidP="00B6764D">
      <w:pPr>
        <w:spacing w:line="360" w:lineRule="auto"/>
        <w:jc w:val="both"/>
        <w:rPr>
          <w:rFonts w:ascii="Times New Roman" w:hAnsi="Times New Roman" w:cs="Times New Roman"/>
          <w:sz w:val="24"/>
          <w:szCs w:val="24"/>
        </w:rPr>
      </w:pPr>
    </w:p>
    <w:p w14:paraId="181608E2" w14:textId="39106689"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HEALTHY FOOD OPTIONS WHEN DINING OUT</w:t>
      </w:r>
    </w:p>
    <w:p w14:paraId="205F87AB"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4.9 Respondents’ Healthy Food Options When Dinning Out</w:t>
      </w:r>
    </w:p>
    <w:p w14:paraId="0BE45C21"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3B214ABA" wp14:editId="2D109BFB">
            <wp:extent cx="5708650" cy="2012950"/>
            <wp:effectExtent l="38100" t="57150" r="44450" b="44450"/>
            <wp:docPr id="1416053195" name="Chart 1">
              <a:extLst xmlns:a="http://schemas.openxmlformats.org/drawingml/2006/main">
                <a:ext uri="{FF2B5EF4-FFF2-40B4-BE49-F238E27FC236}">
                  <a16:creationId xmlns:a16="http://schemas.microsoft.com/office/drawing/2014/main" id="{9D5B9563-990F-B954-B27A-2F8B7789BF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AF0985"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200D219D"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The figure indicates that nearly half of the respondents (48%) reported actively choosing healthy food options when dining out, while 41% stated they do so sometimes. A smaller portion (10%) indicated that they do not opt for healthy choices, and 1% did not provide a response. These findings suggest that a majority of respondents demonstrate health-conscious behaviour when eating out, although a considerable number adopt such choices only occasionally, reflecting moderate but growing awareness of healthy dining practices.</w:t>
      </w:r>
    </w:p>
    <w:p w14:paraId="32CF45E6"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These demographic insights align with the consumer behaviour patterns discussed in Chapter 2, particularly the concentration of young, educated, and professionally active respondents who represent India’s emerging urban middle class. This group’s growing health awareness and cultural adaptability reflect trends identified by Bharathi and Elango (2024) and </w:t>
      </w:r>
      <w:proofErr w:type="spellStart"/>
      <w:r w:rsidRPr="00C12D7C">
        <w:rPr>
          <w:rFonts w:ascii="Times New Roman" w:hAnsi="Times New Roman" w:cs="Times New Roman"/>
          <w:sz w:val="24"/>
          <w:szCs w:val="24"/>
        </w:rPr>
        <w:t>Subhalakshmi</w:t>
      </w:r>
      <w:proofErr w:type="spellEnd"/>
      <w:r w:rsidRPr="00C12D7C">
        <w:rPr>
          <w:rFonts w:ascii="Times New Roman" w:hAnsi="Times New Roman" w:cs="Times New Roman"/>
          <w:sz w:val="24"/>
          <w:szCs w:val="24"/>
        </w:rPr>
        <w:t xml:space="preserve"> et al. (2024), confirming that Coimbatore’s evolving food culture is shaped by lifestyle transitions and wellness-oriented urbanisation.</w:t>
      </w:r>
    </w:p>
    <w:p w14:paraId="54B9556E" w14:textId="77777777" w:rsidR="00B6764D" w:rsidRPr="00C12D7C" w:rsidRDefault="00B6764D" w:rsidP="00B6764D">
      <w:pPr>
        <w:spacing w:line="360" w:lineRule="auto"/>
        <w:jc w:val="both"/>
        <w:rPr>
          <w:rFonts w:ascii="Times New Roman" w:hAnsi="Times New Roman" w:cs="Times New Roman"/>
          <w:sz w:val="24"/>
          <w:szCs w:val="24"/>
        </w:rPr>
      </w:pPr>
    </w:p>
    <w:p w14:paraId="650F44BC"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4.1.2 </w:t>
      </w:r>
      <w:bookmarkStart w:id="6" w:name="_Hlk213770460"/>
      <w:r w:rsidRPr="00C12D7C">
        <w:rPr>
          <w:rFonts w:ascii="Times New Roman" w:hAnsi="Times New Roman" w:cs="Times New Roman"/>
          <w:b/>
          <w:bCs/>
          <w:sz w:val="24"/>
          <w:szCs w:val="24"/>
        </w:rPr>
        <w:t>QUANTITATIVE INSIGHTS ON CONSUMER CHOICES AND HEALTH- CONSCIOUS HABITS</w:t>
      </w:r>
      <w:bookmarkEnd w:id="6"/>
    </w:p>
    <w:p w14:paraId="15CCD018"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section explored how individuals’ awareness of health and wellness influences their food choices and dining habits. It helped identify consumer interest in nutritious and balanced meals that align with traditional tastes. The insights guided the study in understanding the potential demand for a restaurant that promotes healthy yet culturally rooted cuisine.</w:t>
      </w:r>
    </w:p>
    <w:p w14:paraId="6D57DC7E"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4.10 Frequency of Respondents</w:t>
      </w:r>
    </w:p>
    <w:p w14:paraId="5EB2BB51"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37D8A2B6" wp14:editId="7F5B1554">
            <wp:extent cx="5715000" cy="2527300"/>
            <wp:effectExtent l="57150" t="57150" r="38100" b="44450"/>
            <wp:docPr id="1234230419" name="Chart 1">
              <a:extLst xmlns:a="http://schemas.openxmlformats.org/drawingml/2006/main">
                <a:ext uri="{FF2B5EF4-FFF2-40B4-BE49-F238E27FC236}">
                  <a16:creationId xmlns:a16="http://schemas.microsoft.com/office/drawing/2014/main" id="{CBA9F9B7-0CF4-1B99-8F30-ABE5120740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C12D7C">
        <w:rPr>
          <w:rFonts w:ascii="Times New Roman" w:hAnsi="Times New Roman" w:cs="Times New Roman"/>
          <w:sz w:val="24"/>
          <w:szCs w:val="24"/>
        </w:rPr>
        <w:t xml:space="preserve">    </w:t>
      </w:r>
    </w:p>
    <w:p w14:paraId="09C901D9"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7F589920"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lastRenderedPageBreak/>
        <w:t>Figure 4.11 Percentage of Respondents</w:t>
      </w:r>
    </w:p>
    <w:p w14:paraId="04F762C8" w14:textId="77777777" w:rsidR="00B6764D" w:rsidRPr="00C12D7C" w:rsidRDefault="00B6764D" w:rsidP="00B6764D">
      <w:pPr>
        <w:spacing w:line="360" w:lineRule="auto"/>
        <w:jc w:val="both"/>
        <w:rPr>
          <w:rFonts w:ascii="Times New Roman" w:hAnsi="Times New Roman" w:cs="Times New Roman"/>
          <w:noProof/>
          <w:sz w:val="24"/>
          <w:szCs w:val="24"/>
        </w:rPr>
      </w:pPr>
      <w:r w:rsidRPr="00C12D7C">
        <w:rPr>
          <w:rFonts w:ascii="Times New Roman" w:hAnsi="Times New Roman" w:cs="Times New Roman"/>
          <w:noProof/>
          <w:sz w:val="24"/>
          <w:szCs w:val="24"/>
        </w:rPr>
        <w:drawing>
          <wp:inline distT="0" distB="0" distL="0" distR="0" wp14:anchorId="10F9813E" wp14:editId="4EDFEF4E">
            <wp:extent cx="5683250" cy="2679700"/>
            <wp:effectExtent l="57150" t="57150" r="50800" b="44450"/>
            <wp:docPr id="1809315740" name="Chart 1">
              <a:extLst xmlns:a="http://schemas.openxmlformats.org/drawingml/2006/main">
                <a:ext uri="{FF2B5EF4-FFF2-40B4-BE49-F238E27FC236}">
                  <a16:creationId xmlns:a16="http://schemas.microsoft.com/office/drawing/2014/main" id="{12921068-E7A1-8DD9-5C6B-B93BF8F72B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1953367"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73E1B85A" w14:textId="77777777" w:rsidR="00B6764D" w:rsidRPr="00C12D7C" w:rsidRDefault="00B6764D" w:rsidP="00B6764D">
      <w:pPr>
        <w:spacing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Table 4.1 Mean And Standard Deviation for Q1 to Q5</w:t>
      </w:r>
    </w:p>
    <w:tbl>
      <w:tblPr>
        <w:tblW w:w="9073" w:type="dxa"/>
        <w:tblLook w:val="04A0" w:firstRow="1" w:lastRow="0" w:firstColumn="1" w:lastColumn="0" w:noHBand="0" w:noVBand="1"/>
      </w:tblPr>
      <w:tblGrid>
        <w:gridCol w:w="3008"/>
        <w:gridCol w:w="1213"/>
        <w:gridCol w:w="1213"/>
        <w:gridCol w:w="1213"/>
        <w:gridCol w:w="1213"/>
        <w:gridCol w:w="1213"/>
      </w:tblGrid>
      <w:tr w:rsidR="00B6764D" w:rsidRPr="00C12D7C" w14:paraId="7D986941" w14:textId="77777777" w:rsidTr="00011582">
        <w:trPr>
          <w:trHeight w:val="321"/>
        </w:trPr>
        <w:tc>
          <w:tcPr>
            <w:tcW w:w="3008" w:type="dxa"/>
            <w:tcBorders>
              <w:top w:val="single" w:sz="4" w:space="0" w:color="auto"/>
              <w:left w:val="single" w:sz="4" w:space="0" w:color="auto"/>
              <w:bottom w:val="single" w:sz="4" w:space="0" w:color="auto"/>
              <w:right w:val="single" w:sz="4" w:space="0" w:color="auto"/>
            </w:tcBorders>
            <w:shd w:val="clear" w:color="auto" w:fill="FFFFCC"/>
            <w:noWrap/>
            <w:vAlign w:val="center"/>
            <w:hideMark/>
          </w:tcPr>
          <w:p w14:paraId="356A4EE8"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Statement</w:t>
            </w:r>
          </w:p>
        </w:tc>
        <w:tc>
          <w:tcPr>
            <w:tcW w:w="1213" w:type="dxa"/>
            <w:tcBorders>
              <w:top w:val="single" w:sz="4" w:space="0" w:color="auto"/>
              <w:left w:val="nil"/>
              <w:bottom w:val="single" w:sz="4" w:space="0" w:color="auto"/>
              <w:right w:val="single" w:sz="4" w:space="0" w:color="auto"/>
            </w:tcBorders>
            <w:shd w:val="clear" w:color="auto" w:fill="FFFFCC"/>
            <w:noWrap/>
            <w:vAlign w:val="center"/>
            <w:hideMark/>
          </w:tcPr>
          <w:p w14:paraId="4A61D7A6"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w:t>
            </w:r>
          </w:p>
        </w:tc>
        <w:tc>
          <w:tcPr>
            <w:tcW w:w="1213" w:type="dxa"/>
            <w:tcBorders>
              <w:top w:val="single" w:sz="4" w:space="0" w:color="auto"/>
              <w:left w:val="nil"/>
              <w:bottom w:val="single" w:sz="4" w:space="0" w:color="auto"/>
              <w:right w:val="single" w:sz="4" w:space="0" w:color="auto"/>
            </w:tcBorders>
            <w:shd w:val="clear" w:color="auto" w:fill="FFFFCC"/>
            <w:noWrap/>
            <w:vAlign w:val="center"/>
            <w:hideMark/>
          </w:tcPr>
          <w:p w14:paraId="269ACC14"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Q2</w:t>
            </w:r>
          </w:p>
        </w:tc>
        <w:tc>
          <w:tcPr>
            <w:tcW w:w="1213" w:type="dxa"/>
            <w:tcBorders>
              <w:top w:val="single" w:sz="4" w:space="0" w:color="auto"/>
              <w:left w:val="nil"/>
              <w:bottom w:val="single" w:sz="4" w:space="0" w:color="auto"/>
              <w:right w:val="single" w:sz="4" w:space="0" w:color="auto"/>
            </w:tcBorders>
            <w:shd w:val="clear" w:color="auto" w:fill="FFFFCC"/>
            <w:noWrap/>
            <w:vAlign w:val="center"/>
            <w:hideMark/>
          </w:tcPr>
          <w:p w14:paraId="1B93EDC4"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Q3</w:t>
            </w:r>
          </w:p>
        </w:tc>
        <w:tc>
          <w:tcPr>
            <w:tcW w:w="1213" w:type="dxa"/>
            <w:tcBorders>
              <w:top w:val="single" w:sz="4" w:space="0" w:color="auto"/>
              <w:left w:val="nil"/>
              <w:bottom w:val="single" w:sz="4" w:space="0" w:color="auto"/>
              <w:right w:val="single" w:sz="4" w:space="0" w:color="auto"/>
            </w:tcBorders>
            <w:shd w:val="clear" w:color="auto" w:fill="FFFFCC"/>
            <w:noWrap/>
            <w:vAlign w:val="center"/>
            <w:hideMark/>
          </w:tcPr>
          <w:p w14:paraId="15152B28"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Q4</w:t>
            </w:r>
          </w:p>
        </w:tc>
        <w:tc>
          <w:tcPr>
            <w:tcW w:w="1213" w:type="dxa"/>
            <w:tcBorders>
              <w:top w:val="single" w:sz="4" w:space="0" w:color="auto"/>
              <w:left w:val="nil"/>
              <w:bottom w:val="single" w:sz="4" w:space="0" w:color="auto"/>
              <w:right w:val="single" w:sz="4" w:space="0" w:color="auto"/>
            </w:tcBorders>
            <w:shd w:val="clear" w:color="auto" w:fill="FFFFCC"/>
            <w:noWrap/>
            <w:vAlign w:val="center"/>
            <w:hideMark/>
          </w:tcPr>
          <w:p w14:paraId="682564C9"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Q5</w:t>
            </w:r>
          </w:p>
        </w:tc>
      </w:tr>
      <w:tr w:rsidR="00B6764D" w:rsidRPr="00C12D7C" w14:paraId="39C1A437" w14:textId="77777777" w:rsidTr="00011582">
        <w:trPr>
          <w:trHeight w:val="321"/>
        </w:trPr>
        <w:tc>
          <w:tcPr>
            <w:tcW w:w="3008" w:type="dxa"/>
            <w:tcBorders>
              <w:top w:val="nil"/>
              <w:left w:val="single" w:sz="4" w:space="0" w:color="auto"/>
              <w:bottom w:val="single" w:sz="4" w:space="0" w:color="auto"/>
              <w:right w:val="single" w:sz="4" w:space="0" w:color="auto"/>
            </w:tcBorders>
            <w:noWrap/>
            <w:vAlign w:val="center"/>
            <w:hideMark/>
          </w:tcPr>
          <w:p w14:paraId="5B0AD494"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Mean</w:t>
            </w:r>
          </w:p>
        </w:tc>
        <w:tc>
          <w:tcPr>
            <w:tcW w:w="1213" w:type="dxa"/>
            <w:tcBorders>
              <w:top w:val="nil"/>
              <w:left w:val="nil"/>
              <w:bottom w:val="single" w:sz="4" w:space="0" w:color="auto"/>
              <w:right w:val="single" w:sz="4" w:space="0" w:color="auto"/>
            </w:tcBorders>
            <w:noWrap/>
            <w:vAlign w:val="center"/>
            <w:hideMark/>
          </w:tcPr>
          <w:p w14:paraId="498A163F"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4.02</w:t>
            </w:r>
          </w:p>
        </w:tc>
        <w:tc>
          <w:tcPr>
            <w:tcW w:w="1213" w:type="dxa"/>
            <w:tcBorders>
              <w:top w:val="nil"/>
              <w:left w:val="nil"/>
              <w:bottom w:val="single" w:sz="4" w:space="0" w:color="auto"/>
              <w:right w:val="single" w:sz="4" w:space="0" w:color="auto"/>
            </w:tcBorders>
            <w:noWrap/>
            <w:vAlign w:val="center"/>
            <w:hideMark/>
          </w:tcPr>
          <w:p w14:paraId="5184389E"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3.86</w:t>
            </w:r>
          </w:p>
        </w:tc>
        <w:tc>
          <w:tcPr>
            <w:tcW w:w="1213" w:type="dxa"/>
            <w:tcBorders>
              <w:top w:val="nil"/>
              <w:left w:val="nil"/>
              <w:bottom w:val="single" w:sz="4" w:space="0" w:color="auto"/>
              <w:right w:val="single" w:sz="4" w:space="0" w:color="auto"/>
            </w:tcBorders>
            <w:noWrap/>
            <w:vAlign w:val="center"/>
            <w:hideMark/>
          </w:tcPr>
          <w:p w14:paraId="587CD50C"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4.04</w:t>
            </w:r>
          </w:p>
        </w:tc>
        <w:tc>
          <w:tcPr>
            <w:tcW w:w="1213" w:type="dxa"/>
            <w:tcBorders>
              <w:top w:val="nil"/>
              <w:left w:val="nil"/>
              <w:bottom w:val="single" w:sz="4" w:space="0" w:color="auto"/>
              <w:right w:val="single" w:sz="4" w:space="0" w:color="auto"/>
            </w:tcBorders>
            <w:noWrap/>
            <w:vAlign w:val="center"/>
            <w:hideMark/>
          </w:tcPr>
          <w:p w14:paraId="48060A6C"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3.92</w:t>
            </w:r>
          </w:p>
        </w:tc>
        <w:tc>
          <w:tcPr>
            <w:tcW w:w="1213" w:type="dxa"/>
            <w:tcBorders>
              <w:top w:val="nil"/>
              <w:left w:val="nil"/>
              <w:bottom w:val="single" w:sz="4" w:space="0" w:color="auto"/>
              <w:right w:val="single" w:sz="4" w:space="0" w:color="auto"/>
            </w:tcBorders>
            <w:noWrap/>
            <w:vAlign w:val="center"/>
            <w:hideMark/>
          </w:tcPr>
          <w:p w14:paraId="2ACA9BA4"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3.90</w:t>
            </w:r>
          </w:p>
        </w:tc>
      </w:tr>
      <w:tr w:rsidR="00B6764D" w:rsidRPr="00C12D7C" w14:paraId="03B2792D" w14:textId="77777777" w:rsidTr="00011582">
        <w:trPr>
          <w:trHeight w:val="321"/>
        </w:trPr>
        <w:tc>
          <w:tcPr>
            <w:tcW w:w="3008" w:type="dxa"/>
            <w:tcBorders>
              <w:top w:val="nil"/>
              <w:left w:val="single" w:sz="4" w:space="0" w:color="auto"/>
              <w:bottom w:val="single" w:sz="4" w:space="0" w:color="auto"/>
              <w:right w:val="single" w:sz="4" w:space="0" w:color="auto"/>
            </w:tcBorders>
            <w:noWrap/>
            <w:vAlign w:val="center"/>
            <w:hideMark/>
          </w:tcPr>
          <w:p w14:paraId="54C5B050"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Standard Deviation</w:t>
            </w:r>
          </w:p>
        </w:tc>
        <w:tc>
          <w:tcPr>
            <w:tcW w:w="1213" w:type="dxa"/>
            <w:tcBorders>
              <w:top w:val="nil"/>
              <w:left w:val="nil"/>
              <w:bottom w:val="single" w:sz="4" w:space="0" w:color="auto"/>
              <w:right w:val="single" w:sz="4" w:space="0" w:color="auto"/>
            </w:tcBorders>
            <w:noWrap/>
            <w:vAlign w:val="center"/>
            <w:hideMark/>
          </w:tcPr>
          <w:p w14:paraId="3F09E134"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0.80</w:t>
            </w:r>
          </w:p>
        </w:tc>
        <w:tc>
          <w:tcPr>
            <w:tcW w:w="1213" w:type="dxa"/>
            <w:tcBorders>
              <w:top w:val="nil"/>
              <w:left w:val="nil"/>
              <w:bottom w:val="single" w:sz="4" w:space="0" w:color="auto"/>
              <w:right w:val="single" w:sz="4" w:space="0" w:color="auto"/>
            </w:tcBorders>
            <w:noWrap/>
            <w:vAlign w:val="center"/>
            <w:hideMark/>
          </w:tcPr>
          <w:p w14:paraId="79115031"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0.80</w:t>
            </w:r>
          </w:p>
        </w:tc>
        <w:tc>
          <w:tcPr>
            <w:tcW w:w="1213" w:type="dxa"/>
            <w:tcBorders>
              <w:top w:val="nil"/>
              <w:left w:val="nil"/>
              <w:bottom w:val="single" w:sz="4" w:space="0" w:color="auto"/>
              <w:right w:val="single" w:sz="4" w:space="0" w:color="auto"/>
            </w:tcBorders>
            <w:noWrap/>
            <w:vAlign w:val="center"/>
            <w:hideMark/>
          </w:tcPr>
          <w:p w14:paraId="283E72DF"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0.76</w:t>
            </w:r>
          </w:p>
        </w:tc>
        <w:tc>
          <w:tcPr>
            <w:tcW w:w="1213" w:type="dxa"/>
            <w:tcBorders>
              <w:top w:val="nil"/>
              <w:left w:val="nil"/>
              <w:bottom w:val="single" w:sz="4" w:space="0" w:color="auto"/>
              <w:right w:val="single" w:sz="4" w:space="0" w:color="auto"/>
            </w:tcBorders>
            <w:noWrap/>
            <w:vAlign w:val="center"/>
            <w:hideMark/>
          </w:tcPr>
          <w:p w14:paraId="7EC98D48"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0.86</w:t>
            </w:r>
          </w:p>
        </w:tc>
        <w:tc>
          <w:tcPr>
            <w:tcW w:w="1213" w:type="dxa"/>
            <w:tcBorders>
              <w:top w:val="nil"/>
              <w:left w:val="nil"/>
              <w:bottom w:val="single" w:sz="4" w:space="0" w:color="auto"/>
              <w:right w:val="single" w:sz="4" w:space="0" w:color="auto"/>
            </w:tcBorders>
            <w:noWrap/>
            <w:vAlign w:val="center"/>
            <w:hideMark/>
          </w:tcPr>
          <w:p w14:paraId="153DECCF"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0.76</w:t>
            </w:r>
          </w:p>
        </w:tc>
      </w:tr>
    </w:tbl>
    <w:p w14:paraId="70DF5AC2"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43A9B325"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The respondents’ attitudes toward health-conscious eating and their preferences for traditional cuisine have been examined. Five statements (Q1–Q5) were evaluated on a five-point Likert scale ranging from Strongly Disagree (1) to Strongly Agree (5). The results, as shown in figures and table, indicate a predominantly positive outlook among respondents. The mean values for all items ranged between 3.86 and 4.04, suggesting general agreement with the statements, while the standard deviation values (0.76–0.86) indicate consistent opinions across participants. When responses were grouped into Positive (Agree + Strongly Agree), Neutral, and Negative (Disagree + Strongly Disagree) categories, between 66% and 78% of respondents displayed a positive inclination, with only a small fraction (below 5%) expressing disagreement. Overall, the findings reflect that most consumers in Coimbatore demonstrate a favourable attitude toward health-conscious and traditional food choices, signifying an encouraging market for a restaurant concept built on these principles. A smaller but notable portion of neutral responses (18–30%) implies an opportunity to further educate or engage customers who are still undecided about health-focused dining. </w:t>
      </w:r>
    </w:p>
    <w:p w14:paraId="604A7738" w14:textId="77777777" w:rsidR="00B6764D"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These findings reinforce the literature’s emphasis on the convergence of wellness and tradition in modern Indian dining. As discussed in Chapter 2, Value Proposition Design (Osterwalder et al., 2014) frames this balance as a key entrepreneurial opportunity, where businesses address consumer “pains” through wholesome, familiar offerings. The positive attitudes observed here support the view that health-oriented dining in Coimbatore represents both a revival of indigenous wisdom and a response to contemporary lifestyle demands (Ray &amp; Ray, 2022; Mohanan et al., 2025).</w:t>
      </w:r>
    </w:p>
    <w:p w14:paraId="23CC84F3" w14:textId="77777777" w:rsidR="00B6764D" w:rsidRPr="00C12D7C" w:rsidRDefault="00B6764D" w:rsidP="00B6764D">
      <w:pPr>
        <w:spacing w:line="360" w:lineRule="auto"/>
        <w:jc w:val="both"/>
        <w:rPr>
          <w:rFonts w:ascii="Times New Roman" w:hAnsi="Times New Roman" w:cs="Times New Roman"/>
          <w:b/>
          <w:bCs/>
          <w:sz w:val="24"/>
          <w:szCs w:val="24"/>
        </w:rPr>
      </w:pPr>
    </w:p>
    <w:p w14:paraId="78151D70"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4.1.3 QUANTITATIVE INSIGHTS ON LOCAL MARKET AWARENESS </w:t>
      </w:r>
      <w:r>
        <w:rPr>
          <w:rFonts w:ascii="Times New Roman" w:hAnsi="Times New Roman" w:cs="Times New Roman"/>
          <w:b/>
          <w:bCs/>
          <w:sz w:val="24"/>
          <w:szCs w:val="24"/>
        </w:rPr>
        <w:t>AND</w:t>
      </w:r>
      <w:r w:rsidRPr="00C12D7C">
        <w:rPr>
          <w:rFonts w:ascii="Times New Roman" w:hAnsi="Times New Roman" w:cs="Times New Roman"/>
          <w:b/>
          <w:bCs/>
          <w:sz w:val="24"/>
          <w:szCs w:val="24"/>
        </w:rPr>
        <w:t xml:space="preserve"> CULTURAL INFLUENCES</w:t>
      </w:r>
    </w:p>
    <w:p w14:paraId="5D17569C"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theme explored how cultural customs, regional preferences, and community beliefs influence consumer perceptions of dining. It offered a clearer perspective on how local tastes influence menu selections and the attractiveness of restaurants. Recognizing these influences guaranteed that the suggested concept aligns with the cultural identity of the Coimbatore market.</w:t>
      </w:r>
    </w:p>
    <w:p w14:paraId="63628180"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4.12 Frequency of Respondents</w:t>
      </w:r>
    </w:p>
    <w:p w14:paraId="550EFBBE"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7FEC5D9F" wp14:editId="29D0983F">
            <wp:extent cx="5740400" cy="3486150"/>
            <wp:effectExtent l="38100" t="57150" r="50800" b="38100"/>
            <wp:docPr id="1738006963" name="Chart 1">
              <a:extLst xmlns:a="http://schemas.openxmlformats.org/drawingml/2006/main">
                <a:ext uri="{FF2B5EF4-FFF2-40B4-BE49-F238E27FC236}">
                  <a16:creationId xmlns:a16="http://schemas.microsoft.com/office/drawing/2014/main" id="{895C2E6D-E266-52D7-0758-1088F151B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ADC859C"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38FE867E"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lastRenderedPageBreak/>
        <w:t>Figure 4.13 Percentage of Respondents</w:t>
      </w:r>
    </w:p>
    <w:p w14:paraId="177A5AEE"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426D698D" wp14:editId="7A7716B1">
            <wp:extent cx="5727700" cy="2965450"/>
            <wp:effectExtent l="38100" t="57150" r="44450" b="44450"/>
            <wp:docPr id="1294761730" name="Chart 2">
              <a:extLst xmlns:a="http://schemas.openxmlformats.org/drawingml/2006/main">
                <a:ext uri="{FF2B5EF4-FFF2-40B4-BE49-F238E27FC236}">
                  <a16:creationId xmlns:a16="http://schemas.microsoft.com/office/drawing/2014/main" id="{BF5A09BF-ABA5-D52F-ABE1-663CE8BC0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BFF170E"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14244F94" w14:textId="77777777" w:rsidR="00B6764D" w:rsidRPr="003920CC" w:rsidRDefault="00B6764D" w:rsidP="00B6764D">
      <w:pPr>
        <w:spacing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Table 4.2 Mean And Standard Deviation for Q6 to Q10</w:t>
      </w:r>
    </w:p>
    <w:tbl>
      <w:tblPr>
        <w:tblW w:w="8954" w:type="dxa"/>
        <w:tblLook w:val="04A0" w:firstRow="1" w:lastRow="0" w:firstColumn="1" w:lastColumn="0" w:noHBand="0" w:noVBand="1"/>
      </w:tblPr>
      <w:tblGrid>
        <w:gridCol w:w="2969"/>
        <w:gridCol w:w="1197"/>
        <w:gridCol w:w="1197"/>
        <w:gridCol w:w="1197"/>
        <w:gridCol w:w="1197"/>
        <w:gridCol w:w="1197"/>
      </w:tblGrid>
      <w:tr w:rsidR="00B6764D" w:rsidRPr="00C12D7C" w14:paraId="13CF9129" w14:textId="77777777" w:rsidTr="00011582">
        <w:trPr>
          <w:trHeight w:val="251"/>
        </w:trPr>
        <w:tc>
          <w:tcPr>
            <w:tcW w:w="2969" w:type="dxa"/>
            <w:tcBorders>
              <w:top w:val="single" w:sz="4" w:space="0" w:color="auto"/>
              <w:left w:val="single" w:sz="4" w:space="0" w:color="auto"/>
              <w:bottom w:val="single" w:sz="4" w:space="0" w:color="auto"/>
              <w:right w:val="single" w:sz="4" w:space="0" w:color="auto"/>
            </w:tcBorders>
            <w:shd w:val="clear" w:color="auto" w:fill="FFFFCC"/>
            <w:noWrap/>
            <w:vAlign w:val="center"/>
            <w:hideMark/>
          </w:tcPr>
          <w:p w14:paraId="500D8BEC"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Statement</w:t>
            </w:r>
          </w:p>
        </w:tc>
        <w:tc>
          <w:tcPr>
            <w:tcW w:w="1197" w:type="dxa"/>
            <w:tcBorders>
              <w:top w:val="single" w:sz="4" w:space="0" w:color="auto"/>
              <w:left w:val="nil"/>
              <w:bottom w:val="single" w:sz="4" w:space="0" w:color="auto"/>
              <w:right w:val="single" w:sz="4" w:space="0" w:color="auto"/>
            </w:tcBorders>
            <w:shd w:val="clear" w:color="auto" w:fill="FFFFCC"/>
            <w:noWrap/>
            <w:vAlign w:val="center"/>
            <w:hideMark/>
          </w:tcPr>
          <w:p w14:paraId="32BDCE8D"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Q6</w:t>
            </w:r>
          </w:p>
        </w:tc>
        <w:tc>
          <w:tcPr>
            <w:tcW w:w="1197" w:type="dxa"/>
            <w:tcBorders>
              <w:top w:val="single" w:sz="4" w:space="0" w:color="auto"/>
              <w:left w:val="nil"/>
              <w:bottom w:val="single" w:sz="4" w:space="0" w:color="auto"/>
              <w:right w:val="single" w:sz="4" w:space="0" w:color="auto"/>
            </w:tcBorders>
            <w:shd w:val="clear" w:color="auto" w:fill="FFFFCC"/>
            <w:noWrap/>
            <w:vAlign w:val="center"/>
            <w:hideMark/>
          </w:tcPr>
          <w:p w14:paraId="36A9CDB1"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Q7</w:t>
            </w:r>
          </w:p>
        </w:tc>
        <w:tc>
          <w:tcPr>
            <w:tcW w:w="1197" w:type="dxa"/>
            <w:tcBorders>
              <w:top w:val="single" w:sz="4" w:space="0" w:color="auto"/>
              <w:left w:val="nil"/>
              <w:bottom w:val="single" w:sz="4" w:space="0" w:color="auto"/>
              <w:right w:val="single" w:sz="4" w:space="0" w:color="auto"/>
            </w:tcBorders>
            <w:shd w:val="clear" w:color="auto" w:fill="FFFFCC"/>
            <w:noWrap/>
            <w:vAlign w:val="center"/>
            <w:hideMark/>
          </w:tcPr>
          <w:p w14:paraId="2B44CA4E"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Q8</w:t>
            </w:r>
          </w:p>
        </w:tc>
        <w:tc>
          <w:tcPr>
            <w:tcW w:w="1197" w:type="dxa"/>
            <w:tcBorders>
              <w:top w:val="single" w:sz="4" w:space="0" w:color="auto"/>
              <w:left w:val="nil"/>
              <w:bottom w:val="single" w:sz="4" w:space="0" w:color="auto"/>
              <w:right w:val="single" w:sz="4" w:space="0" w:color="auto"/>
            </w:tcBorders>
            <w:shd w:val="clear" w:color="auto" w:fill="FFFFCC"/>
            <w:noWrap/>
            <w:vAlign w:val="center"/>
            <w:hideMark/>
          </w:tcPr>
          <w:p w14:paraId="0911E55C"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Q9</w:t>
            </w:r>
          </w:p>
        </w:tc>
        <w:tc>
          <w:tcPr>
            <w:tcW w:w="1197" w:type="dxa"/>
            <w:tcBorders>
              <w:top w:val="single" w:sz="4" w:space="0" w:color="auto"/>
              <w:left w:val="nil"/>
              <w:bottom w:val="single" w:sz="4" w:space="0" w:color="auto"/>
              <w:right w:val="single" w:sz="4" w:space="0" w:color="auto"/>
            </w:tcBorders>
            <w:shd w:val="clear" w:color="auto" w:fill="FFFFCC"/>
            <w:noWrap/>
            <w:vAlign w:val="center"/>
            <w:hideMark/>
          </w:tcPr>
          <w:p w14:paraId="0E98B7CB"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Q10</w:t>
            </w:r>
          </w:p>
        </w:tc>
      </w:tr>
      <w:tr w:rsidR="00B6764D" w:rsidRPr="00C12D7C" w14:paraId="4DA98F42" w14:textId="77777777" w:rsidTr="00011582">
        <w:trPr>
          <w:trHeight w:val="251"/>
        </w:trPr>
        <w:tc>
          <w:tcPr>
            <w:tcW w:w="2969" w:type="dxa"/>
            <w:tcBorders>
              <w:top w:val="nil"/>
              <w:left w:val="single" w:sz="4" w:space="0" w:color="auto"/>
              <w:bottom w:val="single" w:sz="4" w:space="0" w:color="auto"/>
              <w:right w:val="single" w:sz="4" w:space="0" w:color="auto"/>
            </w:tcBorders>
            <w:noWrap/>
            <w:vAlign w:val="center"/>
            <w:hideMark/>
          </w:tcPr>
          <w:p w14:paraId="1D007E08"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Mean</w:t>
            </w:r>
          </w:p>
        </w:tc>
        <w:tc>
          <w:tcPr>
            <w:tcW w:w="1197" w:type="dxa"/>
            <w:tcBorders>
              <w:top w:val="nil"/>
              <w:left w:val="nil"/>
              <w:bottom w:val="single" w:sz="4" w:space="0" w:color="auto"/>
              <w:right w:val="single" w:sz="4" w:space="0" w:color="auto"/>
            </w:tcBorders>
            <w:noWrap/>
            <w:vAlign w:val="center"/>
            <w:hideMark/>
          </w:tcPr>
          <w:p w14:paraId="36EFABDC"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3.69</w:t>
            </w:r>
          </w:p>
        </w:tc>
        <w:tc>
          <w:tcPr>
            <w:tcW w:w="1197" w:type="dxa"/>
            <w:tcBorders>
              <w:top w:val="nil"/>
              <w:left w:val="nil"/>
              <w:bottom w:val="single" w:sz="4" w:space="0" w:color="auto"/>
              <w:right w:val="single" w:sz="4" w:space="0" w:color="auto"/>
            </w:tcBorders>
            <w:noWrap/>
            <w:vAlign w:val="center"/>
            <w:hideMark/>
          </w:tcPr>
          <w:p w14:paraId="23A0DE2E"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3.75</w:t>
            </w:r>
          </w:p>
        </w:tc>
        <w:tc>
          <w:tcPr>
            <w:tcW w:w="1197" w:type="dxa"/>
            <w:tcBorders>
              <w:top w:val="nil"/>
              <w:left w:val="nil"/>
              <w:bottom w:val="single" w:sz="4" w:space="0" w:color="auto"/>
              <w:right w:val="single" w:sz="4" w:space="0" w:color="auto"/>
            </w:tcBorders>
            <w:noWrap/>
            <w:vAlign w:val="center"/>
            <w:hideMark/>
          </w:tcPr>
          <w:p w14:paraId="6D785A95"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3.80</w:t>
            </w:r>
          </w:p>
        </w:tc>
        <w:tc>
          <w:tcPr>
            <w:tcW w:w="1197" w:type="dxa"/>
            <w:tcBorders>
              <w:top w:val="nil"/>
              <w:left w:val="nil"/>
              <w:bottom w:val="single" w:sz="4" w:space="0" w:color="auto"/>
              <w:right w:val="single" w:sz="4" w:space="0" w:color="auto"/>
            </w:tcBorders>
            <w:noWrap/>
            <w:vAlign w:val="center"/>
            <w:hideMark/>
          </w:tcPr>
          <w:p w14:paraId="3D37F818"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3.70</w:t>
            </w:r>
          </w:p>
        </w:tc>
        <w:tc>
          <w:tcPr>
            <w:tcW w:w="1197" w:type="dxa"/>
            <w:tcBorders>
              <w:top w:val="nil"/>
              <w:left w:val="nil"/>
              <w:bottom w:val="single" w:sz="4" w:space="0" w:color="auto"/>
              <w:right w:val="single" w:sz="4" w:space="0" w:color="auto"/>
            </w:tcBorders>
            <w:noWrap/>
            <w:vAlign w:val="center"/>
            <w:hideMark/>
          </w:tcPr>
          <w:p w14:paraId="27359533"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3.94</w:t>
            </w:r>
          </w:p>
        </w:tc>
      </w:tr>
      <w:tr w:rsidR="00B6764D" w:rsidRPr="00C12D7C" w14:paraId="511FB663" w14:textId="77777777" w:rsidTr="00011582">
        <w:trPr>
          <w:trHeight w:val="251"/>
        </w:trPr>
        <w:tc>
          <w:tcPr>
            <w:tcW w:w="2969" w:type="dxa"/>
            <w:tcBorders>
              <w:top w:val="nil"/>
              <w:left w:val="single" w:sz="4" w:space="0" w:color="auto"/>
              <w:bottom w:val="single" w:sz="4" w:space="0" w:color="auto"/>
              <w:right w:val="single" w:sz="4" w:space="0" w:color="auto"/>
            </w:tcBorders>
            <w:noWrap/>
            <w:vAlign w:val="center"/>
            <w:hideMark/>
          </w:tcPr>
          <w:p w14:paraId="7CE9A69F"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Standard Deviation</w:t>
            </w:r>
          </w:p>
        </w:tc>
        <w:tc>
          <w:tcPr>
            <w:tcW w:w="1197" w:type="dxa"/>
            <w:tcBorders>
              <w:top w:val="nil"/>
              <w:left w:val="nil"/>
              <w:bottom w:val="single" w:sz="4" w:space="0" w:color="auto"/>
              <w:right w:val="single" w:sz="4" w:space="0" w:color="auto"/>
            </w:tcBorders>
            <w:noWrap/>
            <w:vAlign w:val="center"/>
            <w:hideMark/>
          </w:tcPr>
          <w:p w14:paraId="2AAA2530"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0.93</w:t>
            </w:r>
          </w:p>
        </w:tc>
        <w:tc>
          <w:tcPr>
            <w:tcW w:w="1197" w:type="dxa"/>
            <w:tcBorders>
              <w:top w:val="nil"/>
              <w:left w:val="nil"/>
              <w:bottom w:val="single" w:sz="4" w:space="0" w:color="auto"/>
              <w:right w:val="single" w:sz="4" w:space="0" w:color="auto"/>
            </w:tcBorders>
            <w:noWrap/>
            <w:vAlign w:val="center"/>
            <w:hideMark/>
          </w:tcPr>
          <w:p w14:paraId="5C616CFD"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0.77</w:t>
            </w:r>
          </w:p>
        </w:tc>
        <w:tc>
          <w:tcPr>
            <w:tcW w:w="1197" w:type="dxa"/>
            <w:tcBorders>
              <w:top w:val="nil"/>
              <w:left w:val="nil"/>
              <w:bottom w:val="single" w:sz="4" w:space="0" w:color="auto"/>
              <w:right w:val="single" w:sz="4" w:space="0" w:color="auto"/>
            </w:tcBorders>
            <w:noWrap/>
            <w:vAlign w:val="center"/>
            <w:hideMark/>
          </w:tcPr>
          <w:p w14:paraId="209F1BD9"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0.80</w:t>
            </w:r>
          </w:p>
        </w:tc>
        <w:tc>
          <w:tcPr>
            <w:tcW w:w="1197" w:type="dxa"/>
            <w:tcBorders>
              <w:top w:val="nil"/>
              <w:left w:val="nil"/>
              <w:bottom w:val="single" w:sz="4" w:space="0" w:color="auto"/>
              <w:right w:val="single" w:sz="4" w:space="0" w:color="auto"/>
            </w:tcBorders>
            <w:noWrap/>
            <w:vAlign w:val="center"/>
            <w:hideMark/>
          </w:tcPr>
          <w:p w14:paraId="12FC29ED"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0.80</w:t>
            </w:r>
          </w:p>
        </w:tc>
        <w:tc>
          <w:tcPr>
            <w:tcW w:w="1197" w:type="dxa"/>
            <w:tcBorders>
              <w:top w:val="nil"/>
              <w:left w:val="nil"/>
              <w:bottom w:val="single" w:sz="4" w:space="0" w:color="auto"/>
              <w:right w:val="single" w:sz="4" w:space="0" w:color="auto"/>
            </w:tcBorders>
            <w:noWrap/>
            <w:vAlign w:val="center"/>
            <w:hideMark/>
          </w:tcPr>
          <w:p w14:paraId="6EE1379F"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0.80</w:t>
            </w:r>
          </w:p>
        </w:tc>
      </w:tr>
    </w:tbl>
    <w:p w14:paraId="48A4D5E5" w14:textId="77777777" w:rsidR="00B6764D" w:rsidRPr="00C12D7C" w:rsidRDefault="00B6764D" w:rsidP="00B6764D">
      <w:pPr>
        <w:spacing w:line="360" w:lineRule="auto"/>
        <w:jc w:val="both"/>
        <w:rPr>
          <w:rFonts w:ascii="Times New Roman" w:hAnsi="Times New Roman" w:cs="Times New Roman"/>
          <w:b/>
          <w:bCs/>
          <w:sz w:val="24"/>
          <w:szCs w:val="24"/>
        </w:rPr>
      </w:pPr>
    </w:p>
    <w:p w14:paraId="76AE9B8A"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2391E5C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respondents’ awareness of the local market and the influence of cultural factors on their dining choices, particularly in the context of health and traditional cuisine were analysed. The analysis is based on five statements (Q6–Q10) rated on a five-point Likert scale ranging from Strongly Disagree (1) to Strongly Agree (5). The mean values range between 3.69 and 3.94, reflecting a generally positive perception of cultural and local market aspects. However, the slightly lower mean scores compared to the previous dimension suggest that while consumers recognize the importance of cultural influences, their awareness or engagement with local market factors may still be developing. The standard deviation values (0.77–0.93) indicate moderate consistency among respondents, with Q6 showing slightly higher variation (SD = 0.93), implying mixed views on certain culture-related elements.</w:t>
      </w:r>
    </w:p>
    <w:p w14:paraId="2F2A0699"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 xml:space="preserve">The responses were categorized as Positive (Agree + Strongly Agree), Neutral, and Negative (Disagree + Strongly Disagree), it was observed that between 58% and 72% of respondents expressed positive agreement, whereas 25% to 38% remained neutral. Only a small segment, below 5%, reflected disagreement. These results, illustrated in above figures and table, highlight a favourable perception of cultural authenticity and the significance of local elements in food choices. </w:t>
      </w:r>
    </w:p>
    <w:p w14:paraId="7A4BF199" w14:textId="77777777" w:rsidR="00B6764D"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The findings substantiate Consumer Culture Theory (Arnould &amp; Thompson, 2005), which highlights how food consumption expresses identity and belonging. As indicated in Chapter 2, local cuisines like </w:t>
      </w:r>
      <w:proofErr w:type="spellStart"/>
      <w:r w:rsidRPr="00C12D7C">
        <w:rPr>
          <w:rFonts w:ascii="Times New Roman" w:hAnsi="Times New Roman" w:cs="Times New Roman"/>
          <w:sz w:val="24"/>
          <w:szCs w:val="24"/>
        </w:rPr>
        <w:t>Kongunadu</w:t>
      </w:r>
      <w:proofErr w:type="spellEnd"/>
      <w:r w:rsidRPr="00C12D7C">
        <w:rPr>
          <w:rFonts w:ascii="Times New Roman" w:hAnsi="Times New Roman" w:cs="Times New Roman"/>
          <w:sz w:val="24"/>
          <w:szCs w:val="24"/>
        </w:rPr>
        <w:t xml:space="preserve"> and </w:t>
      </w:r>
      <w:proofErr w:type="spellStart"/>
      <w:r w:rsidRPr="00C12D7C">
        <w:rPr>
          <w:rFonts w:ascii="Times New Roman" w:hAnsi="Times New Roman" w:cs="Times New Roman"/>
          <w:sz w:val="24"/>
          <w:szCs w:val="24"/>
        </w:rPr>
        <w:t>Chettinad</w:t>
      </w:r>
      <w:proofErr w:type="spellEnd"/>
      <w:r w:rsidRPr="00C12D7C">
        <w:rPr>
          <w:rFonts w:ascii="Times New Roman" w:hAnsi="Times New Roman" w:cs="Times New Roman"/>
          <w:sz w:val="24"/>
          <w:szCs w:val="24"/>
        </w:rPr>
        <w:t xml:space="preserve"> play an important role in sustaining cultural heritage and regional pride (Saravanakumar, 2025). The continuing value placed on authentic Tamil flavours and local ingredients confirms that cultural resonance remains a powerful determinant of customer loyalty and restaurant differentiation in Coimbatore.</w:t>
      </w:r>
    </w:p>
    <w:p w14:paraId="4E806880" w14:textId="77777777" w:rsidR="00B6764D" w:rsidRPr="00C12D7C" w:rsidRDefault="00B6764D" w:rsidP="00B6764D">
      <w:pPr>
        <w:spacing w:line="360" w:lineRule="auto"/>
        <w:jc w:val="both"/>
        <w:rPr>
          <w:rFonts w:ascii="Times New Roman" w:hAnsi="Times New Roman" w:cs="Times New Roman"/>
          <w:sz w:val="24"/>
          <w:szCs w:val="24"/>
        </w:rPr>
      </w:pPr>
    </w:p>
    <w:p w14:paraId="2F35E253"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4.1.4 QUANTITATIVE INSIGHTS ON BUSINESS MODEL EXPECTATIONS </w:t>
      </w:r>
    </w:p>
    <w:p w14:paraId="41384C3D"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section focused on understanding what customers expect in terms of pricing, quality, service, and value. Analysing these expectations helped identify the elements that are vital for creating a sustainable and customer-oriented business model. The findings also informed strategies for achieving a balance between operational effectiveness and customer contentment.</w:t>
      </w:r>
    </w:p>
    <w:p w14:paraId="27D1A1F2"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4.14 Frequency of Respondents</w:t>
      </w:r>
    </w:p>
    <w:p w14:paraId="303E75F7" w14:textId="77777777" w:rsidR="00B6764D" w:rsidRPr="00C12D7C" w:rsidRDefault="00B6764D" w:rsidP="00B6764D">
      <w:pPr>
        <w:spacing w:line="360" w:lineRule="auto"/>
        <w:jc w:val="both"/>
        <w:rPr>
          <w:rFonts w:ascii="Times New Roman" w:hAnsi="Times New Roman" w:cs="Times New Roman"/>
          <w:sz w:val="24"/>
          <w:szCs w:val="24"/>
        </w:rPr>
      </w:pPr>
      <w:r w:rsidRPr="00CD0629">
        <w:rPr>
          <w:rFonts w:ascii="Times New Roman" w:hAnsi="Times New Roman" w:cs="Times New Roman"/>
          <w:noProof/>
          <w:sz w:val="18"/>
          <w:szCs w:val="18"/>
        </w:rPr>
        <w:drawing>
          <wp:inline distT="0" distB="0" distL="0" distR="0" wp14:anchorId="45AE87A6" wp14:editId="26ECCCA8">
            <wp:extent cx="5715000" cy="2813050"/>
            <wp:effectExtent l="57150" t="57150" r="38100" b="44450"/>
            <wp:docPr id="1670763797" name="Chart 1">
              <a:extLst xmlns:a="http://schemas.openxmlformats.org/drawingml/2006/main">
                <a:ext uri="{FF2B5EF4-FFF2-40B4-BE49-F238E27FC236}">
                  <a16:creationId xmlns:a16="http://schemas.microsoft.com/office/drawing/2014/main" id="{F8FA4962-7AC6-0643-8D87-6A3E704C0D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7404F48"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292E7318"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lastRenderedPageBreak/>
        <w:t>Figure 4.15 Percentage of Respondents</w:t>
      </w:r>
    </w:p>
    <w:p w14:paraId="760235C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5C7D1270" wp14:editId="45392C87">
            <wp:extent cx="5715000" cy="2743200"/>
            <wp:effectExtent l="57150" t="57150" r="38100" b="38100"/>
            <wp:docPr id="248379151" name="Chart 2">
              <a:extLst xmlns:a="http://schemas.openxmlformats.org/drawingml/2006/main">
                <a:ext uri="{FF2B5EF4-FFF2-40B4-BE49-F238E27FC236}">
                  <a16:creationId xmlns:a16="http://schemas.microsoft.com/office/drawing/2014/main" id="{AB201BF2-65CA-0E82-E383-6D4B31FD95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502A29E" w14:textId="1CA3690B"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61256941" w14:textId="77777777" w:rsidR="00B6764D" w:rsidRPr="00C12D7C" w:rsidRDefault="00B6764D" w:rsidP="00B6764D">
      <w:pPr>
        <w:spacing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Table 4.3 Mean And Standard Deviation for Q11 to Q15</w:t>
      </w:r>
    </w:p>
    <w:tbl>
      <w:tblPr>
        <w:tblW w:w="9014" w:type="dxa"/>
        <w:tblLook w:val="04A0" w:firstRow="1" w:lastRow="0" w:firstColumn="1" w:lastColumn="0" w:noHBand="0" w:noVBand="1"/>
      </w:tblPr>
      <w:tblGrid>
        <w:gridCol w:w="2989"/>
        <w:gridCol w:w="1205"/>
        <w:gridCol w:w="1205"/>
        <w:gridCol w:w="1205"/>
        <w:gridCol w:w="1205"/>
        <w:gridCol w:w="1205"/>
      </w:tblGrid>
      <w:tr w:rsidR="00B6764D" w:rsidRPr="00C12D7C" w14:paraId="1E10412F" w14:textId="77777777" w:rsidTr="00011582">
        <w:trPr>
          <w:trHeight w:val="325"/>
        </w:trPr>
        <w:tc>
          <w:tcPr>
            <w:tcW w:w="2989" w:type="dxa"/>
            <w:tcBorders>
              <w:top w:val="single" w:sz="4" w:space="0" w:color="auto"/>
              <w:left w:val="single" w:sz="4" w:space="0" w:color="auto"/>
              <w:bottom w:val="single" w:sz="4" w:space="0" w:color="auto"/>
              <w:right w:val="single" w:sz="4" w:space="0" w:color="auto"/>
            </w:tcBorders>
            <w:shd w:val="clear" w:color="auto" w:fill="FFFFCC"/>
            <w:noWrap/>
            <w:vAlign w:val="center"/>
            <w:hideMark/>
          </w:tcPr>
          <w:p w14:paraId="7343C4FE"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Statement</w:t>
            </w:r>
          </w:p>
        </w:tc>
        <w:tc>
          <w:tcPr>
            <w:tcW w:w="1205" w:type="dxa"/>
            <w:tcBorders>
              <w:top w:val="single" w:sz="4" w:space="0" w:color="auto"/>
              <w:left w:val="nil"/>
              <w:bottom w:val="single" w:sz="4" w:space="0" w:color="auto"/>
              <w:right w:val="single" w:sz="4" w:space="0" w:color="auto"/>
            </w:tcBorders>
            <w:shd w:val="clear" w:color="auto" w:fill="FFFFCC"/>
            <w:noWrap/>
            <w:vAlign w:val="center"/>
            <w:hideMark/>
          </w:tcPr>
          <w:p w14:paraId="09E93113"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Q11</w:t>
            </w:r>
          </w:p>
        </w:tc>
        <w:tc>
          <w:tcPr>
            <w:tcW w:w="1205" w:type="dxa"/>
            <w:tcBorders>
              <w:top w:val="single" w:sz="4" w:space="0" w:color="auto"/>
              <w:left w:val="nil"/>
              <w:bottom w:val="single" w:sz="4" w:space="0" w:color="auto"/>
              <w:right w:val="single" w:sz="4" w:space="0" w:color="auto"/>
            </w:tcBorders>
            <w:shd w:val="clear" w:color="auto" w:fill="FFFFCC"/>
            <w:noWrap/>
            <w:vAlign w:val="center"/>
            <w:hideMark/>
          </w:tcPr>
          <w:p w14:paraId="520C4F7D"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Q12</w:t>
            </w:r>
          </w:p>
        </w:tc>
        <w:tc>
          <w:tcPr>
            <w:tcW w:w="1205" w:type="dxa"/>
            <w:tcBorders>
              <w:top w:val="single" w:sz="4" w:space="0" w:color="auto"/>
              <w:left w:val="nil"/>
              <w:bottom w:val="single" w:sz="4" w:space="0" w:color="auto"/>
              <w:right w:val="single" w:sz="4" w:space="0" w:color="auto"/>
            </w:tcBorders>
            <w:shd w:val="clear" w:color="auto" w:fill="FFFFCC"/>
            <w:noWrap/>
            <w:vAlign w:val="center"/>
            <w:hideMark/>
          </w:tcPr>
          <w:p w14:paraId="3D5240FB"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Q13</w:t>
            </w:r>
          </w:p>
        </w:tc>
        <w:tc>
          <w:tcPr>
            <w:tcW w:w="1205" w:type="dxa"/>
            <w:tcBorders>
              <w:top w:val="single" w:sz="4" w:space="0" w:color="auto"/>
              <w:left w:val="nil"/>
              <w:bottom w:val="single" w:sz="4" w:space="0" w:color="auto"/>
              <w:right w:val="single" w:sz="4" w:space="0" w:color="auto"/>
            </w:tcBorders>
            <w:shd w:val="clear" w:color="auto" w:fill="FFFFCC"/>
            <w:noWrap/>
            <w:vAlign w:val="center"/>
            <w:hideMark/>
          </w:tcPr>
          <w:p w14:paraId="1793BD78"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Q14</w:t>
            </w:r>
          </w:p>
        </w:tc>
        <w:tc>
          <w:tcPr>
            <w:tcW w:w="1205" w:type="dxa"/>
            <w:tcBorders>
              <w:top w:val="single" w:sz="4" w:space="0" w:color="auto"/>
              <w:left w:val="nil"/>
              <w:bottom w:val="single" w:sz="4" w:space="0" w:color="auto"/>
              <w:right w:val="single" w:sz="4" w:space="0" w:color="auto"/>
            </w:tcBorders>
            <w:shd w:val="clear" w:color="auto" w:fill="FFFFCC"/>
            <w:noWrap/>
            <w:vAlign w:val="center"/>
            <w:hideMark/>
          </w:tcPr>
          <w:p w14:paraId="19D867BB"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Q15</w:t>
            </w:r>
          </w:p>
        </w:tc>
      </w:tr>
      <w:tr w:rsidR="00B6764D" w:rsidRPr="00C12D7C" w14:paraId="73701B22" w14:textId="77777777" w:rsidTr="00011582">
        <w:trPr>
          <w:trHeight w:val="325"/>
        </w:trPr>
        <w:tc>
          <w:tcPr>
            <w:tcW w:w="2989" w:type="dxa"/>
            <w:tcBorders>
              <w:top w:val="nil"/>
              <w:left w:val="single" w:sz="4" w:space="0" w:color="auto"/>
              <w:bottom w:val="single" w:sz="4" w:space="0" w:color="auto"/>
              <w:right w:val="single" w:sz="4" w:space="0" w:color="auto"/>
            </w:tcBorders>
            <w:noWrap/>
            <w:vAlign w:val="center"/>
            <w:hideMark/>
          </w:tcPr>
          <w:p w14:paraId="70A17027"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Mean</w:t>
            </w:r>
          </w:p>
        </w:tc>
        <w:tc>
          <w:tcPr>
            <w:tcW w:w="1205" w:type="dxa"/>
            <w:tcBorders>
              <w:top w:val="nil"/>
              <w:left w:val="nil"/>
              <w:bottom w:val="single" w:sz="4" w:space="0" w:color="auto"/>
              <w:right w:val="single" w:sz="4" w:space="0" w:color="auto"/>
            </w:tcBorders>
            <w:noWrap/>
            <w:vAlign w:val="center"/>
            <w:hideMark/>
          </w:tcPr>
          <w:p w14:paraId="7C587E54"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4.14</w:t>
            </w:r>
          </w:p>
        </w:tc>
        <w:tc>
          <w:tcPr>
            <w:tcW w:w="1205" w:type="dxa"/>
            <w:tcBorders>
              <w:top w:val="nil"/>
              <w:left w:val="nil"/>
              <w:bottom w:val="single" w:sz="4" w:space="0" w:color="auto"/>
              <w:right w:val="single" w:sz="4" w:space="0" w:color="auto"/>
            </w:tcBorders>
            <w:noWrap/>
            <w:vAlign w:val="center"/>
            <w:hideMark/>
          </w:tcPr>
          <w:p w14:paraId="69F34796"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3.54</w:t>
            </w:r>
          </w:p>
        </w:tc>
        <w:tc>
          <w:tcPr>
            <w:tcW w:w="1205" w:type="dxa"/>
            <w:tcBorders>
              <w:top w:val="nil"/>
              <w:left w:val="nil"/>
              <w:bottom w:val="single" w:sz="4" w:space="0" w:color="auto"/>
              <w:right w:val="single" w:sz="4" w:space="0" w:color="auto"/>
            </w:tcBorders>
            <w:noWrap/>
            <w:vAlign w:val="center"/>
            <w:hideMark/>
          </w:tcPr>
          <w:p w14:paraId="350E3510"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3.87</w:t>
            </w:r>
          </w:p>
        </w:tc>
        <w:tc>
          <w:tcPr>
            <w:tcW w:w="1205" w:type="dxa"/>
            <w:tcBorders>
              <w:top w:val="nil"/>
              <w:left w:val="nil"/>
              <w:bottom w:val="single" w:sz="4" w:space="0" w:color="auto"/>
              <w:right w:val="single" w:sz="4" w:space="0" w:color="auto"/>
            </w:tcBorders>
            <w:noWrap/>
            <w:vAlign w:val="center"/>
            <w:hideMark/>
          </w:tcPr>
          <w:p w14:paraId="7D166C0B"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4.01</w:t>
            </w:r>
          </w:p>
        </w:tc>
        <w:tc>
          <w:tcPr>
            <w:tcW w:w="1205" w:type="dxa"/>
            <w:tcBorders>
              <w:top w:val="nil"/>
              <w:left w:val="nil"/>
              <w:bottom w:val="single" w:sz="4" w:space="0" w:color="auto"/>
              <w:right w:val="single" w:sz="4" w:space="0" w:color="auto"/>
            </w:tcBorders>
            <w:noWrap/>
            <w:vAlign w:val="center"/>
            <w:hideMark/>
          </w:tcPr>
          <w:p w14:paraId="603BDBE7"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4.06</w:t>
            </w:r>
          </w:p>
        </w:tc>
      </w:tr>
      <w:tr w:rsidR="00B6764D" w:rsidRPr="00C12D7C" w14:paraId="28AADA38" w14:textId="77777777" w:rsidTr="00011582">
        <w:trPr>
          <w:trHeight w:val="325"/>
        </w:trPr>
        <w:tc>
          <w:tcPr>
            <w:tcW w:w="2989" w:type="dxa"/>
            <w:tcBorders>
              <w:top w:val="nil"/>
              <w:left w:val="single" w:sz="4" w:space="0" w:color="auto"/>
              <w:bottom w:val="single" w:sz="4" w:space="0" w:color="auto"/>
              <w:right w:val="single" w:sz="4" w:space="0" w:color="auto"/>
            </w:tcBorders>
            <w:noWrap/>
            <w:vAlign w:val="center"/>
            <w:hideMark/>
          </w:tcPr>
          <w:p w14:paraId="2ECDEEF9"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Standard Deviation</w:t>
            </w:r>
          </w:p>
        </w:tc>
        <w:tc>
          <w:tcPr>
            <w:tcW w:w="1205" w:type="dxa"/>
            <w:tcBorders>
              <w:top w:val="nil"/>
              <w:left w:val="nil"/>
              <w:bottom w:val="single" w:sz="4" w:space="0" w:color="auto"/>
              <w:right w:val="single" w:sz="4" w:space="0" w:color="auto"/>
            </w:tcBorders>
            <w:noWrap/>
            <w:vAlign w:val="center"/>
            <w:hideMark/>
          </w:tcPr>
          <w:p w14:paraId="2D55979B"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0.70</w:t>
            </w:r>
          </w:p>
        </w:tc>
        <w:tc>
          <w:tcPr>
            <w:tcW w:w="1205" w:type="dxa"/>
            <w:tcBorders>
              <w:top w:val="nil"/>
              <w:left w:val="nil"/>
              <w:bottom w:val="single" w:sz="4" w:space="0" w:color="auto"/>
              <w:right w:val="single" w:sz="4" w:space="0" w:color="auto"/>
            </w:tcBorders>
            <w:noWrap/>
            <w:vAlign w:val="center"/>
            <w:hideMark/>
          </w:tcPr>
          <w:p w14:paraId="47A5E448"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1.01</w:t>
            </w:r>
          </w:p>
        </w:tc>
        <w:tc>
          <w:tcPr>
            <w:tcW w:w="1205" w:type="dxa"/>
            <w:tcBorders>
              <w:top w:val="nil"/>
              <w:left w:val="nil"/>
              <w:bottom w:val="single" w:sz="4" w:space="0" w:color="auto"/>
              <w:right w:val="single" w:sz="4" w:space="0" w:color="auto"/>
            </w:tcBorders>
            <w:noWrap/>
            <w:vAlign w:val="center"/>
            <w:hideMark/>
          </w:tcPr>
          <w:p w14:paraId="4233893B"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0.81</w:t>
            </w:r>
          </w:p>
        </w:tc>
        <w:tc>
          <w:tcPr>
            <w:tcW w:w="1205" w:type="dxa"/>
            <w:tcBorders>
              <w:top w:val="nil"/>
              <w:left w:val="nil"/>
              <w:bottom w:val="single" w:sz="4" w:space="0" w:color="auto"/>
              <w:right w:val="single" w:sz="4" w:space="0" w:color="auto"/>
            </w:tcBorders>
            <w:noWrap/>
            <w:vAlign w:val="center"/>
            <w:hideMark/>
          </w:tcPr>
          <w:p w14:paraId="4E246590"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0.74</w:t>
            </w:r>
          </w:p>
        </w:tc>
        <w:tc>
          <w:tcPr>
            <w:tcW w:w="1205" w:type="dxa"/>
            <w:tcBorders>
              <w:top w:val="nil"/>
              <w:left w:val="nil"/>
              <w:bottom w:val="single" w:sz="4" w:space="0" w:color="auto"/>
              <w:right w:val="single" w:sz="4" w:space="0" w:color="auto"/>
            </w:tcBorders>
            <w:noWrap/>
            <w:vAlign w:val="center"/>
            <w:hideMark/>
          </w:tcPr>
          <w:p w14:paraId="655929F0"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0.82</w:t>
            </w:r>
          </w:p>
        </w:tc>
      </w:tr>
    </w:tbl>
    <w:p w14:paraId="3D825DC0"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4D536C8F" w14:textId="77777777" w:rsidR="00B6764D" w:rsidRPr="00C12D7C" w:rsidRDefault="00B6764D" w:rsidP="00B6764D">
      <w:pPr>
        <w:spacing w:after="0" w:line="360" w:lineRule="auto"/>
        <w:jc w:val="both"/>
        <w:rPr>
          <w:rFonts w:ascii="Times New Roman" w:eastAsia="Times New Roman" w:hAnsi="Times New Roman" w:cs="Times New Roman"/>
          <w:b/>
          <w:bCs/>
          <w:color w:val="000000"/>
          <w:kern w:val="0"/>
          <w:sz w:val="24"/>
          <w:szCs w:val="24"/>
          <w:lang w:eastAsia="en-IN"/>
          <w14:ligatures w14:val="none"/>
        </w:rPr>
      </w:pPr>
    </w:p>
    <w:p w14:paraId="147893AD"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respondents’ expectations regarding the business model for a health and traditional cuisine restaurant, focusing on factors such as pricing, menu diversity, value propositions, and overall service delivery evaluated. The analysis covers five statements (Q11–Q15) measured on a five-point Likert scale from Strongly Disagree (1) to Strongly Agree (5). The mean values range between 3.54 and 4.14, indicating a generally positive perception of the proposed business model. The standard deviation values (0.70–1.01) reflect a moderate level of variation, with Q12 (SD = 1.01) showing slightly higher divergence, suggesting that certain elements of the business model, such as pricing or perceived value, may elicit more diverse opinions among respondents.</w:t>
      </w:r>
    </w:p>
    <w:p w14:paraId="70C612A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The responses are grouped into Positive (Agree + Strongly Agree), Neutral, and Negative (Disagree + Strongly Disagree) categories have tabled above, it is observed that between 53% and 81% of respondents hold positive expectations of the restaurant’s business model. Neutral </w:t>
      </w:r>
      <w:r w:rsidRPr="00C12D7C">
        <w:rPr>
          <w:rFonts w:ascii="Times New Roman" w:hAnsi="Times New Roman" w:cs="Times New Roman"/>
          <w:sz w:val="24"/>
          <w:szCs w:val="24"/>
        </w:rPr>
        <w:lastRenderedPageBreak/>
        <w:t xml:space="preserve">responses range from 19% to 31%, indicating a portion of the target market is yet to form a definite opinion, while only a small fraction (below 13%) expressed negative perceptions. These findings, which can be visualized in figures and table, suggest that the proposed business model resonates well with the majority of consumers. However, the noticeable neutral and slightly higher negative responses in areas such as Q12 highlight an opportunity for entrepreneurs to refine pricing strategies, value communication, and promotional approaches to enhance customer confidence and engagement. </w:t>
      </w:r>
    </w:p>
    <w:p w14:paraId="79C5D94B" w14:textId="77777777" w:rsidR="00B6764D"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positive consumer expectations for quality, hygiene, and authenticity reflect the principles outlined in the Business Model Canvas (Osterwalder &amp; Pigneur, 2010) and Entrepreneurial Process Theory (Bygrave &amp; Hofer, 1991). As highlighted in Chapter 2, effective business models in the Indian food sector integrate operational efficiency with cultural authenticity. The current findings validate this by demonstrating that customers reward ventures that balance value, transparency, and traditional integrity in their offerings.</w:t>
      </w:r>
    </w:p>
    <w:p w14:paraId="362E099C" w14:textId="77777777" w:rsidR="00B6764D" w:rsidRPr="00C12D7C" w:rsidRDefault="00B6764D" w:rsidP="00B6764D">
      <w:pPr>
        <w:spacing w:line="360" w:lineRule="auto"/>
        <w:jc w:val="both"/>
        <w:rPr>
          <w:rFonts w:ascii="Times New Roman" w:hAnsi="Times New Roman" w:cs="Times New Roman"/>
          <w:sz w:val="24"/>
          <w:szCs w:val="24"/>
        </w:rPr>
      </w:pPr>
    </w:p>
    <w:p w14:paraId="1F3366C9"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4.1.5 QUANTITATIVE INSIGHTS ON CUSTOMER ENGAGEMENT, LOYALTY </w:t>
      </w:r>
      <w:r>
        <w:rPr>
          <w:rFonts w:ascii="Times New Roman" w:hAnsi="Times New Roman" w:cs="Times New Roman"/>
          <w:b/>
          <w:bCs/>
          <w:sz w:val="24"/>
          <w:szCs w:val="24"/>
        </w:rPr>
        <w:t>AND</w:t>
      </w:r>
      <w:r w:rsidRPr="00C12D7C">
        <w:rPr>
          <w:rFonts w:ascii="Times New Roman" w:hAnsi="Times New Roman" w:cs="Times New Roman"/>
          <w:b/>
          <w:bCs/>
          <w:sz w:val="24"/>
          <w:szCs w:val="24"/>
        </w:rPr>
        <w:t xml:space="preserve"> BRANDING</w:t>
      </w:r>
    </w:p>
    <w:p w14:paraId="11FB00F1"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This part explored how customers connect with brands and what drives repeat patronage and trust. It highlighted the role of positive experiences and consistent communication in building long-term loyalty. These insights were vital for developing effective branding and engagement strategies within the competitive restaurant market.</w:t>
      </w:r>
    </w:p>
    <w:p w14:paraId="655FE1CF"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t>Figure 4.16 Frequency of Respondents</w:t>
      </w:r>
    </w:p>
    <w:p w14:paraId="2A66AE3F" w14:textId="77777777" w:rsidR="00B6764D" w:rsidRPr="00C12D7C" w:rsidRDefault="00B6764D" w:rsidP="00B6764D">
      <w:pPr>
        <w:spacing w:line="360" w:lineRule="auto"/>
        <w:jc w:val="both"/>
        <w:rPr>
          <w:rFonts w:ascii="Times New Roman" w:hAnsi="Times New Roman" w:cs="Times New Roman"/>
          <w:sz w:val="24"/>
          <w:szCs w:val="24"/>
        </w:rPr>
      </w:pPr>
      <w:r w:rsidRPr="00A3775C">
        <w:rPr>
          <w:rFonts w:ascii="Times New Roman" w:hAnsi="Times New Roman" w:cs="Times New Roman"/>
          <w:noProof/>
          <w:sz w:val="18"/>
          <w:szCs w:val="18"/>
        </w:rPr>
        <w:drawing>
          <wp:inline distT="0" distB="0" distL="0" distR="0" wp14:anchorId="3D6E08B7" wp14:editId="3DF9A5CC">
            <wp:extent cx="5676900" cy="2273300"/>
            <wp:effectExtent l="38100" t="57150" r="38100" b="50800"/>
            <wp:docPr id="794217261" name="Chart 1">
              <a:extLst xmlns:a="http://schemas.openxmlformats.org/drawingml/2006/main">
                <a:ext uri="{FF2B5EF4-FFF2-40B4-BE49-F238E27FC236}">
                  <a16:creationId xmlns:a16="http://schemas.microsoft.com/office/drawing/2014/main" id="{C148E2BF-C501-4941-3F0A-64C0E4274B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E6F8D15" w14:textId="001C9766"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2884456F" w14:textId="77777777" w:rsidR="00B6764D" w:rsidRPr="00C12D7C" w:rsidRDefault="00B6764D" w:rsidP="00B6764D">
      <w:pPr>
        <w:pStyle w:val="ListParagraph"/>
        <w:spacing w:line="360" w:lineRule="auto"/>
        <w:jc w:val="center"/>
        <w:rPr>
          <w:rFonts w:ascii="Times New Roman" w:hAnsi="Times New Roman" w:cs="Times New Roman"/>
          <w:sz w:val="24"/>
          <w:szCs w:val="24"/>
        </w:rPr>
      </w:pPr>
      <w:r w:rsidRPr="00C12D7C">
        <w:rPr>
          <w:rFonts w:ascii="Times New Roman" w:hAnsi="Times New Roman" w:cs="Times New Roman"/>
          <w:sz w:val="24"/>
          <w:szCs w:val="24"/>
        </w:rPr>
        <w:lastRenderedPageBreak/>
        <w:t>Figure 4.17 Percentage of Respondents</w:t>
      </w:r>
    </w:p>
    <w:p w14:paraId="75686EE4"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noProof/>
          <w:sz w:val="24"/>
          <w:szCs w:val="24"/>
        </w:rPr>
        <w:drawing>
          <wp:inline distT="0" distB="0" distL="0" distR="0" wp14:anchorId="6259923C" wp14:editId="214BF9EA">
            <wp:extent cx="5670550" cy="3003550"/>
            <wp:effectExtent l="38100" t="57150" r="44450" b="44450"/>
            <wp:docPr id="859765828" name="Chart 2">
              <a:extLst xmlns:a="http://schemas.openxmlformats.org/drawingml/2006/main">
                <a:ext uri="{FF2B5EF4-FFF2-40B4-BE49-F238E27FC236}">
                  <a16:creationId xmlns:a16="http://schemas.microsoft.com/office/drawing/2014/main" id="{667C584A-3CB5-50F8-BC2D-9B4BA84882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2730A2D"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525A492C" w14:textId="77777777" w:rsidR="00B6764D" w:rsidRPr="00C12D7C" w:rsidRDefault="00B6764D" w:rsidP="00B6764D">
      <w:pPr>
        <w:spacing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Table 4.4 Mean And Standard Deviation for Q16 to Q20</w:t>
      </w:r>
    </w:p>
    <w:tbl>
      <w:tblPr>
        <w:tblW w:w="8976" w:type="dxa"/>
        <w:tblLook w:val="04A0" w:firstRow="1" w:lastRow="0" w:firstColumn="1" w:lastColumn="0" w:noHBand="0" w:noVBand="1"/>
      </w:tblPr>
      <w:tblGrid>
        <w:gridCol w:w="2976"/>
        <w:gridCol w:w="1200"/>
        <w:gridCol w:w="1200"/>
        <w:gridCol w:w="1200"/>
        <w:gridCol w:w="1200"/>
        <w:gridCol w:w="1200"/>
      </w:tblGrid>
      <w:tr w:rsidR="00B6764D" w:rsidRPr="00C12D7C" w14:paraId="662BB355" w14:textId="77777777" w:rsidTr="00011582">
        <w:trPr>
          <w:trHeight w:val="251"/>
        </w:trPr>
        <w:tc>
          <w:tcPr>
            <w:tcW w:w="2976" w:type="dxa"/>
            <w:tcBorders>
              <w:top w:val="single" w:sz="4" w:space="0" w:color="auto"/>
              <w:left w:val="single" w:sz="4" w:space="0" w:color="auto"/>
              <w:bottom w:val="single" w:sz="4" w:space="0" w:color="auto"/>
              <w:right w:val="single" w:sz="4" w:space="0" w:color="auto"/>
            </w:tcBorders>
            <w:shd w:val="clear" w:color="auto" w:fill="FFFFCC"/>
            <w:noWrap/>
            <w:vAlign w:val="center"/>
            <w:hideMark/>
          </w:tcPr>
          <w:p w14:paraId="6CB5FB3E"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Statement</w:t>
            </w:r>
          </w:p>
        </w:tc>
        <w:tc>
          <w:tcPr>
            <w:tcW w:w="1200" w:type="dxa"/>
            <w:tcBorders>
              <w:top w:val="single" w:sz="4" w:space="0" w:color="auto"/>
              <w:left w:val="nil"/>
              <w:bottom w:val="single" w:sz="4" w:space="0" w:color="auto"/>
              <w:right w:val="single" w:sz="4" w:space="0" w:color="auto"/>
            </w:tcBorders>
            <w:shd w:val="clear" w:color="auto" w:fill="FFFFCC"/>
            <w:noWrap/>
            <w:vAlign w:val="center"/>
            <w:hideMark/>
          </w:tcPr>
          <w:p w14:paraId="1C7466B2"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Q16</w:t>
            </w:r>
          </w:p>
        </w:tc>
        <w:tc>
          <w:tcPr>
            <w:tcW w:w="1200" w:type="dxa"/>
            <w:tcBorders>
              <w:top w:val="single" w:sz="4" w:space="0" w:color="auto"/>
              <w:left w:val="nil"/>
              <w:bottom w:val="single" w:sz="4" w:space="0" w:color="auto"/>
              <w:right w:val="single" w:sz="4" w:space="0" w:color="auto"/>
            </w:tcBorders>
            <w:shd w:val="clear" w:color="auto" w:fill="FFFFCC"/>
            <w:noWrap/>
            <w:vAlign w:val="center"/>
            <w:hideMark/>
          </w:tcPr>
          <w:p w14:paraId="3894872B"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Q17</w:t>
            </w:r>
          </w:p>
        </w:tc>
        <w:tc>
          <w:tcPr>
            <w:tcW w:w="1200" w:type="dxa"/>
            <w:tcBorders>
              <w:top w:val="single" w:sz="4" w:space="0" w:color="auto"/>
              <w:left w:val="nil"/>
              <w:bottom w:val="single" w:sz="4" w:space="0" w:color="auto"/>
              <w:right w:val="single" w:sz="4" w:space="0" w:color="auto"/>
            </w:tcBorders>
            <w:shd w:val="clear" w:color="auto" w:fill="FFFFCC"/>
            <w:noWrap/>
            <w:vAlign w:val="center"/>
            <w:hideMark/>
          </w:tcPr>
          <w:p w14:paraId="3512418E"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Q18</w:t>
            </w:r>
          </w:p>
        </w:tc>
        <w:tc>
          <w:tcPr>
            <w:tcW w:w="1200" w:type="dxa"/>
            <w:tcBorders>
              <w:top w:val="single" w:sz="4" w:space="0" w:color="auto"/>
              <w:left w:val="nil"/>
              <w:bottom w:val="single" w:sz="4" w:space="0" w:color="auto"/>
              <w:right w:val="single" w:sz="4" w:space="0" w:color="auto"/>
            </w:tcBorders>
            <w:shd w:val="clear" w:color="auto" w:fill="FFFFCC"/>
            <w:noWrap/>
            <w:vAlign w:val="center"/>
            <w:hideMark/>
          </w:tcPr>
          <w:p w14:paraId="1869C2A0"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Q19</w:t>
            </w:r>
          </w:p>
        </w:tc>
        <w:tc>
          <w:tcPr>
            <w:tcW w:w="1200" w:type="dxa"/>
            <w:tcBorders>
              <w:top w:val="single" w:sz="4" w:space="0" w:color="auto"/>
              <w:left w:val="nil"/>
              <w:bottom w:val="single" w:sz="4" w:space="0" w:color="auto"/>
              <w:right w:val="single" w:sz="4" w:space="0" w:color="auto"/>
            </w:tcBorders>
            <w:shd w:val="clear" w:color="auto" w:fill="FFFFCC"/>
            <w:noWrap/>
            <w:vAlign w:val="center"/>
            <w:hideMark/>
          </w:tcPr>
          <w:p w14:paraId="2C5C2607"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Q20</w:t>
            </w:r>
          </w:p>
        </w:tc>
      </w:tr>
      <w:tr w:rsidR="00B6764D" w:rsidRPr="00C12D7C" w14:paraId="0054C287" w14:textId="77777777" w:rsidTr="00011582">
        <w:trPr>
          <w:trHeight w:val="251"/>
        </w:trPr>
        <w:tc>
          <w:tcPr>
            <w:tcW w:w="2976" w:type="dxa"/>
            <w:tcBorders>
              <w:top w:val="nil"/>
              <w:left w:val="single" w:sz="4" w:space="0" w:color="auto"/>
              <w:bottom w:val="single" w:sz="4" w:space="0" w:color="auto"/>
              <w:right w:val="single" w:sz="4" w:space="0" w:color="auto"/>
            </w:tcBorders>
            <w:noWrap/>
            <w:vAlign w:val="center"/>
            <w:hideMark/>
          </w:tcPr>
          <w:p w14:paraId="358BA716"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Mean</w:t>
            </w:r>
          </w:p>
        </w:tc>
        <w:tc>
          <w:tcPr>
            <w:tcW w:w="1200" w:type="dxa"/>
            <w:tcBorders>
              <w:top w:val="nil"/>
              <w:left w:val="nil"/>
              <w:bottom w:val="single" w:sz="4" w:space="0" w:color="auto"/>
              <w:right w:val="single" w:sz="4" w:space="0" w:color="auto"/>
            </w:tcBorders>
            <w:noWrap/>
            <w:vAlign w:val="center"/>
            <w:hideMark/>
          </w:tcPr>
          <w:p w14:paraId="4995BD59"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3.81</w:t>
            </w:r>
          </w:p>
        </w:tc>
        <w:tc>
          <w:tcPr>
            <w:tcW w:w="1200" w:type="dxa"/>
            <w:tcBorders>
              <w:top w:val="nil"/>
              <w:left w:val="nil"/>
              <w:bottom w:val="single" w:sz="4" w:space="0" w:color="auto"/>
              <w:right w:val="single" w:sz="4" w:space="0" w:color="auto"/>
            </w:tcBorders>
            <w:noWrap/>
            <w:vAlign w:val="center"/>
            <w:hideMark/>
          </w:tcPr>
          <w:p w14:paraId="108DEEAE"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4.25</w:t>
            </w:r>
          </w:p>
        </w:tc>
        <w:tc>
          <w:tcPr>
            <w:tcW w:w="1200" w:type="dxa"/>
            <w:tcBorders>
              <w:top w:val="nil"/>
              <w:left w:val="nil"/>
              <w:bottom w:val="single" w:sz="4" w:space="0" w:color="auto"/>
              <w:right w:val="single" w:sz="4" w:space="0" w:color="auto"/>
            </w:tcBorders>
            <w:noWrap/>
            <w:vAlign w:val="center"/>
            <w:hideMark/>
          </w:tcPr>
          <w:p w14:paraId="300A398A"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4.04</w:t>
            </w:r>
          </w:p>
        </w:tc>
        <w:tc>
          <w:tcPr>
            <w:tcW w:w="1200" w:type="dxa"/>
            <w:tcBorders>
              <w:top w:val="nil"/>
              <w:left w:val="nil"/>
              <w:bottom w:val="single" w:sz="4" w:space="0" w:color="auto"/>
              <w:right w:val="single" w:sz="4" w:space="0" w:color="auto"/>
            </w:tcBorders>
            <w:noWrap/>
            <w:vAlign w:val="center"/>
            <w:hideMark/>
          </w:tcPr>
          <w:p w14:paraId="134E430B"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4.38</w:t>
            </w:r>
          </w:p>
        </w:tc>
        <w:tc>
          <w:tcPr>
            <w:tcW w:w="1200" w:type="dxa"/>
            <w:tcBorders>
              <w:top w:val="nil"/>
              <w:left w:val="nil"/>
              <w:bottom w:val="single" w:sz="4" w:space="0" w:color="auto"/>
              <w:right w:val="single" w:sz="4" w:space="0" w:color="auto"/>
            </w:tcBorders>
            <w:noWrap/>
            <w:vAlign w:val="center"/>
            <w:hideMark/>
          </w:tcPr>
          <w:p w14:paraId="3C6EC3A7"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3.91</w:t>
            </w:r>
          </w:p>
        </w:tc>
      </w:tr>
      <w:tr w:rsidR="00B6764D" w:rsidRPr="00C12D7C" w14:paraId="2B262B9D" w14:textId="77777777" w:rsidTr="00011582">
        <w:trPr>
          <w:trHeight w:val="251"/>
        </w:trPr>
        <w:tc>
          <w:tcPr>
            <w:tcW w:w="2976" w:type="dxa"/>
            <w:tcBorders>
              <w:top w:val="nil"/>
              <w:left w:val="single" w:sz="4" w:space="0" w:color="auto"/>
              <w:bottom w:val="single" w:sz="4" w:space="0" w:color="auto"/>
              <w:right w:val="single" w:sz="4" w:space="0" w:color="auto"/>
            </w:tcBorders>
            <w:noWrap/>
            <w:vAlign w:val="center"/>
            <w:hideMark/>
          </w:tcPr>
          <w:p w14:paraId="4EB754E3"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Standard Deviation</w:t>
            </w:r>
          </w:p>
        </w:tc>
        <w:tc>
          <w:tcPr>
            <w:tcW w:w="1200" w:type="dxa"/>
            <w:tcBorders>
              <w:top w:val="nil"/>
              <w:left w:val="nil"/>
              <w:bottom w:val="single" w:sz="4" w:space="0" w:color="auto"/>
              <w:right w:val="single" w:sz="4" w:space="0" w:color="auto"/>
            </w:tcBorders>
            <w:noWrap/>
            <w:vAlign w:val="center"/>
            <w:hideMark/>
          </w:tcPr>
          <w:p w14:paraId="6A4069DF"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0.85</w:t>
            </w:r>
          </w:p>
        </w:tc>
        <w:tc>
          <w:tcPr>
            <w:tcW w:w="1200" w:type="dxa"/>
            <w:tcBorders>
              <w:top w:val="nil"/>
              <w:left w:val="nil"/>
              <w:bottom w:val="single" w:sz="4" w:space="0" w:color="auto"/>
              <w:right w:val="single" w:sz="4" w:space="0" w:color="auto"/>
            </w:tcBorders>
            <w:noWrap/>
            <w:vAlign w:val="center"/>
            <w:hideMark/>
          </w:tcPr>
          <w:p w14:paraId="442A7D55"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0.72</w:t>
            </w:r>
          </w:p>
        </w:tc>
        <w:tc>
          <w:tcPr>
            <w:tcW w:w="1200" w:type="dxa"/>
            <w:tcBorders>
              <w:top w:val="nil"/>
              <w:left w:val="nil"/>
              <w:bottom w:val="single" w:sz="4" w:space="0" w:color="auto"/>
              <w:right w:val="single" w:sz="4" w:space="0" w:color="auto"/>
            </w:tcBorders>
            <w:noWrap/>
            <w:vAlign w:val="center"/>
            <w:hideMark/>
          </w:tcPr>
          <w:p w14:paraId="2D17003E"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0.79</w:t>
            </w:r>
          </w:p>
        </w:tc>
        <w:tc>
          <w:tcPr>
            <w:tcW w:w="1200" w:type="dxa"/>
            <w:tcBorders>
              <w:top w:val="nil"/>
              <w:left w:val="nil"/>
              <w:bottom w:val="single" w:sz="4" w:space="0" w:color="auto"/>
              <w:right w:val="single" w:sz="4" w:space="0" w:color="auto"/>
            </w:tcBorders>
            <w:noWrap/>
            <w:vAlign w:val="center"/>
            <w:hideMark/>
          </w:tcPr>
          <w:p w14:paraId="6671269C"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0.70</w:t>
            </w:r>
          </w:p>
        </w:tc>
        <w:tc>
          <w:tcPr>
            <w:tcW w:w="1200" w:type="dxa"/>
            <w:tcBorders>
              <w:top w:val="nil"/>
              <w:left w:val="nil"/>
              <w:bottom w:val="single" w:sz="4" w:space="0" w:color="auto"/>
              <w:right w:val="single" w:sz="4" w:space="0" w:color="auto"/>
            </w:tcBorders>
            <w:noWrap/>
            <w:vAlign w:val="center"/>
            <w:hideMark/>
          </w:tcPr>
          <w:p w14:paraId="1DE31194" w14:textId="77777777" w:rsidR="00B6764D" w:rsidRPr="00C12D7C" w:rsidRDefault="00B6764D" w:rsidP="00011582">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0.85</w:t>
            </w:r>
          </w:p>
        </w:tc>
      </w:tr>
    </w:tbl>
    <w:p w14:paraId="7263FF7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014DA6B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respondents’ perceptions regarding customer engagement, loyalty, and branding strategies for a health-focused, traditional cuisine restaurant have explored. The analysis is based on five statements (Q16–Q20) measured on a five-point Likert scale from Strongly Disagree (1) to Strongly Agree (5). The mean values, ranging from 3.81 to 4.38, indicate a generally strong positive sentiment toward engagement initiatives and brand positioning. Standard deviation values (0.70–0.85) suggest moderate consistency in responses, with slightly higher variation in Q16 and Q20, indicating differing opinions about certain aspects of loyalty programs or branding efforts. Overall, these results suggest that respondents place substantial importance on relationship-building, brand image, and repeat engagement when considering a new dining experience.</w:t>
      </w:r>
    </w:p>
    <w:p w14:paraId="1B00C25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The responses are grouped into Positive (Strongly Agree + Agree), Neutral, and Negative (Disagree + Strongly Disagree) categories and have indicated in table, it is observed that </w:t>
      </w:r>
      <w:r w:rsidRPr="00C12D7C">
        <w:rPr>
          <w:rFonts w:ascii="Times New Roman" w:hAnsi="Times New Roman" w:cs="Times New Roman"/>
          <w:sz w:val="24"/>
          <w:szCs w:val="24"/>
        </w:rPr>
        <w:lastRenderedPageBreak/>
        <w:t xml:space="preserve">between 59.9% and 88.9% of respondents express positive views, reflecting strong overall acceptance of engagement and branding measures. Neutral responses range from 9.3% to 35.2%, indicating that a segment of the market is still undecided, while negative perceptions are minimal (below 6%). The data, visualized in figures and table, highlights that strategic branding and loyalty initiatives are likely to resonate with the majority of consumers. However, the relatively higher neutral response for Q16 and Q20 suggests that there is scope to educate and communicate the value of engagement programs to build stronger connections with the target audience. </w:t>
      </w:r>
    </w:p>
    <w:p w14:paraId="072D89D6" w14:textId="77777777" w:rsidR="00B6764D"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These results closely align with Customer-Centricity Theory (Shah et al., 2006), which emphasises empathy, trust, and relationship-building as the basis of sustained customer engagement. Echoing Chapter 2, where emotional resonance and authenticity were identified as drivers of loyalty, this study’s findings confirm that in Coimbatore’s restaurant market, enduring patronage arises not merely from satisfaction but from meaningful cultural connection and consistent brand reliability.</w:t>
      </w:r>
    </w:p>
    <w:p w14:paraId="790D951E" w14:textId="77777777" w:rsidR="00B6764D" w:rsidRPr="00C12D7C" w:rsidRDefault="00B6764D" w:rsidP="00B6764D">
      <w:pPr>
        <w:spacing w:line="360" w:lineRule="auto"/>
        <w:jc w:val="both"/>
        <w:rPr>
          <w:rFonts w:ascii="Times New Roman" w:hAnsi="Times New Roman" w:cs="Times New Roman"/>
          <w:b/>
          <w:bCs/>
          <w:sz w:val="24"/>
          <w:szCs w:val="24"/>
        </w:rPr>
      </w:pPr>
    </w:p>
    <w:p w14:paraId="191E9534"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4.2 QUALITATIVE ANALYSIS</w:t>
      </w:r>
    </w:p>
    <w:p w14:paraId="454E99F9" w14:textId="77777777" w:rsidR="00B6764D"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While the quantitative results revealed measurable patterns of consumer behaviour, the qualitative findings add depth by uncovering the motivations and cultural meanings behind them. This section analyses data from semi-structured interviews with restaurant owners, caterers, and consumers, guided by frameworks discussed in Chapter 2 such as Consumer Culture Theory (Arnould &amp; Thompson, 2005), Customer-Centricity Theory (Shah et al., 2006), and Entrepreneurial Process Theory (Bygrave &amp; Hofer, 1991). These perspectives help explain how personal experience, cultural identity, and business strategy interact within Coimbatore’s evolving food sector. Together, the qualitative insights complement the survey findings, providing a more holistic understanding of how health-focused traditional food ventures balance authenticity, innovation, and customer value.</w:t>
      </w:r>
    </w:p>
    <w:p w14:paraId="7375B421" w14:textId="77777777" w:rsidR="00B6764D" w:rsidRPr="00C12D7C" w:rsidRDefault="00B6764D" w:rsidP="00B6764D">
      <w:pPr>
        <w:spacing w:line="360" w:lineRule="auto"/>
        <w:jc w:val="both"/>
        <w:rPr>
          <w:rFonts w:ascii="Times New Roman" w:hAnsi="Times New Roman" w:cs="Times New Roman"/>
          <w:b/>
          <w:bCs/>
          <w:sz w:val="24"/>
          <w:szCs w:val="24"/>
        </w:rPr>
      </w:pPr>
    </w:p>
    <w:p w14:paraId="058C4B8E"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4.2.1 QUALITATIVE INSIGHTS ON CONSUMER CHOICES AND HEALTH- CONSCIOUS HABITS</w:t>
      </w:r>
    </w:p>
    <w:p w14:paraId="723B39E9"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Section A explores consumer preferences and health-conscious behaviours within the realm of traditional South Indian cuisine. Question 1 seeks to understand which health-conscious </w:t>
      </w:r>
      <w:r w:rsidRPr="00C12D7C">
        <w:rPr>
          <w:rFonts w:ascii="Times New Roman" w:hAnsi="Times New Roman" w:cs="Times New Roman"/>
          <w:sz w:val="24"/>
          <w:szCs w:val="24"/>
        </w:rPr>
        <w:lastRenderedPageBreak/>
        <w:t>traditional dishes consumers would most like to see featured on restaurant menus in Coimbatore, while Question 2 delves into the ingredients and cooking methods they associate with both health and culinary tradition.</w:t>
      </w:r>
    </w:p>
    <w:p w14:paraId="652989BE" w14:textId="77777777" w:rsidR="00B6764D" w:rsidRPr="00C12D7C" w:rsidRDefault="00B6764D" w:rsidP="00B6764D">
      <w:pPr>
        <w:spacing w:line="360" w:lineRule="auto"/>
        <w:jc w:val="center"/>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Table 4.5 Thematic Analysis of Consumer Choices And Health- Conscious Habits</w:t>
      </w:r>
    </w:p>
    <w:tbl>
      <w:tblPr>
        <w:tblW w:w="5000" w:type="pct"/>
        <w:tblLook w:val="04A0" w:firstRow="1" w:lastRow="0" w:firstColumn="1" w:lastColumn="0" w:noHBand="0" w:noVBand="1"/>
      </w:tblPr>
      <w:tblGrid>
        <w:gridCol w:w="1946"/>
        <w:gridCol w:w="2086"/>
        <w:gridCol w:w="2470"/>
        <w:gridCol w:w="2514"/>
      </w:tblGrid>
      <w:tr w:rsidR="00B6764D" w:rsidRPr="00C12D7C" w14:paraId="66F21371" w14:textId="77777777" w:rsidTr="00011582">
        <w:trPr>
          <w:trHeight w:val="290"/>
        </w:trPr>
        <w:tc>
          <w:tcPr>
            <w:tcW w:w="10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61FA9"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Main Theme</w:t>
            </w:r>
          </w:p>
        </w:tc>
        <w:tc>
          <w:tcPr>
            <w:tcW w:w="1157"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6B493D81"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Subthemes</w:t>
            </w:r>
          </w:p>
        </w:tc>
        <w:tc>
          <w:tcPr>
            <w:tcW w:w="1370"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73C97705"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Key Insights</w:t>
            </w:r>
          </w:p>
        </w:tc>
        <w:tc>
          <w:tcPr>
            <w:tcW w:w="1394"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12E7F015"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Illustrative Quotes</w:t>
            </w:r>
          </w:p>
        </w:tc>
      </w:tr>
      <w:tr w:rsidR="00B6764D" w:rsidRPr="00C12D7C" w14:paraId="6ADEB221" w14:textId="77777777" w:rsidTr="00011582">
        <w:trPr>
          <w:trHeight w:val="841"/>
        </w:trPr>
        <w:tc>
          <w:tcPr>
            <w:tcW w:w="1079" w:type="pct"/>
            <w:tcBorders>
              <w:top w:val="nil"/>
              <w:left w:val="single" w:sz="4" w:space="0" w:color="auto"/>
              <w:bottom w:val="single" w:sz="4" w:space="0" w:color="auto"/>
              <w:right w:val="single" w:sz="4" w:space="0" w:color="auto"/>
            </w:tcBorders>
            <w:vAlign w:val="center"/>
            <w:hideMark/>
          </w:tcPr>
          <w:p w14:paraId="6FE0D0A2"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Section A: Consumer Preferences &amp; Health-Conscious Behaviour</w:t>
            </w:r>
          </w:p>
        </w:tc>
        <w:tc>
          <w:tcPr>
            <w:tcW w:w="1157" w:type="pct"/>
            <w:tcBorders>
              <w:top w:val="nil"/>
              <w:left w:val="nil"/>
              <w:bottom w:val="single" w:sz="4" w:space="0" w:color="auto"/>
              <w:right w:val="single" w:sz="4" w:space="0" w:color="auto"/>
            </w:tcBorders>
            <w:vAlign w:val="center"/>
            <w:hideMark/>
          </w:tcPr>
          <w:p w14:paraId="1EB0B6FD"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Millet-based diets- Low-oil, steamed food preferences- Awareness of balanced nutrition</w:t>
            </w:r>
          </w:p>
        </w:tc>
        <w:tc>
          <w:tcPr>
            <w:tcW w:w="1370" w:type="pct"/>
            <w:tcBorders>
              <w:top w:val="nil"/>
              <w:left w:val="nil"/>
              <w:bottom w:val="single" w:sz="4" w:space="0" w:color="auto"/>
              <w:right w:val="single" w:sz="4" w:space="0" w:color="auto"/>
            </w:tcBorders>
            <w:vAlign w:val="center"/>
            <w:hideMark/>
          </w:tcPr>
          <w:p w14:paraId="7C68BD2E"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 xml:space="preserve">Consumers increasingly demonstrate a preference for traditional dishes that are both nutritious and familiar. Health-conscious choices, such as ragi </w:t>
            </w:r>
            <w:proofErr w:type="spellStart"/>
            <w:r w:rsidRPr="00C12D7C">
              <w:rPr>
                <w:rFonts w:ascii="Times New Roman" w:eastAsia="Times New Roman" w:hAnsi="Times New Roman" w:cs="Times New Roman"/>
                <w:color w:val="000000"/>
                <w:kern w:val="0"/>
                <w:sz w:val="24"/>
                <w:szCs w:val="24"/>
                <w:lang w:eastAsia="en-IN"/>
                <w14:ligatures w14:val="none"/>
              </w:rPr>
              <w:t>idli</w:t>
            </w:r>
            <w:proofErr w:type="spellEnd"/>
            <w:r w:rsidRPr="00C12D7C">
              <w:rPr>
                <w:rFonts w:ascii="Times New Roman" w:eastAsia="Times New Roman" w:hAnsi="Times New Roman" w:cs="Times New Roman"/>
                <w:color w:val="000000"/>
                <w:kern w:val="0"/>
                <w:sz w:val="24"/>
                <w:szCs w:val="24"/>
                <w:lang w:eastAsia="en-IN"/>
                <w14:ligatures w14:val="none"/>
              </w:rPr>
              <w:t xml:space="preserve">, </w:t>
            </w:r>
            <w:proofErr w:type="spellStart"/>
            <w:r w:rsidRPr="00C12D7C">
              <w:rPr>
                <w:rFonts w:ascii="Times New Roman" w:eastAsia="Times New Roman" w:hAnsi="Times New Roman" w:cs="Times New Roman"/>
                <w:color w:val="000000"/>
                <w:kern w:val="0"/>
                <w:sz w:val="24"/>
                <w:szCs w:val="24"/>
                <w:lang w:eastAsia="en-IN"/>
                <w14:ligatures w14:val="none"/>
              </w:rPr>
              <w:t>varagu</w:t>
            </w:r>
            <w:proofErr w:type="spellEnd"/>
            <w:r w:rsidRPr="00C12D7C">
              <w:rPr>
                <w:rFonts w:ascii="Times New Roman" w:eastAsia="Times New Roman" w:hAnsi="Times New Roman" w:cs="Times New Roman"/>
                <w:color w:val="000000"/>
                <w:kern w:val="0"/>
                <w:sz w:val="24"/>
                <w:szCs w:val="24"/>
                <w:lang w:eastAsia="en-IN"/>
                <w14:ligatures w14:val="none"/>
              </w:rPr>
              <w:t xml:space="preserve"> </w:t>
            </w:r>
            <w:proofErr w:type="spellStart"/>
            <w:r w:rsidRPr="00C12D7C">
              <w:rPr>
                <w:rFonts w:ascii="Times New Roman" w:eastAsia="Times New Roman" w:hAnsi="Times New Roman" w:cs="Times New Roman"/>
                <w:color w:val="000000"/>
                <w:kern w:val="0"/>
                <w:sz w:val="24"/>
                <w:szCs w:val="24"/>
                <w:lang w:eastAsia="en-IN"/>
                <w14:ligatures w14:val="none"/>
              </w:rPr>
              <w:t>pongal</w:t>
            </w:r>
            <w:proofErr w:type="spellEnd"/>
            <w:r w:rsidRPr="00C12D7C">
              <w:rPr>
                <w:rFonts w:ascii="Times New Roman" w:eastAsia="Times New Roman" w:hAnsi="Times New Roman" w:cs="Times New Roman"/>
                <w:color w:val="000000"/>
                <w:kern w:val="0"/>
                <w:sz w:val="24"/>
                <w:szCs w:val="24"/>
                <w:lang w:eastAsia="en-IN"/>
                <w14:ligatures w14:val="none"/>
              </w:rPr>
              <w:t xml:space="preserve">, and </w:t>
            </w:r>
            <w:proofErr w:type="spellStart"/>
            <w:r w:rsidRPr="00C12D7C">
              <w:rPr>
                <w:rFonts w:ascii="Times New Roman" w:eastAsia="Times New Roman" w:hAnsi="Times New Roman" w:cs="Times New Roman"/>
                <w:color w:val="000000"/>
                <w:kern w:val="0"/>
                <w:sz w:val="24"/>
                <w:szCs w:val="24"/>
                <w:lang w:eastAsia="en-IN"/>
                <w14:ligatures w14:val="none"/>
              </w:rPr>
              <w:t>kambu</w:t>
            </w:r>
            <w:proofErr w:type="spellEnd"/>
            <w:r w:rsidRPr="00C12D7C">
              <w:rPr>
                <w:rFonts w:ascii="Times New Roman" w:eastAsia="Times New Roman" w:hAnsi="Times New Roman" w:cs="Times New Roman"/>
                <w:color w:val="000000"/>
                <w:kern w:val="0"/>
                <w:sz w:val="24"/>
                <w:szCs w:val="24"/>
                <w:lang w:eastAsia="en-IN"/>
                <w14:ligatures w14:val="none"/>
              </w:rPr>
              <w:t xml:space="preserve"> </w:t>
            </w:r>
            <w:proofErr w:type="spellStart"/>
            <w:r w:rsidRPr="00C12D7C">
              <w:rPr>
                <w:rFonts w:ascii="Times New Roman" w:eastAsia="Times New Roman" w:hAnsi="Times New Roman" w:cs="Times New Roman"/>
                <w:color w:val="000000"/>
                <w:kern w:val="0"/>
                <w:sz w:val="24"/>
                <w:szCs w:val="24"/>
                <w:lang w:eastAsia="en-IN"/>
                <w14:ligatures w14:val="none"/>
              </w:rPr>
              <w:t>koozh</w:t>
            </w:r>
            <w:proofErr w:type="spellEnd"/>
            <w:r w:rsidRPr="00C12D7C">
              <w:rPr>
                <w:rFonts w:ascii="Times New Roman" w:eastAsia="Times New Roman" w:hAnsi="Times New Roman" w:cs="Times New Roman"/>
                <w:color w:val="000000"/>
                <w:kern w:val="0"/>
                <w:sz w:val="24"/>
                <w:szCs w:val="24"/>
                <w:lang w:eastAsia="en-IN"/>
                <w14:ligatures w14:val="none"/>
              </w:rPr>
              <w:t>, are viewed as complementary to cultural taste preferences rather than replacements.</w:t>
            </w:r>
          </w:p>
        </w:tc>
        <w:tc>
          <w:tcPr>
            <w:tcW w:w="1394" w:type="pct"/>
            <w:tcBorders>
              <w:top w:val="nil"/>
              <w:left w:val="nil"/>
              <w:bottom w:val="single" w:sz="4" w:space="0" w:color="auto"/>
              <w:right w:val="single" w:sz="4" w:space="0" w:color="auto"/>
            </w:tcBorders>
            <w:vAlign w:val="center"/>
            <w:hideMark/>
          </w:tcPr>
          <w:p w14:paraId="592E9388"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“We include ragi and upma- healthy, filling, and traditional (R3).” “People now ask for millets and sesame oil (R5).”</w:t>
            </w:r>
          </w:p>
        </w:tc>
      </w:tr>
    </w:tbl>
    <w:p w14:paraId="7C648123" w14:textId="77777777" w:rsidR="00B6764D" w:rsidRPr="00A51DED"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36BB244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qualitative interviews reveal a clear shift toward health-oriented eating habits among consumers. Participants consistently noted growing demand for traditional dishes prepared with millets, minimal oil, and native ingredients reflecting a balance between nutritional awareness and cultural familiarity.</w:t>
      </w:r>
    </w:p>
    <w:p w14:paraId="446CC9A2"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A catering service owner (Respondent 3) remarked, “Include kanji (maize and ragi) and upma these are healthy, familiar, and suit everyone’s digestion.” Similarly, a street-food operator (Respondent 5) observed, “People now ask for millets and cold-pressed oils. They want food that feels both homely and healthy.”</w:t>
      </w:r>
    </w:p>
    <w:p w14:paraId="1C802B0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These insights suggest that health consciousness complements rather than replaces traditional taste preferences. Consumers increasingly view health as an added value within familiar food </w:t>
      </w:r>
      <w:r w:rsidRPr="00C12D7C">
        <w:rPr>
          <w:rFonts w:ascii="Times New Roman" w:hAnsi="Times New Roman" w:cs="Times New Roman"/>
          <w:sz w:val="24"/>
          <w:szCs w:val="24"/>
        </w:rPr>
        <w:lastRenderedPageBreak/>
        <w:t>experiences, aligning with research that positions health as both a functional and symbolic attribute in consumer choice (Raghunathan, 2022).</w:t>
      </w:r>
    </w:p>
    <w:p w14:paraId="7BFEDFCA" w14:textId="77777777" w:rsidR="00B6764D" w:rsidRPr="00C12D7C" w:rsidRDefault="00B6764D" w:rsidP="00B6764D">
      <w:pPr>
        <w:spacing w:line="360" w:lineRule="auto"/>
        <w:jc w:val="both"/>
        <w:rPr>
          <w:rFonts w:ascii="Times New Roman" w:hAnsi="Times New Roman" w:cs="Times New Roman"/>
          <w:b/>
          <w:bCs/>
          <w:sz w:val="24"/>
          <w:szCs w:val="24"/>
        </w:rPr>
      </w:pPr>
    </w:p>
    <w:p w14:paraId="7BDC3015"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4.2.2 QUALITATIVE INSIGHTS ON LOCAL MARKET AWARENESS </w:t>
      </w:r>
      <w:r>
        <w:rPr>
          <w:rFonts w:ascii="Times New Roman" w:hAnsi="Times New Roman" w:cs="Times New Roman"/>
          <w:b/>
          <w:bCs/>
          <w:sz w:val="24"/>
          <w:szCs w:val="24"/>
        </w:rPr>
        <w:t>AND</w:t>
      </w:r>
      <w:r w:rsidRPr="00C12D7C">
        <w:rPr>
          <w:rFonts w:ascii="Times New Roman" w:hAnsi="Times New Roman" w:cs="Times New Roman"/>
          <w:b/>
          <w:bCs/>
          <w:sz w:val="24"/>
          <w:szCs w:val="24"/>
        </w:rPr>
        <w:t xml:space="preserve"> CULTURAL INFLUENCES</w:t>
      </w:r>
    </w:p>
    <w:p w14:paraId="492D7E74"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Section B focuses on understanding local market awareness and the role of cultural influences in shaping food choices in Coimbatore. Question 3 investigates how receptive people are to healthier versions of traditional dishes, while Question 4 invites participants to highlight restaurants or trends that effectively blend cultural authenticity with health-conscious practices.</w:t>
      </w:r>
    </w:p>
    <w:p w14:paraId="71590679" w14:textId="77777777" w:rsidR="00B6764D" w:rsidRPr="00C12D7C" w:rsidRDefault="00B6764D" w:rsidP="00B6764D">
      <w:pPr>
        <w:spacing w:line="360" w:lineRule="auto"/>
        <w:jc w:val="center"/>
        <w:rPr>
          <w:rFonts w:ascii="Times New Roman" w:hAnsi="Times New Roman" w:cs="Times New Roman"/>
          <w:sz w:val="24"/>
          <w:szCs w:val="24"/>
        </w:rPr>
      </w:pPr>
      <w:r w:rsidRPr="00C12D7C">
        <w:rPr>
          <w:rFonts w:ascii="Times New Roman" w:eastAsia="Times New Roman" w:hAnsi="Times New Roman" w:cs="Times New Roman"/>
          <w:color w:val="000000"/>
          <w:kern w:val="0"/>
          <w:sz w:val="24"/>
          <w:szCs w:val="24"/>
          <w:lang w:eastAsia="en-IN"/>
          <w14:ligatures w14:val="none"/>
        </w:rPr>
        <w:t xml:space="preserve">Table 4.6 Thematic Analysis of </w:t>
      </w:r>
      <w:r w:rsidRPr="00C12D7C">
        <w:rPr>
          <w:rFonts w:ascii="Times New Roman" w:hAnsi="Times New Roman" w:cs="Times New Roman"/>
          <w:sz w:val="24"/>
          <w:szCs w:val="24"/>
        </w:rPr>
        <w:t>Local Market Awareness &amp; Cultural Influences</w:t>
      </w:r>
    </w:p>
    <w:tbl>
      <w:tblPr>
        <w:tblW w:w="5000" w:type="pct"/>
        <w:jc w:val="center"/>
        <w:tblLook w:val="04A0" w:firstRow="1" w:lastRow="0" w:firstColumn="1" w:lastColumn="0" w:noHBand="0" w:noVBand="1"/>
      </w:tblPr>
      <w:tblGrid>
        <w:gridCol w:w="1946"/>
        <w:gridCol w:w="2086"/>
        <w:gridCol w:w="2470"/>
        <w:gridCol w:w="2514"/>
      </w:tblGrid>
      <w:tr w:rsidR="00B6764D" w:rsidRPr="00C12D7C" w14:paraId="2AA7D70F" w14:textId="77777777" w:rsidTr="00011582">
        <w:trPr>
          <w:trHeight w:val="290"/>
          <w:jc w:val="center"/>
        </w:trPr>
        <w:tc>
          <w:tcPr>
            <w:tcW w:w="10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5A4418"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Main Theme</w:t>
            </w:r>
          </w:p>
        </w:tc>
        <w:tc>
          <w:tcPr>
            <w:tcW w:w="1157"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44F33B8A"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Subthemes</w:t>
            </w:r>
          </w:p>
        </w:tc>
        <w:tc>
          <w:tcPr>
            <w:tcW w:w="1370"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423FE97C"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Key Insights</w:t>
            </w:r>
          </w:p>
        </w:tc>
        <w:tc>
          <w:tcPr>
            <w:tcW w:w="1394"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28ED1769"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Illustrative Quotes</w:t>
            </w:r>
          </w:p>
        </w:tc>
      </w:tr>
      <w:tr w:rsidR="00B6764D" w:rsidRPr="00C12D7C" w14:paraId="1CE6706B" w14:textId="77777777" w:rsidTr="00011582">
        <w:trPr>
          <w:trHeight w:val="2320"/>
          <w:jc w:val="center"/>
        </w:trPr>
        <w:tc>
          <w:tcPr>
            <w:tcW w:w="1079" w:type="pct"/>
            <w:tcBorders>
              <w:top w:val="nil"/>
              <w:left w:val="single" w:sz="4" w:space="0" w:color="auto"/>
              <w:bottom w:val="single" w:sz="4" w:space="0" w:color="auto"/>
              <w:right w:val="single" w:sz="4" w:space="0" w:color="auto"/>
            </w:tcBorders>
            <w:vAlign w:val="center"/>
            <w:hideMark/>
          </w:tcPr>
          <w:p w14:paraId="03F231F8"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Section B: Local Market Awareness &amp; Cultural Influences</w:t>
            </w:r>
          </w:p>
        </w:tc>
        <w:tc>
          <w:tcPr>
            <w:tcW w:w="1157" w:type="pct"/>
            <w:tcBorders>
              <w:top w:val="nil"/>
              <w:left w:val="nil"/>
              <w:bottom w:val="single" w:sz="4" w:space="0" w:color="auto"/>
              <w:right w:val="single" w:sz="4" w:space="0" w:color="auto"/>
            </w:tcBorders>
            <w:vAlign w:val="center"/>
            <w:hideMark/>
          </w:tcPr>
          <w:p w14:paraId="7D73B08F"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Authentic Tamil flavours- Local ingredients as identity- Cultural pride in cuisine</w:t>
            </w:r>
          </w:p>
        </w:tc>
        <w:tc>
          <w:tcPr>
            <w:tcW w:w="1370" w:type="pct"/>
            <w:tcBorders>
              <w:top w:val="nil"/>
              <w:left w:val="nil"/>
              <w:bottom w:val="single" w:sz="4" w:space="0" w:color="auto"/>
              <w:right w:val="single" w:sz="4" w:space="0" w:color="auto"/>
            </w:tcBorders>
            <w:vAlign w:val="center"/>
            <w:hideMark/>
          </w:tcPr>
          <w:p w14:paraId="5A496A5D"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The local food culture of Coimbatore strongly shapes consumer expectations. Authentic Tamil flavours and regionally sourced ingredients reinforce cultural identity, influencing both customer choices and brand positioning.</w:t>
            </w:r>
          </w:p>
        </w:tc>
        <w:tc>
          <w:tcPr>
            <w:tcW w:w="1394" w:type="pct"/>
            <w:tcBorders>
              <w:top w:val="nil"/>
              <w:left w:val="nil"/>
              <w:bottom w:val="single" w:sz="4" w:space="0" w:color="auto"/>
              <w:right w:val="single" w:sz="4" w:space="0" w:color="auto"/>
            </w:tcBorders>
            <w:vAlign w:val="center"/>
            <w:hideMark/>
          </w:tcPr>
          <w:p w14:paraId="4D825AE9"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“Our Tamil cooking itself is healthy (R4).” “Customers love authentic village-style taste (R2).”</w:t>
            </w:r>
          </w:p>
        </w:tc>
      </w:tr>
    </w:tbl>
    <w:p w14:paraId="4F736F32"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1A7D9F18"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food market in Coimbatore is deeply rooted in cultural authenticity, with stakeholders expressing pride in preserving traditional Tamil culinary heritage. This commitment is seen not only as an ethical responsibility but also as a key differentiator in a competitive market. As one traditional restaurant owner (Respondent 4) remarked: "Our Tamil cooking is inherently healthy. We incorporate indigenous ingredients such as sesame oil and moringa leaves. Why alter a system that has proven effective over time?"</w:t>
      </w:r>
    </w:p>
    <w:p w14:paraId="604D0B99"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Another participant highlighted the emotional resonance of traditional flavours: "Customers are drawn to that genuine village-style flavour it fosters an emotional bond with their cultural roots." (Respondent 2)</w:t>
      </w:r>
    </w:p>
    <w:p w14:paraId="06C2C90C"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These perspectives emphasize that cultural authenticity forms the foundation of trust among local consumers. In an era of globalized fast-food options, adherence to traditional practices is a strategic strength, reinforcing local identity through menu design, linguistic cues, and aesthetic presentation, while fostering meaningful connections within the Coimbatore community.</w:t>
      </w:r>
    </w:p>
    <w:p w14:paraId="79A78A60" w14:textId="77777777" w:rsidR="00B6764D" w:rsidRPr="00C12D7C" w:rsidRDefault="00B6764D" w:rsidP="00B6764D">
      <w:pPr>
        <w:spacing w:line="360" w:lineRule="auto"/>
        <w:jc w:val="both"/>
        <w:rPr>
          <w:rFonts w:ascii="Times New Roman" w:hAnsi="Times New Roman" w:cs="Times New Roman"/>
          <w:sz w:val="24"/>
          <w:szCs w:val="24"/>
        </w:rPr>
      </w:pPr>
    </w:p>
    <w:p w14:paraId="2B748DD8"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4.2.3 QUALITATIVE INSIGHTS ON BUSINESS MODEL EXPECTATIONS </w:t>
      </w:r>
    </w:p>
    <w:p w14:paraId="317272C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Section C explores business model expectations and entrepreneurial strategies in the context of health-focused traditional cuisine. Questions 5 to 7 aim to understand what qualities and services encourage customer loyalty, the challenges new restaurants may face in offering healthy traditional dishes in Coimbatore, and participants’ visions of an ideal restaurant model that balances health-consciousness with cultural authenticity.</w:t>
      </w:r>
    </w:p>
    <w:p w14:paraId="0EAB32CA" w14:textId="77777777" w:rsidR="00B6764D" w:rsidRPr="00C12D7C" w:rsidRDefault="00B6764D" w:rsidP="00B6764D">
      <w:pPr>
        <w:spacing w:line="360" w:lineRule="auto"/>
        <w:jc w:val="center"/>
        <w:rPr>
          <w:rFonts w:ascii="Times New Roman" w:hAnsi="Times New Roman" w:cs="Times New Roman"/>
          <w:sz w:val="24"/>
          <w:szCs w:val="24"/>
        </w:rPr>
      </w:pPr>
      <w:r w:rsidRPr="00C12D7C">
        <w:rPr>
          <w:rFonts w:ascii="Times New Roman" w:eastAsia="Times New Roman" w:hAnsi="Times New Roman" w:cs="Times New Roman"/>
          <w:color w:val="000000"/>
          <w:kern w:val="0"/>
          <w:sz w:val="24"/>
          <w:szCs w:val="24"/>
          <w:lang w:eastAsia="en-IN"/>
          <w14:ligatures w14:val="none"/>
        </w:rPr>
        <w:t xml:space="preserve">Table 4.7 Thematic Analysis of </w:t>
      </w:r>
      <w:r w:rsidRPr="00C12D7C">
        <w:rPr>
          <w:rFonts w:ascii="Times New Roman" w:hAnsi="Times New Roman" w:cs="Times New Roman"/>
          <w:sz w:val="24"/>
          <w:szCs w:val="24"/>
        </w:rPr>
        <w:t>Business Model Expectations</w:t>
      </w:r>
    </w:p>
    <w:tbl>
      <w:tblPr>
        <w:tblW w:w="5000" w:type="pct"/>
        <w:tblLook w:val="04A0" w:firstRow="1" w:lastRow="0" w:firstColumn="1" w:lastColumn="0" w:noHBand="0" w:noVBand="1"/>
      </w:tblPr>
      <w:tblGrid>
        <w:gridCol w:w="1946"/>
        <w:gridCol w:w="2086"/>
        <w:gridCol w:w="2470"/>
        <w:gridCol w:w="2514"/>
      </w:tblGrid>
      <w:tr w:rsidR="00B6764D" w:rsidRPr="00C12D7C" w14:paraId="6BBA4C0C" w14:textId="77777777" w:rsidTr="00011582">
        <w:trPr>
          <w:trHeight w:val="290"/>
        </w:trPr>
        <w:tc>
          <w:tcPr>
            <w:tcW w:w="10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C81CB7"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Main Theme</w:t>
            </w:r>
          </w:p>
        </w:tc>
        <w:tc>
          <w:tcPr>
            <w:tcW w:w="1157"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10026E34"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Subthemes</w:t>
            </w:r>
          </w:p>
        </w:tc>
        <w:tc>
          <w:tcPr>
            <w:tcW w:w="1370"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484A6C93"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Key Insights</w:t>
            </w:r>
          </w:p>
        </w:tc>
        <w:tc>
          <w:tcPr>
            <w:tcW w:w="1394"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6A341945"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Illustrative Quotes</w:t>
            </w:r>
          </w:p>
        </w:tc>
      </w:tr>
      <w:tr w:rsidR="00B6764D" w:rsidRPr="00C12D7C" w14:paraId="009C3ADC" w14:textId="77777777" w:rsidTr="00011582">
        <w:trPr>
          <w:trHeight w:val="2320"/>
        </w:trPr>
        <w:tc>
          <w:tcPr>
            <w:tcW w:w="1079" w:type="pct"/>
            <w:tcBorders>
              <w:top w:val="nil"/>
              <w:left w:val="single" w:sz="4" w:space="0" w:color="auto"/>
              <w:bottom w:val="single" w:sz="4" w:space="0" w:color="auto"/>
              <w:right w:val="single" w:sz="4" w:space="0" w:color="auto"/>
            </w:tcBorders>
            <w:vAlign w:val="center"/>
            <w:hideMark/>
          </w:tcPr>
          <w:p w14:paraId="65045C59"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Section C: Business Model Expectations &amp; Entrepreneurial Strategy</w:t>
            </w:r>
          </w:p>
        </w:tc>
        <w:tc>
          <w:tcPr>
            <w:tcW w:w="1157" w:type="pct"/>
            <w:tcBorders>
              <w:top w:val="nil"/>
              <w:left w:val="nil"/>
              <w:bottom w:val="single" w:sz="4" w:space="0" w:color="auto"/>
              <w:right w:val="single" w:sz="4" w:space="0" w:color="auto"/>
            </w:tcBorders>
            <w:vAlign w:val="center"/>
            <w:hideMark/>
          </w:tcPr>
          <w:p w14:paraId="7357A310"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Health branding as differentiation- Blending tradition and innovation- Menu design, pricing, and sourcing</w:t>
            </w:r>
          </w:p>
        </w:tc>
        <w:tc>
          <w:tcPr>
            <w:tcW w:w="1370" w:type="pct"/>
            <w:tcBorders>
              <w:top w:val="nil"/>
              <w:left w:val="nil"/>
              <w:bottom w:val="single" w:sz="4" w:space="0" w:color="auto"/>
              <w:right w:val="single" w:sz="4" w:space="0" w:color="auto"/>
            </w:tcBorders>
            <w:vAlign w:val="center"/>
            <w:hideMark/>
          </w:tcPr>
          <w:p w14:paraId="041789C3"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Entrepreneurs aim to position their ventures as “healthy traditional” brands by integrating local sourcing, hygienic preparation, and balanced pricing. Strategies emphasize innovation within the framework of tradition to meet consumer expectations.</w:t>
            </w:r>
          </w:p>
        </w:tc>
        <w:tc>
          <w:tcPr>
            <w:tcW w:w="1394" w:type="pct"/>
            <w:tcBorders>
              <w:top w:val="nil"/>
              <w:left w:val="nil"/>
              <w:bottom w:val="single" w:sz="4" w:space="0" w:color="auto"/>
              <w:right w:val="single" w:sz="4" w:space="0" w:color="auto"/>
            </w:tcBorders>
            <w:vAlign w:val="center"/>
            <w:hideMark/>
          </w:tcPr>
          <w:p w14:paraId="160CB584"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 xml:space="preserve">“We must highlight native ingredients (R6)”. “Pricing is key- millets cost more but customers expect value (R10).” </w:t>
            </w:r>
          </w:p>
        </w:tc>
      </w:tr>
    </w:tbl>
    <w:p w14:paraId="048ABC5A"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59688589" w14:textId="77777777" w:rsidR="00B6764D" w:rsidRPr="00C12D7C" w:rsidRDefault="00B6764D" w:rsidP="00B6764D">
      <w:pPr>
        <w:spacing w:line="360" w:lineRule="auto"/>
        <w:jc w:val="both"/>
        <w:rPr>
          <w:rFonts w:ascii="Times New Roman" w:hAnsi="Times New Roman" w:cs="Times New Roman"/>
          <w:sz w:val="24"/>
          <w:szCs w:val="24"/>
        </w:rPr>
      </w:pPr>
    </w:p>
    <w:p w14:paraId="19D7D0FD"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Entrepreneurs consistently described a strategic approach of positioning their ventures as “healthy traditional” brands. This strategy integrates traditional culinary practices with thoughtful innovation, focusing on menu design, pricing, local sourcing, and adherence to hygiene and quality standards. As one respondent noted, “We must highlight native ingredients” (R6), while another emphasized, “Pricing is key millets cost more but customers expect value” (R10). Together, these insights illustrate a model in which innovation is carefully balanced within a traditional framework, ensuring that health, taste, and cultural authenticity remain central to business strategy.</w:t>
      </w:r>
    </w:p>
    <w:p w14:paraId="077949F0" w14:textId="77777777" w:rsidR="00B6764D" w:rsidRPr="00C12D7C" w:rsidRDefault="00B6764D" w:rsidP="00B6764D">
      <w:pPr>
        <w:spacing w:line="360" w:lineRule="auto"/>
        <w:jc w:val="both"/>
        <w:rPr>
          <w:rFonts w:ascii="Times New Roman" w:hAnsi="Times New Roman" w:cs="Times New Roman"/>
          <w:sz w:val="24"/>
          <w:szCs w:val="24"/>
        </w:rPr>
      </w:pPr>
    </w:p>
    <w:p w14:paraId="53162F5D"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4.2.4 QUALITATIVE INSIGHTS ON CUSTOMER ENGAGEMENT, LOYALTY </w:t>
      </w:r>
      <w:r>
        <w:rPr>
          <w:rFonts w:ascii="Times New Roman" w:hAnsi="Times New Roman" w:cs="Times New Roman"/>
          <w:b/>
          <w:bCs/>
          <w:sz w:val="24"/>
          <w:szCs w:val="24"/>
        </w:rPr>
        <w:t>AND</w:t>
      </w:r>
      <w:r w:rsidRPr="00C12D7C">
        <w:rPr>
          <w:rFonts w:ascii="Times New Roman" w:hAnsi="Times New Roman" w:cs="Times New Roman"/>
          <w:b/>
          <w:bCs/>
          <w:sz w:val="24"/>
          <w:szCs w:val="24"/>
        </w:rPr>
        <w:t xml:space="preserve"> BRANDING</w:t>
      </w:r>
    </w:p>
    <w:p w14:paraId="1523DEF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Section D examines customer engagement, loyalty, and the strategic integration of branding in health-focused traditional restaurants. Questions 8 to 10 explore the brand values that foster trust and connection, the types of content that encourage online engagement, and participants’ recommendations for aspiring restaurateurs in Coimbatore.</w:t>
      </w:r>
    </w:p>
    <w:p w14:paraId="1C2CD3CA" w14:textId="77777777" w:rsidR="00B6764D" w:rsidRPr="00C12D7C" w:rsidRDefault="00B6764D" w:rsidP="00B6764D">
      <w:pPr>
        <w:spacing w:line="360" w:lineRule="auto"/>
        <w:jc w:val="center"/>
        <w:rPr>
          <w:rFonts w:ascii="Times New Roman" w:hAnsi="Times New Roman" w:cs="Times New Roman"/>
          <w:b/>
          <w:bCs/>
          <w:sz w:val="24"/>
          <w:szCs w:val="24"/>
        </w:rPr>
      </w:pPr>
      <w:r w:rsidRPr="00C12D7C">
        <w:rPr>
          <w:rFonts w:ascii="Times New Roman" w:eastAsia="Times New Roman" w:hAnsi="Times New Roman" w:cs="Times New Roman"/>
          <w:color w:val="000000"/>
          <w:kern w:val="0"/>
          <w:sz w:val="24"/>
          <w:szCs w:val="24"/>
          <w:lang w:eastAsia="en-IN"/>
          <w14:ligatures w14:val="none"/>
        </w:rPr>
        <w:t xml:space="preserve">Table 4.8 Thematic Analysis of </w:t>
      </w:r>
      <w:r w:rsidRPr="00C12D7C">
        <w:rPr>
          <w:rFonts w:ascii="Times New Roman" w:hAnsi="Times New Roman" w:cs="Times New Roman"/>
          <w:sz w:val="24"/>
          <w:szCs w:val="24"/>
        </w:rPr>
        <w:t>Customer Engagement, Loyalty &amp; Branding</w:t>
      </w:r>
    </w:p>
    <w:tbl>
      <w:tblPr>
        <w:tblW w:w="5000" w:type="pct"/>
        <w:tblLook w:val="04A0" w:firstRow="1" w:lastRow="0" w:firstColumn="1" w:lastColumn="0" w:noHBand="0" w:noVBand="1"/>
      </w:tblPr>
      <w:tblGrid>
        <w:gridCol w:w="1946"/>
        <w:gridCol w:w="2086"/>
        <w:gridCol w:w="2470"/>
        <w:gridCol w:w="2514"/>
      </w:tblGrid>
      <w:tr w:rsidR="00B6764D" w:rsidRPr="00C12D7C" w14:paraId="547F598C" w14:textId="77777777" w:rsidTr="00011582">
        <w:trPr>
          <w:trHeight w:val="290"/>
        </w:trPr>
        <w:tc>
          <w:tcPr>
            <w:tcW w:w="10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C5B91B"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Main Theme</w:t>
            </w:r>
          </w:p>
        </w:tc>
        <w:tc>
          <w:tcPr>
            <w:tcW w:w="1157"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025B4104"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Subthemes</w:t>
            </w:r>
          </w:p>
        </w:tc>
        <w:tc>
          <w:tcPr>
            <w:tcW w:w="1370"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01D9E1D7"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Key Insights</w:t>
            </w:r>
          </w:p>
        </w:tc>
        <w:tc>
          <w:tcPr>
            <w:tcW w:w="1394" w:type="pct"/>
            <w:tcBorders>
              <w:top w:val="single" w:sz="4" w:space="0" w:color="auto"/>
              <w:left w:val="nil"/>
              <w:bottom w:val="single" w:sz="4" w:space="0" w:color="auto"/>
              <w:right w:val="single" w:sz="4" w:space="0" w:color="auto"/>
            </w:tcBorders>
            <w:shd w:val="clear" w:color="auto" w:fill="F2F2F2" w:themeFill="background1" w:themeFillShade="F2"/>
            <w:vAlign w:val="center"/>
            <w:hideMark/>
          </w:tcPr>
          <w:p w14:paraId="1EB9AF1B"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Illustrative Quotes</w:t>
            </w:r>
          </w:p>
        </w:tc>
      </w:tr>
      <w:tr w:rsidR="00B6764D" w:rsidRPr="00C12D7C" w14:paraId="17418C1A" w14:textId="77777777" w:rsidTr="00011582">
        <w:trPr>
          <w:trHeight w:val="1408"/>
        </w:trPr>
        <w:tc>
          <w:tcPr>
            <w:tcW w:w="1079" w:type="pct"/>
            <w:tcBorders>
              <w:top w:val="nil"/>
              <w:left w:val="single" w:sz="4" w:space="0" w:color="auto"/>
              <w:bottom w:val="single" w:sz="4" w:space="0" w:color="auto"/>
              <w:right w:val="single" w:sz="4" w:space="0" w:color="auto"/>
            </w:tcBorders>
            <w:vAlign w:val="center"/>
            <w:hideMark/>
          </w:tcPr>
          <w:p w14:paraId="349B31A4"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Section D: Customer Engagement, Loyalty, Branding &amp; Strategic Integration</w:t>
            </w:r>
          </w:p>
        </w:tc>
        <w:tc>
          <w:tcPr>
            <w:tcW w:w="1157" w:type="pct"/>
            <w:tcBorders>
              <w:top w:val="nil"/>
              <w:left w:val="nil"/>
              <w:bottom w:val="single" w:sz="4" w:space="0" w:color="auto"/>
              <w:right w:val="single" w:sz="4" w:space="0" w:color="auto"/>
            </w:tcBorders>
            <w:vAlign w:val="center"/>
            <w:hideMark/>
          </w:tcPr>
          <w:p w14:paraId="40CC3BFE"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Consistency, hygiene, and trust- Authenticity-driven loyalty- Word-of-mouth branding and customer retention</w:t>
            </w:r>
          </w:p>
        </w:tc>
        <w:tc>
          <w:tcPr>
            <w:tcW w:w="1370" w:type="pct"/>
            <w:tcBorders>
              <w:top w:val="nil"/>
              <w:left w:val="nil"/>
              <w:bottom w:val="single" w:sz="4" w:space="0" w:color="auto"/>
              <w:right w:val="single" w:sz="4" w:space="0" w:color="auto"/>
            </w:tcBorders>
            <w:vAlign w:val="center"/>
            <w:hideMark/>
          </w:tcPr>
          <w:p w14:paraId="762649D3"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Customer loyalty is nurtured through consistent quality, hygiene, and a strong connection to traditional authenticity. Repeat patronage is driven not only by satisfaction but also by the emotional resonance of culturally familiar experiences.</w:t>
            </w:r>
          </w:p>
        </w:tc>
        <w:tc>
          <w:tcPr>
            <w:tcW w:w="1394" w:type="pct"/>
            <w:tcBorders>
              <w:top w:val="nil"/>
              <w:left w:val="nil"/>
              <w:bottom w:val="single" w:sz="4" w:space="0" w:color="auto"/>
              <w:right w:val="single" w:sz="4" w:space="0" w:color="auto"/>
            </w:tcBorders>
            <w:vAlign w:val="center"/>
            <w:hideMark/>
          </w:tcPr>
          <w:p w14:paraId="35EB1997"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 xml:space="preserve">“Good service and reliability keep people coming back (R9).” “Authentic village flavours make them loyal (R4).” </w:t>
            </w:r>
          </w:p>
        </w:tc>
      </w:tr>
    </w:tbl>
    <w:p w14:paraId="48A8778B"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01FEEEE2" w14:textId="77777777" w:rsidR="00B6764D" w:rsidRPr="00C12D7C" w:rsidRDefault="00B6764D" w:rsidP="00B6764D">
      <w:pPr>
        <w:spacing w:line="360" w:lineRule="auto"/>
        <w:jc w:val="both"/>
        <w:rPr>
          <w:rFonts w:ascii="Times New Roman" w:hAnsi="Times New Roman" w:cs="Times New Roman"/>
          <w:sz w:val="24"/>
          <w:szCs w:val="24"/>
        </w:rPr>
      </w:pPr>
    </w:p>
    <w:p w14:paraId="2C1F1058"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lastRenderedPageBreak/>
        <w:t>Participants emphasized that customer retention and brand loyalty are strongly linked to consistency, authenticity, and the cultivation of emotional connections. Ensuring reliable quality and culturally meaningful experiences fosters trust and encourages repeat patronage. As one respondent noted, “Good service and reliability keep people coming back” (R9), while another observed, “Authentic village flavours make them loyal” (R4). These insights indicate that effective customer engagement in traditional, health-oriented restaurants extends beyond transactional satisfaction, highlighting the relational and cultural dimensions of loyalty.</w:t>
      </w:r>
    </w:p>
    <w:p w14:paraId="3EC2DB4F" w14:textId="77777777" w:rsidR="00B6764D" w:rsidRPr="00C12D7C" w:rsidRDefault="00B6764D" w:rsidP="00B6764D">
      <w:pPr>
        <w:spacing w:line="360" w:lineRule="auto"/>
        <w:jc w:val="both"/>
        <w:rPr>
          <w:rFonts w:ascii="Times New Roman" w:hAnsi="Times New Roman" w:cs="Times New Roman"/>
          <w:b/>
          <w:bCs/>
          <w:sz w:val="24"/>
          <w:szCs w:val="24"/>
        </w:rPr>
      </w:pPr>
    </w:p>
    <w:p w14:paraId="54644049"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4.3 ANALYTICAL INTERPRETATION</w:t>
      </w:r>
    </w:p>
    <w:p w14:paraId="2503218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findings indicate that consumer preferences in Coimbatore are strongly shaped by the intersection of cultural authenticity and health consciousness. Participants expressed a clear inclination toward traditional dishes prepared with indigenous, health-promoting ingredients, suggesting that culinary choices are guided not only by nutrition but also by emotional and cultural connections. Openness to healthier adaptations of traditional foods was generally positive, particularly when innovations respected familiar flavours and traditions, highlighting the importance of trust and cultural resonance in consumer acceptance.</w:t>
      </w:r>
    </w:p>
    <w:p w14:paraId="04297523"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Entrepreneurs reflected this understanding in their business strategies, emphasizing “healthy traditional” positioning through menu design, pricing, local sourcing, and consistent quality. Customer loyalty and engagement were closely tied to authenticity, reliability, and culturally meaningful experiences, indicating that relational and emotional factors are as important as functional satisfaction. Overall, success in Coimbatore’s health-focused traditional food segment appears to rely on integrating cultural heritage, health-conscious innovation, and relational branding to foster trust, repeat patronage, and sustainable competitive advantage.</w:t>
      </w:r>
    </w:p>
    <w:p w14:paraId="457F6B53" w14:textId="77777777" w:rsidR="00B6764D" w:rsidRPr="00C12D7C" w:rsidRDefault="00B6764D" w:rsidP="00B6764D">
      <w:pPr>
        <w:spacing w:line="360" w:lineRule="auto"/>
        <w:jc w:val="both"/>
        <w:rPr>
          <w:rFonts w:ascii="Times New Roman" w:hAnsi="Times New Roman" w:cs="Times New Roman"/>
          <w:sz w:val="24"/>
          <w:szCs w:val="24"/>
        </w:rPr>
      </w:pPr>
    </w:p>
    <w:p w14:paraId="44451E0D" w14:textId="77777777" w:rsidR="00B6764D" w:rsidRPr="00C12D7C" w:rsidRDefault="00B6764D" w:rsidP="00B6764D">
      <w:pPr>
        <w:spacing w:line="360" w:lineRule="auto"/>
        <w:jc w:val="both"/>
        <w:rPr>
          <w:rFonts w:ascii="Times New Roman" w:hAnsi="Times New Roman" w:cs="Times New Roman"/>
          <w:b/>
          <w:bCs/>
          <w:sz w:val="24"/>
          <w:szCs w:val="24"/>
        </w:rPr>
      </w:pPr>
      <w:r w:rsidRPr="00C12D7C">
        <w:rPr>
          <w:rFonts w:ascii="Times New Roman" w:hAnsi="Times New Roman" w:cs="Times New Roman"/>
          <w:b/>
          <w:bCs/>
          <w:sz w:val="24"/>
          <w:szCs w:val="24"/>
        </w:rPr>
        <w:t xml:space="preserve">4.4 </w:t>
      </w:r>
      <w:bookmarkStart w:id="7" w:name="_Hlk216354093"/>
      <w:r w:rsidRPr="00C12D7C">
        <w:rPr>
          <w:rFonts w:ascii="Times New Roman" w:hAnsi="Times New Roman" w:cs="Times New Roman"/>
          <w:b/>
          <w:bCs/>
          <w:sz w:val="24"/>
          <w:szCs w:val="24"/>
        </w:rPr>
        <w:t>ANALYTICAL DEPTH AND CRITICAL COMMENTARY</w:t>
      </w:r>
      <w:bookmarkEnd w:id="7"/>
    </w:p>
    <w:p w14:paraId="2A9EBCD4"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 xml:space="preserve">The integration of quantitative and qualitative findings shows that Coimbatore’s restaurant consumers and entrepreneurs operate within a complex ecosystem shaped by health consciousness, cultural identity, and experiential value. The results support the theoretical foundations of Chapter 2 while highlighting key tensions. Quantitative analysis confirms strong interest in healthy traditional cuisine, whereas qualitative insights reveal this enthusiasm is </w:t>
      </w:r>
      <w:r w:rsidRPr="00C12D7C">
        <w:rPr>
          <w:rFonts w:ascii="Times New Roman" w:hAnsi="Times New Roman" w:cs="Times New Roman"/>
          <w:sz w:val="24"/>
          <w:szCs w:val="24"/>
        </w:rPr>
        <w:lastRenderedPageBreak/>
        <w:t>moderated by price sensitivity, convenience, and awareness gaps, underscoring the need for market positioning that balances aspiration with affordability.</w:t>
      </w:r>
    </w:p>
    <w:p w14:paraId="26BEDE45"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findings extend Entrepreneurial Process Theory by showing that opportunity recognition in food entrepreneurship is increasingly shaped by socio-cultural legitimacy, not just market efficiency. Similarly, Customer-Centricity Theory is reframed locally, where empathy and authenticity, rather than digital convenience alone, drive engagement. Consumer Culture Theory is also dynamic—cultural symbolism and health orientation intersect to create hybrid consumption identities that are neither wholly traditional nor fully modern.</w:t>
      </w:r>
    </w:p>
    <w:p w14:paraId="0361BAF6"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The study highlights an entrepreneurial paradox: consumers desire authenticity while expecting innovation, efficiency, and global service quality. This demands adaptive strategies reconciling emotional loyalty with operational scalability. Success in Coimbatore’s food sector depends on interpreting culture as strategy, transforming heritage into a sustainable competitive advantage.</w:t>
      </w:r>
    </w:p>
    <w:p w14:paraId="6BCF47CF" w14:textId="63E8E0AB"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In conclusion, Coimbatore’s dining scene is shaped by cultural authenticity, health awareness, and entrepreneurial innovation. The results reaffirm the theoretical perspectives from Chapter 2, showing how consumer behaviour and value creation converge in a culturally rooted market. Building on these insights, the next chapter translates empirical outcomes into practical strategies for developing a customer-focused, health-oriented traditional restaurant.</w:t>
      </w:r>
    </w:p>
    <w:p w14:paraId="0A02D281"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Table 4.9 Alignment of Research Objectives, Key Findings, and Theoretical Frameworks</w:t>
      </w:r>
    </w:p>
    <w:tbl>
      <w:tblPr>
        <w:tblW w:w="8878" w:type="dxa"/>
        <w:tblLook w:val="04A0" w:firstRow="1" w:lastRow="0" w:firstColumn="1" w:lastColumn="0" w:noHBand="0" w:noVBand="1"/>
      </w:tblPr>
      <w:tblGrid>
        <w:gridCol w:w="2156"/>
        <w:gridCol w:w="2096"/>
        <w:gridCol w:w="2530"/>
        <w:gridCol w:w="2096"/>
      </w:tblGrid>
      <w:tr w:rsidR="00B6764D" w:rsidRPr="00C12D7C" w14:paraId="71D4B11B" w14:textId="77777777" w:rsidTr="00011582">
        <w:trPr>
          <w:trHeight w:val="1794"/>
        </w:trPr>
        <w:tc>
          <w:tcPr>
            <w:tcW w:w="2156" w:type="dxa"/>
            <w:tcBorders>
              <w:top w:val="single" w:sz="8" w:space="0" w:color="auto"/>
              <w:left w:val="single" w:sz="8" w:space="0" w:color="auto"/>
              <w:bottom w:val="single" w:sz="8" w:space="0" w:color="auto"/>
              <w:right w:val="single" w:sz="8" w:space="0" w:color="auto"/>
            </w:tcBorders>
            <w:shd w:val="clear" w:color="auto" w:fill="EDEDED" w:themeFill="accent3" w:themeFillTint="33"/>
            <w:vAlign w:val="center"/>
            <w:hideMark/>
          </w:tcPr>
          <w:p w14:paraId="29524D8C"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Theme</w:t>
            </w:r>
          </w:p>
        </w:tc>
        <w:tc>
          <w:tcPr>
            <w:tcW w:w="2096" w:type="dxa"/>
            <w:tcBorders>
              <w:top w:val="single" w:sz="8" w:space="0" w:color="auto"/>
              <w:left w:val="nil"/>
              <w:bottom w:val="single" w:sz="8" w:space="0" w:color="auto"/>
              <w:right w:val="single" w:sz="8" w:space="0" w:color="auto"/>
            </w:tcBorders>
            <w:shd w:val="clear" w:color="auto" w:fill="EDEDED" w:themeFill="accent3" w:themeFillTint="33"/>
            <w:vAlign w:val="center"/>
            <w:hideMark/>
          </w:tcPr>
          <w:p w14:paraId="5575AD8E"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Research Objective Addressed</w:t>
            </w:r>
          </w:p>
        </w:tc>
        <w:tc>
          <w:tcPr>
            <w:tcW w:w="2530" w:type="dxa"/>
            <w:tcBorders>
              <w:top w:val="single" w:sz="8" w:space="0" w:color="auto"/>
              <w:left w:val="nil"/>
              <w:bottom w:val="single" w:sz="8" w:space="0" w:color="auto"/>
              <w:right w:val="single" w:sz="8" w:space="0" w:color="auto"/>
            </w:tcBorders>
            <w:shd w:val="clear" w:color="auto" w:fill="EDEDED" w:themeFill="accent3" w:themeFillTint="33"/>
            <w:vAlign w:val="center"/>
            <w:hideMark/>
          </w:tcPr>
          <w:p w14:paraId="1E8FF52F"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Supporting Theories (from Chapter.2)</w:t>
            </w:r>
          </w:p>
        </w:tc>
        <w:tc>
          <w:tcPr>
            <w:tcW w:w="2096" w:type="dxa"/>
            <w:tcBorders>
              <w:top w:val="single" w:sz="8" w:space="0" w:color="auto"/>
              <w:left w:val="nil"/>
              <w:bottom w:val="single" w:sz="8" w:space="0" w:color="auto"/>
              <w:right w:val="single" w:sz="8" w:space="0" w:color="auto"/>
            </w:tcBorders>
            <w:shd w:val="clear" w:color="auto" w:fill="EDEDED" w:themeFill="accent3" w:themeFillTint="33"/>
            <w:vAlign w:val="center"/>
            <w:hideMark/>
          </w:tcPr>
          <w:p w14:paraId="13BDC253" w14:textId="77777777" w:rsidR="00B6764D" w:rsidRPr="00C12D7C" w:rsidRDefault="00B6764D" w:rsidP="00011582">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C12D7C">
              <w:rPr>
                <w:rFonts w:ascii="Times New Roman" w:eastAsia="Times New Roman" w:hAnsi="Times New Roman" w:cs="Times New Roman"/>
                <w:b/>
                <w:bCs/>
                <w:color w:val="000000"/>
                <w:kern w:val="0"/>
                <w:sz w:val="24"/>
                <w:szCs w:val="24"/>
                <w:lang w:eastAsia="en-IN"/>
                <w14:ligatures w14:val="none"/>
              </w:rPr>
              <w:t>Key Insights</w:t>
            </w:r>
          </w:p>
        </w:tc>
      </w:tr>
      <w:tr w:rsidR="00B6764D" w:rsidRPr="00C12D7C" w14:paraId="75DC72F3" w14:textId="77777777" w:rsidTr="00011582">
        <w:trPr>
          <w:trHeight w:val="3390"/>
        </w:trPr>
        <w:tc>
          <w:tcPr>
            <w:tcW w:w="2156" w:type="dxa"/>
            <w:tcBorders>
              <w:top w:val="nil"/>
              <w:left w:val="single" w:sz="8" w:space="0" w:color="auto"/>
              <w:bottom w:val="single" w:sz="8" w:space="0" w:color="auto"/>
              <w:right w:val="single" w:sz="8" w:space="0" w:color="auto"/>
            </w:tcBorders>
            <w:vAlign w:val="center"/>
            <w:hideMark/>
          </w:tcPr>
          <w:p w14:paraId="079B598A"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Consumer Preferences &amp; Health-Conscious Behaviour</w:t>
            </w:r>
          </w:p>
        </w:tc>
        <w:tc>
          <w:tcPr>
            <w:tcW w:w="2096" w:type="dxa"/>
            <w:tcBorders>
              <w:top w:val="nil"/>
              <w:left w:val="nil"/>
              <w:bottom w:val="single" w:sz="8" w:space="0" w:color="auto"/>
              <w:right w:val="single" w:sz="8" w:space="0" w:color="auto"/>
            </w:tcBorders>
            <w:vAlign w:val="center"/>
            <w:hideMark/>
          </w:tcPr>
          <w:p w14:paraId="6DC6B901"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To assess how health awareness shapes dining choices</w:t>
            </w:r>
          </w:p>
        </w:tc>
        <w:tc>
          <w:tcPr>
            <w:tcW w:w="2530" w:type="dxa"/>
            <w:tcBorders>
              <w:top w:val="nil"/>
              <w:left w:val="nil"/>
              <w:bottom w:val="single" w:sz="8" w:space="0" w:color="auto"/>
              <w:right w:val="single" w:sz="8" w:space="0" w:color="auto"/>
            </w:tcBorders>
            <w:vAlign w:val="center"/>
            <w:hideMark/>
          </w:tcPr>
          <w:p w14:paraId="7BB44C34"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Value Proposition Design; Consumer Culture Theory</w:t>
            </w:r>
          </w:p>
        </w:tc>
        <w:tc>
          <w:tcPr>
            <w:tcW w:w="2096" w:type="dxa"/>
            <w:tcBorders>
              <w:top w:val="nil"/>
              <w:left w:val="nil"/>
              <w:bottom w:val="single" w:sz="8" w:space="0" w:color="auto"/>
              <w:right w:val="single" w:sz="8" w:space="0" w:color="auto"/>
            </w:tcBorders>
            <w:vAlign w:val="center"/>
            <w:hideMark/>
          </w:tcPr>
          <w:p w14:paraId="4EDC5602"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Strong preference for health-traditional fusion; moderate education gap</w:t>
            </w:r>
          </w:p>
        </w:tc>
      </w:tr>
      <w:tr w:rsidR="00B6764D" w:rsidRPr="00C12D7C" w14:paraId="531859C2" w14:textId="77777777" w:rsidTr="00011582">
        <w:trPr>
          <w:trHeight w:val="2776"/>
        </w:trPr>
        <w:tc>
          <w:tcPr>
            <w:tcW w:w="2156" w:type="dxa"/>
            <w:tcBorders>
              <w:top w:val="nil"/>
              <w:left w:val="single" w:sz="8" w:space="0" w:color="auto"/>
              <w:bottom w:val="single" w:sz="8" w:space="0" w:color="auto"/>
              <w:right w:val="single" w:sz="8" w:space="0" w:color="auto"/>
            </w:tcBorders>
            <w:vAlign w:val="center"/>
            <w:hideMark/>
          </w:tcPr>
          <w:p w14:paraId="2532C785"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lastRenderedPageBreak/>
              <w:t>Local Market &amp; Cultural Influences</w:t>
            </w:r>
          </w:p>
        </w:tc>
        <w:tc>
          <w:tcPr>
            <w:tcW w:w="2096" w:type="dxa"/>
            <w:tcBorders>
              <w:top w:val="nil"/>
              <w:left w:val="nil"/>
              <w:bottom w:val="single" w:sz="8" w:space="0" w:color="auto"/>
              <w:right w:val="single" w:sz="8" w:space="0" w:color="auto"/>
            </w:tcBorders>
            <w:vAlign w:val="center"/>
            <w:hideMark/>
          </w:tcPr>
          <w:p w14:paraId="281CFAE1"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To explore cultural identity’s role in food selection</w:t>
            </w:r>
          </w:p>
        </w:tc>
        <w:tc>
          <w:tcPr>
            <w:tcW w:w="2530" w:type="dxa"/>
            <w:tcBorders>
              <w:top w:val="nil"/>
              <w:left w:val="nil"/>
              <w:bottom w:val="single" w:sz="8" w:space="0" w:color="auto"/>
              <w:right w:val="single" w:sz="8" w:space="0" w:color="auto"/>
            </w:tcBorders>
            <w:vAlign w:val="center"/>
            <w:hideMark/>
          </w:tcPr>
          <w:p w14:paraId="7AD1611A"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Consumer Culture Theory; Regional Consumer Behaviour</w:t>
            </w:r>
          </w:p>
        </w:tc>
        <w:tc>
          <w:tcPr>
            <w:tcW w:w="2096" w:type="dxa"/>
            <w:tcBorders>
              <w:top w:val="nil"/>
              <w:left w:val="nil"/>
              <w:bottom w:val="single" w:sz="8" w:space="0" w:color="auto"/>
              <w:right w:val="single" w:sz="8" w:space="0" w:color="auto"/>
            </w:tcBorders>
            <w:vAlign w:val="center"/>
            <w:hideMark/>
          </w:tcPr>
          <w:p w14:paraId="4D871AB4"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Authenticity and Tamil identity drive loyalty</w:t>
            </w:r>
          </w:p>
        </w:tc>
      </w:tr>
      <w:tr w:rsidR="00B6764D" w:rsidRPr="00C12D7C" w14:paraId="2438FCFE" w14:textId="77777777" w:rsidTr="00011582">
        <w:trPr>
          <w:trHeight w:val="2776"/>
        </w:trPr>
        <w:tc>
          <w:tcPr>
            <w:tcW w:w="2156" w:type="dxa"/>
            <w:tcBorders>
              <w:top w:val="nil"/>
              <w:left w:val="single" w:sz="8" w:space="0" w:color="auto"/>
              <w:bottom w:val="single" w:sz="8" w:space="0" w:color="auto"/>
              <w:right w:val="single" w:sz="8" w:space="0" w:color="auto"/>
            </w:tcBorders>
            <w:vAlign w:val="center"/>
            <w:hideMark/>
          </w:tcPr>
          <w:p w14:paraId="683856AB"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Business Model Expectations</w:t>
            </w:r>
          </w:p>
        </w:tc>
        <w:tc>
          <w:tcPr>
            <w:tcW w:w="2096" w:type="dxa"/>
            <w:tcBorders>
              <w:top w:val="nil"/>
              <w:left w:val="nil"/>
              <w:bottom w:val="single" w:sz="8" w:space="0" w:color="auto"/>
              <w:right w:val="single" w:sz="8" w:space="0" w:color="auto"/>
            </w:tcBorders>
            <w:vAlign w:val="center"/>
            <w:hideMark/>
          </w:tcPr>
          <w:p w14:paraId="5461CD3D"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To identify consumer-driven business model expectations</w:t>
            </w:r>
          </w:p>
        </w:tc>
        <w:tc>
          <w:tcPr>
            <w:tcW w:w="2530" w:type="dxa"/>
            <w:tcBorders>
              <w:top w:val="nil"/>
              <w:left w:val="nil"/>
              <w:bottom w:val="single" w:sz="8" w:space="0" w:color="auto"/>
              <w:right w:val="single" w:sz="8" w:space="0" w:color="auto"/>
            </w:tcBorders>
            <w:vAlign w:val="center"/>
            <w:hideMark/>
          </w:tcPr>
          <w:p w14:paraId="470B854F"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Business Model Canvas; Entrepreneurial Process Theory</w:t>
            </w:r>
          </w:p>
        </w:tc>
        <w:tc>
          <w:tcPr>
            <w:tcW w:w="2096" w:type="dxa"/>
            <w:tcBorders>
              <w:top w:val="nil"/>
              <w:left w:val="nil"/>
              <w:bottom w:val="single" w:sz="8" w:space="0" w:color="auto"/>
              <w:right w:val="single" w:sz="8" w:space="0" w:color="auto"/>
            </w:tcBorders>
            <w:vAlign w:val="center"/>
            <w:hideMark/>
          </w:tcPr>
          <w:p w14:paraId="200613F9"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Demand for balanced pricing, hygiene, and native ingredients</w:t>
            </w:r>
          </w:p>
        </w:tc>
      </w:tr>
      <w:tr w:rsidR="00B6764D" w:rsidRPr="00C12D7C" w14:paraId="384BF4B8" w14:textId="77777777" w:rsidTr="00011582">
        <w:trPr>
          <w:trHeight w:val="3083"/>
        </w:trPr>
        <w:tc>
          <w:tcPr>
            <w:tcW w:w="2156" w:type="dxa"/>
            <w:tcBorders>
              <w:top w:val="nil"/>
              <w:left w:val="single" w:sz="8" w:space="0" w:color="auto"/>
              <w:bottom w:val="single" w:sz="8" w:space="0" w:color="auto"/>
              <w:right w:val="single" w:sz="8" w:space="0" w:color="auto"/>
            </w:tcBorders>
            <w:vAlign w:val="center"/>
            <w:hideMark/>
          </w:tcPr>
          <w:p w14:paraId="394E6554"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Customer Engagement &amp; Branding</w:t>
            </w:r>
          </w:p>
        </w:tc>
        <w:tc>
          <w:tcPr>
            <w:tcW w:w="2096" w:type="dxa"/>
            <w:tcBorders>
              <w:top w:val="nil"/>
              <w:left w:val="nil"/>
              <w:bottom w:val="single" w:sz="8" w:space="0" w:color="auto"/>
              <w:right w:val="single" w:sz="8" w:space="0" w:color="auto"/>
            </w:tcBorders>
            <w:vAlign w:val="center"/>
            <w:hideMark/>
          </w:tcPr>
          <w:p w14:paraId="0F92252E"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To evaluate loyalty and branding strategies</w:t>
            </w:r>
          </w:p>
        </w:tc>
        <w:tc>
          <w:tcPr>
            <w:tcW w:w="2530" w:type="dxa"/>
            <w:tcBorders>
              <w:top w:val="nil"/>
              <w:left w:val="nil"/>
              <w:bottom w:val="single" w:sz="8" w:space="0" w:color="auto"/>
              <w:right w:val="single" w:sz="8" w:space="0" w:color="auto"/>
            </w:tcBorders>
            <w:vAlign w:val="center"/>
            <w:hideMark/>
          </w:tcPr>
          <w:p w14:paraId="74A90B22"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Customer-Centricity Theory</w:t>
            </w:r>
          </w:p>
        </w:tc>
        <w:tc>
          <w:tcPr>
            <w:tcW w:w="2096" w:type="dxa"/>
            <w:tcBorders>
              <w:top w:val="nil"/>
              <w:left w:val="nil"/>
              <w:bottom w:val="single" w:sz="8" w:space="0" w:color="auto"/>
              <w:right w:val="single" w:sz="8" w:space="0" w:color="auto"/>
            </w:tcBorders>
            <w:vAlign w:val="center"/>
            <w:hideMark/>
          </w:tcPr>
          <w:p w14:paraId="141D04C0" w14:textId="77777777" w:rsidR="00B6764D" w:rsidRPr="00C12D7C" w:rsidRDefault="00B6764D" w:rsidP="00011582">
            <w:pPr>
              <w:spacing w:after="0" w:line="360" w:lineRule="auto"/>
              <w:rPr>
                <w:rFonts w:ascii="Times New Roman" w:eastAsia="Times New Roman" w:hAnsi="Times New Roman" w:cs="Times New Roman"/>
                <w:color w:val="000000"/>
                <w:kern w:val="0"/>
                <w:sz w:val="24"/>
                <w:szCs w:val="24"/>
                <w:lang w:eastAsia="en-IN"/>
                <w14:ligatures w14:val="none"/>
              </w:rPr>
            </w:pPr>
            <w:r w:rsidRPr="00C12D7C">
              <w:rPr>
                <w:rFonts w:ascii="Times New Roman" w:eastAsia="Times New Roman" w:hAnsi="Times New Roman" w:cs="Times New Roman"/>
                <w:color w:val="000000"/>
                <w:kern w:val="0"/>
                <w:sz w:val="24"/>
                <w:szCs w:val="24"/>
                <w:lang w:eastAsia="en-IN"/>
                <w14:ligatures w14:val="none"/>
              </w:rPr>
              <w:t>Emotional resonance and authenticity reinforce repeat patronage</w:t>
            </w:r>
            <w:r>
              <w:rPr>
                <w:rFonts w:ascii="Times New Roman" w:eastAsia="Times New Roman" w:hAnsi="Times New Roman" w:cs="Times New Roman"/>
                <w:color w:val="000000"/>
                <w:kern w:val="0"/>
                <w:sz w:val="24"/>
                <w:szCs w:val="24"/>
                <w:lang w:eastAsia="en-IN"/>
                <w14:ligatures w14:val="none"/>
              </w:rPr>
              <w:t>.</w:t>
            </w:r>
          </w:p>
        </w:tc>
      </w:tr>
    </w:tbl>
    <w:p w14:paraId="54F80ECF" w14:textId="77777777" w:rsidR="00B6764D" w:rsidRPr="00C12D7C" w:rsidRDefault="00B6764D" w:rsidP="00B6764D">
      <w:pPr>
        <w:spacing w:line="360" w:lineRule="auto"/>
        <w:jc w:val="both"/>
        <w:rPr>
          <w:rFonts w:ascii="Times New Roman" w:hAnsi="Times New Roman" w:cs="Times New Roman"/>
          <w:sz w:val="24"/>
          <w:szCs w:val="24"/>
        </w:rPr>
      </w:pPr>
      <w:r w:rsidRPr="00C12D7C">
        <w:rPr>
          <w:rFonts w:ascii="Times New Roman" w:hAnsi="Times New Roman" w:cs="Times New Roman"/>
          <w:sz w:val="24"/>
          <w:szCs w:val="24"/>
        </w:rPr>
        <w:t>Source: Author’s own work (2025).</w:t>
      </w:r>
    </w:p>
    <w:p w14:paraId="4B5CFE7B" w14:textId="77777777" w:rsidR="00B6764D" w:rsidRPr="00C12D7C" w:rsidRDefault="00B6764D" w:rsidP="00B6764D">
      <w:pPr>
        <w:spacing w:line="360" w:lineRule="auto"/>
        <w:jc w:val="both"/>
        <w:rPr>
          <w:rFonts w:ascii="Times New Roman" w:hAnsi="Times New Roman" w:cs="Times New Roman"/>
          <w:sz w:val="24"/>
          <w:szCs w:val="24"/>
        </w:rPr>
      </w:pPr>
    </w:p>
    <w:p w14:paraId="29086161" w14:textId="77777777" w:rsidR="00B6764D" w:rsidRDefault="00B6764D"/>
    <w:p w14:paraId="32CBB3B4" w14:textId="77777777" w:rsidR="002B6BAF" w:rsidRDefault="002B6BAF" w:rsidP="00E26165">
      <w:pPr>
        <w:spacing w:line="360" w:lineRule="auto"/>
        <w:jc w:val="both"/>
        <w:rPr>
          <w:rFonts w:ascii="Times New Roman" w:hAnsi="Times New Roman" w:cs="Times New Roman"/>
          <w:b/>
          <w:bCs/>
          <w:sz w:val="24"/>
          <w:szCs w:val="24"/>
        </w:rPr>
      </w:pPr>
    </w:p>
    <w:p w14:paraId="329CEAA0" w14:textId="77777777" w:rsidR="002B6BAF" w:rsidRDefault="002B6BAF" w:rsidP="00E26165">
      <w:pPr>
        <w:spacing w:line="360" w:lineRule="auto"/>
        <w:jc w:val="both"/>
        <w:rPr>
          <w:rFonts w:ascii="Times New Roman" w:hAnsi="Times New Roman" w:cs="Times New Roman"/>
          <w:b/>
          <w:bCs/>
          <w:sz w:val="24"/>
          <w:szCs w:val="24"/>
        </w:rPr>
      </w:pPr>
    </w:p>
    <w:p w14:paraId="1A27FE6C" w14:textId="77777777" w:rsidR="002B6BAF" w:rsidRDefault="002B6BAF" w:rsidP="00E26165">
      <w:pPr>
        <w:spacing w:line="360" w:lineRule="auto"/>
        <w:jc w:val="both"/>
        <w:rPr>
          <w:rFonts w:ascii="Times New Roman" w:hAnsi="Times New Roman" w:cs="Times New Roman"/>
          <w:b/>
          <w:bCs/>
          <w:sz w:val="24"/>
          <w:szCs w:val="24"/>
        </w:rPr>
      </w:pPr>
    </w:p>
    <w:p w14:paraId="53D8F4DA" w14:textId="77777777" w:rsidR="002B6BAF" w:rsidRDefault="002B6BAF" w:rsidP="00E26165">
      <w:pPr>
        <w:spacing w:line="360" w:lineRule="auto"/>
        <w:jc w:val="both"/>
        <w:rPr>
          <w:rFonts w:ascii="Times New Roman" w:hAnsi="Times New Roman" w:cs="Times New Roman"/>
          <w:b/>
          <w:bCs/>
          <w:sz w:val="24"/>
          <w:szCs w:val="24"/>
        </w:rPr>
      </w:pPr>
    </w:p>
    <w:p w14:paraId="4BAE3A79" w14:textId="77777777" w:rsidR="002B6BAF" w:rsidRDefault="002B6BAF" w:rsidP="00E26165">
      <w:pPr>
        <w:spacing w:line="360" w:lineRule="auto"/>
        <w:jc w:val="both"/>
        <w:rPr>
          <w:rFonts w:ascii="Times New Roman" w:hAnsi="Times New Roman" w:cs="Times New Roman"/>
          <w:b/>
          <w:bCs/>
          <w:sz w:val="24"/>
          <w:szCs w:val="24"/>
        </w:rPr>
      </w:pPr>
    </w:p>
    <w:p w14:paraId="6232126F" w14:textId="77777777" w:rsidR="002B6BAF" w:rsidRDefault="002B6BAF" w:rsidP="00E26165">
      <w:pPr>
        <w:spacing w:line="360" w:lineRule="auto"/>
        <w:jc w:val="both"/>
        <w:rPr>
          <w:rFonts w:ascii="Times New Roman" w:hAnsi="Times New Roman" w:cs="Times New Roman"/>
          <w:b/>
          <w:bCs/>
          <w:sz w:val="24"/>
          <w:szCs w:val="24"/>
        </w:rPr>
      </w:pPr>
    </w:p>
    <w:p w14:paraId="51F74433" w14:textId="760613CA"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lastRenderedPageBreak/>
        <w:t>CHAPTER 5: CONCLUSION AND RECOMMENDATIONS</w:t>
      </w:r>
    </w:p>
    <w:p w14:paraId="16003A50"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This chapter provides a comprehensive synthesis and interpretation of the findings drawn from both the quantitative survey and the qualitative interviews conducted in Coimbatore. Its central aim is to contextualize these results within established theoretical frameworks, thereby revealing their broader implications for management practice, academic theory, and real-world application. </w:t>
      </w:r>
    </w:p>
    <w:p w14:paraId="21C9C41D"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By integrating both quantitative and qualitative perspectives, this chapter illuminates the nuanced ways in which health consciousness, cultural authenticity, and strategic business approaches intersect to shape Coimbatore’s rapidly evolving restaurant landscape. Beyond mere numbers or isolated narratives, the findings capture the lived experiences of local consumers and entrepreneurs, highlighting how regional identity, lifestyle trends, and entrepreneurial vision converge to redefine dining culture. This synthesis not only enhances understanding of consumer behaviour in a regional context but also offers actionable insights for restaurateurs seeking to navigate and innovate within this dynamic market, while contributing meaningfully to the broader theoretical discourse on entrepreneurship and consumer culture.</w:t>
      </w:r>
    </w:p>
    <w:p w14:paraId="54755716"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Building on the empirical findings presented in Chapter 4, this section interprets the results through the theoretic lenses delineated in Chapter 2. Each framework is applied to explain how consumer preferences, entrepreneurial behaviour, and cultural dynamics interact within Coimbatore’s evolving food ecosystem. By aligning data-driven insights with established theories such as Entrepreneurial Process Theory, Customer-Centricity, Value Proposition Design, Consumer Culture Theory, and the Business Model Canvas, the discussion translates observed patterns into broader conceptual understanding, reinforcing both the theoretical and practical significance of the study.</w:t>
      </w:r>
    </w:p>
    <w:p w14:paraId="349ADCEE" w14:textId="77777777" w:rsidR="00E26165" w:rsidRPr="00C722CA" w:rsidRDefault="00E26165" w:rsidP="00E26165">
      <w:pPr>
        <w:spacing w:line="360" w:lineRule="auto"/>
        <w:jc w:val="both"/>
        <w:rPr>
          <w:rFonts w:ascii="Times New Roman" w:hAnsi="Times New Roman" w:cs="Times New Roman"/>
          <w:sz w:val="24"/>
          <w:szCs w:val="24"/>
        </w:rPr>
      </w:pPr>
    </w:p>
    <w:p w14:paraId="341A6C8E"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5.1 ENTREPRENEURIAL PROCESS THEORY: FROM OPPORTUNITY TO VALUE CREATION</w:t>
      </w:r>
    </w:p>
    <w:p w14:paraId="74C3521C"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Entrepreneurial Process Theory views entrepreneurship as a process starting with finding a chance, gathering resources, and creating value (Bygrave &amp; Hofer, 1991). In Coimbatore, this unfolds within a cultural landscape increasingly attuned to health consciousness and renewed interest in traditional cuisine. The study shows 78% of respondents preferred traditional foods </w:t>
      </w:r>
      <w:r w:rsidRPr="00C722CA">
        <w:rPr>
          <w:rFonts w:ascii="Times New Roman" w:hAnsi="Times New Roman" w:cs="Times New Roman"/>
          <w:sz w:val="24"/>
          <w:szCs w:val="24"/>
        </w:rPr>
        <w:lastRenderedPageBreak/>
        <w:t>adapted to modern health needs, signalling a shift from convenience-oriented fast food to nutritionally meaningful alternatives. This preference aligns with interview data, where many restaurateurs noted customers inquiring about healthier preparation methods, area ingredients, and home-made dishes.</w:t>
      </w:r>
    </w:p>
    <w:p w14:paraId="0431E3CD"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Restaurateurs responded by mobilising resources rooted in cultural and culinary expertise. Cultural knowledge was treated as a strategic asset: owners employed cooks trained in heritage recipes and sourced grains and oils from regional farms. Resource mobilisation extended beyond the kitchen, with investments in Tamil-themed interiors and supply chain relationships guaranteeing reliable access to fresh resident produce. These decisions show that resource mobilisation encompasses cultural and social capital alongside financial and operational assets.</w:t>
      </w:r>
    </w:p>
    <w:p w14:paraId="08FCEB0B"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Value creation emerged when cultural resources met contemporary health expectations. Restaurateurs offering millet-based dishes, cold-pressed oils, or regionally significant greens aligned tradition with modern well-being. These offerings satisfied both nostalgia and healthfulness. Coimbatore’s restaurant entrepreneurs thus exemplify culturally grounded entrepreneurship, demonstrating that opportunity recognition and value creation are embedded in local contexts rather than abstract economic processes (Bygrave &amp; Hofer, 1991).</w:t>
      </w:r>
    </w:p>
    <w:p w14:paraId="69D1C7FB"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These findings reaffirm Bygrave and Hofer’s model of opportunity recognition and resource mobilisation and extend it by showing cultural and social capital as strategic resources. In Coimbatore, heritage knowledge and regional networks actively enable value creation, highlighting entrepreneurship in emerging markets as both a cultural and economic process.</w:t>
      </w:r>
    </w:p>
    <w:p w14:paraId="2FF1D0DC" w14:textId="77777777" w:rsidR="00E26165" w:rsidRPr="00C722CA" w:rsidRDefault="00E26165" w:rsidP="00E26165">
      <w:pPr>
        <w:spacing w:line="360" w:lineRule="auto"/>
        <w:jc w:val="both"/>
        <w:rPr>
          <w:rFonts w:ascii="Times New Roman" w:hAnsi="Times New Roman" w:cs="Times New Roman"/>
          <w:sz w:val="24"/>
          <w:szCs w:val="24"/>
        </w:rPr>
      </w:pPr>
    </w:p>
    <w:p w14:paraId="6AE6583E"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5.2 CUSTOMER-CENTRICITY: UNDERSTANDING THE HUMAN BEHIND THE CUSTOMER</w:t>
      </w:r>
    </w:p>
    <w:p w14:paraId="21D437F0"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Customer-Centricity Theory argues that customer relationships should be built on empathy and a deep understanding of needs and emotions (Shah et al., 2006). The study strongly affirms this perspective. A substantial 86% of survey respondents identified consistent service, hygiene, and personal interaction as major loyalty drivers. These insights reflect a lived cultural reality: Coimbatore diners seek connection, care, and familiarity, not just food.</w:t>
      </w:r>
    </w:p>
    <w:p w14:paraId="6572BDF0"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Interviews revealed vivid examples of customer-centric practice. Many owners learned regular customers’ preferred dishes, spicy levels, or nutritional limits. Some remembered families by name, inquired about their well-being, or prepared customised dishes for older adults or </w:t>
      </w:r>
      <w:r w:rsidRPr="00C722CA">
        <w:rPr>
          <w:rFonts w:ascii="Times New Roman" w:hAnsi="Times New Roman" w:cs="Times New Roman"/>
          <w:sz w:val="24"/>
          <w:szCs w:val="24"/>
        </w:rPr>
        <w:lastRenderedPageBreak/>
        <w:t>children. These gestures show that customer-centricity is embodied through repeated small interactions that build long-term trust.</w:t>
      </w:r>
    </w:p>
    <w:p w14:paraId="7DED9286"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From the consumer perspective, relational engagement profoundly shapes dining decisions. Patrons frequented restaurants where staff recognised them and made them comfortable. For many, these interactions were crucial when choosing traditional restaurants, which often evoke memories of home and family. Dining thus becomes a social and emotional experience rather than a mere act of consumption.</w:t>
      </w:r>
    </w:p>
    <w:p w14:paraId="1E1B25ED"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Culturally, restaurateurs balanced adapting dishes for modern dietary preferences with preserving traditional flavours. This blend of empathy and cultural sensitivity aligns with Shah et al.’s (2006) assertion that emotional alignment—not mere transactional efficiency—forms the foundation of durable customer relationships. In Coimbatore, customer-centricity emerges as a practice of cultural respect, personal connection, and attentive service.</w:t>
      </w:r>
    </w:p>
    <w:p w14:paraId="128AC9B2" w14:textId="77777777" w:rsidR="00E26165" w:rsidRPr="00C722CA" w:rsidRDefault="00E26165" w:rsidP="00E26165">
      <w:pPr>
        <w:spacing w:line="360" w:lineRule="auto"/>
        <w:jc w:val="both"/>
        <w:rPr>
          <w:rFonts w:ascii="Times New Roman" w:hAnsi="Times New Roman" w:cs="Times New Roman"/>
          <w:sz w:val="24"/>
          <w:szCs w:val="24"/>
        </w:rPr>
      </w:pPr>
    </w:p>
    <w:p w14:paraId="716867E9"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5.3 VALUE PROPOSITION DESIGN: BALANCING HEALTH AND HERITAGE</w:t>
      </w:r>
    </w:p>
    <w:p w14:paraId="4D6742F7"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Value Proposition Design, as articulated by Osterwalder et al. (2014), emphasizes developing offerings that bridge customers’ desires and unmet needs. Findings show Coimbatore diners seek dishes that maintain cultural identity while meeting contemporary health standards. Over 70% of respondents preferred meals delivering both nutritious value and reliable taste.</w:t>
      </w:r>
    </w:p>
    <w:p w14:paraId="0D80D82C"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Restaurateurs responded by modifying traditional recipes meaningfully without disrupting heritage. Interviewees described substituting refined grains with millets, using cold-pressed gingelly or groundnut oils, and sourcing regional greens and spices. These changes were not presented as “diet alternatives” but embedded within the Tamil culinary narrative. Restaurateurs often explained ingredient origins or benefits, helping consumers reconnect with fading culinary traditions.</w:t>
      </w:r>
    </w:p>
    <w:p w14:paraId="22F1CCAE"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Consumers valued this approach because it allowed food choices that were responsible yet comforting. Dining experiences merged past and present: dishes reminded them of family meals while fitting modern lifestyles. This dual resonance culinary and emotional forms the core of the region’s value proposition.</w:t>
      </w:r>
    </w:p>
    <w:p w14:paraId="3145E7A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Value creation in this context is multidimensional: it addresses health concerns, evokes cultural memory, and preserves taste integrity. This aligns with Osterwalder et al. (2014), who argue </w:t>
      </w:r>
      <w:r w:rsidRPr="00C722CA">
        <w:rPr>
          <w:rFonts w:ascii="Times New Roman" w:hAnsi="Times New Roman" w:cs="Times New Roman"/>
          <w:sz w:val="24"/>
          <w:szCs w:val="24"/>
        </w:rPr>
        <w:lastRenderedPageBreak/>
        <w:t>that strong value propositions address emotional and social aspirations, not just functional benefits. Coimbatore’s restaurateurs succeed by offering food that nurtures both body and social identity.</w:t>
      </w:r>
    </w:p>
    <w:p w14:paraId="61D4031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This interpretation broadens Osterwalder et al.’s framework, showing innovation can arise through cultural continuity rather than disruption. Restaurateurs differentiate not by abandoning tradition but by reinterpreting it, transforming familiar heritage dishes into contemporary expressions of health and authenticity.</w:t>
      </w:r>
    </w:p>
    <w:p w14:paraId="1D86C5D9" w14:textId="77777777" w:rsidR="00E26165" w:rsidRPr="00C722CA" w:rsidRDefault="00E26165" w:rsidP="00E26165">
      <w:pPr>
        <w:spacing w:line="360" w:lineRule="auto"/>
        <w:jc w:val="both"/>
        <w:rPr>
          <w:rFonts w:ascii="Times New Roman" w:hAnsi="Times New Roman" w:cs="Times New Roman"/>
          <w:sz w:val="24"/>
          <w:szCs w:val="24"/>
        </w:rPr>
      </w:pPr>
    </w:p>
    <w:p w14:paraId="5660D66B"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5.4 CONSUMER CULTURE THEORY: FOOD AS CULTURAL EXPRESSION</w:t>
      </w:r>
    </w:p>
    <w:p w14:paraId="5C0EB6BD"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Consumer Culture Theory positions consumption as a site where individuality is negotiated and expressed (Arnould &amp; Thompson, 2005). The findings from Coimbatore strongly support this framing. Seventy-two percent of respondents expressed that their dining choices were influenced by cultural familiarity, and interview accounts added depth to this preference. Restaurateurs frequently observed that customers sought dishes prepared “like they are at home” or reminiscent of village cooking styles. This indicates that dining serves as a means of cultural reaffirmation.</w:t>
      </w:r>
    </w:p>
    <w:p w14:paraId="3B8551C5"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Many restaurateurs viewed themselves as custodians of heritage, preserving cooking methods, spices and flavours that connect consumers to Tamil identity. Some described efforts to maintain authenticity even as they adapted presentations for urban contexts. For example, a traditional millet-based dish may be plated in a modern aesthetic, but its preparation remains loyal to regional norms. This blending illustrates how culture is neither static nor lost but actively reshaped in urban settings.</w:t>
      </w:r>
    </w:p>
    <w:p w14:paraId="049EB5A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 coexistence of tradition and modernity demonstrates that identity in Coimbatore is not merely inherited but continuously performed. Food becomes a medium through which individuals negotiate their relationship with heritage, modern wellness movements and regional pride. This resonates with Arnould and Thompson’s (2005) view that consumption choices are forms of cultural expression rather than simple utilitarian decisions.</w:t>
      </w:r>
    </w:p>
    <w:p w14:paraId="57AAAAC4" w14:textId="77777777" w:rsidR="00E26165"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These findings nuance Arnould and Thompson’s (2005) perspective by revealing that, in collectivist cultures like Tamil Nadu, consumption serves not only individual identity expression but also collective cultural preservation. Traditional eating in Coimbatore thus </w:t>
      </w:r>
      <w:r w:rsidRPr="00C722CA">
        <w:rPr>
          <w:rFonts w:ascii="Times New Roman" w:hAnsi="Times New Roman" w:cs="Times New Roman"/>
          <w:sz w:val="24"/>
          <w:szCs w:val="24"/>
        </w:rPr>
        <w:lastRenderedPageBreak/>
        <w:t>becomes a shared performance of belonging, reinforcing community ties while adapting to modern wellness values.</w:t>
      </w:r>
    </w:p>
    <w:p w14:paraId="2E60A252" w14:textId="77777777" w:rsidR="00AD2C47" w:rsidRPr="00C722CA" w:rsidRDefault="00AD2C47" w:rsidP="00E26165">
      <w:pPr>
        <w:spacing w:line="360" w:lineRule="auto"/>
        <w:jc w:val="both"/>
        <w:rPr>
          <w:rFonts w:ascii="Times New Roman" w:hAnsi="Times New Roman" w:cs="Times New Roman"/>
          <w:sz w:val="24"/>
          <w:szCs w:val="24"/>
        </w:rPr>
      </w:pPr>
    </w:p>
    <w:p w14:paraId="496613C5"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5.5 THE BUSINESS MODEL CANVAS: FROM VISION TO STRUCTURE</w:t>
      </w:r>
    </w:p>
    <w:p w14:paraId="6C113BFD"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Mapping the findings onto the Business Model Canvas (Osterwalder &amp; Pigneur, 2010) provides a structured view of how Coimbatore’s restaurateurs translate cultural values into operational models. Core customer segments include families, working professionals, and younger consumers seeking dining experiences that blend health, convenience, and authenticity. These groups reflect Coimbatore’s evolving demographic: health-conscious, culturally rooted, and digitally connected.</w:t>
      </w:r>
    </w:p>
    <w:p w14:paraId="6C37476D"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 value proposition revolves around traditional dishes thoughtfully revised for current health requirements. Entrepreneurs emphasised local ingredients, transparent preparation, and flavours evoking cultural memory. Offerings were delivered via dine-in, catering, takeaway, and online platforms. Festival menus, seasonal specials, and social media content further enhanced engagement and access.</w:t>
      </w:r>
    </w:p>
    <w:p w14:paraId="1FBC1DCE"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Customer relationships relied on personalised service and consistent quality. Restaurateurs described forming familial bonds with regulars, extending interactions beyond transactions. This relational approach supported loyalty and reinforced cultural sensibilities tied to traditional dining.</w:t>
      </w:r>
    </w:p>
    <w:p w14:paraId="0ED02F65"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Key resources included skilled cooks trained in traditional techniques, trusted relationships with local farmers, and inherited culinary knowledge. These underpinned operational consistency and authenticity. Revenue streams were diversified across dine-in, catering, digital orders, and festive offerings, allowing stability amid fluctuating demand.</w:t>
      </w:r>
    </w:p>
    <w:p w14:paraId="63B6FB13"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 Business Model Canvas demonstrates how cultural authenticity can be systematically organised into a sustainable and adaptable urban business structure.</w:t>
      </w:r>
    </w:p>
    <w:p w14:paraId="7DCAE961" w14:textId="77777777" w:rsidR="00E26165" w:rsidRPr="00C722CA" w:rsidRDefault="00E26165" w:rsidP="00E26165">
      <w:pPr>
        <w:spacing w:line="360" w:lineRule="auto"/>
        <w:jc w:val="both"/>
        <w:rPr>
          <w:rFonts w:ascii="Times New Roman" w:hAnsi="Times New Roman" w:cs="Times New Roman"/>
          <w:sz w:val="24"/>
          <w:szCs w:val="24"/>
        </w:rPr>
      </w:pPr>
    </w:p>
    <w:p w14:paraId="6C683A80"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5.6 INTEGRATIVE INSIGHTS: CULTURE AS A LIVING FRAMEWORK</w:t>
      </w:r>
    </w:p>
    <w:p w14:paraId="759941E6"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Bringing together all six frameworks reveals that entrepreneurship in Coimbatore’s traditional food sector operates through an overarching logic rooted in culture. Opportunity recognition is shaped by cultural trends and health transitions; resource mobilisation is grounded in traditional </w:t>
      </w:r>
      <w:r w:rsidRPr="00C722CA">
        <w:rPr>
          <w:rFonts w:ascii="Times New Roman" w:hAnsi="Times New Roman" w:cs="Times New Roman"/>
          <w:sz w:val="24"/>
          <w:szCs w:val="24"/>
        </w:rPr>
        <w:lastRenderedPageBreak/>
        <w:t>knowledge and regional relationships; and value creation blends emotional, nutritional and sensory dimensions. Customer loyalty emerges not from marketing alone but from empathy, memory and shared identity. Practical business structures reinforce these cultural values, creating models that are resilient and meaningful.</w:t>
      </w:r>
    </w:p>
    <w:p w14:paraId="1382091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Culture therefore functions not as a backdrop but as an organising principle that shapes entrepreneurial behaviour. Restaurateurs in Coimbatore do not merely serve food; they curate cultural experiences that speak to identity, belonging and well-being.</w:t>
      </w:r>
    </w:p>
    <w:p w14:paraId="7EA2BC65" w14:textId="4DE65BAD" w:rsidR="00E26165"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This integrative understanding directly reaffirms the conceptual framework proposed in Chapter 2, demonstrating that successful entrepreneurship in Coimbatore’s traditional food sector depends on the dynamic intersection of cultural authenticity, health consciousness, and adaptive business strategy</w:t>
      </w:r>
      <w:r w:rsidR="00AD2C47">
        <w:rPr>
          <w:rFonts w:ascii="Times New Roman" w:hAnsi="Times New Roman" w:cs="Times New Roman"/>
          <w:sz w:val="24"/>
          <w:szCs w:val="24"/>
        </w:rPr>
        <w:t xml:space="preserve"> </w:t>
      </w:r>
      <w:r w:rsidRPr="00C722CA">
        <w:rPr>
          <w:rFonts w:ascii="Times New Roman" w:hAnsi="Times New Roman" w:cs="Times New Roman"/>
          <w:sz w:val="24"/>
          <w:szCs w:val="24"/>
        </w:rPr>
        <w:t>each functioning as mutually reinforcing drivers of sustainable value creation.</w:t>
      </w:r>
    </w:p>
    <w:p w14:paraId="5C14B6EF" w14:textId="77777777" w:rsidR="00AD2C47" w:rsidRPr="00C722CA" w:rsidRDefault="00AD2C47" w:rsidP="00E26165">
      <w:pPr>
        <w:spacing w:line="360" w:lineRule="auto"/>
        <w:jc w:val="both"/>
        <w:rPr>
          <w:rFonts w:ascii="Times New Roman" w:hAnsi="Times New Roman" w:cs="Times New Roman"/>
          <w:sz w:val="24"/>
          <w:szCs w:val="24"/>
        </w:rPr>
      </w:pPr>
    </w:p>
    <w:p w14:paraId="44226C1F"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5.7 IMPLICATIONS FOR MANAGEMENT AND PRACTICE</w:t>
      </w:r>
    </w:p>
    <w:p w14:paraId="779ABDCC"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Building on the theoretical synthesis, this section translates the study’s insights into practical implications for entrepreneurs, managers, and policymakers in Coimbatore’s food sector. The findings show that cultural authenticity, customer empathy, and health-oriented innovation are actionable levers for competitive advantage. Aligning operations with these values enhances brand credibility, strengthens loyalty, and creates sustainable business models that reflect community identity and evolving lifestyle aspirations.</w:t>
      </w:r>
    </w:p>
    <w:p w14:paraId="06702177"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Authenticity emerges as a foundation for trust and differentiation, as modern consumers increasingly value experiences that feel genuine and emotionally resonant (Pine and Gilmore, 1999). For entrepreneurs, authenticity must be supported through transparent communication about sourcing, preparation, and cultural meaning. Customers respond positively when restaurants use local ingredients and explain the heritage behind dishes, fostering emotional connection and responsibility.</w:t>
      </w:r>
    </w:p>
    <w:p w14:paraId="16C08A81"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Entrepreneurs can further strengthen engagement by co-creating value with diners inviting them into participatory experiences such as tasting events or cultural storytelling which research identifies as a key driver of sustainable innovation and loyalty (Prahalad and Ramaswamy, 2004). Initiatives such as cooking demonstrations, festival menus, or cultural showcases enrich the dining experience and encourage repeat visits. Personalised service </w:t>
      </w:r>
      <w:r w:rsidRPr="00C722CA">
        <w:rPr>
          <w:rFonts w:ascii="Times New Roman" w:hAnsi="Times New Roman" w:cs="Times New Roman"/>
          <w:sz w:val="24"/>
          <w:szCs w:val="24"/>
        </w:rPr>
        <w:lastRenderedPageBreak/>
        <w:t>remembering preferences, greeting families warmly, or adapting dishes to dietary needs reinforces the relational nature of dining in Coimbatore.</w:t>
      </w:r>
    </w:p>
    <w:p w14:paraId="738E3A25"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Innovation must balance health focus with accessibility. While traditional health-based dishes may entail higher sourcing costs, pricing strategies should maintain inclusivity to attract broader market segments. Digital storytelling also strengthens market reach; entrepreneurs who share brand values on social media highlighting local farmers, health benefits, or cultural narratives can engage younger consumers and differentiate themselves in competitive markets.</w:t>
      </w:r>
    </w:p>
    <w:p w14:paraId="3259A1FE"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Policymakers likewise have an enabling role. Supporting farmer–restaurant partnerships can strengthen local food systems and supply chain transparency. Training programmes on indigenous nutrition, sustainable culinary practices, and business management foster culturally conscious entrepreneurship. Public initiatives such as food festivals or awareness campaigns can promote regional cuisine and healthier eating patterns.</w:t>
      </w:r>
    </w:p>
    <w:p w14:paraId="33A84D30"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These implications highlight the importance of combining business strategy with cultural sensitivity, enabling restaurants to serve as both commercial enterprises and community anchors.</w:t>
      </w:r>
    </w:p>
    <w:p w14:paraId="5AA601F4" w14:textId="77777777" w:rsidR="00E26165" w:rsidRPr="00C722CA" w:rsidRDefault="00E26165" w:rsidP="00E26165">
      <w:pPr>
        <w:spacing w:line="360" w:lineRule="auto"/>
        <w:jc w:val="both"/>
        <w:rPr>
          <w:rFonts w:ascii="Times New Roman" w:hAnsi="Times New Roman" w:cs="Times New Roman"/>
          <w:sz w:val="24"/>
          <w:szCs w:val="24"/>
        </w:rPr>
      </w:pPr>
    </w:p>
    <w:p w14:paraId="2DA5CD7A"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5.8 THEORETICAL CONTRIBUTIONS</w:t>
      </w:r>
    </w:p>
    <w:p w14:paraId="4CC8810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 preceding discussion established the managerial significance of aligning cultural authenticity, health consciousness, and customer engagement in Coimbatore’s restaurant sector. This section examines how the study extends and refines theoretical frameworks from Chapter 2. By integrating insights from Entrepreneurial Process Theory, Customer-Centricity Theory, Consumer Culture Theory, Value Proposition Design, and the Business Model Canvas, the research offers a context-sensitive understanding of entrepreneurship. It shows how cultural heritage functions as both a strategic resource and a lens for conceptualising value creation, customer relationships, and innovation in emerging urban markets.</w:t>
      </w:r>
    </w:p>
    <w:p w14:paraId="430A12B4"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 study contributes theoretically in several ways. First, it expands Entrepreneurial Process Theory by showing cultural heritage as both a resource and an opportunity. Entrepreneurs in Coimbatore mobilise cultural knowledge, memories, and regional identity alongside physical resources, illustrating a holistic view of opportunity recognition.</w:t>
      </w:r>
    </w:p>
    <w:p w14:paraId="747C4939"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lastRenderedPageBreak/>
        <w:t>Second, it enriches Customer-Centricity Theory by revealing how emotional and cultural alignment shapes loyalty. Beyond empathy and service, familiarity with taste, preparation, and ingredient origin emerges as a key dimension of customer-centricity.</w:t>
      </w:r>
    </w:p>
    <w:p w14:paraId="5F11F4A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Third, it extends Consumer Culture Theory by showing traditional cuisine as a means of identity negotiation, not merely consumption. Food choices express belonging, cultural continuity, and social connection, demonstrating how heritage is reinterpreted in urban contexts. Together, these contributions broaden understanding of entrepreneurship in emerging markets where cultural identity actively shapes economic behaviour.</w:t>
      </w:r>
    </w:p>
    <w:p w14:paraId="4EE2DE77"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Collectively, these insights bridge conceptual and empirical dimensions, reaffirming that Coimbatore’s food entrepreneurship ecosystem is a living model of culturally informed innovation. The conclusion synthesises these contributions, summarising key findings and outlining directions for future practice and research.</w:t>
      </w:r>
    </w:p>
    <w:p w14:paraId="707D5F7B" w14:textId="77777777" w:rsidR="00E26165" w:rsidRPr="00C722CA" w:rsidRDefault="00E26165" w:rsidP="00E26165">
      <w:pPr>
        <w:spacing w:line="360" w:lineRule="auto"/>
        <w:jc w:val="both"/>
        <w:rPr>
          <w:rFonts w:ascii="Times New Roman" w:hAnsi="Times New Roman" w:cs="Times New Roman"/>
          <w:sz w:val="24"/>
          <w:szCs w:val="24"/>
        </w:rPr>
      </w:pPr>
    </w:p>
    <w:p w14:paraId="14C4F33D"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5.9 CONCLUSION</w:t>
      </w:r>
    </w:p>
    <w:p w14:paraId="62B420E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Drawing from the theoretical and practical insights explored previously, this final section summarizes the main findings of the research and considers their wider implications. It revisits the original research aim and objectives, linking them directly to the empirical evidence and theoretical frameworks explored throughout the dissertation. By integrating these dimensions, the conclusion highlights how Coimbatore’s restaurant entrepreneurs demonstrate a distinct form of culturally grounded, health-conscious entrepreneurship that bridges heritage and innovation. The following synthesis summarises the central insights, distils their implications, and outlines potential directions for future research and practice.</w:t>
      </w:r>
    </w:p>
    <w:p w14:paraId="335E6102"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This research began with a meaningful question: Can a restaurant celebrate Tamil culinary tradition while meeting the health expectations of a modern city?  Exploring Coimbatore’s food landscape shows the answer lies in harmonising past and present crafting cuisine that is familiar yet responsible, traditional yet thoughtful, and comforting yet conscientious.</w:t>
      </w:r>
    </w:p>
    <w:p w14:paraId="46BC5A93"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Across Coimbatore, this balance is visible. In a small eatery, a family shares </w:t>
      </w:r>
      <w:proofErr w:type="spellStart"/>
      <w:r w:rsidRPr="00C722CA">
        <w:rPr>
          <w:rFonts w:ascii="Times New Roman" w:hAnsi="Times New Roman" w:cs="Times New Roman"/>
          <w:sz w:val="24"/>
          <w:szCs w:val="24"/>
        </w:rPr>
        <w:t>pongal</w:t>
      </w:r>
      <w:proofErr w:type="spellEnd"/>
      <w:r w:rsidRPr="00C722CA">
        <w:rPr>
          <w:rFonts w:ascii="Times New Roman" w:hAnsi="Times New Roman" w:cs="Times New Roman"/>
          <w:sz w:val="24"/>
          <w:szCs w:val="24"/>
        </w:rPr>
        <w:t xml:space="preserve"> made with millets and cold-pressed sesame oil. The parent tells their child, “This is how our ancestors ate healthy and full of flavour.” Elsewhere, a young professional orders a moringa dosa online, drawn by its nutritional and cultural significance. Survey data reinforce this pattern: over three-</w:t>
      </w:r>
      <w:r w:rsidRPr="00C722CA">
        <w:rPr>
          <w:rFonts w:ascii="Times New Roman" w:hAnsi="Times New Roman" w:cs="Times New Roman"/>
          <w:sz w:val="24"/>
          <w:szCs w:val="24"/>
        </w:rPr>
        <w:lastRenderedPageBreak/>
        <w:t>quarters of respondents prefer meals that sustain both cultural memory and bodily well-being, blending innovation with authenticity.</w:t>
      </w:r>
    </w:p>
    <w:p w14:paraId="42EB92DE"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Entrepreneurs are aware of this expectation. One restaurateur said, “When a regular asks for the cold-pressed oil of </w:t>
      </w:r>
      <w:proofErr w:type="spellStart"/>
      <w:r w:rsidRPr="00C722CA">
        <w:rPr>
          <w:rFonts w:ascii="Times New Roman" w:hAnsi="Times New Roman" w:cs="Times New Roman"/>
          <w:sz w:val="24"/>
          <w:szCs w:val="24"/>
        </w:rPr>
        <w:t>sundal</w:t>
      </w:r>
      <w:proofErr w:type="spellEnd"/>
      <w:r w:rsidRPr="00C722CA">
        <w:rPr>
          <w:rFonts w:ascii="Times New Roman" w:hAnsi="Times New Roman" w:cs="Times New Roman"/>
          <w:sz w:val="24"/>
          <w:szCs w:val="24"/>
        </w:rPr>
        <w:t>, we’re keeping memories alive.” Another recounted a Pongal festival menu where families came not just for food, but to connect with home and heritage. Across these narratives, trust, hygiene, and emotional connection emerge as core loyalty pillars, often outweighing price or marketing. For Coimbatore diners, food is a language of identity, preserved by restaurateurs through menus, service, and storytelling.</w:t>
      </w:r>
    </w:p>
    <w:p w14:paraId="626E23D7"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Theoretically, this study shows entrepreneurship in this domain is economic, cultural, and human. Frameworks like Customer-Centricity (Shah et al., 2006) and Value Proposition Design (Osterwalder et al., 2014) highlight how empathy and authenticity underpin sustainable success. Restaurateurs treating customers as collaborators in preserving culinary heritage create experiences that are nourishing and meaningful. One chef described a tasting event where patrons contributed family recipes for millet-based snacks, exemplifying value co-creation.</w:t>
      </w:r>
    </w:p>
    <w:p w14:paraId="3661DD1A"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Three key insights emerge: health and heritage can coexist modern dining can be nutritious while retaining Tamil cuisine’s warmth and identity; authenticity builds trust through transparency, local sourcing, and consistent practices; and entrepreneurship can be empathetic, honouring people as well as profit.</w:t>
      </w:r>
    </w:p>
    <w:p w14:paraId="636BFACC"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Coimbatore’s food entrepreneurs are storytellers and custodians of care, balancing heritage and modernity to offer food that is familiar yet responsible. Restaurants become spaces where culture, care, and continuity converge, connecting generations, celebrating Tamil identity, and nurturing collective well-being. By aligning authenticity with adaptability, they redefine eating as mindful, culturally grounded, and socially resonant—a model for sustainable, human-centred entrepreneurship in emerging urban markets.</w:t>
      </w:r>
    </w:p>
    <w:p w14:paraId="40814178" w14:textId="77777777" w:rsidR="00E26165" w:rsidRPr="00C722CA" w:rsidRDefault="00E26165" w:rsidP="00E26165">
      <w:pPr>
        <w:spacing w:line="360" w:lineRule="auto"/>
        <w:jc w:val="both"/>
        <w:rPr>
          <w:rFonts w:ascii="Times New Roman" w:hAnsi="Times New Roman" w:cs="Times New Roman"/>
          <w:sz w:val="24"/>
          <w:szCs w:val="24"/>
        </w:rPr>
      </w:pPr>
    </w:p>
    <w:p w14:paraId="39B97EDF" w14:textId="77777777" w:rsidR="00E26165" w:rsidRPr="00C722CA" w:rsidRDefault="00E26165" w:rsidP="00E26165">
      <w:pPr>
        <w:spacing w:line="360" w:lineRule="auto"/>
        <w:jc w:val="both"/>
        <w:rPr>
          <w:rFonts w:ascii="Times New Roman" w:hAnsi="Times New Roman" w:cs="Times New Roman"/>
          <w:b/>
          <w:bCs/>
          <w:sz w:val="24"/>
          <w:szCs w:val="24"/>
        </w:rPr>
      </w:pPr>
      <w:r w:rsidRPr="00C722CA">
        <w:rPr>
          <w:rFonts w:ascii="Times New Roman" w:hAnsi="Times New Roman" w:cs="Times New Roman"/>
          <w:b/>
          <w:bCs/>
          <w:sz w:val="24"/>
          <w:szCs w:val="24"/>
        </w:rPr>
        <w:t>5.10 RECOMMENDATIONS</w:t>
      </w:r>
    </w:p>
    <w:p w14:paraId="1C450888"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The recommendations presented below derive directly from the study’s findings and are framed to address the original research objectives. They aim to support entrepreneurs, policymakers, and researchers in fostering culturally grounded, health-oriented food entrepreneurship in Coimbatore. </w:t>
      </w:r>
    </w:p>
    <w:p w14:paraId="1F6502E1"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lastRenderedPageBreak/>
        <w:t xml:space="preserve">For entrepreneurs, the opportunity lies in blending traditional health foods—such as millet, sesame oil, and herbal spice blends into contemporary menu offerings. One restaurateur described introducing a millet-based </w:t>
      </w:r>
      <w:proofErr w:type="spellStart"/>
      <w:r w:rsidRPr="00C722CA">
        <w:rPr>
          <w:rFonts w:ascii="Times New Roman" w:hAnsi="Times New Roman" w:cs="Times New Roman"/>
          <w:sz w:val="24"/>
          <w:szCs w:val="24"/>
        </w:rPr>
        <w:t>pongal</w:t>
      </w:r>
      <w:proofErr w:type="spellEnd"/>
      <w:r w:rsidRPr="00C722CA">
        <w:rPr>
          <w:rFonts w:ascii="Times New Roman" w:hAnsi="Times New Roman" w:cs="Times New Roman"/>
          <w:sz w:val="24"/>
          <w:szCs w:val="24"/>
        </w:rPr>
        <w:t xml:space="preserve"> for breakfast, noting, “Customers loved that it reminded them of home, but they also appreciated that it was more nutritious and less heavy than the typical version.” Narrating the cultural and nutritional significance of each dish further deepens engagement; menus that explain the heritage behind recipes, or highlight the benefits of local spices, allow diners to connect emotionally with the meal. Loyalty programmes can be made more meaningful by personalising interactions recognising regular customers’ favourite dishes, celebrating birthdays with traditional treats, or offering curated tasting experiences rather than generic discounts turning each visit into a shared cultural moment.</w:t>
      </w:r>
    </w:p>
    <w:p w14:paraId="012C316E"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Policymakers and industry bodies can amplify these practices through tangible support. Facilitating partnerships between farmers and restaurants not only strengthens local sourcing but also reinforces trust in authenticity. One cooperative initiative in Coimbatore enabled restaurateurs to source fresh moringa leaves and gingelly oil directly from local farmers, creating a narrative of transparency that customers valued deeply. Training programmes focused on sustainable food entrepreneurship and indigenous nutrition can equip stakeholders to combine business acumen with cultural sensitivity. Public awareness campaigns, such as city-wide festivals celebrating regional foods or workshops on traditional healthful cooking, can further foster informed dietary choices and community well-being.</w:t>
      </w:r>
    </w:p>
    <w:p w14:paraId="17710B93"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For future research, comparative studies across South Indian cities could reveal how local culture shapes consumer behaviour and culinary preferences, offering insights for context-sensitive strategies. Longitudinal investigations could track how culturally embedded, health-focused dining influences customer loyalty and community health over time, capturing both social and nutritional impacts. Incorporating environmental sustainability metrics would provide a holistic view, ensuring that initiatives honour ecological responsibility alongside cultural and economic objectives.</w:t>
      </w:r>
    </w:p>
    <w:p w14:paraId="66D5CC3C"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 xml:space="preserve">Taken together, these recommendations illustrate that Coimbatore’s health-oriented traditional restaurant movement is a form of empathetic entrepreneurship, rooted in culture, care, and innovation. Restaurateurs are not simply selling meals they are creating experiences that preserve heritage, support community, and promote well-being. By balancing progress with preservation, these businesses demonstrate that entrepreneurship can be simultaneously </w:t>
      </w:r>
      <w:r w:rsidRPr="00C722CA">
        <w:rPr>
          <w:rFonts w:ascii="Times New Roman" w:hAnsi="Times New Roman" w:cs="Times New Roman"/>
          <w:sz w:val="24"/>
          <w:szCs w:val="24"/>
        </w:rPr>
        <w:lastRenderedPageBreak/>
        <w:t>economically viable, culturally resonant, and socially meaningful, offering a blueprint for the future of Indian dining that nurtures both body and identity.</w:t>
      </w:r>
    </w:p>
    <w:p w14:paraId="33090A3A" w14:textId="77777777" w:rsidR="00E26165" w:rsidRPr="00C722CA" w:rsidRDefault="00E26165" w:rsidP="00E26165">
      <w:pPr>
        <w:spacing w:line="360" w:lineRule="auto"/>
        <w:jc w:val="both"/>
        <w:rPr>
          <w:rFonts w:ascii="Times New Roman" w:hAnsi="Times New Roman" w:cs="Times New Roman"/>
          <w:sz w:val="24"/>
          <w:szCs w:val="24"/>
        </w:rPr>
      </w:pPr>
      <w:r w:rsidRPr="00C722CA">
        <w:rPr>
          <w:rFonts w:ascii="Times New Roman" w:hAnsi="Times New Roman" w:cs="Times New Roman"/>
          <w:sz w:val="24"/>
          <w:szCs w:val="24"/>
        </w:rPr>
        <w:t>Implementing these measures can ensure that Coimbatore’s food enterprises evolve as inclusive, sustainable, and culturally expressive models of modern Indian cuisine.</w:t>
      </w:r>
    </w:p>
    <w:p w14:paraId="1313A1F3" w14:textId="77777777" w:rsidR="00E26165" w:rsidRDefault="00E26165"/>
    <w:sectPr w:rsidR="00E26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B69E7"/>
    <w:multiLevelType w:val="multilevel"/>
    <w:tmpl w:val="3BE40C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221086"/>
    <w:multiLevelType w:val="multilevel"/>
    <w:tmpl w:val="4E4C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02581B"/>
    <w:multiLevelType w:val="multilevel"/>
    <w:tmpl w:val="88408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A85D6A"/>
    <w:multiLevelType w:val="multilevel"/>
    <w:tmpl w:val="CD024FE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78846303">
    <w:abstractNumId w:val="2"/>
  </w:num>
  <w:num w:numId="2" w16cid:durableId="1458718748">
    <w:abstractNumId w:val="1"/>
  </w:num>
  <w:num w:numId="3" w16cid:durableId="1531261493">
    <w:abstractNumId w:val="0"/>
  </w:num>
  <w:num w:numId="4" w16cid:durableId="15553096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72C"/>
    <w:rsid w:val="00011F36"/>
    <w:rsid w:val="000836BC"/>
    <w:rsid w:val="0018272C"/>
    <w:rsid w:val="002871CA"/>
    <w:rsid w:val="002B6BAF"/>
    <w:rsid w:val="003720EC"/>
    <w:rsid w:val="00393ABD"/>
    <w:rsid w:val="00395A31"/>
    <w:rsid w:val="003E273F"/>
    <w:rsid w:val="004A6A04"/>
    <w:rsid w:val="004F2AAF"/>
    <w:rsid w:val="004F3FA6"/>
    <w:rsid w:val="00630A95"/>
    <w:rsid w:val="00697F12"/>
    <w:rsid w:val="00784FB5"/>
    <w:rsid w:val="007B1920"/>
    <w:rsid w:val="008B574E"/>
    <w:rsid w:val="00975E39"/>
    <w:rsid w:val="009C1B57"/>
    <w:rsid w:val="00AD2C47"/>
    <w:rsid w:val="00B6764D"/>
    <w:rsid w:val="00C20A5D"/>
    <w:rsid w:val="00C77A1A"/>
    <w:rsid w:val="00C853F7"/>
    <w:rsid w:val="00DA577C"/>
    <w:rsid w:val="00E261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B38F8"/>
  <w15:chartTrackingRefBased/>
  <w15:docId w15:val="{00946978-1C3B-4955-B2D7-AA0920475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FA6"/>
  </w:style>
  <w:style w:type="paragraph" w:styleId="Heading1">
    <w:name w:val="heading 1"/>
    <w:basedOn w:val="Normal"/>
    <w:next w:val="Normal"/>
    <w:link w:val="Heading1Char"/>
    <w:uiPriority w:val="9"/>
    <w:qFormat/>
    <w:rsid w:val="0018272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827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827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827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27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2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7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827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272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27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27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2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72C"/>
    <w:rPr>
      <w:rFonts w:eastAsiaTheme="majorEastAsia" w:cstheme="majorBidi"/>
      <w:color w:val="272727" w:themeColor="text1" w:themeTint="D8"/>
    </w:rPr>
  </w:style>
  <w:style w:type="paragraph" w:styleId="Title">
    <w:name w:val="Title"/>
    <w:basedOn w:val="Normal"/>
    <w:next w:val="Normal"/>
    <w:link w:val="TitleChar"/>
    <w:uiPriority w:val="10"/>
    <w:qFormat/>
    <w:rsid w:val="00182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72C"/>
    <w:pPr>
      <w:spacing w:before="160"/>
      <w:jc w:val="center"/>
    </w:pPr>
    <w:rPr>
      <w:i/>
      <w:iCs/>
      <w:color w:val="404040" w:themeColor="text1" w:themeTint="BF"/>
    </w:rPr>
  </w:style>
  <w:style w:type="character" w:customStyle="1" w:styleId="QuoteChar">
    <w:name w:val="Quote Char"/>
    <w:basedOn w:val="DefaultParagraphFont"/>
    <w:link w:val="Quote"/>
    <w:uiPriority w:val="29"/>
    <w:rsid w:val="0018272C"/>
    <w:rPr>
      <w:i/>
      <w:iCs/>
      <w:color w:val="404040" w:themeColor="text1" w:themeTint="BF"/>
    </w:rPr>
  </w:style>
  <w:style w:type="paragraph" w:styleId="ListParagraph">
    <w:name w:val="List Paragraph"/>
    <w:basedOn w:val="Normal"/>
    <w:uiPriority w:val="34"/>
    <w:qFormat/>
    <w:rsid w:val="0018272C"/>
    <w:pPr>
      <w:ind w:left="720"/>
      <w:contextualSpacing/>
    </w:pPr>
  </w:style>
  <w:style w:type="character" w:styleId="IntenseEmphasis">
    <w:name w:val="Intense Emphasis"/>
    <w:basedOn w:val="DefaultParagraphFont"/>
    <w:uiPriority w:val="21"/>
    <w:qFormat/>
    <w:rsid w:val="0018272C"/>
    <w:rPr>
      <w:i/>
      <w:iCs/>
      <w:color w:val="2F5496" w:themeColor="accent1" w:themeShade="BF"/>
    </w:rPr>
  </w:style>
  <w:style w:type="paragraph" w:styleId="IntenseQuote">
    <w:name w:val="Intense Quote"/>
    <w:basedOn w:val="Normal"/>
    <w:next w:val="Normal"/>
    <w:link w:val="IntenseQuoteChar"/>
    <w:uiPriority w:val="30"/>
    <w:qFormat/>
    <w:rsid w:val="001827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272C"/>
    <w:rPr>
      <w:i/>
      <w:iCs/>
      <w:color w:val="2F5496" w:themeColor="accent1" w:themeShade="BF"/>
    </w:rPr>
  </w:style>
  <w:style w:type="character" w:styleId="IntenseReference">
    <w:name w:val="Intense Reference"/>
    <w:basedOn w:val="DefaultParagraphFont"/>
    <w:uiPriority w:val="32"/>
    <w:qFormat/>
    <w:rsid w:val="0018272C"/>
    <w:rPr>
      <w:b/>
      <w:bCs/>
      <w:smallCaps/>
      <w:color w:val="2F5496" w:themeColor="accent1" w:themeShade="BF"/>
      <w:spacing w:val="5"/>
    </w:rPr>
  </w:style>
  <w:style w:type="paragraph" w:styleId="NormalWeb">
    <w:name w:val="Normal (Web)"/>
    <w:basedOn w:val="Normal"/>
    <w:uiPriority w:val="99"/>
    <w:unhideWhenUsed/>
    <w:rsid w:val="004F3FA6"/>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chart" Target="charts/chart13.xml"/><Relationship Id="rId3" Type="http://schemas.openxmlformats.org/officeDocument/2006/relationships/settings" Target="settings.xml"/><Relationship Id="rId21" Type="http://schemas.openxmlformats.org/officeDocument/2006/relationships/chart" Target="charts/chart16.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 Type="http://schemas.openxmlformats.org/officeDocument/2006/relationships/styles" Target="styles.xml"/><Relationship Id="rId16" Type="http://schemas.openxmlformats.org/officeDocument/2006/relationships/chart" Target="charts/chart11.xml"/><Relationship Id="rId20" Type="http://schemas.openxmlformats.org/officeDocument/2006/relationships/chart" Target="charts/chart15.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chart" Target="charts/chart10.xml"/><Relationship Id="rId23" Type="http://schemas.openxmlformats.org/officeDocument/2006/relationships/fontTable" Target="fontTable.xml"/><Relationship Id="rId10" Type="http://schemas.openxmlformats.org/officeDocument/2006/relationships/chart" Target="charts/chart5.xml"/><Relationship Id="rId19" Type="http://schemas.openxmlformats.org/officeDocument/2006/relationships/chart" Target="charts/chart14.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chart" Target="charts/chart17.xml"/></Relationships>
</file>

<file path=word/charts/_rels/chart1.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A-MBA-Course%20Materials\3rd%20Sem\1Submitted\Survey-%20Raw%20Data-WIP.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D:\A-MBA-Course%20Materials\3rd%20Sem\1Submitted\Chapters\Data%20Analysis.xlsx" TargetMode="External"/><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1098779134295227E-2"/>
          <c:y val="3.84180790960452E-2"/>
          <c:w val="0.88155993983898062"/>
          <c:h val="0.77990568975488228"/>
        </c:manualLayout>
      </c:layout>
      <c:bar3DChart>
        <c:barDir val="col"/>
        <c:grouping val="clustered"/>
        <c:varyColors val="0"/>
        <c:ser>
          <c:idx val="0"/>
          <c:order val="0"/>
          <c:tx>
            <c:strRef>
              <c:f>'Final-Demogra-Nos'!$N$1</c:f>
              <c:strCache>
                <c:ptCount val="1"/>
                <c:pt idx="0">
                  <c:v>Frequency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'Final-Demogra-Nos'!$M$2:$M$7</c:f>
              <c:strCache>
                <c:ptCount val="6"/>
                <c:pt idx="0">
                  <c:v>21-30</c:v>
                </c:pt>
                <c:pt idx="1">
                  <c:v>31-40</c:v>
                </c:pt>
                <c:pt idx="2">
                  <c:v>41-50</c:v>
                </c:pt>
                <c:pt idx="3">
                  <c:v>51-60</c:v>
                </c:pt>
                <c:pt idx="4">
                  <c:v>61-70</c:v>
                </c:pt>
                <c:pt idx="5">
                  <c:v>Prefer Not to say</c:v>
                </c:pt>
              </c:strCache>
            </c:strRef>
          </c:cat>
          <c:val>
            <c:numRef>
              <c:f>'Final-Demogra-Nos'!$N$2:$N$7</c:f>
              <c:numCache>
                <c:formatCode>General</c:formatCode>
                <c:ptCount val="6"/>
                <c:pt idx="0">
                  <c:v>52</c:v>
                </c:pt>
                <c:pt idx="1">
                  <c:v>46</c:v>
                </c:pt>
                <c:pt idx="2">
                  <c:v>36</c:v>
                </c:pt>
                <c:pt idx="3">
                  <c:v>15</c:v>
                </c:pt>
                <c:pt idx="4">
                  <c:v>12</c:v>
                </c:pt>
                <c:pt idx="5">
                  <c:v>1</c:v>
                </c:pt>
              </c:numCache>
            </c:numRef>
          </c:val>
          <c:shape val="pyramid"/>
          <c:extLst>
            <c:ext xmlns:c16="http://schemas.microsoft.com/office/drawing/2014/chart" uri="{C3380CC4-5D6E-409C-BE32-E72D297353CC}">
              <c16:uniqueId val="{00000000-9D21-4983-A772-5F765A9F4756}"/>
            </c:ext>
          </c:extLst>
        </c:ser>
        <c:ser>
          <c:idx val="1"/>
          <c:order val="1"/>
          <c:tx>
            <c:strRef>
              <c:f>'Final-Demogra-Nos'!$O$1</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cat>
            <c:strRef>
              <c:f>'Final-Demogra-Nos'!$M$2:$M$7</c:f>
              <c:strCache>
                <c:ptCount val="6"/>
                <c:pt idx="0">
                  <c:v>21-30</c:v>
                </c:pt>
                <c:pt idx="1">
                  <c:v>31-40</c:v>
                </c:pt>
                <c:pt idx="2">
                  <c:v>41-50</c:v>
                </c:pt>
                <c:pt idx="3">
                  <c:v>51-60</c:v>
                </c:pt>
                <c:pt idx="4">
                  <c:v>61-70</c:v>
                </c:pt>
                <c:pt idx="5">
                  <c:v>Prefer Not to say</c:v>
                </c:pt>
              </c:strCache>
            </c:strRef>
          </c:cat>
          <c:val>
            <c:numRef>
              <c:f>'Final-Demogra-Nos'!$O$2:$O$7</c:f>
              <c:numCache>
                <c:formatCode>0%</c:formatCode>
                <c:ptCount val="6"/>
                <c:pt idx="0">
                  <c:v>0.32098765432098764</c:v>
                </c:pt>
                <c:pt idx="1">
                  <c:v>0.2839506172839506</c:v>
                </c:pt>
                <c:pt idx="2">
                  <c:v>0.22222222222222221</c:v>
                </c:pt>
                <c:pt idx="3">
                  <c:v>9.2592592592592587E-2</c:v>
                </c:pt>
                <c:pt idx="4">
                  <c:v>7.407407407407407E-2</c:v>
                </c:pt>
                <c:pt idx="5">
                  <c:v>6.1728395061728392E-3</c:v>
                </c:pt>
              </c:numCache>
            </c:numRef>
          </c:val>
          <c:shape val="pyramid"/>
          <c:extLst>
            <c:ext xmlns:c16="http://schemas.microsoft.com/office/drawing/2014/chart" uri="{C3380CC4-5D6E-409C-BE32-E72D297353CC}">
              <c16:uniqueId val="{00000001-9D21-4983-A772-5F765A9F4756}"/>
            </c:ext>
          </c:extLst>
        </c:ser>
        <c:dLbls>
          <c:showLegendKey val="0"/>
          <c:showVal val="0"/>
          <c:showCatName val="0"/>
          <c:showSerName val="0"/>
          <c:showPercent val="0"/>
          <c:showBubbleSize val="0"/>
        </c:dLbls>
        <c:gapWidth val="50"/>
        <c:gapDepth val="50"/>
        <c:shape val="box"/>
        <c:axId val="1509296832"/>
        <c:axId val="1509297312"/>
        <c:axId val="0"/>
      </c:bar3DChart>
      <c:catAx>
        <c:axId val="15092968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509297312"/>
        <c:crosses val="autoZero"/>
        <c:auto val="1"/>
        <c:lblAlgn val="ctr"/>
        <c:lblOffset val="100"/>
        <c:noMultiLvlLbl val="0"/>
      </c:catAx>
      <c:valAx>
        <c:axId val="1509297312"/>
        <c:scaling>
          <c:orientation val="minMax"/>
        </c:scaling>
        <c:delete val="1"/>
        <c:axPos val="l"/>
        <c:numFmt formatCode="General" sourceLinked="1"/>
        <c:majorTickMark val="none"/>
        <c:minorTickMark val="none"/>
        <c:tickLblPos val="nextTo"/>
        <c:crossAx val="1509296832"/>
        <c:crosses val="autoZero"/>
        <c:crossBetween val="between"/>
      </c:valAx>
      <c:spPr>
        <a:noFill/>
        <a:ln>
          <a:noFill/>
        </a:ln>
        <a:effectLst/>
      </c:spPr>
    </c:plotArea>
    <c:legend>
      <c:legendPos val="r"/>
      <c:layout>
        <c:manualLayout>
          <c:xMode val="edge"/>
          <c:yMode val="edge"/>
          <c:x val="0.86417128196054149"/>
          <c:y val="0.47477200943102449"/>
          <c:w val="0.12234557197204282"/>
          <c:h val="0.2414164331153521"/>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3363028953229399E-2"/>
          <c:y val="2.9003021148036261E-2"/>
          <c:w val="0.87874436630833175"/>
          <c:h val="0.83920451031234389"/>
        </c:manualLayout>
      </c:layout>
      <c:bar3DChart>
        <c:barDir val="col"/>
        <c:grouping val="clustered"/>
        <c:varyColors val="0"/>
        <c:ser>
          <c:idx val="0"/>
          <c:order val="0"/>
          <c:tx>
            <c:strRef>
              <c:f>'Final-Demogra-Nos'!$N$10</c:f>
              <c:strCache>
                <c:ptCount val="1"/>
                <c:pt idx="0">
                  <c:v>Frequency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'Final-Demogra-Nos'!$M$11:$M$13</c:f>
              <c:strCache>
                <c:ptCount val="3"/>
                <c:pt idx="0">
                  <c:v>Male</c:v>
                </c:pt>
                <c:pt idx="1">
                  <c:v>Female</c:v>
                </c:pt>
                <c:pt idx="2">
                  <c:v>Prefer Not to say</c:v>
                </c:pt>
              </c:strCache>
            </c:strRef>
          </c:cat>
          <c:val>
            <c:numRef>
              <c:f>'Final-Demogra-Nos'!$N$11:$N$13</c:f>
              <c:numCache>
                <c:formatCode>General</c:formatCode>
                <c:ptCount val="3"/>
                <c:pt idx="0">
                  <c:v>81</c:v>
                </c:pt>
                <c:pt idx="1">
                  <c:v>78</c:v>
                </c:pt>
                <c:pt idx="2">
                  <c:v>3</c:v>
                </c:pt>
              </c:numCache>
            </c:numRef>
          </c:val>
          <c:extLst>
            <c:ext xmlns:c16="http://schemas.microsoft.com/office/drawing/2014/chart" uri="{C3380CC4-5D6E-409C-BE32-E72D297353CC}">
              <c16:uniqueId val="{00000000-8F0F-4D62-B69D-6E08D188AC1F}"/>
            </c:ext>
          </c:extLst>
        </c:ser>
        <c:ser>
          <c:idx val="1"/>
          <c:order val="1"/>
          <c:tx>
            <c:strRef>
              <c:f>'Final-Demogra-Nos'!$O$10</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'Final-Demogra-Nos'!$M$11:$M$13</c:f>
              <c:strCache>
                <c:ptCount val="3"/>
                <c:pt idx="0">
                  <c:v>Male</c:v>
                </c:pt>
                <c:pt idx="1">
                  <c:v>Female</c:v>
                </c:pt>
                <c:pt idx="2">
                  <c:v>Prefer Not to say</c:v>
                </c:pt>
              </c:strCache>
            </c:strRef>
          </c:cat>
          <c:val>
            <c:numRef>
              <c:f>'Final-Demogra-Nos'!$O$11:$O$13</c:f>
              <c:numCache>
                <c:formatCode>0%</c:formatCode>
                <c:ptCount val="3"/>
                <c:pt idx="0">
                  <c:v>0.5</c:v>
                </c:pt>
                <c:pt idx="1">
                  <c:v>0.48148148148148145</c:v>
                </c:pt>
                <c:pt idx="2">
                  <c:v>1.8518518518518517E-2</c:v>
                </c:pt>
              </c:numCache>
            </c:numRef>
          </c:val>
          <c:extLst>
            <c:ext xmlns:c16="http://schemas.microsoft.com/office/drawing/2014/chart" uri="{C3380CC4-5D6E-409C-BE32-E72D297353CC}">
              <c16:uniqueId val="{00000001-8F0F-4D62-B69D-6E08D188AC1F}"/>
            </c:ext>
          </c:extLst>
        </c:ser>
        <c:dLbls>
          <c:showLegendKey val="0"/>
          <c:showVal val="0"/>
          <c:showCatName val="0"/>
          <c:showSerName val="0"/>
          <c:showPercent val="0"/>
          <c:showBubbleSize val="0"/>
        </c:dLbls>
        <c:gapWidth val="50"/>
        <c:gapDepth val="50"/>
        <c:shape val="box"/>
        <c:axId val="1263062928"/>
        <c:axId val="1263063408"/>
        <c:axId val="0"/>
      </c:bar3DChart>
      <c:catAx>
        <c:axId val="12630629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263063408"/>
        <c:crosses val="autoZero"/>
        <c:auto val="1"/>
        <c:lblAlgn val="ctr"/>
        <c:lblOffset val="100"/>
        <c:noMultiLvlLbl val="0"/>
      </c:catAx>
      <c:valAx>
        <c:axId val="1263063408"/>
        <c:scaling>
          <c:orientation val="minMax"/>
        </c:scaling>
        <c:delete val="1"/>
        <c:axPos val="l"/>
        <c:numFmt formatCode="General" sourceLinked="1"/>
        <c:majorTickMark val="none"/>
        <c:minorTickMark val="none"/>
        <c:tickLblPos val="nextTo"/>
        <c:crossAx val="1263062928"/>
        <c:crosses val="autoZero"/>
        <c:crossBetween val="between"/>
      </c:valAx>
      <c:spPr>
        <a:noFill/>
        <a:ln>
          <a:noFill/>
        </a:ln>
        <a:effectLst/>
      </c:spPr>
    </c:plotArea>
    <c:legend>
      <c:legendPos val="r"/>
      <c:layout>
        <c:manualLayout>
          <c:xMode val="edge"/>
          <c:yMode val="edge"/>
          <c:x val="0.86538133735510236"/>
          <c:y val="0.47301900706520444"/>
          <c:w val="0.12125563369166828"/>
          <c:h val="0.2581915931203463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5712682379349047E-2"/>
          <c:y val="5.19430071241095E-2"/>
          <c:w val="0.87779174067887977"/>
          <c:h val="0.71963067116610424"/>
        </c:manualLayout>
      </c:layout>
      <c:bar3DChart>
        <c:barDir val="col"/>
        <c:grouping val="clustered"/>
        <c:varyColors val="0"/>
        <c:ser>
          <c:idx val="0"/>
          <c:order val="0"/>
          <c:tx>
            <c:strRef>
              <c:f>'Final-Demogra-Nos'!$N$16</c:f>
              <c:strCache>
                <c:ptCount val="1"/>
                <c:pt idx="0">
                  <c:v>Frequency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'Final-Demogra-Nos'!$M$17:$M$23</c:f>
              <c:strCache>
                <c:ptCount val="7"/>
                <c:pt idx="0">
                  <c:v>1st To 9th </c:v>
                </c:pt>
                <c:pt idx="1">
                  <c:v>SSLC</c:v>
                </c:pt>
                <c:pt idx="2">
                  <c:v>HSC</c:v>
                </c:pt>
                <c:pt idx="3">
                  <c:v>Graduate (UG) </c:v>
                </c:pt>
                <c:pt idx="4">
                  <c:v>Post Graduate (PG) </c:v>
                </c:pt>
                <c:pt idx="5">
                  <c:v>Prefer Not to say</c:v>
                </c:pt>
                <c:pt idx="6">
                  <c:v>PhD</c:v>
                </c:pt>
              </c:strCache>
            </c:strRef>
          </c:cat>
          <c:val>
            <c:numRef>
              <c:f>'Final-Demogra-Nos'!$N$17:$N$23</c:f>
              <c:numCache>
                <c:formatCode>General</c:formatCode>
                <c:ptCount val="7"/>
                <c:pt idx="0">
                  <c:v>15</c:v>
                </c:pt>
                <c:pt idx="1">
                  <c:v>7</c:v>
                </c:pt>
                <c:pt idx="2">
                  <c:v>14</c:v>
                </c:pt>
                <c:pt idx="3">
                  <c:v>60</c:v>
                </c:pt>
                <c:pt idx="4">
                  <c:v>57</c:v>
                </c:pt>
                <c:pt idx="5">
                  <c:v>6</c:v>
                </c:pt>
                <c:pt idx="6">
                  <c:v>3</c:v>
                </c:pt>
              </c:numCache>
            </c:numRef>
          </c:val>
          <c:shape val="cone"/>
          <c:extLst>
            <c:ext xmlns:c16="http://schemas.microsoft.com/office/drawing/2014/chart" uri="{C3380CC4-5D6E-409C-BE32-E72D297353CC}">
              <c16:uniqueId val="{00000000-946C-47BA-8656-344A25FC0CA0}"/>
            </c:ext>
          </c:extLst>
        </c:ser>
        <c:ser>
          <c:idx val="1"/>
          <c:order val="1"/>
          <c:tx>
            <c:strRef>
              <c:f>'Final-Demogra-Nos'!$O$16</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'Final-Demogra-Nos'!$M$17:$M$23</c:f>
              <c:strCache>
                <c:ptCount val="7"/>
                <c:pt idx="0">
                  <c:v>1st To 9th </c:v>
                </c:pt>
                <c:pt idx="1">
                  <c:v>SSLC</c:v>
                </c:pt>
                <c:pt idx="2">
                  <c:v>HSC</c:v>
                </c:pt>
                <c:pt idx="3">
                  <c:v>Graduate (UG) </c:v>
                </c:pt>
                <c:pt idx="4">
                  <c:v>Post Graduate (PG) </c:v>
                </c:pt>
                <c:pt idx="5">
                  <c:v>Prefer Not to say</c:v>
                </c:pt>
                <c:pt idx="6">
                  <c:v>PhD</c:v>
                </c:pt>
              </c:strCache>
            </c:strRef>
          </c:cat>
          <c:val>
            <c:numRef>
              <c:f>'Final-Demogra-Nos'!$O$17:$O$23</c:f>
              <c:numCache>
                <c:formatCode>0%</c:formatCode>
                <c:ptCount val="7"/>
                <c:pt idx="0">
                  <c:v>9.2592592592592587E-2</c:v>
                </c:pt>
                <c:pt idx="1">
                  <c:v>4.3209876543209874E-2</c:v>
                </c:pt>
                <c:pt idx="2">
                  <c:v>8.6419753086419748E-2</c:v>
                </c:pt>
                <c:pt idx="3">
                  <c:v>0.37037037037037035</c:v>
                </c:pt>
                <c:pt idx="4">
                  <c:v>0.35185185185185186</c:v>
                </c:pt>
                <c:pt idx="5">
                  <c:v>3.7037037037037035E-2</c:v>
                </c:pt>
                <c:pt idx="6">
                  <c:v>1.8518518518518517E-2</c:v>
                </c:pt>
              </c:numCache>
            </c:numRef>
          </c:val>
          <c:extLst>
            <c:ext xmlns:c16="http://schemas.microsoft.com/office/drawing/2014/chart" uri="{C3380CC4-5D6E-409C-BE32-E72D297353CC}">
              <c16:uniqueId val="{00000001-946C-47BA-8656-344A25FC0CA0}"/>
            </c:ext>
          </c:extLst>
        </c:ser>
        <c:dLbls>
          <c:showLegendKey val="0"/>
          <c:showVal val="0"/>
          <c:showCatName val="0"/>
          <c:showSerName val="0"/>
          <c:showPercent val="0"/>
          <c:showBubbleSize val="0"/>
        </c:dLbls>
        <c:gapWidth val="50"/>
        <c:gapDepth val="50"/>
        <c:shape val="box"/>
        <c:axId val="1507976432"/>
        <c:axId val="1507978352"/>
        <c:axId val="0"/>
      </c:bar3DChart>
      <c:catAx>
        <c:axId val="15079764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507978352"/>
        <c:crosses val="autoZero"/>
        <c:auto val="1"/>
        <c:lblAlgn val="ctr"/>
        <c:lblOffset val="100"/>
        <c:noMultiLvlLbl val="0"/>
      </c:catAx>
      <c:valAx>
        <c:axId val="1507978352"/>
        <c:scaling>
          <c:orientation val="minMax"/>
        </c:scaling>
        <c:delete val="1"/>
        <c:axPos val="l"/>
        <c:numFmt formatCode="General" sourceLinked="1"/>
        <c:majorTickMark val="none"/>
        <c:minorTickMark val="none"/>
        <c:tickLblPos val="nextTo"/>
        <c:crossAx val="1507976432"/>
        <c:crosses val="autoZero"/>
        <c:crossBetween val="between"/>
      </c:valAx>
      <c:spPr>
        <a:noFill/>
        <a:ln>
          <a:noFill/>
        </a:ln>
        <a:effectLst/>
      </c:spPr>
    </c:plotArea>
    <c:legend>
      <c:legendPos val="r"/>
      <c:layout>
        <c:manualLayout>
          <c:xMode val="edge"/>
          <c:yMode val="edge"/>
          <c:x val="0.85758972047685955"/>
          <c:y val="0.38778515185601797"/>
          <c:w val="0.12220825932112021"/>
          <c:h val="0.25952942825766956"/>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5555555555555555E-2"/>
          <c:y val="3.8950595777297752E-2"/>
          <c:w val="0.8856804899387577"/>
          <c:h val="0.80286112466030246"/>
        </c:manualLayout>
      </c:layout>
      <c:bar3DChart>
        <c:barDir val="col"/>
        <c:grouping val="clustered"/>
        <c:varyColors val="0"/>
        <c:ser>
          <c:idx val="0"/>
          <c:order val="0"/>
          <c:tx>
            <c:strRef>
              <c:f>'Final-Demogra-Nos'!$T$1</c:f>
              <c:strCache>
                <c:ptCount val="1"/>
                <c:pt idx="0">
                  <c:v>Frequency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'Final-Demogra-Nos'!$S$2:$S$7</c:f>
              <c:strCache>
                <c:ptCount val="6"/>
                <c:pt idx="0">
                  <c:v>Student</c:v>
                </c:pt>
                <c:pt idx="1">
                  <c:v>Working</c:v>
                </c:pt>
                <c:pt idx="2">
                  <c:v>Homemaker</c:v>
                </c:pt>
                <c:pt idx="3">
                  <c:v>Entrepreneur</c:v>
                </c:pt>
                <c:pt idx="4">
                  <c:v>Prefer Not to say</c:v>
                </c:pt>
                <c:pt idx="5">
                  <c:v>Other</c:v>
                </c:pt>
              </c:strCache>
            </c:strRef>
          </c:cat>
          <c:val>
            <c:numRef>
              <c:f>'Final-Demogra-Nos'!$T$2:$T$7</c:f>
              <c:numCache>
                <c:formatCode>General</c:formatCode>
                <c:ptCount val="6"/>
                <c:pt idx="0">
                  <c:v>31</c:v>
                </c:pt>
                <c:pt idx="1">
                  <c:v>85</c:v>
                </c:pt>
                <c:pt idx="2">
                  <c:v>25</c:v>
                </c:pt>
                <c:pt idx="3">
                  <c:v>10</c:v>
                </c:pt>
                <c:pt idx="4">
                  <c:v>10</c:v>
                </c:pt>
                <c:pt idx="5">
                  <c:v>1</c:v>
                </c:pt>
              </c:numCache>
            </c:numRef>
          </c:val>
          <c:extLst>
            <c:ext xmlns:c16="http://schemas.microsoft.com/office/drawing/2014/chart" uri="{C3380CC4-5D6E-409C-BE32-E72D297353CC}">
              <c16:uniqueId val="{00000000-B9B7-49E9-957E-4A9BC371F0BE}"/>
            </c:ext>
          </c:extLst>
        </c:ser>
        <c:ser>
          <c:idx val="1"/>
          <c:order val="1"/>
          <c:tx>
            <c:strRef>
              <c:f>'Final-Demogra-Nos'!$U$1</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'Final-Demogra-Nos'!$S$2:$S$7</c:f>
              <c:strCache>
                <c:ptCount val="6"/>
                <c:pt idx="0">
                  <c:v>Student</c:v>
                </c:pt>
                <c:pt idx="1">
                  <c:v>Working</c:v>
                </c:pt>
                <c:pt idx="2">
                  <c:v>Homemaker</c:v>
                </c:pt>
                <c:pt idx="3">
                  <c:v>Entrepreneur</c:v>
                </c:pt>
                <c:pt idx="4">
                  <c:v>Prefer Not to say</c:v>
                </c:pt>
                <c:pt idx="5">
                  <c:v>Other</c:v>
                </c:pt>
              </c:strCache>
            </c:strRef>
          </c:cat>
          <c:val>
            <c:numRef>
              <c:f>'Final-Demogra-Nos'!$U$2:$U$7</c:f>
              <c:numCache>
                <c:formatCode>0%</c:formatCode>
                <c:ptCount val="6"/>
                <c:pt idx="0">
                  <c:v>0.19135802469135801</c:v>
                </c:pt>
                <c:pt idx="1">
                  <c:v>0.52469135802469136</c:v>
                </c:pt>
                <c:pt idx="2">
                  <c:v>0.15432098765432098</c:v>
                </c:pt>
                <c:pt idx="3">
                  <c:v>6.1728395061728392E-2</c:v>
                </c:pt>
                <c:pt idx="4">
                  <c:v>6.1728395061728392E-2</c:v>
                </c:pt>
                <c:pt idx="5">
                  <c:v>6.1728395061728392E-3</c:v>
                </c:pt>
              </c:numCache>
            </c:numRef>
          </c:val>
          <c:extLst>
            <c:ext xmlns:c16="http://schemas.microsoft.com/office/drawing/2014/chart" uri="{C3380CC4-5D6E-409C-BE32-E72D297353CC}">
              <c16:uniqueId val="{00000001-B9B7-49E9-957E-4A9BC371F0BE}"/>
            </c:ext>
          </c:extLst>
        </c:ser>
        <c:dLbls>
          <c:showLegendKey val="0"/>
          <c:showVal val="0"/>
          <c:showCatName val="0"/>
          <c:showSerName val="0"/>
          <c:showPercent val="0"/>
          <c:showBubbleSize val="0"/>
        </c:dLbls>
        <c:gapWidth val="50"/>
        <c:gapDepth val="50"/>
        <c:shape val="box"/>
        <c:axId val="1531600960"/>
        <c:axId val="1531602880"/>
        <c:axId val="0"/>
      </c:bar3DChart>
      <c:catAx>
        <c:axId val="15316009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531602880"/>
        <c:crosses val="autoZero"/>
        <c:auto val="1"/>
        <c:lblAlgn val="ctr"/>
        <c:lblOffset val="100"/>
        <c:noMultiLvlLbl val="0"/>
      </c:catAx>
      <c:valAx>
        <c:axId val="1531602880"/>
        <c:scaling>
          <c:orientation val="minMax"/>
        </c:scaling>
        <c:delete val="1"/>
        <c:axPos val="l"/>
        <c:numFmt formatCode="General" sourceLinked="1"/>
        <c:majorTickMark val="none"/>
        <c:minorTickMark val="none"/>
        <c:tickLblPos val="nextTo"/>
        <c:crossAx val="1531600960"/>
        <c:crosses val="autoZero"/>
        <c:crossBetween val="between"/>
      </c:valAx>
      <c:spPr>
        <a:noFill/>
        <a:ln>
          <a:noFill/>
        </a:ln>
        <a:effectLst/>
      </c:spPr>
    </c:plotArea>
    <c:legend>
      <c:legendPos val="r"/>
      <c:layout>
        <c:manualLayout>
          <c:xMode val="edge"/>
          <c:yMode val="edge"/>
          <c:x val="0.86123604549431321"/>
          <c:y val="0.39976273430422965"/>
          <c:w val="0.12098617672790901"/>
          <c:h val="0.2561944462824499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560758082497213E-2"/>
          <c:y val="4.4444444444444453E-2"/>
          <c:w val="0.91312476408676335"/>
          <c:h val="0.84539568917521668"/>
        </c:manualLayout>
      </c:layout>
      <c:bar3DChart>
        <c:barDir val="col"/>
        <c:grouping val="clustered"/>
        <c:varyColors val="0"/>
        <c:ser>
          <c:idx val="0"/>
          <c:order val="0"/>
          <c:tx>
            <c:strRef>
              <c:f>'Final-Demogra-Nos'!$S$11</c:f>
              <c:strCache>
                <c:ptCount val="1"/>
                <c:pt idx="0">
                  <c:v>Yes</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'Final-Demogra-Nos'!$T$10:$U$10</c:f>
              <c:strCache>
                <c:ptCount val="2"/>
                <c:pt idx="0">
                  <c:v>Frequency</c:v>
                </c:pt>
                <c:pt idx="1">
                  <c:v>Percentage</c:v>
                </c:pt>
              </c:strCache>
            </c:strRef>
          </c:cat>
          <c:val>
            <c:numRef>
              <c:f>'Final-Demogra-Nos'!$T$11:$U$11</c:f>
              <c:numCache>
                <c:formatCode>0%</c:formatCode>
                <c:ptCount val="2"/>
                <c:pt idx="0" formatCode="General">
                  <c:v>157</c:v>
                </c:pt>
                <c:pt idx="1">
                  <c:v>0.96913580246913578</c:v>
                </c:pt>
              </c:numCache>
            </c:numRef>
          </c:val>
          <c:shape val="coneToMax"/>
          <c:extLst>
            <c:ext xmlns:c16="http://schemas.microsoft.com/office/drawing/2014/chart" uri="{C3380CC4-5D6E-409C-BE32-E72D297353CC}">
              <c16:uniqueId val="{00000000-38CE-43F4-8590-C732C04A770C}"/>
            </c:ext>
          </c:extLst>
        </c:ser>
        <c:ser>
          <c:idx val="1"/>
          <c:order val="1"/>
          <c:tx>
            <c:strRef>
              <c:f>'Final-Demogra-Nos'!$S$12</c:f>
              <c:strCache>
                <c:ptCount val="1"/>
                <c:pt idx="0">
                  <c:v>No</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'Final-Demogra-Nos'!$T$10:$U$10</c:f>
              <c:strCache>
                <c:ptCount val="2"/>
                <c:pt idx="0">
                  <c:v>Frequency</c:v>
                </c:pt>
                <c:pt idx="1">
                  <c:v>Percentage</c:v>
                </c:pt>
              </c:strCache>
            </c:strRef>
          </c:cat>
          <c:val>
            <c:numRef>
              <c:f>'Final-Demogra-Nos'!$T$12:$U$12</c:f>
              <c:numCache>
                <c:formatCode>0%</c:formatCode>
                <c:ptCount val="2"/>
                <c:pt idx="0" formatCode="General">
                  <c:v>5</c:v>
                </c:pt>
                <c:pt idx="1">
                  <c:v>3.0864197530864196E-2</c:v>
                </c:pt>
              </c:numCache>
            </c:numRef>
          </c:val>
          <c:shape val="coneToMax"/>
          <c:extLst>
            <c:ext xmlns:c16="http://schemas.microsoft.com/office/drawing/2014/chart" uri="{C3380CC4-5D6E-409C-BE32-E72D297353CC}">
              <c16:uniqueId val="{00000001-38CE-43F4-8590-C732C04A770C}"/>
            </c:ext>
          </c:extLst>
        </c:ser>
        <c:dLbls>
          <c:showLegendKey val="0"/>
          <c:showVal val="0"/>
          <c:showCatName val="0"/>
          <c:showSerName val="0"/>
          <c:showPercent val="0"/>
          <c:showBubbleSize val="0"/>
        </c:dLbls>
        <c:gapWidth val="50"/>
        <c:gapDepth val="50"/>
        <c:shape val="box"/>
        <c:axId val="1539595472"/>
        <c:axId val="1539596432"/>
        <c:axId val="0"/>
      </c:bar3DChart>
      <c:catAx>
        <c:axId val="1539595472"/>
        <c:scaling>
          <c:orientation val="minMax"/>
        </c:scaling>
        <c:delete val="1"/>
        <c:axPos val="b"/>
        <c:numFmt formatCode="General" sourceLinked="1"/>
        <c:majorTickMark val="none"/>
        <c:minorTickMark val="none"/>
        <c:tickLblPos val="nextTo"/>
        <c:crossAx val="1539596432"/>
        <c:crosses val="autoZero"/>
        <c:auto val="1"/>
        <c:lblAlgn val="ctr"/>
        <c:lblOffset val="100"/>
        <c:noMultiLvlLbl val="0"/>
      </c:catAx>
      <c:valAx>
        <c:axId val="1539596432"/>
        <c:scaling>
          <c:orientation val="minMax"/>
        </c:scaling>
        <c:delete val="1"/>
        <c:axPos val="l"/>
        <c:numFmt formatCode="General" sourceLinked="1"/>
        <c:majorTickMark val="none"/>
        <c:minorTickMark val="none"/>
        <c:tickLblPos val="nextTo"/>
        <c:crossAx val="1539595472"/>
        <c:crosses val="autoZero"/>
        <c:crossBetween val="between"/>
      </c:valAx>
      <c:spPr>
        <a:noFill/>
        <a:ln>
          <a:noFill/>
        </a:ln>
        <a:effectLst/>
      </c:spPr>
    </c:plotArea>
    <c:legend>
      <c:legendPos val="r"/>
      <c:layout>
        <c:manualLayout>
          <c:xMode val="edge"/>
          <c:yMode val="edge"/>
          <c:x val="0.92204338170103317"/>
          <c:y val="0.47744770540046133"/>
          <c:w val="6.4578691877562128E-2"/>
          <c:h val="0.2208621649566531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3377926421404682E-2"/>
          <c:y val="3.5886108792274898E-2"/>
          <c:w val="0.88975745924735994"/>
          <c:h val="0.82988831983394629"/>
        </c:manualLayout>
      </c:layout>
      <c:bar3DChart>
        <c:barDir val="col"/>
        <c:grouping val="clustered"/>
        <c:varyColors val="0"/>
        <c:ser>
          <c:idx val="0"/>
          <c:order val="0"/>
          <c:tx>
            <c:strRef>
              <c:f>'Final-Demogra-Nos'!$T$16</c:f>
              <c:strCache>
                <c:ptCount val="1"/>
                <c:pt idx="0">
                  <c:v>Frequency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'Final-Demogra-Nos'!$S$17:$S$20</c:f>
              <c:strCache>
                <c:ptCount val="4"/>
                <c:pt idx="0">
                  <c:v>1- 2 times</c:v>
                </c:pt>
                <c:pt idx="1">
                  <c:v>3- 4 times</c:v>
                </c:pt>
                <c:pt idx="2">
                  <c:v>5- 6 times</c:v>
                </c:pt>
                <c:pt idx="3">
                  <c:v>Never</c:v>
                </c:pt>
              </c:strCache>
            </c:strRef>
          </c:cat>
          <c:val>
            <c:numRef>
              <c:f>'Final-Demogra-Nos'!$T$17:$T$20</c:f>
              <c:numCache>
                <c:formatCode>General</c:formatCode>
                <c:ptCount val="4"/>
                <c:pt idx="0">
                  <c:v>93</c:v>
                </c:pt>
                <c:pt idx="1">
                  <c:v>33</c:v>
                </c:pt>
                <c:pt idx="2">
                  <c:v>8</c:v>
                </c:pt>
                <c:pt idx="3">
                  <c:v>28</c:v>
                </c:pt>
              </c:numCache>
            </c:numRef>
          </c:val>
          <c:shape val="cylinder"/>
          <c:extLst>
            <c:ext xmlns:c16="http://schemas.microsoft.com/office/drawing/2014/chart" uri="{C3380CC4-5D6E-409C-BE32-E72D297353CC}">
              <c16:uniqueId val="{00000000-084D-4826-A501-E0A622020ABA}"/>
            </c:ext>
          </c:extLst>
        </c:ser>
        <c:ser>
          <c:idx val="1"/>
          <c:order val="1"/>
          <c:tx>
            <c:strRef>
              <c:f>'Final-Demogra-Nos'!$U$16</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'Final-Demogra-Nos'!$S$17:$S$20</c:f>
              <c:strCache>
                <c:ptCount val="4"/>
                <c:pt idx="0">
                  <c:v>1- 2 times</c:v>
                </c:pt>
                <c:pt idx="1">
                  <c:v>3- 4 times</c:v>
                </c:pt>
                <c:pt idx="2">
                  <c:v>5- 6 times</c:v>
                </c:pt>
                <c:pt idx="3">
                  <c:v>Never</c:v>
                </c:pt>
              </c:strCache>
            </c:strRef>
          </c:cat>
          <c:val>
            <c:numRef>
              <c:f>'Final-Demogra-Nos'!$U$17:$U$20</c:f>
              <c:numCache>
                <c:formatCode>0%</c:formatCode>
                <c:ptCount val="4"/>
                <c:pt idx="0">
                  <c:v>0.57407407407407407</c:v>
                </c:pt>
                <c:pt idx="1">
                  <c:v>0.20370370370370369</c:v>
                </c:pt>
                <c:pt idx="2">
                  <c:v>4.9382716049382713E-2</c:v>
                </c:pt>
                <c:pt idx="3">
                  <c:v>0.1728395061728395</c:v>
                </c:pt>
              </c:numCache>
            </c:numRef>
          </c:val>
          <c:shape val="cylinder"/>
          <c:extLst>
            <c:ext xmlns:c16="http://schemas.microsoft.com/office/drawing/2014/chart" uri="{C3380CC4-5D6E-409C-BE32-E72D297353CC}">
              <c16:uniqueId val="{00000001-084D-4826-A501-E0A622020ABA}"/>
            </c:ext>
          </c:extLst>
        </c:ser>
        <c:dLbls>
          <c:showLegendKey val="0"/>
          <c:showVal val="0"/>
          <c:showCatName val="0"/>
          <c:showSerName val="0"/>
          <c:showPercent val="0"/>
          <c:showBubbleSize val="0"/>
        </c:dLbls>
        <c:gapWidth val="50"/>
        <c:gapDepth val="50"/>
        <c:shape val="box"/>
        <c:axId val="1538391216"/>
        <c:axId val="1432729168"/>
        <c:axId val="0"/>
      </c:bar3DChart>
      <c:catAx>
        <c:axId val="15383912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432729168"/>
        <c:crosses val="autoZero"/>
        <c:auto val="1"/>
        <c:lblAlgn val="ctr"/>
        <c:lblOffset val="100"/>
        <c:noMultiLvlLbl val="0"/>
      </c:catAx>
      <c:valAx>
        <c:axId val="1432729168"/>
        <c:scaling>
          <c:orientation val="minMax"/>
        </c:scaling>
        <c:delete val="1"/>
        <c:axPos val="l"/>
        <c:numFmt formatCode="General" sourceLinked="1"/>
        <c:majorTickMark val="none"/>
        <c:minorTickMark val="none"/>
        <c:tickLblPos val="nextTo"/>
        <c:crossAx val="1538391216"/>
        <c:crosses val="autoZero"/>
        <c:crossBetween val="between"/>
      </c:valAx>
      <c:spPr>
        <a:noFill/>
        <a:ln>
          <a:noFill/>
        </a:ln>
        <a:effectLst/>
      </c:spPr>
    </c:plotArea>
    <c:legend>
      <c:legendPos val="r"/>
      <c:layout>
        <c:manualLayout>
          <c:xMode val="edge"/>
          <c:yMode val="edge"/>
          <c:x val="0.86523126080811807"/>
          <c:y val="0.47252089642640821"/>
          <c:w val="0.12139081277047727"/>
          <c:h val="0.26911205330102966"/>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1148272017837236E-2"/>
          <c:y val="3.4000000000000002E-2"/>
          <c:w val="0.88529815044022508"/>
          <c:h val="0.8569417322834646"/>
        </c:manualLayout>
      </c:layout>
      <c:bar3DChart>
        <c:barDir val="col"/>
        <c:grouping val="clustered"/>
        <c:varyColors val="0"/>
        <c:ser>
          <c:idx val="0"/>
          <c:order val="0"/>
          <c:tx>
            <c:strRef>
              <c:f>'Final-Demogra-Nos'!$AA$1</c:f>
              <c:strCache>
                <c:ptCount val="1"/>
                <c:pt idx="0">
                  <c:v>Frequency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'Final-Demogra-Nos'!$Z$2:$Z$5</c:f>
              <c:strCache>
                <c:ptCount val="4"/>
                <c:pt idx="0">
                  <c:v>Vegetarian</c:v>
                </c:pt>
                <c:pt idx="1">
                  <c:v>Non-vegetarian</c:v>
                </c:pt>
                <c:pt idx="2">
                  <c:v>Vegan</c:v>
                </c:pt>
                <c:pt idx="3">
                  <c:v>Both-Veg &amp; NV</c:v>
                </c:pt>
              </c:strCache>
            </c:strRef>
          </c:cat>
          <c:val>
            <c:numRef>
              <c:f>'Final-Demogra-Nos'!$AA$2:$AA$5</c:f>
              <c:numCache>
                <c:formatCode>General</c:formatCode>
                <c:ptCount val="4"/>
                <c:pt idx="0">
                  <c:v>42</c:v>
                </c:pt>
                <c:pt idx="1">
                  <c:v>106</c:v>
                </c:pt>
                <c:pt idx="2">
                  <c:v>2</c:v>
                </c:pt>
                <c:pt idx="3">
                  <c:v>12</c:v>
                </c:pt>
              </c:numCache>
            </c:numRef>
          </c:val>
          <c:extLst>
            <c:ext xmlns:c16="http://schemas.microsoft.com/office/drawing/2014/chart" uri="{C3380CC4-5D6E-409C-BE32-E72D297353CC}">
              <c16:uniqueId val="{00000000-1065-4BE4-B7AD-8F7262B309E4}"/>
            </c:ext>
          </c:extLst>
        </c:ser>
        <c:ser>
          <c:idx val="1"/>
          <c:order val="1"/>
          <c:tx>
            <c:strRef>
              <c:f>'Final-Demogra-Nos'!$AB$1</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'Final-Demogra-Nos'!$Z$2:$Z$5</c:f>
              <c:strCache>
                <c:ptCount val="4"/>
                <c:pt idx="0">
                  <c:v>Vegetarian</c:v>
                </c:pt>
                <c:pt idx="1">
                  <c:v>Non-vegetarian</c:v>
                </c:pt>
                <c:pt idx="2">
                  <c:v>Vegan</c:v>
                </c:pt>
                <c:pt idx="3">
                  <c:v>Both-Veg &amp; NV</c:v>
                </c:pt>
              </c:strCache>
            </c:strRef>
          </c:cat>
          <c:val>
            <c:numRef>
              <c:f>'Final-Demogra-Nos'!$AB$2:$AB$5</c:f>
              <c:numCache>
                <c:formatCode>0%</c:formatCode>
                <c:ptCount val="4"/>
                <c:pt idx="0">
                  <c:v>0.25925925925925924</c:v>
                </c:pt>
                <c:pt idx="1">
                  <c:v>0.65432098765432101</c:v>
                </c:pt>
                <c:pt idx="2">
                  <c:v>1.2345679012345678E-2</c:v>
                </c:pt>
                <c:pt idx="3">
                  <c:v>7.407407407407407E-2</c:v>
                </c:pt>
              </c:numCache>
            </c:numRef>
          </c:val>
          <c:extLst>
            <c:ext xmlns:c16="http://schemas.microsoft.com/office/drawing/2014/chart" uri="{C3380CC4-5D6E-409C-BE32-E72D297353CC}">
              <c16:uniqueId val="{00000001-1065-4BE4-B7AD-8F7262B309E4}"/>
            </c:ext>
          </c:extLst>
        </c:ser>
        <c:dLbls>
          <c:showLegendKey val="0"/>
          <c:showVal val="0"/>
          <c:showCatName val="0"/>
          <c:showSerName val="0"/>
          <c:showPercent val="0"/>
          <c:showBubbleSize val="0"/>
        </c:dLbls>
        <c:gapWidth val="50"/>
        <c:gapDepth val="50"/>
        <c:shape val="box"/>
        <c:axId val="1442983904"/>
        <c:axId val="1442984384"/>
        <c:axId val="0"/>
      </c:bar3DChart>
      <c:catAx>
        <c:axId val="14429839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442984384"/>
        <c:crosses val="autoZero"/>
        <c:auto val="1"/>
        <c:lblAlgn val="ctr"/>
        <c:lblOffset val="100"/>
        <c:noMultiLvlLbl val="0"/>
      </c:catAx>
      <c:valAx>
        <c:axId val="1442984384"/>
        <c:scaling>
          <c:orientation val="minMax"/>
        </c:scaling>
        <c:delete val="1"/>
        <c:axPos val="l"/>
        <c:numFmt formatCode="General" sourceLinked="1"/>
        <c:majorTickMark val="none"/>
        <c:minorTickMark val="none"/>
        <c:tickLblPos val="nextTo"/>
        <c:crossAx val="1442983904"/>
        <c:crosses val="autoZero"/>
        <c:crossBetween val="between"/>
      </c:valAx>
      <c:spPr>
        <a:noFill/>
        <a:ln>
          <a:noFill/>
        </a:ln>
        <a:effectLst/>
      </c:spPr>
    </c:plotArea>
    <c:legend>
      <c:legendPos val="r"/>
      <c:layout>
        <c:manualLayout>
          <c:xMode val="edge"/>
          <c:yMode val="edge"/>
          <c:x val="0.86523126080811807"/>
          <c:y val="0.4776732283464567"/>
          <c:w val="0.12139081277047727"/>
          <c:h val="0.21365354330708661"/>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4165354330708661E-2"/>
          <c:y val="1.896000179464746E-2"/>
          <c:w val="0.90929291338582696"/>
          <c:h val="0.65381474751553492"/>
        </c:manualLayout>
      </c:layout>
      <c:bar3DChart>
        <c:barDir val="col"/>
        <c:grouping val="clustered"/>
        <c:varyColors val="0"/>
        <c:ser>
          <c:idx val="0"/>
          <c:order val="0"/>
          <c:tx>
            <c:strRef>
              <c:f>'Final-Demogra-Nos'!$AA$10</c:f>
              <c:strCache>
                <c:ptCount val="1"/>
                <c:pt idx="0">
                  <c:v>Count</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'Final-Demogra-Nos'!$Z$11:$Z$19</c:f>
              <c:strCache>
                <c:ptCount val="9"/>
                <c:pt idx="0">
                  <c:v>High-protein </c:v>
                </c:pt>
                <c:pt idx="1">
                  <c:v>Low-fat </c:v>
                </c:pt>
                <c:pt idx="2">
                  <c:v>Gluten-free </c:v>
                </c:pt>
                <c:pt idx="3">
                  <c:v>Heart-healthy </c:v>
                </c:pt>
                <c:pt idx="4">
                  <c:v>All foods</c:v>
                </c:pt>
                <c:pt idx="5">
                  <c:v>Normal</c:v>
                </c:pt>
                <c:pt idx="6">
                  <c:v>Avoid</c:v>
                </c:pt>
                <c:pt idx="7">
                  <c:v>No </c:v>
                </c:pt>
                <c:pt idx="8">
                  <c:v>Blank</c:v>
                </c:pt>
              </c:strCache>
            </c:strRef>
          </c:cat>
          <c:val>
            <c:numRef>
              <c:f>'Final-Demogra-Nos'!$AA$11:$AA$19</c:f>
              <c:numCache>
                <c:formatCode>General</c:formatCode>
                <c:ptCount val="9"/>
                <c:pt idx="0">
                  <c:v>87</c:v>
                </c:pt>
                <c:pt idx="1">
                  <c:v>41</c:v>
                </c:pt>
                <c:pt idx="2">
                  <c:v>4</c:v>
                </c:pt>
                <c:pt idx="3">
                  <c:v>20</c:v>
                </c:pt>
                <c:pt idx="4">
                  <c:v>1</c:v>
                </c:pt>
                <c:pt idx="5">
                  <c:v>1</c:v>
                </c:pt>
                <c:pt idx="6">
                  <c:v>1</c:v>
                </c:pt>
                <c:pt idx="7">
                  <c:v>6</c:v>
                </c:pt>
                <c:pt idx="8">
                  <c:v>1</c:v>
                </c:pt>
              </c:numCache>
            </c:numRef>
          </c:val>
          <c:shape val="cylinder"/>
          <c:extLst>
            <c:ext xmlns:c16="http://schemas.microsoft.com/office/drawing/2014/chart" uri="{C3380CC4-5D6E-409C-BE32-E72D297353CC}">
              <c16:uniqueId val="{00000000-2085-41A5-8856-BEA88662A4CC}"/>
            </c:ext>
          </c:extLst>
        </c:ser>
        <c:ser>
          <c:idx val="1"/>
          <c:order val="1"/>
          <c:tx>
            <c:strRef>
              <c:f>'Final-Demogra-Nos'!$AB$10</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'Final-Demogra-Nos'!$Z$11:$Z$19</c:f>
              <c:strCache>
                <c:ptCount val="9"/>
                <c:pt idx="0">
                  <c:v>High-protein </c:v>
                </c:pt>
                <c:pt idx="1">
                  <c:v>Low-fat </c:v>
                </c:pt>
                <c:pt idx="2">
                  <c:v>Gluten-free </c:v>
                </c:pt>
                <c:pt idx="3">
                  <c:v>Heart-healthy </c:v>
                </c:pt>
                <c:pt idx="4">
                  <c:v>All foods</c:v>
                </c:pt>
                <c:pt idx="5">
                  <c:v>Normal</c:v>
                </c:pt>
                <c:pt idx="6">
                  <c:v>Avoid</c:v>
                </c:pt>
                <c:pt idx="7">
                  <c:v>No </c:v>
                </c:pt>
                <c:pt idx="8">
                  <c:v>Blank</c:v>
                </c:pt>
              </c:strCache>
            </c:strRef>
          </c:cat>
          <c:val>
            <c:numRef>
              <c:f>'Final-Demogra-Nos'!$AB$11:$AB$19</c:f>
              <c:numCache>
                <c:formatCode>0%</c:formatCode>
                <c:ptCount val="9"/>
                <c:pt idx="0">
                  <c:v>0.53703703703703709</c:v>
                </c:pt>
                <c:pt idx="1">
                  <c:v>0.25308641975308643</c:v>
                </c:pt>
                <c:pt idx="2">
                  <c:v>2.4691358024691357E-2</c:v>
                </c:pt>
                <c:pt idx="3">
                  <c:v>0.12345679012345678</c:v>
                </c:pt>
                <c:pt idx="4">
                  <c:v>6.1728395061728392E-3</c:v>
                </c:pt>
                <c:pt idx="5">
                  <c:v>6.1728395061728392E-3</c:v>
                </c:pt>
                <c:pt idx="6">
                  <c:v>6.1728395061728392E-3</c:v>
                </c:pt>
                <c:pt idx="7">
                  <c:v>3.7037037037037035E-2</c:v>
                </c:pt>
                <c:pt idx="8">
                  <c:v>6.1728395061728392E-3</c:v>
                </c:pt>
              </c:numCache>
            </c:numRef>
          </c:val>
          <c:extLst>
            <c:ext xmlns:c16="http://schemas.microsoft.com/office/drawing/2014/chart" uri="{C3380CC4-5D6E-409C-BE32-E72D297353CC}">
              <c16:uniqueId val="{00000001-2085-41A5-8856-BEA88662A4CC}"/>
            </c:ext>
          </c:extLst>
        </c:ser>
        <c:dLbls>
          <c:showLegendKey val="0"/>
          <c:showVal val="0"/>
          <c:showCatName val="0"/>
          <c:showSerName val="0"/>
          <c:showPercent val="0"/>
          <c:showBubbleSize val="0"/>
        </c:dLbls>
        <c:gapWidth val="50"/>
        <c:gapDepth val="50"/>
        <c:shape val="box"/>
        <c:axId val="1431837952"/>
        <c:axId val="1431834592"/>
        <c:axId val="0"/>
      </c:bar3DChart>
      <c:catAx>
        <c:axId val="14318379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431834592"/>
        <c:crosses val="autoZero"/>
        <c:auto val="1"/>
        <c:lblAlgn val="ctr"/>
        <c:lblOffset val="100"/>
        <c:noMultiLvlLbl val="0"/>
      </c:catAx>
      <c:valAx>
        <c:axId val="1431834592"/>
        <c:scaling>
          <c:orientation val="minMax"/>
        </c:scaling>
        <c:delete val="1"/>
        <c:axPos val="l"/>
        <c:numFmt formatCode="General" sourceLinked="1"/>
        <c:majorTickMark val="none"/>
        <c:minorTickMark val="none"/>
        <c:tickLblPos val="nextTo"/>
        <c:crossAx val="1431837952"/>
        <c:crosses val="autoZero"/>
        <c:crossBetween val="between"/>
      </c:valAx>
      <c:spPr>
        <a:noFill/>
        <a:ln>
          <a:noFill/>
        </a:ln>
        <a:effectLst/>
      </c:spPr>
    </c:plotArea>
    <c:legend>
      <c:legendPos val="r"/>
      <c:layout>
        <c:manualLayout>
          <c:xMode val="edge"/>
          <c:yMode val="edge"/>
          <c:x val="0.85679160104986873"/>
          <c:y val="0.10057742782152233"/>
          <c:w val="0.12098617672790901"/>
          <c:h val="0.24619887115880426"/>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3348164627363738E-2"/>
          <c:y val="3.6111111111111108E-2"/>
          <c:w val="0.88777802107328352"/>
          <c:h val="0.81243597704861026"/>
        </c:manualLayout>
      </c:layout>
      <c:bar3DChart>
        <c:barDir val="col"/>
        <c:grouping val="clustered"/>
        <c:varyColors val="0"/>
        <c:ser>
          <c:idx val="0"/>
          <c:order val="0"/>
          <c:tx>
            <c:strRef>
              <c:f>'Final-Demogra-Nos'!$AH$1</c:f>
              <c:strCache>
                <c:ptCount val="1"/>
                <c:pt idx="0">
                  <c:v>Frequency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'Final-Demogra-Nos'!$AG$2:$AG$5</c:f>
              <c:strCache>
                <c:ptCount val="4"/>
                <c:pt idx="0">
                  <c:v>Yes</c:v>
                </c:pt>
                <c:pt idx="1">
                  <c:v>No</c:v>
                </c:pt>
                <c:pt idx="2">
                  <c:v>Sometimes</c:v>
                </c:pt>
                <c:pt idx="3">
                  <c:v>Blank</c:v>
                </c:pt>
              </c:strCache>
            </c:strRef>
          </c:cat>
          <c:val>
            <c:numRef>
              <c:f>'Final-Demogra-Nos'!$AH$2:$AH$5</c:f>
              <c:numCache>
                <c:formatCode>General</c:formatCode>
                <c:ptCount val="4"/>
                <c:pt idx="0">
                  <c:v>77</c:v>
                </c:pt>
                <c:pt idx="1">
                  <c:v>17</c:v>
                </c:pt>
                <c:pt idx="2">
                  <c:v>67</c:v>
                </c:pt>
                <c:pt idx="3">
                  <c:v>1</c:v>
                </c:pt>
              </c:numCache>
            </c:numRef>
          </c:val>
          <c:shape val="cylinder"/>
          <c:extLst>
            <c:ext xmlns:c16="http://schemas.microsoft.com/office/drawing/2014/chart" uri="{C3380CC4-5D6E-409C-BE32-E72D297353CC}">
              <c16:uniqueId val="{00000000-D46E-4656-A7DF-18C2CCB68DD4}"/>
            </c:ext>
          </c:extLst>
        </c:ser>
        <c:ser>
          <c:idx val="1"/>
          <c:order val="1"/>
          <c:tx>
            <c:strRef>
              <c:f>'Final-Demogra-Nos'!$AI$1</c:f>
              <c:strCache>
                <c:ptCount val="1"/>
                <c:pt idx="0">
                  <c:v>Percentage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'Final-Demogra-Nos'!$AG$2:$AG$5</c:f>
              <c:strCache>
                <c:ptCount val="4"/>
                <c:pt idx="0">
                  <c:v>Yes</c:v>
                </c:pt>
                <c:pt idx="1">
                  <c:v>No</c:v>
                </c:pt>
                <c:pt idx="2">
                  <c:v>Sometimes</c:v>
                </c:pt>
                <c:pt idx="3">
                  <c:v>Blank</c:v>
                </c:pt>
              </c:strCache>
            </c:strRef>
          </c:cat>
          <c:val>
            <c:numRef>
              <c:f>'Final-Demogra-Nos'!$AI$2:$AI$5</c:f>
              <c:numCache>
                <c:formatCode>0%</c:formatCode>
                <c:ptCount val="4"/>
                <c:pt idx="0">
                  <c:v>0.47530864197530864</c:v>
                </c:pt>
                <c:pt idx="1">
                  <c:v>0.10493827160493827</c:v>
                </c:pt>
                <c:pt idx="2">
                  <c:v>0.41358024691358025</c:v>
                </c:pt>
                <c:pt idx="3">
                  <c:v>6.1728395061728392E-3</c:v>
                </c:pt>
              </c:numCache>
            </c:numRef>
          </c:val>
          <c:shape val="cylinder"/>
          <c:extLst>
            <c:ext xmlns:c16="http://schemas.microsoft.com/office/drawing/2014/chart" uri="{C3380CC4-5D6E-409C-BE32-E72D297353CC}">
              <c16:uniqueId val="{00000001-D46E-4656-A7DF-18C2CCB68DD4}"/>
            </c:ext>
          </c:extLst>
        </c:ser>
        <c:dLbls>
          <c:showLegendKey val="0"/>
          <c:showVal val="0"/>
          <c:showCatName val="0"/>
          <c:showSerName val="0"/>
          <c:showPercent val="0"/>
          <c:showBubbleSize val="0"/>
        </c:dLbls>
        <c:gapWidth val="50"/>
        <c:gapDepth val="50"/>
        <c:shape val="box"/>
        <c:axId val="1532519584"/>
        <c:axId val="1532519104"/>
        <c:axId val="0"/>
      </c:bar3DChart>
      <c:catAx>
        <c:axId val="15325195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532519104"/>
        <c:crosses val="autoZero"/>
        <c:auto val="1"/>
        <c:lblAlgn val="ctr"/>
        <c:lblOffset val="100"/>
        <c:noMultiLvlLbl val="0"/>
      </c:catAx>
      <c:valAx>
        <c:axId val="1532519104"/>
        <c:scaling>
          <c:orientation val="minMax"/>
        </c:scaling>
        <c:delete val="1"/>
        <c:axPos val="l"/>
        <c:numFmt formatCode="General" sourceLinked="1"/>
        <c:majorTickMark val="none"/>
        <c:minorTickMark val="none"/>
        <c:tickLblPos val="nextTo"/>
        <c:crossAx val="1532519584"/>
        <c:crosses val="autoZero"/>
        <c:crossBetween val="between"/>
      </c:valAx>
      <c:spPr>
        <a:noFill/>
        <a:ln>
          <a:noFill/>
        </a:ln>
        <a:effectLst/>
      </c:spPr>
    </c:plotArea>
    <c:legend>
      <c:legendPos val="r"/>
      <c:layout>
        <c:manualLayout>
          <c:xMode val="edge"/>
          <c:yMode val="edge"/>
          <c:x val="0.86553108002767731"/>
          <c:y val="0.47932706328375618"/>
          <c:w val="0.12112075534495896"/>
          <c:h val="0.2024569845435987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28575"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50701294838145228"/>
          <c:y val="4.035581326392778E-2"/>
          <c:w val="0.46854260717410323"/>
          <c:h val="0.89322109840872399"/>
        </c:manualLayout>
      </c:layout>
      <c:bar3DChart>
        <c:barDir val="bar"/>
        <c:grouping val="clustered"/>
        <c:varyColors val="0"/>
        <c:ser>
          <c:idx val="0"/>
          <c:order val="0"/>
          <c:tx>
            <c:strRef>
              <c:f>'Final-Score-1-20nos'!$B$245</c:f>
              <c:strCache>
                <c:ptCount val="1"/>
                <c:pt idx="0">
                  <c:v>Strongly Agree</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'Final-Score-1-20nos'!$C$244:$G$244</c:f>
              <c:strCache>
                <c:ptCount val="5"/>
                <c:pt idx="0">
                  <c:v>Q 1. I usually prefer eating traditional South Indian cuisine (such as dosa, idli, sambar, pongal) over other types of food like North Indian, Chinese, or continental when dining out.  </c:v>
                </c:pt>
                <c:pt idx="1">
                  <c:v>Q 2. When selecting a restaurant, I actively consider the health value and nutritional content of the food being offered, rather than only focusing on taste or quantity. </c:v>
                </c:pt>
                <c:pt idx="2">
                  <c:v>Q 3. I am open to trying healthier or modified versions of traditional South Indian dishes, such as using less oil, steamed preparations, or millets instead of rice. </c:v>
                </c:pt>
                <c:pt idx="3">
                  <c:v>Q 4. I am open to spending a bit more on meals that incorporate health-focused ingredients (like organic vegetables, cold-pressed oils, and whole grains) in their cooking. </c:v>
                </c:pt>
                <c:pt idx="4">
                  <c:v>Q 5. I tend to prefer restaurants that provide the option to customize dishes based on individual health requirements, such as those that offer choices with lower oil, salt, or spice content. </c:v>
                </c:pt>
              </c:strCache>
            </c:strRef>
          </c:cat>
          <c:val>
            <c:numRef>
              <c:f>'Final-Score-1-20nos'!$C$245:$G$245</c:f>
              <c:numCache>
                <c:formatCode>General</c:formatCode>
                <c:ptCount val="5"/>
                <c:pt idx="0">
                  <c:v>46</c:v>
                </c:pt>
                <c:pt idx="1">
                  <c:v>36</c:v>
                </c:pt>
                <c:pt idx="2">
                  <c:v>45</c:v>
                </c:pt>
                <c:pt idx="3">
                  <c:v>45</c:v>
                </c:pt>
                <c:pt idx="4">
                  <c:v>35</c:v>
                </c:pt>
              </c:numCache>
            </c:numRef>
          </c:val>
          <c:shape val="cylinder"/>
          <c:extLst>
            <c:ext xmlns:c16="http://schemas.microsoft.com/office/drawing/2014/chart" uri="{C3380CC4-5D6E-409C-BE32-E72D297353CC}">
              <c16:uniqueId val="{00000000-A84B-4E68-9786-A6976277C865}"/>
            </c:ext>
          </c:extLst>
        </c:ser>
        <c:ser>
          <c:idx val="1"/>
          <c:order val="1"/>
          <c:tx>
            <c:strRef>
              <c:f>'Final-Score-1-20nos'!$B$246</c:f>
              <c:strCache>
                <c:ptCount val="1"/>
                <c:pt idx="0">
                  <c:v>Agree</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'Final-Score-1-20nos'!$C$244:$G$244</c:f>
              <c:strCache>
                <c:ptCount val="5"/>
                <c:pt idx="0">
                  <c:v>Q 1. I usually prefer eating traditional South Indian cuisine (such as dosa, idli, sambar, pongal) over other types of food like North Indian, Chinese, or continental when dining out.  </c:v>
                </c:pt>
                <c:pt idx="1">
                  <c:v>Q 2. When selecting a restaurant, I actively consider the health value and nutritional content of the food being offered, rather than only focusing on taste or quantity. </c:v>
                </c:pt>
                <c:pt idx="2">
                  <c:v>Q 3. I am open to trying healthier or modified versions of traditional South Indian dishes, such as using less oil, steamed preparations, or millets instead of rice. </c:v>
                </c:pt>
                <c:pt idx="3">
                  <c:v>Q 4. I am open to spending a bit more on meals that incorporate health-focused ingredients (like organic vegetables, cold-pressed oils, and whole grains) in their cooking. </c:v>
                </c:pt>
                <c:pt idx="4">
                  <c:v>Q 5. I tend to prefer restaurants that provide the option to customize dishes based on individual health requirements, such as those that offer choices with lower oil, salt, or spice content. </c:v>
                </c:pt>
              </c:strCache>
            </c:strRef>
          </c:cat>
          <c:val>
            <c:numRef>
              <c:f>'Final-Score-1-20nos'!$C$246:$G$246</c:f>
              <c:numCache>
                <c:formatCode>General</c:formatCode>
                <c:ptCount val="5"/>
                <c:pt idx="0">
                  <c:v>81</c:v>
                </c:pt>
                <c:pt idx="1">
                  <c:v>72</c:v>
                </c:pt>
                <c:pt idx="2">
                  <c:v>82</c:v>
                </c:pt>
                <c:pt idx="3">
                  <c:v>67</c:v>
                </c:pt>
                <c:pt idx="4">
                  <c:v>80</c:v>
                </c:pt>
              </c:numCache>
            </c:numRef>
          </c:val>
          <c:shape val="cylinder"/>
          <c:extLst>
            <c:ext xmlns:c16="http://schemas.microsoft.com/office/drawing/2014/chart" uri="{C3380CC4-5D6E-409C-BE32-E72D297353CC}">
              <c16:uniqueId val="{00000001-A84B-4E68-9786-A6976277C865}"/>
            </c:ext>
          </c:extLst>
        </c:ser>
        <c:ser>
          <c:idx val="2"/>
          <c:order val="2"/>
          <c:tx>
            <c:strRef>
              <c:f>'Final-Score-1-20nos'!$B$247</c:f>
              <c:strCache>
                <c:ptCount val="1"/>
                <c:pt idx="0">
                  <c:v>Neutral</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'Final-Score-1-20nos'!$C$244:$G$244</c:f>
              <c:strCache>
                <c:ptCount val="5"/>
                <c:pt idx="0">
                  <c:v>Q 1. I usually prefer eating traditional South Indian cuisine (such as dosa, idli, sambar, pongal) over other types of food like North Indian, Chinese, or continental when dining out.  </c:v>
                </c:pt>
                <c:pt idx="1">
                  <c:v>Q 2. When selecting a restaurant, I actively consider the health value and nutritional content of the food being offered, rather than only focusing on taste or quantity. </c:v>
                </c:pt>
                <c:pt idx="2">
                  <c:v>Q 3. I am open to trying healthier or modified versions of traditional South Indian dishes, such as using less oil, steamed preparations, or millets instead of rice. </c:v>
                </c:pt>
                <c:pt idx="3">
                  <c:v>Q 4. I am open to spending a bit more on meals that incorporate health-focused ingredients (like organic vegetables, cold-pressed oils, and whole grains) in their cooking. </c:v>
                </c:pt>
                <c:pt idx="4">
                  <c:v>Q 5. I tend to prefer restaurants that provide the option to customize dishes based on individual health requirements, such as those that offer choices with lower oil, salt, or spice content. </c:v>
                </c:pt>
              </c:strCache>
            </c:strRef>
          </c:cat>
          <c:val>
            <c:numRef>
              <c:f>'Final-Score-1-20nos'!$C$247:$G$247</c:f>
              <c:numCache>
                <c:formatCode>General</c:formatCode>
                <c:ptCount val="5"/>
                <c:pt idx="0">
                  <c:v>29</c:v>
                </c:pt>
                <c:pt idx="1">
                  <c:v>49</c:v>
                </c:pt>
                <c:pt idx="2">
                  <c:v>31</c:v>
                </c:pt>
                <c:pt idx="3">
                  <c:v>43</c:v>
                </c:pt>
                <c:pt idx="4">
                  <c:v>44</c:v>
                </c:pt>
              </c:numCache>
            </c:numRef>
          </c:val>
          <c:shape val="cylinder"/>
          <c:extLst>
            <c:ext xmlns:c16="http://schemas.microsoft.com/office/drawing/2014/chart" uri="{C3380CC4-5D6E-409C-BE32-E72D297353CC}">
              <c16:uniqueId val="{00000002-A84B-4E68-9786-A6976277C865}"/>
            </c:ext>
          </c:extLst>
        </c:ser>
        <c:ser>
          <c:idx val="3"/>
          <c:order val="3"/>
          <c:tx>
            <c:strRef>
              <c:f>'Final-Score-1-20nos'!$B$248</c:f>
              <c:strCache>
                <c:ptCount val="1"/>
                <c:pt idx="0">
                  <c:v>Disagree</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'Final-Score-1-20nos'!$C$244:$G$244</c:f>
              <c:strCache>
                <c:ptCount val="5"/>
                <c:pt idx="0">
                  <c:v>Q 1. I usually prefer eating traditional South Indian cuisine (such as dosa, idli, sambar, pongal) over other types of food like North Indian, Chinese, or continental when dining out.  </c:v>
                </c:pt>
                <c:pt idx="1">
                  <c:v>Q 2. When selecting a restaurant, I actively consider the health value and nutritional content of the food being offered, rather than only focusing on taste or quantity. </c:v>
                </c:pt>
                <c:pt idx="2">
                  <c:v>Q 3. I am open to trying healthier or modified versions of traditional South Indian dishes, such as using less oil, steamed preparations, or millets instead of rice. </c:v>
                </c:pt>
                <c:pt idx="3">
                  <c:v>Q 4. I am open to spending a bit more on meals that incorporate health-focused ingredients (like organic vegetables, cold-pressed oils, and whole grains) in their cooking. </c:v>
                </c:pt>
                <c:pt idx="4">
                  <c:v>Q 5. I tend to prefer restaurants that provide the option to customize dishes based on individual health requirements, such as those that offer choices with lower oil, salt, or spice content. </c:v>
                </c:pt>
              </c:strCache>
            </c:strRef>
          </c:cat>
          <c:val>
            <c:numRef>
              <c:f>'Final-Score-1-20nos'!$C$248:$G$248</c:f>
              <c:numCache>
                <c:formatCode>General</c:formatCode>
                <c:ptCount val="5"/>
                <c:pt idx="0">
                  <c:v>5</c:v>
                </c:pt>
                <c:pt idx="1">
                  <c:v>3</c:v>
                </c:pt>
                <c:pt idx="2">
                  <c:v>2</c:v>
                </c:pt>
                <c:pt idx="3">
                  <c:v>6</c:v>
                </c:pt>
                <c:pt idx="4">
                  <c:v>2</c:v>
                </c:pt>
              </c:numCache>
            </c:numRef>
          </c:val>
          <c:shape val="cylinder"/>
          <c:extLst>
            <c:ext xmlns:c16="http://schemas.microsoft.com/office/drawing/2014/chart" uri="{C3380CC4-5D6E-409C-BE32-E72D297353CC}">
              <c16:uniqueId val="{00000003-A84B-4E68-9786-A6976277C865}"/>
            </c:ext>
          </c:extLst>
        </c:ser>
        <c:ser>
          <c:idx val="4"/>
          <c:order val="4"/>
          <c:tx>
            <c:strRef>
              <c:f>'Final-Score-1-20nos'!$B$249</c:f>
              <c:strCache>
                <c:ptCount val="1"/>
                <c:pt idx="0">
                  <c:v>Strongly Disagree</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'Final-Score-1-20nos'!$C$244:$G$244</c:f>
              <c:strCache>
                <c:ptCount val="5"/>
                <c:pt idx="0">
                  <c:v>Q 1. I usually prefer eating traditional South Indian cuisine (such as dosa, idli, sambar, pongal) over other types of food like North Indian, Chinese, or continental when dining out.  </c:v>
                </c:pt>
                <c:pt idx="1">
                  <c:v>Q 2. When selecting a restaurant, I actively consider the health value and nutritional content of the food being offered, rather than only focusing on taste or quantity. </c:v>
                </c:pt>
                <c:pt idx="2">
                  <c:v>Q 3. I am open to trying healthier or modified versions of traditional South Indian dishes, such as using less oil, steamed preparations, or millets instead of rice. </c:v>
                </c:pt>
                <c:pt idx="3">
                  <c:v>Q 4. I am open to spending a bit more on meals that incorporate health-focused ingredients (like organic vegetables, cold-pressed oils, and whole grains) in their cooking. </c:v>
                </c:pt>
                <c:pt idx="4">
                  <c:v>Q 5. I tend to prefer restaurants that provide the option to customize dishes based on individual health requirements, such as those that offer choices with lower oil, salt, or spice content. </c:v>
                </c:pt>
              </c:strCache>
            </c:strRef>
          </c:cat>
          <c:val>
            <c:numRef>
              <c:f>'Final-Score-1-20nos'!$C$249:$G$249</c:f>
              <c:numCache>
                <c:formatCode>General</c:formatCode>
                <c:ptCount val="5"/>
                <c:pt idx="0">
                  <c:v>1</c:v>
                </c:pt>
                <c:pt idx="1">
                  <c:v>1</c:v>
                </c:pt>
                <c:pt idx="2">
                  <c:v>1</c:v>
                </c:pt>
                <c:pt idx="3">
                  <c:v>1</c:v>
                </c:pt>
                <c:pt idx="4">
                  <c:v>1</c:v>
                </c:pt>
              </c:numCache>
            </c:numRef>
          </c:val>
          <c:shape val="cylinder"/>
          <c:extLst>
            <c:ext xmlns:c16="http://schemas.microsoft.com/office/drawing/2014/chart" uri="{C3380CC4-5D6E-409C-BE32-E72D297353CC}">
              <c16:uniqueId val="{00000004-A84B-4E68-9786-A6976277C865}"/>
            </c:ext>
          </c:extLst>
        </c:ser>
        <c:ser>
          <c:idx val="5"/>
          <c:order val="5"/>
          <c:tx>
            <c:strRef>
              <c:f>'Final-Score-1-20nos'!$B$250</c:f>
              <c:strCache>
                <c:ptCount val="1"/>
                <c:pt idx="0">
                  <c:v>No response</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'Final-Score-1-20nos'!$C$244:$G$244</c:f>
              <c:strCache>
                <c:ptCount val="5"/>
                <c:pt idx="0">
                  <c:v>Q 1. I usually prefer eating traditional South Indian cuisine (such as dosa, idli, sambar, pongal) over other types of food like North Indian, Chinese, or continental when dining out.  </c:v>
                </c:pt>
                <c:pt idx="1">
                  <c:v>Q 2. When selecting a restaurant, I actively consider the health value and nutritional content of the food being offered, rather than only focusing on taste or quantity. </c:v>
                </c:pt>
                <c:pt idx="2">
                  <c:v>Q 3. I am open to trying healthier or modified versions of traditional South Indian dishes, such as using less oil, steamed preparations, or millets instead of rice. </c:v>
                </c:pt>
                <c:pt idx="3">
                  <c:v>Q 4. I am open to spending a bit more on meals that incorporate health-focused ingredients (like organic vegetables, cold-pressed oils, and whole grains) in their cooking. </c:v>
                </c:pt>
                <c:pt idx="4">
                  <c:v>Q 5. I tend to prefer restaurants that provide the option to customize dishes based on individual health requirements, such as those that offer choices with lower oil, salt, or spice content. </c:v>
                </c:pt>
              </c:strCache>
            </c:strRef>
          </c:cat>
          <c:val>
            <c:numRef>
              <c:f>'Final-Score-1-20nos'!$C$250:$G$250</c:f>
              <c:numCache>
                <c:formatCode>General</c:formatCode>
                <c:ptCount val="5"/>
                <c:pt idx="0">
                  <c:v>0</c:v>
                </c:pt>
                <c:pt idx="1">
                  <c:v>1</c:v>
                </c:pt>
                <c:pt idx="2">
                  <c:v>1</c:v>
                </c:pt>
                <c:pt idx="3">
                  <c:v>0</c:v>
                </c:pt>
                <c:pt idx="4">
                  <c:v>0</c:v>
                </c:pt>
              </c:numCache>
            </c:numRef>
          </c:val>
          <c:shape val="cylinder"/>
          <c:extLst>
            <c:ext xmlns:c16="http://schemas.microsoft.com/office/drawing/2014/chart" uri="{C3380CC4-5D6E-409C-BE32-E72D297353CC}">
              <c16:uniqueId val="{00000005-A84B-4E68-9786-A6976277C865}"/>
            </c:ext>
          </c:extLst>
        </c:ser>
        <c:dLbls>
          <c:showLegendKey val="0"/>
          <c:showVal val="0"/>
          <c:showCatName val="0"/>
          <c:showSerName val="0"/>
          <c:showPercent val="0"/>
          <c:showBubbleSize val="0"/>
        </c:dLbls>
        <c:gapWidth val="50"/>
        <c:gapDepth val="50"/>
        <c:shape val="box"/>
        <c:axId val="1420394896"/>
        <c:axId val="1420397296"/>
        <c:axId val="0"/>
      </c:bar3DChart>
      <c:catAx>
        <c:axId val="14203948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420397296"/>
        <c:crosses val="autoZero"/>
        <c:auto val="1"/>
        <c:lblAlgn val="ctr"/>
        <c:lblOffset val="100"/>
        <c:noMultiLvlLbl val="0"/>
      </c:catAx>
      <c:valAx>
        <c:axId val="1420397296"/>
        <c:scaling>
          <c:orientation val="minMax"/>
        </c:scaling>
        <c:delete val="1"/>
        <c:axPos val="b"/>
        <c:numFmt formatCode="General" sourceLinked="1"/>
        <c:majorTickMark val="none"/>
        <c:minorTickMark val="none"/>
        <c:tickLblPos val="nextTo"/>
        <c:crossAx val="1420394896"/>
        <c:crosses val="autoZero"/>
        <c:crossBetween val="between"/>
      </c:valAx>
      <c:spPr>
        <a:noFill/>
        <a:ln>
          <a:noFill/>
        </a:ln>
        <a:effectLst/>
      </c:spPr>
    </c:plotArea>
    <c:legend>
      <c:legendPos val="b"/>
      <c:layout>
        <c:manualLayout>
          <c:xMode val="edge"/>
          <c:yMode val="edge"/>
          <c:x val="6.0773403324584424E-3"/>
          <c:y val="0.91684050999901168"/>
          <c:w val="0.98784514435695536"/>
          <c:h val="7.0607188745758248E-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accent3">
        <a:lumMod val="20000"/>
        <a:lumOff val="80000"/>
      </a:schemeClr>
    </a:solidFill>
    <a:ln w="12700"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3633220428452027E-2"/>
          <c:y val="5.0450423554875556E-2"/>
          <c:w val="0.88178577398495583"/>
          <c:h val="0.78356830988543491"/>
        </c:manualLayout>
      </c:layout>
      <c:bar3DChart>
        <c:barDir val="col"/>
        <c:grouping val="clustered"/>
        <c:varyColors val="0"/>
        <c:ser>
          <c:idx val="0"/>
          <c:order val="0"/>
          <c:tx>
            <c:strRef>
              <c:f>'Final-Score-1-20nos'!$C$263</c:f>
              <c:strCache>
                <c:ptCount val="1"/>
                <c:pt idx="0">
                  <c:v>Q1</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'Final-Score-1-20nos'!$C$264:$C$269</c:f>
              <c:numCache>
                <c:formatCode>0.00%</c:formatCode>
                <c:ptCount val="6"/>
                <c:pt idx="0">
                  <c:v>0.2839506172839506</c:v>
                </c:pt>
                <c:pt idx="1">
                  <c:v>0.5</c:v>
                </c:pt>
                <c:pt idx="2">
                  <c:v>0.17901234567901234</c:v>
                </c:pt>
                <c:pt idx="3">
                  <c:v>3.0864197530864196E-2</c:v>
                </c:pt>
                <c:pt idx="4">
                  <c:v>6.1728395061728392E-3</c:v>
                </c:pt>
                <c:pt idx="5">
                  <c:v>0</c:v>
                </c:pt>
              </c:numCache>
            </c:numRef>
          </c:val>
          <c:shape val="cylinder"/>
          <c:extLst>
            <c:ext xmlns:c16="http://schemas.microsoft.com/office/drawing/2014/chart" uri="{C3380CC4-5D6E-409C-BE32-E72D297353CC}">
              <c16:uniqueId val="{00000000-8FE5-4A6B-9A7B-25A1C9018FC1}"/>
            </c:ext>
          </c:extLst>
        </c:ser>
        <c:ser>
          <c:idx val="1"/>
          <c:order val="1"/>
          <c:tx>
            <c:strRef>
              <c:f>'Final-Score-1-20nos'!$D$263</c:f>
              <c:strCache>
                <c:ptCount val="1"/>
                <c:pt idx="0">
                  <c:v>Q2</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'Final-Score-1-20nos'!$D$264:$D$269</c:f>
              <c:numCache>
                <c:formatCode>0.00%</c:formatCode>
                <c:ptCount val="6"/>
                <c:pt idx="0">
                  <c:v>0.22222222222222221</c:v>
                </c:pt>
                <c:pt idx="1">
                  <c:v>0.44444444444444442</c:v>
                </c:pt>
                <c:pt idx="2">
                  <c:v>0.30246913580246915</c:v>
                </c:pt>
                <c:pt idx="3">
                  <c:v>1.8518518518518517E-2</c:v>
                </c:pt>
                <c:pt idx="4">
                  <c:v>6.1728395061728392E-3</c:v>
                </c:pt>
                <c:pt idx="5">
                  <c:v>6.1728395061728392E-3</c:v>
                </c:pt>
              </c:numCache>
            </c:numRef>
          </c:val>
          <c:shape val="cylinder"/>
          <c:extLst>
            <c:ext xmlns:c16="http://schemas.microsoft.com/office/drawing/2014/chart" uri="{C3380CC4-5D6E-409C-BE32-E72D297353CC}">
              <c16:uniqueId val="{00000001-8FE5-4A6B-9A7B-25A1C9018FC1}"/>
            </c:ext>
          </c:extLst>
        </c:ser>
        <c:ser>
          <c:idx val="2"/>
          <c:order val="2"/>
          <c:tx>
            <c:strRef>
              <c:f>'Final-Score-1-20nos'!$E$263</c:f>
              <c:strCache>
                <c:ptCount val="1"/>
                <c:pt idx="0">
                  <c:v>Q3</c:v>
                </c:pt>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'Final-Score-1-20nos'!$E$264:$E$269</c:f>
              <c:numCache>
                <c:formatCode>0.00%</c:formatCode>
                <c:ptCount val="6"/>
                <c:pt idx="0">
                  <c:v>0.27777777777777779</c:v>
                </c:pt>
                <c:pt idx="1">
                  <c:v>0.50617283950617287</c:v>
                </c:pt>
                <c:pt idx="2">
                  <c:v>0.19135802469135801</c:v>
                </c:pt>
                <c:pt idx="3">
                  <c:v>1.2345679012345678E-2</c:v>
                </c:pt>
                <c:pt idx="4">
                  <c:v>6.1728395061728392E-3</c:v>
                </c:pt>
                <c:pt idx="5">
                  <c:v>6.1728395061728392E-3</c:v>
                </c:pt>
              </c:numCache>
            </c:numRef>
          </c:val>
          <c:shape val="cylinder"/>
          <c:extLst>
            <c:ext xmlns:c16="http://schemas.microsoft.com/office/drawing/2014/chart" uri="{C3380CC4-5D6E-409C-BE32-E72D297353CC}">
              <c16:uniqueId val="{00000002-8FE5-4A6B-9A7B-25A1C9018FC1}"/>
            </c:ext>
          </c:extLst>
        </c:ser>
        <c:ser>
          <c:idx val="3"/>
          <c:order val="3"/>
          <c:tx>
            <c:strRef>
              <c:f>'Final-Score-1-20nos'!$F$263</c:f>
              <c:strCache>
                <c:ptCount val="1"/>
                <c:pt idx="0">
                  <c:v>Q4</c:v>
                </c:pt>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'Final-Score-1-20nos'!$F$264:$F$269</c:f>
              <c:numCache>
                <c:formatCode>0.00%</c:formatCode>
                <c:ptCount val="6"/>
                <c:pt idx="0">
                  <c:v>0.27777777777777779</c:v>
                </c:pt>
                <c:pt idx="1">
                  <c:v>0.41358024691358025</c:v>
                </c:pt>
                <c:pt idx="2">
                  <c:v>0.26543209876543211</c:v>
                </c:pt>
                <c:pt idx="3">
                  <c:v>3.7037037037037035E-2</c:v>
                </c:pt>
                <c:pt idx="4">
                  <c:v>6.1728395061728392E-3</c:v>
                </c:pt>
                <c:pt idx="5">
                  <c:v>0</c:v>
                </c:pt>
              </c:numCache>
            </c:numRef>
          </c:val>
          <c:shape val="cylinder"/>
          <c:extLst>
            <c:ext xmlns:c16="http://schemas.microsoft.com/office/drawing/2014/chart" uri="{C3380CC4-5D6E-409C-BE32-E72D297353CC}">
              <c16:uniqueId val="{00000003-8FE5-4A6B-9A7B-25A1C9018FC1}"/>
            </c:ext>
          </c:extLst>
        </c:ser>
        <c:ser>
          <c:idx val="4"/>
          <c:order val="4"/>
          <c:tx>
            <c:strRef>
              <c:f>'Final-Score-1-20nos'!$G$263</c:f>
              <c:strCache>
                <c:ptCount val="1"/>
                <c:pt idx="0">
                  <c:v>Q5</c:v>
                </c:pt>
              </c:strCache>
            </c:strRef>
          </c:tx>
          <c:spPr>
            <a:solidFill>
              <a:schemeClr val="accent5"/>
            </a:solidFill>
            <a:ln>
              <a:solidFill>
                <a:schemeClr val="accent5">
                  <a:lumMod val="75000"/>
                </a:schemeClr>
              </a:solidFill>
            </a:ln>
            <a:effectLst/>
            <a:scene3d>
              <a:camera prst="orthographicFront"/>
              <a:lightRig rig="threePt" dir="t"/>
            </a:scene3d>
            <a:sp3d prstMaterial="translucentPowder">
              <a:contourClr>
                <a:schemeClr val="accent5">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'Final-Score-1-20nos'!$G$264:$G$269</c:f>
              <c:numCache>
                <c:formatCode>0.00%</c:formatCode>
                <c:ptCount val="6"/>
                <c:pt idx="0">
                  <c:v>0.21604938271604937</c:v>
                </c:pt>
                <c:pt idx="1">
                  <c:v>0.49382716049382713</c:v>
                </c:pt>
                <c:pt idx="2">
                  <c:v>0.27160493827160492</c:v>
                </c:pt>
                <c:pt idx="3">
                  <c:v>1.2345679012345678E-2</c:v>
                </c:pt>
                <c:pt idx="4">
                  <c:v>6.1728395061728392E-3</c:v>
                </c:pt>
                <c:pt idx="5">
                  <c:v>0</c:v>
                </c:pt>
              </c:numCache>
            </c:numRef>
          </c:val>
          <c:shape val="cylinder"/>
          <c:extLst>
            <c:ext xmlns:c16="http://schemas.microsoft.com/office/drawing/2014/chart" uri="{C3380CC4-5D6E-409C-BE32-E72D297353CC}">
              <c16:uniqueId val="{00000004-8FE5-4A6B-9A7B-25A1C9018FC1}"/>
            </c:ext>
          </c:extLst>
        </c:ser>
        <c:dLbls>
          <c:showLegendKey val="0"/>
          <c:showVal val="0"/>
          <c:showCatName val="0"/>
          <c:showSerName val="0"/>
          <c:showPercent val="0"/>
          <c:showBubbleSize val="0"/>
        </c:dLbls>
        <c:gapWidth val="50"/>
        <c:gapDepth val="50"/>
        <c:shape val="box"/>
        <c:axId val="1750713184"/>
        <c:axId val="1750714624"/>
        <c:axId val="0"/>
      </c:bar3DChart>
      <c:catAx>
        <c:axId val="17507131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50714624"/>
        <c:crosses val="autoZero"/>
        <c:auto val="1"/>
        <c:lblAlgn val="ctr"/>
        <c:lblOffset val="100"/>
        <c:noMultiLvlLbl val="0"/>
      </c:catAx>
      <c:valAx>
        <c:axId val="1750714624"/>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50713184"/>
        <c:crosses val="autoZero"/>
        <c:crossBetween val="between"/>
      </c:valAx>
      <c:spPr>
        <a:noFill/>
        <a:ln>
          <a:noFill/>
        </a:ln>
        <a:effectLst/>
      </c:spPr>
    </c:plotArea>
    <c:legend>
      <c:legendPos val="b"/>
      <c:layout>
        <c:manualLayout>
          <c:xMode val="edge"/>
          <c:yMode val="edge"/>
          <c:x val="0.91808824176307557"/>
          <c:y val="3.3813486584319138E-2"/>
          <c:w val="6.6616812563234068E-2"/>
          <c:h val="0.88087845654364316"/>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3">
        <a:lumMod val="20000"/>
        <a:lumOff val="80000"/>
      </a:schemeClr>
    </a:solidFill>
    <a:ln w="12700" cap="flat" cmpd="sng" algn="ctr">
      <a:solidFill>
        <a:schemeClr val="dk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9941554595498572"/>
          <c:y val="4.2422729945642043E-2"/>
          <c:w val="0.47722162218660719"/>
          <c:h val="0.86987823243406048"/>
        </c:manualLayout>
      </c:layout>
      <c:barChart>
        <c:barDir val="bar"/>
        <c:grouping val="clustered"/>
        <c:varyColors val="0"/>
        <c:ser>
          <c:idx val="0"/>
          <c:order val="0"/>
          <c:tx>
            <c:strRef>
              <c:f>'Final-Score-1-20nos'!$B$245</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'Final-Score-1-20nos'!$H$244:$L$244</c:f>
              <c:strCache>
                <c:ptCount val="5"/>
                <c:pt idx="0">
                  <c:v>Q 6. I have noticed a growing trend among people in Coimbatore toward healthy eating and lifestyle choices.</c:v>
                </c:pt>
                <c:pt idx="1">
                  <c:v>Q 7. Traditional food choices in Coimbatore are mainly shaped by cultural beliefs, family traditions, and a sense of local identity. </c:v>
                </c:pt>
                <c:pt idx="2">
                  <c:v>Q 8. Many classic South Indian eateries in Coimbatore offer limited or no options that are specifically health-oriented.  </c:v>
                </c:pt>
                <c:pt idx="3">
                  <c:v>Q 9. In my opinion, people in Coimbatore are generally open to exploring new restaurant concepts that promote health and wellness. </c:v>
                </c:pt>
                <c:pt idx="4">
                  <c:v>Q 10. I typically learn about the latest or most popular restaurants in Coimbatore through digital channels such as food delivery apps, Instagram, or YouTube. </c:v>
                </c:pt>
              </c:strCache>
            </c:strRef>
          </c:cat>
          <c:val>
            <c:numRef>
              <c:f>'Final-Score-1-20nos'!$H$245:$L$245</c:f>
              <c:numCache>
                <c:formatCode>General</c:formatCode>
                <c:ptCount val="5"/>
                <c:pt idx="0">
                  <c:v>34</c:v>
                </c:pt>
                <c:pt idx="1">
                  <c:v>28</c:v>
                </c:pt>
                <c:pt idx="2">
                  <c:v>30</c:v>
                </c:pt>
                <c:pt idx="3">
                  <c:v>27</c:v>
                </c:pt>
                <c:pt idx="4">
                  <c:v>41</c:v>
                </c:pt>
              </c:numCache>
            </c:numRef>
          </c:val>
          <c:extLst>
            <c:ext xmlns:c16="http://schemas.microsoft.com/office/drawing/2014/chart" uri="{C3380CC4-5D6E-409C-BE32-E72D297353CC}">
              <c16:uniqueId val="{00000000-7CBC-4A0D-827A-4FE5B82C4F90}"/>
            </c:ext>
          </c:extLst>
        </c:ser>
        <c:ser>
          <c:idx val="1"/>
          <c:order val="1"/>
          <c:tx>
            <c:strRef>
              <c:f>'Final-Score-1-20nos'!$B$246</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'Final-Score-1-20nos'!$H$244:$L$244</c:f>
              <c:strCache>
                <c:ptCount val="5"/>
                <c:pt idx="0">
                  <c:v>Q 6. I have noticed a growing trend among people in Coimbatore toward healthy eating and lifestyle choices.</c:v>
                </c:pt>
                <c:pt idx="1">
                  <c:v>Q 7. Traditional food choices in Coimbatore are mainly shaped by cultural beliefs, family traditions, and a sense of local identity. </c:v>
                </c:pt>
                <c:pt idx="2">
                  <c:v>Q 8. Many classic South Indian eateries in Coimbatore offer limited or no options that are specifically health-oriented.  </c:v>
                </c:pt>
                <c:pt idx="3">
                  <c:v>Q 9. In my opinion, people in Coimbatore are generally open to exploring new restaurant concepts that promote health and wellness. </c:v>
                </c:pt>
                <c:pt idx="4">
                  <c:v>Q 10. I typically learn about the latest or most popular restaurants in Coimbatore through digital channels such as food delivery apps, Instagram, or YouTube. </c:v>
                </c:pt>
              </c:strCache>
            </c:strRef>
          </c:cat>
          <c:val>
            <c:numRef>
              <c:f>'Final-Score-1-20nos'!$H$246:$L$246</c:f>
              <c:numCache>
                <c:formatCode>General</c:formatCode>
                <c:ptCount val="5"/>
                <c:pt idx="0">
                  <c:v>60</c:v>
                </c:pt>
                <c:pt idx="1">
                  <c:v>71</c:v>
                </c:pt>
                <c:pt idx="2">
                  <c:v>76</c:v>
                </c:pt>
                <c:pt idx="3">
                  <c:v>65</c:v>
                </c:pt>
                <c:pt idx="4">
                  <c:v>76</c:v>
                </c:pt>
              </c:numCache>
            </c:numRef>
          </c:val>
          <c:extLst>
            <c:ext xmlns:c16="http://schemas.microsoft.com/office/drawing/2014/chart" uri="{C3380CC4-5D6E-409C-BE32-E72D297353CC}">
              <c16:uniqueId val="{00000001-7CBC-4A0D-827A-4FE5B82C4F90}"/>
            </c:ext>
          </c:extLst>
        </c:ser>
        <c:ser>
          <c:idx val="2"/>
          <c:order val="2"/>
          <c:tx>
            <c:strRef>
              <c:f>'Final-Score-1-20nos'!$B$247</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'Final-Score-1-20nos'!$H$244:$L$244</c:f>
              <c:strCache>
                <c:ptCount val="5"/>
                <c:pt idx="0">
                  <c:v>Q 6. I have noticed a growing trend among people in Coimbatore toward healthy eating and lifestyle choices.</c:v>
                </c:pt>
                <c:pt idx="1">
                  <c:v>Q 7. Traditional food choices in Coimbatore are mainly shaped by cultural beliefs, family traditions, and a sense of local identity. </c:v>
                </c:pt>
                <c:pt idx="2">
                  <c:v>Q 8. Many classic South Indian eateries in Coimbatore offer limited or no options that are specifically health-oriented.  </c:v>
                </c:pt>
                <c:pt idx="3">
                  <c:v>Q 9. In my opinion, people in Coimbatore are generally open to exploring new restaurant concepts that promote health and wellness. </c:v>
                </c:pt>
                <c:pt idx="4">
                  <c:v>Q 10. I typically learn about the latest or most popular restaurants in Coimbatore through digital channels such as food delivery apps, Instagram, or YouTube. </c:v>
                </c:pt>
              </c:strCache>
            </c:strRef>
          </c:cat>
          <c:val>
            <c:numRef>
              <c:f>'Final-Score-1-20nos'!$H$247:$L$247</c:f>
              <c:numCache>
                <c:formatCode>General</c:formatCode>
                <c:ptCount val="5"/>
                <c:pt idx="0">
                  <c:v>52</c:v>
                </c:pt>
                <c:pt idx="1">
                  <c:v>58</c:v>
                </c:pt>
                <c:pt idx="2">
                  <c:v>48</c:v>
                </c:pt>
                <c:pt idx="3">
                  <c:v>62</c:v>
                </c:pt>
                <c:pt idx="4">
                  <c:v>41</c:v>
                </c:pt>
              </c:numCache>
            </c:numRef>
          </c:val>
          <c:extLst>
            <c:ext xmlns:c16="http://schemas.microsoft.com/office/drawing/2014/chart" uri="{C3380CC4-5D6E-409C-BE32-E72D297353CC}">
              <c16:uniqueId val="{00000002-7CBC-4A0D-827A-4FE5B82C4F90}"/>
            </c:ext>
          </c:extLst>
        </c:ser>
        <c:ser>
          <c:idx val="3"/>
          <c:order val="3"/>
          <c:tx>
            <c:strRef>
              <c:f>'Final-Score-1-20nos'!$B$248</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'Final-Score-1-20nos'!$H$244:$L$244</c:f>
              <c:strCache>
                <c:ptCount val="5"/>
                <c:pt idx="0">
                  <c:v>Q 6. I have noticed a growing trend among people in Coimbatore toward healthy eating and lifestyle choices.</c:v>
                </c:pt>
                <c:pt idx="1">
                  <c:v>Q 7. Traditional food choices in Coimbatore are mainly shaped by cultural beliefs, family traditions, and a sense of local identity. </c:v>
                </c:pt>
                <c:pt idx="2">
                  <c:v>Q 8. Many classic South Indian eateries in Coimbatore offer limited or no options that are specifically health-oriented.  </c:v>
                </c:pt>
                <c:pt idx="3">
                  <c:v>Q 9. In my opinion, people in Coimbatore are generally open to exploring new restaurant concepts that promote health and wellness. </c:v>
                </c:pt>
                <c:pt idx="4">
                  <c:v>Q 10. I typically learn about the latest or most popular restaurants in Coimbatore through digital channels such as food delivery apps, Instagram, or YouTube. </c:v>
                </c:pt>
              </c:strCache>
            </c:strRef>
          </c:cat>
          <c:val>
            <c:numRef>
              <c:f>'Final-Score-1-20nos'!$H$248:$L$248</c:f>
              <c:numCache>
                <c:formatCode>General</c:formatCode>
                <c:ptCount val="5"/>
                <c:pt idx="0">
                  <c:v>15</c:v>
                </c:pt>
                <c:pt idx="1">
                  <c:v>5</c:v>
                </c:pt>
                <c:pt idx="2">
                  <c:v>6</c:v>
                </c:pt>
                <c:pt idx="3">
                  <c:v>7</c:v>
                </c:pt>
                <c:pt idx="4">
                  <c:v>3</c:v>
                </c:pt>
              </c:numCache>
            </c:numRef>
          </c:val>
          <c:extLst>
            <c:ext xmlns:c16="http://schemas.microsoft.com/office/drawing/2014/chart" uri="{C3380CC4-5D6E-409C-BE32-E72D297353CC}">
              <c16:uniqueId val="{00000003-7CBC-4A0D-827A-4FE5B82C4F90}"/>
            </c:ext>
          </c:extLst>
        </c:ser>
        <c:ser>
          <c:idx val="4"/>
          <c:order val="4"/>
          <c:tx>
            <c:strRef>
              <c:f>'Final-Score-1-20nos'!$B$249</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'Final-Score-1-20nos'!$H$244:$L$244</c:f>
              <c:strCache>
                <c:ptCount val="5"/>
                <c:pt idx="0">
                  <c:v>Q 6. I have noticed a growing trend among people in Coimbatore toward healthy eating and lifestyle choices.</c:v>
                </c:pt>
                <c:pt idx="1">
                  <c:v>Q 7. Traditional food choices in Coimbatore are mainly shaped by cultural beliefs, family traditions, and a sense of local identity. </c:v>
                </c:pt>
                <c:pt idx="2">
                  <c:v>Q 8. Many classic South Indian eateries in Coimbatore offer limited or no options that are specifically health-oriented.  </c:v>
                </c:pt>
                <c:pt idx="3">
                  <c:v>Q 9. In my opinion, people in Coimbatore are generally open to exploring new restaurant concepts that promote health and wellness. </c:v>
                </c:pt>
                <c:pt idx="4">
                  <c:v>Q 10. I typically learn about the latest or most popular restaurants in Coimbatore through digital channels such as food delivery apps, Instagram, or YouTube. </c:v>
                </c:pt>
              </c:strCache>
            </c:strRef>
          </c:cat>
          <c:val>
            <c:numRef>
              <c:f>'Final-Score-1-20nos'!$H$249:$L$249</c:f>
              <c:numCache>
                <c:formatCode>General</c:formatCode>
                <c:ptCount val="5"/>
                <c:pt idx="0">
                  <c:v>1</c:v>
                </c:pt>
                <c:pt idx="1">
                  <c:v>0</c:v>
                </c:pt>
                <c:pt idx="2">
                  <c:v>1</c:v>
                </c:pt>
                <c:pt idx="3">
                  <c:v>0</c:v>
                </c:pt>
                <c:pt idx="4">
                  <c:v>1</c:v>
                </c:pt>
              </c:numCache>
            </c:numRef>
          </c:val>
          <c:extLst>
            <c:ext xmlns:c16="http://schemas.microsoft.com/office/drawing/2014/chart" uri="{C3380CC4-5D6E-409C-BE32-E72D297353CC}">
              <c16:uniqueId val="{00000004-7CBC-4A0D-827A-4FE5B82C4F90}"/>
            </c:ext>
          </c:extLst>
        </c:ser>
        <c:ser>
          <c:idx val="5"/>
          <c:order val="5"/>
          <c:tx>
            <c:strRef>
              <c:f>'Final-Score-1-20nos'!$B$250</c:f>
              <c:strCache>
                <c:ptCount val="1"/>
                <c:pt idx="0">
                  <c:v>No response</c:v>
                </c:pt>
              </c:strCache>
            </c:strRef>
          </c:tx>
          <c:spPr>
            <a:solidFill>
              <a:schemeClr val="accent6"/>
            </a:solidFill>
            <a:ln>
              <a:noFill/>
            </a:ln>
            <a:effectLst/>
          </c:spPr>
          <c:invertIfNegative val="0"/>
          <c:cat>
            <c:strRef>
              <c:f>'Final-Score-1-20nos'!$H$244:$L$244</c:f>
              <c:strCache>
                <c:ptCount val="5"/>
                <c:pt idx="0">
                  <c:v>Q 6. I have noticed a growing trend among people in Coimbatore toward healthy eating and lifestyle choices.</c:v>
                </c:pt>
                <c:pt idx="1">
                  <c:v>Q 7. Traditional food choices in Coimbatore are mainly shaped by cultural beliefs, family traditions, and a sense of local identity. </c:v>
                </c:pt>
                <c:pt idx="2">
                  <c:v>Q 8. Many classic South Indian eateries in Coimbatore offer limited or no options that are specifically health-oriented.  </c:v>
                </c:pt>
                <c:pt idx="3">
                  <c:v>Q 9. In my opinion, people in Coimbatore are generally open to exploring new restaurant concepts that promote health and wellness. </c:v>
                </c:pt>
                <c:pt idx="4">
                  <c:v>Q 10. I typically learn about the latest or most popular restaurants in Coimbatore through digital channels such as food delivery apps, Instagram, or YouTube. </c:v>
                </c:pt>
              </c:strCache>
            </c:strRef>
          </c:cat>
          <c:val>
            <c:numRef>
              <c:f>'Final-Score-1-20nos'!$H$250:$L$250</c:f>
              <c:numCache>
                <c:formatCode>General</c:formatCode>
                <c:ptCount val="5"/>
                <c:pt idx="0">
                  <c:v>0</c:v>
                </c:pt>
                <c:pt idx="1">
                  <c:v>0</c:v>
                </c:pt>
                <c:pt idx="2">
                  <c:v>1</c:v>
                </c:pt>
                <c:pt idx="3">
                  <c:v>1</c:v>
                </c:pt>
                <c:pt idx="4">
                  <c:v>0</c:v>
                </c:pt>
              </c:numCache>
            </c:numRef>
          </c:val>
          <c:extLst>
            <c:ext xmlns:c16="http://schemas.microsoft.com/office/drawing/2014/chart" uri="{C3380CC4-5D6E-409C-BE32-E72D297353CC}">
              <c16:uniqueId val="{00000005-7CBC-4A0D-827A-4FE5B82C4F90}"/>
            </c:ext>
          </c:extLst>
        </c:ser>
        <c:dLbls>
          <c:showLegendKey val="0"/>
          <c:showVal val="0"/>
          <c:showCatName val="0"/>
          <c:showSerName val="0"/>
          <c:showPercent val="0"/>
          <c:showBubbleSize val="0"/>
        </c:dLbls>
        <c:gapWidth val="50"/>
        <c:axId val="1420359856"/>
        <c:axId val="1420373776"/>
      </c:barChart>
      <c:catAx>
        <c:axId val="14203598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420373776"/>
        <c:crosses val="autoZero"/>
        <c:auto val="1"/>
        <c:lblAlgn val="ctr"/>
        <c:lblOffset val="100"/>
        <c:noMultiLvlLbl val="0"/>
      </c:catAx>
      <c:valAx>
        <c:axId val="1420373776"/>
        <c:scaling>
          <c:orientation val="minMax"/>
        </c:scaling>
        <c:delete val="1"/>
        <c:axPos val="b"/>
        <c:numFmt formatCode="General" sourceLinked="1"/>
        <c:majorTickMark val="none"/>
        <c:minorTickMark val="none"/>
        <c:tickLblPos val="nextTo"/>
        <c:crossAx val="1420359856"/>
        <c:crosses val="autoZero"/>
        <c:crossBetween val="between"/>
      </c:valAx>
      <c:spPr>
        <a:noFill/>
        <a:ln>
          <a:noFill/>
        </a:ln>
        <a:effectLst/>
      </c:spPr>
    </c:plotArea>
    <c:legend>
      <c:legendPos val="b"/>
      <c:layout>
        <c:manualLayout>
          <c:xMode val="edge"/>
          <c:yMode val="edge"/>
          <c:x val="6.0504494460316381E-3"/>
          <c:y val="0.91666623639258205"/>
          <c:w val="0.98568653752351765"/>
          <c:h val="6.1475840110150164E-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accent3">
        <a:lumMod val="20000"/>
        <a:lumOff val="80000"/>
      </a:schemeClr>
    </a:solidFill>
    <a:ln w="12700"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2906576810936323E-2"/>
          <c:y val="5.4154344197339367E-2"/>
          <c:w val="0.88270317928662467"/>
          <c:h val="0.80442361193073564"/>
        </c:manualLayout>
      </c:layout>
      <c:bar3DChart>
        <c:barDir val="col"/>
        <c:grouping val="clustered"/>
        <c:varyColors val="0"/>
        <c:ser>
          <c:idx val="0"/>
          <c:order val="0"/>
          <c:tx>
            <c:strRef>
              <c:f>'Final-Score-1-20nos'!$H$263</c:f>
              <c:strCache>
                <c:ptCount val="1"/>
                <c:pt idx="0">
                  <c:v>Q6</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'Final-Score-1-20nos'!$H$264:$H$269</c:f>
              <c:numCache>
                <c:formatCode>0.00%</c:formatCode>
                <c:ptCount val="6"/>
                <c:pt idx="0">
                  <c:v>0.20987654320987653</c:v>
                </c:pt>
                <c:pt idx="1">
                  <c:v>0.37037037037037035</c:v>
                </c:pt>
                <c:pt idx="2">
                  <c:v>0.32098765432098764</c:v>
                </c:pt>
                <c:pt idx="3">
                  <c:v>9.2592592592592587E-2</c:v>
                </c:pt>
                <c:pt idx="4">
                  <c:v>6.1728395061728392E-3</c:v>
                </c:pt>
                <c:pt idx="5">
                  <c:v>0</c:v>
                </c:pt>
              </c:numCache>
            </c:numRef>
          </c:val>
          <c:shape val="cone"/>
          <c:extLst>
            <c:ext xmlns:c16="http://schemas.microsoft.com/office/drawing/2014/chart" uri="{C3380CC4-5D6E-409C-BE32-E72D297353CC}">
              <c16:uniqueId val="{00000000-EA3C-49D8-9400-C866246242D0}"/>
            </c:ext>
          </c:extLst>
        </c:ser>
        <c:ser>
          <c:idx val="1"/>
          <c:order val="1"/>
          <c:tx>
            <c:strRef>
              <c:f>'Final-Score-1-20nos'!$I$263</c:f>
              <c:strCache>
                <c:ptCount val="1"/>
                <c:pt idx="0">
                  <c:v>Q7</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'Final-Score-1-20nos'!$I$264:$I$269</c:f>
              <c:numCache>
                <c:formatCode>0.00%</c:formatCode>
                <c:ptCount val="6"/>
                <c:pt idx="0">
                  <c:v>0.1728395061728395</c:v>
                </c:pt>
                <c:pt idx="1">
                  <c:v>0.43827160493827161</c:v>
                </c:pt>
                <c:pt idx="2">
                  <c:v>0.35802469135802467</c:v>
                </c:pt>
                <c:pt idx="3">
                  <c:v>3.0864197530864196E-2</c:v>
                </c:pt>
                <c:pt idx="4">
                  <c:v>0</c:v>
                </c:pt>
                <c:pt idx="5">
                  <c:v>0</c:v>
                </c:pt>
              </c:numCache>
            </c:numRef>
          </c:val>
          <c:shape val="cone"/>
          <c:extLst>
            <c:ext xmlns:c16="http://schemas.microsoft.com/office/drawing/2014/chart" uri="{C3380CC4-5D6E-409C-BE32-E72D297353CC}">
              <c16:uniqueId val="{00000001-EA3C-49D8-9400-C866246242D0}"/>
            </c:ext>
          </c:extLst>
        </c:ser>
        <c:ser>
          <c:idx val="2"/>
          <c:order val="2"/>
          <c:tx>
            <c:strRef>
              <c:f>'Final-Score-1-20nos'!$J$263</c:f>
              <c:strCache>
                <c:ptCount val="1"/>
                <c:pt idx="0">
                  <c:v>Q8</c:v>
                </c:pt>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'Final-Score-1-20nos'!$J$264:$J$269</c:f>
              <c:numCache>
                <c:formatCode>0.00%</c:formatCode>
                <c:ptCount val="6"/>
                <c:pt idx="0">
                  <c:v>0.18518518518518517</c:v>
                </c:pt>
                <c:pt idx="1">
                  <c:v>0.46913580246913578</c:v>
                </c:pt>
                <c:pt idx="2">
                  <c:v>0.29629629629629628</c:v>
                </c:pt>
                <c:pt idx="3">
                  <c:v>3.7037037037037035E-2</c:v>
                </c:pt>
                <c:pt idx="4">
                  <c:v>6.1728395061728392E-3</c:v>
                </c:pt>
                <c:pt idx="5">
                  <c:v>6.1728395061728392E-3</c:v>
                </c:pt>
              </c:numCache>
            </c:numRef>
          </c:val>
          <c:shape val="cone"/>
          <c:extLst>
            <c:ext xmlns:c16="http://schemas.microsoft.com/office/drawing/2014/chart" uri="{C3380CC4-5D6E-409C-BE32-E72D297353CC}">
              <c16:uniqueId val="{00000002-EA3C-49D8-9400-C866246242D0}"/>
            </c:ext>
          </c:extLst>
        </c:ser>
        <c:ser>
          <c:idx val="3"/>
          <c:order val="3"/>
          <c:tx>
            <c:strRef>
              <c:f>'Final-Score-1-20nos'!$K$263</c:f>
              <c:strCache>
                <c:ptCount val="1"/>
                <c:pt idx="0">
                  <c:v>Q9</c:v>
                </c:pt>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'Final-Score-1-20nos'!$K$264:$K$269</c:f>
              <c:numCache>
                <c:formatCode>0.00%</c:formatCode>
                <c:ptCount val="6"/>
                <c:pt idx="0">
                  <c:v>0.16666666666666666</c:v>
                </c:pt>
                <c:pt idx="1">
                  <c:v>0.40123456790123457</c:v>
                </c:pt>
                <c:pt idx="2">
                  <c:v>0.38271604938271603</c:v>
                </c:pt>
                <c:pt idx="3">
                  <c:v>4.3209876543209874E-2</c:v>
                </c:pt>
                <c:pt idx="4">
                  <c:v>0</c:v>
                </c:pt>
                <c:pt idx="5">
                  <c:v>6.1728395061728392E-3</c:v>
                </c:pt>
              </c:numCache>
            </c:numRef>
          </c:val>
          <c:shape val="cone"/>
          <c:extLst>
            <c:ext xmlns:c16="http://schemas.microsoft.com/office/drawing/2014/chart" uri="{C3380CC4-5D6E-409C-BE32-E72D297353CC}">
              <c16:uniqueId val="{00000003-EA3C-49D8-9400-C866246242D0}"/>
            </c:ext>
          </c:extLst>
        </c:ser>
        <c:ser>
          <c:idx val="4"/>
          <c:order val="4"/>
          <c:tx>
            <c:strRef>
              <c:f>'Final-Score-1-20nos'!$L$263</c:f>
              <c:strCache>
                <c:ptCount val="1"/>
                <c:pt idx="0">
                  <c:v>Q10</c:v>
                </c:pt>
              </c:strCache>
            </c:strRef>
          </c:tx>
          <c:spPr>
            <a:solidFill>
              <a:schemeClr val="accent5"/>
            </a:solidFill>
            <a:ln>
              <a:solidFill>
                <a:schemeClr val="accent5">
                  <a:lumMod val="75000"/>
                </a:schemeClr>
              </a:solidFill>
            </a:ln>
            <a:effectLst/>
            <a:scene3d>
              <a:camera prst="orthographicFront"/>
              <a:lightRig rig="threePt" dir="t"/>
            </a:scene3d>
            <a:sp3d prstMaterial="translucentPowder">
              <a:contourClr>
                <a:schemeClr val="accent5">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'Final-Score-1-20nos'!$L$264:$L$269</c:f>
              <c:numCache>
                <c:formatCode>0.00%</c:formatCode>
                <c:ptCount val="6"/>
                <c:pt idx="0">
                  <c:v>0.25308641975308643</c:v>
                </c:pt>
                <c:pt idx="1">
                  <c:v>0.46913580246913578</c:v>
                </c:pt>
                <c:pt idx="2">
                  <c:v>0.25308641975308643</c:v>
                </c:pt>
                <c:pt idx="3">
                  <c:v>1.8518518518518517E-2</c:v>
                </c:pt>
                <c:pt idx="4">
                  <c:v>6.1728395061728392E-3</c:v>
                </c:pt>
                <c:pt idx="5">
                  <c:v>0</c:v>
                </c:pt>
              </c:numCache>
            </c:numRef>
          </c:val>
          <c:shape val="cone"/>
          <c:extLst>
            <c:ext xmlns:c16="http://schemas.microsoft.com/office/drawing/2014/chart" uri="{C3380CC4-5D6E-409C-BE32-E72D297353CC}">
              <c16:uniqueId val="{00000004-EA3C-49D8-9400-C866246242D0}"/>
            </c:ext>
          </c:extLst>
        </c:ser>
        <c:dLbls>
          <c:showLegendKey val="0"/>
          <c:showVal val="0"/>
          <c:showCatName val="0"/>
          <c:showSerName val="0"/>
          <c:showPercent val="0"/>
          <c:showBubbleSize val="0"/>
        </c:dLbls>
        <c:gapWidth val="50"/>
        <c:gapDepth val="50"/>
        <c:shape val="box"/>
        <c:axId val="1750691104"/>
        <c:axId val="1750698304"/>
        <c:axId val="0"/>
      </c:bar3DChart>
      <c:catAx>
        <c:axId val="17506911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50698304"/>
        <c:crosses val="autoZero"/>
        <c:auto val="1"/>
        <c:lblAlgn val="ctr"/>
        <c:lblOffset val="100"/>
        <c:noMultiLvlLbl val="0"/>
      </c:catAx>
      <c:valAx>
        <c:axId val="1750698304"/>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50691104"/>
        <c:crosses val="autoZero"/>
        <c:crossBetween val="between"/>
      </c:valAx>
      <c:spPr>
        <a:noFill/>
        <a:ln>
          <a:noFill/>
        </a:ln>
        <a:effectLst/>
      </c:spPr>
    </c:plotArea>
    <c:legend>
      <c:legendPos val="b"/>
      <c:layout>
        <c:manualLayout>
          <c:xMode val="edge"/>
          <c:yMode val="edge"/>
          <c:x val="0.92437802259196533"/>
          <c:y val="3.2696555328870856E-2"/>
          <c:w val="6.0334863906978377E-2"/>
          <c:h val="0.911628926469844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12700" cap="flat" cmpd="sng" algn="ctr">
      <a:solidFill>
        <a:schemeClr val="dk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9739212598425198"/>
          <c:y val="3.6506024096385543E-2"/>
          <c:w val="0.48803009623797028"/>
          <c:h val="0.87082977579609777"/>
        </c:manualLayout>
      </c:layout>
      <c:barChart>
        <c:barDir val="bar"/>
        <c:grouping val="clustered"/>
        <c:varyColors val="0"/>
        <c:ser>
          <c:idx val="0"/>
          <c:order val="0"/>
          <c:tx>
            <c:strRef>
              <c:f>'Final-Score-1-20nos'!$B$245</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'Final-Score-1-20nos'!$M$244:$Q$244</c:f>
              <c:strCache>
                <c:ptCount val="5"/>
                <c:pt idx="0">
                  <c:v>Q 11. I prefer restaurants that provide both dine-in and food delivery options, offering flexibility based on my schedule.</c:v>
                </c:pt>
                <c:pt idx="1">
                  <c:v>Q 12. I would be interested in subscribing to a weekly or monthly healthy meal plan from a restaurant that focuses on traditional cuisine. </c:v>
                </c:pt>
                <c:pt idx="2">
                  <c:v>Q 13. A good restaurant provides a range of menu choices to accommodate different dietary needs, including diabetic-friendly, gluten-free, and low-calorie options.</c:v>
                </c:pt>
                <c:pt idx="3">
                  <c:v>Q 14. The overall experience of dining is improved when a restaurant showcases the classic atmosphere, decorations, and sounds of South India. </c:v>
                </c:pt>
                <c:pt idx="4">
                  <c:v>Q 15. I find it convenient when a restaurant allows me to place orders digitally—either through an app, website, or self-service kiosk. </c:v>
                </c:pt>
              </c:strCache>
            </c:strRef>
          </c:cat>
          <c:val>
            <c:numRef>
              <c:f>'Final-Score-1-20nos'!$M$245:$Q$245</c:f>
              <c:numCache>
                <c:formatCode>General</c:formatCode>
                <c:ptCount val="5"/>
                <c:pt idx="0">
                  <c:v>53</c:v>
                </c:pt>
                <c:pt idx="1">
                  <c:v>30</c:v>
                </c:pt>
                <c:pt idx="2">
                  <c:v>35</c:v>
                </c:pt>
                <c:pt idx="3">
                  <c:v>42</c:v>
                </c:pt>
                <c:pt idx="4">
                  <c:v>52</c:v>
                </c:pt>
              </c:numCache>
            </c:numRef>
          </c:val>
          <c:extLst>
            <c:ext xmlns:c16="http://schemas.microsoft.com/office/drawing/2014/chart" uri="{C3380CC4-5D6E-409C-BE32-E72D297353CC}">
              <c16:uniqueId val="{00000000-E7CC-4D01-A623-BE629C401A08}"/>
            </c:ext>
          </c:extLst>
        </c:ser>
        <c:ser>
          <c:idx val="1"/>
          <c:order val="1"/>
          <c:tx>
            <c:strRef>
              <c:f>'Final-Score-1-20nos'!$B$246</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'Final-Score-1-20nos'!$M$244:$Q$244</c:f>
              <c:strCache>
                <c:ptCount val="5"/>
                <c:pt idx="0">
                  <c:v>Q 11. I prefer restaurants that provide both dine-in and food delivery options, offering flexibility based on my schedule.</c:v>
                </c:pt>
                <c:pt idx="1">
                  <c:v>Q 12. I would be interested in subscribing to a weekly or monthly healthy meal plan from a restaurant that focuses on traditional cuisine. </c:v>
                </c:pt>
                <c:pt idx="2">
                  <c:v>Q 13. A good restaurant provides a range of menu choices to accommodate different dietary needs, including diabetic-friendly, gluten-free, and low-calorie options.</c:v>
                </c:pt>
                <c:pt idx="3">
                  <c:v>Q 14. The overall experience of dining is improved when a restaurant showcases the classic atmosphere, decorations, and sounds of South India. </c:v>
                </c:pt>
                <c:pt idx="4">
                  <c:v>Q 15. I find it convenient when a restaurant allows me to place orders digitally—either through an app, website, or self-service kiosk. </c:v>
                </c:pt>
              </c:strCache>
            </c:strRef>
          </c:cat>
          <c:val>
            <c:numRef>
              <c:f>'Final-Score-1-20nos'!$M$246:$Q$246</c:f>
              <c:numCache>
                <c:formatCode>General</c:formatCode>
                <c:ptCount val="5"/>
                <c:pt idx="0">
                  <c:v>79</c:v>
                </c:pt>
                <c:pt idx="1">
                  <c:v>56</c:v>
                </c:pt>
                <c:pt idx="2">
                  <c:v>79</c:v>
                </c:pt>
                <c:pt idx="3">
                  <c:v>83</c:v>
                </c:pt>
                <c:pt idx="4">
                  <c:v>72</c:v>
                </c:pt>
              </c:numCache>
            </c:numRef>
          </c:val>
          <c:extLst>
            <c:ext xmlns:c16="http://schemas.microsoft.com/office/drawing/2014/chart" uri="{C3380CC4-5D6E-409C-BE32-E72D297353CC}">
              <c16:uniqueId val="{00000001-E7CC-4D01-A623-BE629C401A08}"/>
            </c:ext>
          </c:extLst>
        </c:ser>
        <c:ser>
          <c:idx val="2"/>
          <c:order val="2"/>
          <c:tx>
            <c:strRef>
              <c:f>'Final-Score-1-20nos'!$B$247</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'Final-Score-1-20nos'!$M$244:$Q$244</c:f>
              <c:strCache>
                <c:ptCount val="5"/>
                <c:pt idx="0">
                  <c:v>Q 11. I prefer restaurants that provide both dine-in and food delivery options, offering flexibility based on my schedule.</c:v>
                </c:pt>
                <c:pt idx="1">
                  <c:v>Q 12. I would be interested in subscribing to a weekly or monthly healthy meal plan from a restaurant that focuses on traditional cuisine. </c:v>
                </c:pt>
                <c:pt idx="2">
                  <c:v>Q 13. A good restaurant provides a range of menu choices to accommodate different dietary needs, including diabetic-friendly, gluten-free, and low-calorie options.</c:v>
                </c:pt>
                <c:pt idx="3">
                  <c:v>Q 14. The overall experience of dining is improved when a restaurant showcases the classic atmosphere, decorations, and sounds of South India. </c:v>
                </c:pt>
                <c:pt idx="4">
                  <c:v>Q 15. I find it convenient when a restaurant allows me to place orders digitally—either through an app, website, or self-service kiosk. </c:v>
                </c:pt>
              </c:strCache>
            </c:strRef>
          </c:cat>
          <c:val>
            <c:numRef>
              <c:f>'Final-Score-1-20nos'!$M$247:$Q$247</c:f>
              <c:numCache>
                <c:formatCode>General</c:formatCode>
                <c:ptCount val="5"/>
                <c:pt idx="0">
                  <c:v>30</c:v>
                </c:pt>
                <c:pt idx="1">
                  <c:v>51</c:v>
                </c:pt>
                <c:pt idx="2">
                  <c:v>41</c:v>
                </c:pt>
                <c:pt idx="3">
                  <c:v>34</c:v>
                </c:pt>
                <c:pt idx="4">
                  <c:v>32</c:v>
                </c:pt>
              </c:numCache>
            </c:numRef>
          </c:val>
          <c:extLst>
            <c:ext xmlns:c16="http://schemas.microsoft.com/office/drawing/2014/chart" uri="{C3380CC4-5D6E-409C-BE32-E72D297353CC}">
              <c16:uniqueId val="{00000002-E7CC-4D01-A623-BE629C401A08}"/>
            </c:ext>
          </c:extLst>
        </c:ser>
        <c:ser>
          <c:idx val="3"/>
          <c:order val="3"/>
          <c:tx>
            <c:strRef>
              <c:f>'Final-Score-1-20nos'!$B$248</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'Final-Score-1-20nos'!$M$244:$Q$244</c:f>
              <c:strCache>
                <c:ptCount val="5"/>
                <c:pt idx="0">
                  <c:v>Q 11. I prefer restaurants that provide both dine-in and food delivery options, offering flexibility based on my schedule.</c:v>
                </c:pt>
                <c:pt idx="1">
                  <c:v>Q 12. I would be interested in subscribing to a weekly or monthly healthy meal plan from a restaurant that focuses on traditional cuisine. </c:v>
                </c:pt>
                <c:pt idx="2">
                  <c:v>Q 13. A good restaurant provides a range of menu choices to accommodate different dietary needs, including diabetic-friendly, gluten-free, and low-calorie options.</c:v>
                </c:pt>
                <c:pt idx="3">
                  <c:v>Q 14. The overall experience of dining is improved when a restaurant showcases the classic atmosphere, decorations, and sounds of South India. </c:v>
                </c:pt>
                <c:pt idx="4">
                  <c:v>Q 15. I find it convenient when a restaurant allows me to place orders digitally—either through an app, website, or self-service kiosk. </c:v>
                </c:pt>
              </c:strCache>
            </c:strRef>
          </c:cat>
          <c:val>
            <c:numRef>
              <c:f>'Final-Score-1-20nos'!$M$248:$Q$248</c:f>
              <c:numCache>
                <c:formatCode>General</c:formatCode>
                <c:ptCount val="5"/>
                <c:pt idx="0">
                  <c:v>0</c:v>
                </c:pt>
                <c:pt idx="1">
                  <c:v>21</c:v>
                </c:pt>
                <c:pt idx="2">
                  <c:v>6</c:v>
                </c:pt>
                <c:pt idx="3">
                  <c:v>3</c:v>
                </c:pt>
                <c:pt idx="4">
                  <c:v>4</c:v>
                </c:pt>
              </c:numCache>
            </c:numRef>
          </c:val>
          <c:extLst>
            <c:ext xmlns:c16="http://schemas.microsoft.com/office/drawing/2014/chart" uri="{C3380CC4-5D6E-409C-BE32-E72D297353CC}">
              <c16:uniqueId val="{00000003-E7CC-4D01-A623-BE629C401A08}"/>
            </c:ext>
          </c:extLst>
        </c:ser>
        <c:ser>
          <c:idx val="4"/>
          <c:order val="4"/>
          <c:tx>
            <c:strRef>
              <c:f>'Final-Score-1-20nos'!$B$249</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'Final-Score-1-20nos'!$M$244:$Q$244</c:f>
              <c:strCache>
                <c:ptCount val="5"/>
                <c:pt idx="0">
                  <c:v>Q 11. I prefer restaurants that provide both dine-in and food delivery options, offering flexibility based on my schedule.</c:v>
                </c:pt>
                <c:pt idx="1">
                  <c:v>Q 12. I would be interested in subscribing to a weekly or monthly healthy meal plan from a restaurant that focuses on traditional cuisine. </c:v>
                </c:pt>
                <c:pt idx="2">
                  <c:v>Q 13. A good restaurant provides a range of menu choices to accommodate different dietary needs, including diabetic-friendly, gluten-free, and low-calorie options.</c:v>
                </c:pt>
                <c:pt idx="3">
                  <c:v>Q 14. The overall experience of dining is improved when a restaurant showcases the classic atmosphere, decorations, and sounds of South India. </c:v>
                </c:pt>
                <c:pt idx="4">
                  <c:v>Q 15. I find it convenient when a restaurant allows me to place orders digitally—either through an app, website, or self-service kiosk. </c:v>
                </c:pt>
              </c:strCache>
            </c:strRef>
          </c:cat>
          <c:val>
            <c:numRef>
              <c:f>'Final-Score-1-20nos'!$M$249:$Q$249</c:f>
              <c:numCache>
                <c:formatCode>General</c:formatCode>
                <c:ptCount val="5"/>
                <c:pt idx="0">
                  <c:v>0</c:v>
                </c:pt>
                <c:pt idx="1">
                  <c:v>4</c:v>
                </c:pt>
                <c:pt idx="2">
                  <c:v>1</c:v>
                </c:pt>
                <c:pt idx="3">
                  <c:v>0</c:v>
                </c:pt>
                <c:pt idx="4">
                  <c:v>1</c:v>
                </c:pt>
              </c:numCache>
            </c:numRef>
          </c:val>
          <c:extLst>
            <c:ext xmlns:c16="http://schemas.microsoft.com/office/drawing/2014/chart" uri="{C3380CC4-5D6E-409C-BE32-E72D297353CC}">
              <c16:uniqueId val="{00000004-E7CC-4D01-A623-BE629C401A08}"/>
            </c:ext>
          </c:extLst>
        </c:ser>
        <c:ser>
          <c:idx val="5"/>
          <c:order val="5"/>
          <c:tx>
            <c:strRef>
              <c:f>'Final-Score-1-20nos'!$B$250</c:f>
              <c:strCache>
                <c:ptCount val="1"/>
                <c:pt idx="0">
                  <c:v>No response</c:v>
                </c:pt>
              </c:strCache>
            </c:strRef>
          </c:tx>
          <c:spPr>
            <a:solidFill>
              <a:schemeClr val="accent6"/>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'Final-Score-1-20nos'!$M$244:$Q$244</c:f>
              <c:strCache>
                <c:ptCount val="5"/>
                <c:pt idx="0">
                  <c:v>Q 11. I prefer restaurants that provide both dine-in and food delivery options, offering flexibility based on my schedule.</c:v>
                </c:pt>
                <c:pt idx="1">
                  <c:v>Q 12. I would be interested in subscribing to a weekly or monthly healthy meal plan from a restaurant that focuses on traditional cuisine. </c:v>
                </c:pt>
                <c:pt idx="2">
                  <c:v>Q 13. A good restaurant provides a range of menu choices to accommodate different dietary needs, including diabetic-friendly, gluten-free, and low-calorie options.</c:v>
                </c:pt>
                <c:pt idx="3">
                  <c:v>Q 14. The overall experience of dining is improved when a restaurant showcases the classic atmosphere, decorations, and sounds of South India. </c:v>
                </c:pt>
                <c:pt idx="4">
                  <c:v>Q 15. I find it convenient when a restaurant allows me to place orders digitally—either through an app, website, or self-service kiosk. </c:v>
                </c:pt>
              </c:strCache>
            </c:strRef>
          </c:cat>
          <c:val>
            <c:numRef>
              <c:f>'Final-Score-1-20nos'!$M$250:$Q$250</c:f>
              <c:numCache>
                <c:formatCode>General</c:formatCode>
                <c:ptCount val="5"/>
                <c:pt idx="0">
                  <c:v>0</c:v>
                </c:pt>
                <c:pt idx="1">
                  <c:v>0</c:v>
                </c:pt>
                <c:pt idx="2">
                  <c:v>0</c:v>
                </c:pt>
                <c:pt idx="3">
                  <c:v>0</c:v>
                </c:pt>
                <c:pt idx="4">
                  <c:v>1</c:v>
                </c:pt>
              </c:numCache>
            </c:numRef>
          </c:val>
          <c:extLst>
            <c:ext xmlns:c16="http://schemas.microsoft.com/office/drawing/2014/chart" uri="{C3380CC4-5D6E-409C-BE32-E72D297353CC}">
              <c16:uniqueId val="{00000005-E7CC-4D01-A623-BE629C401A08}"/>
            </c:ext>
          </c:extLst>
        </c:ser>
        <c:dLbls>
          <c:showLegendKey val="0"/>
          <c:showVal val="0"/>
          <c:showCatName val="0"/>
          <c:showSerName val="0"/>
          <c:showPercent val="0"/>
          <c:showBubbleSize val="0"/>
        </c:dLbls>
        <c:gapWidth val="50"/>
        <c:axId val="1420463536"/>
        <c:axId val="1420467856"/>
      </c:barChart>
      <c:catAx>
        <c:axId val="142046353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420467856"/>
        <c:crosses val="autoZero"/>
        <c:auto val="1"/>
        <c:lblAlgn val="l"/>
        <c:lblOffset val="100"/>
        <c:noMultiLvlLbl val="0"/>
      </c:catAx>
      <c:valAx>
        <c:axId val="1420467856"/>
        <c:scaling>
          <c:orientation val="minMax"/>
        </c:scaling>
        <c:delete val="1"/>
        <c:axPos val="b"/>
        <c:numFmt formatCode="General" sourceLinked="1"/>
        <c:majorTickMark val="none"/>
        <c:minorTickMark val="none"/>
        <c:tickLblPos val="nextTo"/>
        <c:crossAx val="1420463536"/>
        <c:crosses val="autoZero"/>
        <c:crossBetween val="between"/>
      </c:valAx>
      <c:spPr>
        <a:noFill/>
        <a:ln>
          <a:noFill/>
        </a:ln>
        <a:effectLst/>
      </c:spPr>
    </c:plotArea>
    <c:legend>
      <c:legendPos val="b"/>
      <c:layout>
        <c:manualLayout>
          <c:xMode val="edge"/>
          <c:yMode val="edge"/>
          <c:x val="1.5606299212598427E-2"/>
          <c:y val="0.91218733200518609"/>
          <c:w val="0.96434295713035867"/>
          <c:h val="6.3716282452645226E-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accent3">
        <a:lumMod val="20000"/>
        <a:lumOff val="80000"/>
      </a:schemeClr>
    </a:solidFill>
    <a:ln w="12700"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3113035870516184E-2"/>
          <c:y val="5.5879629629629626E-2"/>
          <c:w val="0.88244251968503939"/>
          <c:h val="0.76346274424030325"/>
        </c:manualLayout>
      </c:layout>
      <c:bar3DChart>
        <c:barDir val="col"/>
        <c:grouping val="clustered"/>
        <c:varyColors val="0"/>
        <c:ser>
          <c:idx val="0"/>
          <c:order val="0"/>
          <c:tx>
            <c:strRef>
              <c:f>'Final-Score-1-20nos'!$M$263</c:f>
              <c:strCache>
                <c:ptCount val="1"/>
                <c:pt idx="0">
                  <c:v>Q11</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'Final-Score-1-20nos'!$M$264:$M$269</c:f>
              <c:numCache>
                <c:formatCode>0.00%</c:formatCode>
                <c:ptCount val="6"/>
                <c:pt idx="0">
                  <c:v>0.3271604938271605</c:v>
                </c:pt>
                <c:pt idx="1">
                  <c:v>0.48765432098765432</c:v>
                </c:pt>
                <c:pt idx="2">
                  <c:v>0.18518518518518517</c:v>
                </c:pt>
                <c:pt idx="3">
                  <c:v>0</c:v>
                </c:pt>
                <c:pt idx="4">
                  <c:v>0</c:v>
                </c:pt>
                <c:pt idx="5">
                  <c:v>0</c:v>
                </c:pt>
              </c:numCache>
            </c:numRef>
          </c:val>
          <c:shape val="cylinder"/>
          <c:extLst>
            <c:ext xmlns:c16="http://schemas.microsoft.com/office/drawing/2014/chart" uri="{C3380CC4-5D6E-409C-BE32-E72D297353CC}">
              <c16:uniqueId val="{00000000-9778-41B0-A1F0-9C8DAF6D0FB1}"/>
            </c:ext>
          </c:extLst>
        </c:ser>
        <c:ser>
          <c:idx val="1"/>
          <c:order val="1"/>
          <c:tx>
            <c:strRef>
              <c:f>'Final-Score-1-20nos'!$N$263</c:f>
              <c:strCache>
                <c:ptCount val="1"/>
                <c:pt idx="0">
                  <c:v>Q12</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'Final-Score-1-20nos'!$N$264:$N$269</c:f>
              <c:numCache>
                <c:formatCode>0.00%</c:formatCode>
                <c:ptCount val="6"/>
                <c:pt idx="0">
                  <c:v>0.18518518518518517</c:v>
                </c:pt>
                <c:pt idx="1">
                  <c:v>0.34567901234567899</c:v>
                </c:pt>
                <c:pt idx="2">
                  <c:v>0.31481481481481483</c:v>
                </c:pt>
                <c:pt idx="3">
                  <c:v>0.12962962962962962</c:v>
                </c:pt>
                <c:pt idx="4">
                  <c:v>2.4691358024691357E-2</c:v>
                </c:pt>
                <c:pt idx="5">
                  <c:v>0</c:v>
                </c:pt>
              </c:numCache>
            </c:numRef>
          </c:val>
          <c:shape val="cylinder"/>
          <c:extLst>
            <c:ext xmlns:c16="http://schemas.microsoft.com/office/drawing/2014/chart" uri="{C3380CC4-5D6E-409C-BE32-E72D297353CC}">
              <c16:uniqueId val="{00000001-9778-41B0-A1F0-9C8DAF6D0FB1}"/>
            </c:ext>
          </c:extLst>
        </c:ser>
        <c:ser>
          <c:idx val="2"/>
          <c:order val="2"/>
          <c:tx>
            <c:strRef>
              <c:f>'Final-Score-1-20nos'!$O$263</c:f>
              <c:strCache>
                <c:ptCount val="1"/>
                <c:pt idx="0">
                  <c:v>Q13</c:v>
                </c:pt>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'Final-Score-1-20nos'!$O$264:$O$269</c:f>
              <c:numCache>
                <c:formatCode>0.00%</c:formatCode>
                <c:ptCount val="6"/>
                <c:pt idx="0">
                  <c:v>0.21604938271604937</c:v>
                </c:pt>
                <c:pt idx="1">
                  <c:v>0.48765432098765432</c:v>
                </c:pt>
                <c:pt idx="2">
                  <c:v>0.25308641975308643</c:v>
                </c:pt>
                <c:pt idx="3">
                  <c:v>3.7037037037037035E-2</c:v>
                </c:pt>
                <c:pt idx="4">
                  <c:v>6.1728395061728392E-3</c:v>
                </c:pt>
                <c:pt idx="5">
                  <c:v>0</c:v>
                </c:pt>
              </c:numCache>
            </c:numRef>
          </c:val>
          <c:shape val="cylinder"/>
          <c:extLst>
            <c:ext xmlns:c16="http://schemas.microsoft.com/office/drawing/2014/chart" uri="{C3380CC4-5D6E-409C-BE32-E72D297353CC}">
              <c16:uniqueId val="{00000002-9778-41B0-A1F0-9C8DAF6D0FB1}"/>
            </c:ext>
          </c:extLst>
        </c:ser>
        <c:ser>
          <c:idx val="3"/>
          <c:order val="3"/>
          <c:tx>
            <c:strRef>
              <c:f>'Final-Score-1-20nos'!$P$263</c:f>
              <c:strCache>
                <c:ptCount val="1"/>
                <c:pt idx="0">
                  <c:v>Q14</c:v>
                </c:pt>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'Final-Score-1-20nos'!$P$264:$P$269</c:f>
              <c:numCache>
                <c:formatCode>0.00%</c:formatCode>
                <c:ptCount val="6"/>
                <c:pt idx="0">
                  <c:v>0.25925925925925924</c:v>
                </c:pt>
                <c:pt idx="1">
                  <c:v>0.51234567901234573</c:v>
                </c:pt>
                <c:pt idx="2">
                  <c:v>0.20987654320987653</c:v>
                </c:pt>
                <c:pt idx="3">
                  <c:v>1.8518518518518517E-2</c:v>
                </c:pt>
                <c:pt idx="4">
                  <c:v>0</c:v>
                </c:pt>
                <c:pt idx="5">
                  <c:v>0</c:v>
                </c:pt>
              </c:numCache>
            </c:numRef>
          </c:val>
          <c:shape val="cylinder"/>
          <c:extLst>
            <c:ext xmlns:c16="http://schemas.microsoft.com/office/drawing/2014/chart" uri="{C3380CC4-5D6E-409C-BE32-E72D297353CC}">
              <c16:uniqueId val="{00000003-9778-41B0-A1F0-9C8DAF6D0FB1}"/>
            </c:ext>
          </c:extLst>
        </c:ser>
        <c:ser>
          <c:idx val="4"/>
          <c:order val="4"/>
          <c:tx>
            <c:strRef>
              <c:f>'Final-Score-1-20nos'!$Q$263</c:f>
              <c:strCache>
                <c:ptCount val="1"/>
                <c:pt idx="0">
                  <c:v>Q15</c:v>
                </c:pt>
              </c:strCache>
            </c:strRef>
          </c:tx>
          <c:spPr>
            <a:solidFill>
              <a:schemeClr val="accent5"/>
            </a:solidFill>
            <a:ln>
              <a:solidFill>
                <a:schemeClr val="accent5">
                  <a:lumMod val="75000"/>
                </a:schemeClr>
              </a:solidFill>
            </a:ln>
            <a:effectLst/>
            <a:scene3d>
              <a:camera prst="orthographicFront"/>
              <a:lightRig rig="threePt" dir="t"/>
            </a:scene3d>
            <a:sp3d prstMaterial="translucentPowder">
              <a:contourClr>
                <a:schemeClr val="accent5">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'Final-Score-1-20nos'!$Q$264:$Q$269</c:f>
              <c:numCache>
                <c:formatCode>0.00%</c:formatCode>
                <c:ptCount val="6"/>
                <c:pt idx="0">
                  <c:v>0.32098765432098764</c:v>
                </c:pt>
                <c:pt idx="1">
                  <c:v>0.44444444444444442</c:v>
                </c:pt>
                <c:pt idx="2">
                  <c:v>0.19753086419753085</c:v>
                </c:pt>
                <c:pt idx="3">
                  <c:v>2.4691358024691357E-2</c:v>
                </c:pt>
                <c:pt idx="4">
                  <c:v>6.1728395061728392E-3</c:v>
                </c:pt>
                <c:pt idx="5">
                  <c:v>6.1728395061728392E-3</c:v>
                </c:pt>
              </c:numCache>
            </c:numRef>
          </c:val>
          <c:shape val="cylinder"/>
          <c:extLst>
            <c:ext xmlns:c16="http://schemas.microsoft.com/office/drawing/2014/chart" uri="{C3380CC4-5D6E-409C-BE32-E72D297353CC}">
              <c16:uniqueId val="{00000004-9778-41B0-A1F0-9C8DAF6D0FB1}"/>
            </c:ext>
          </c:extLst>
        </c:ser>
        <c:dLbls>
          <c:showLegendKey val="0"/>
          <c:showVal val="0"/>
          <c:showCatName val="0"/>
          <c:showSerName val="0"/>
          <c:showPercent val="0"/>
          <c:showBubbleSize val="0"/>
        </c:dLbls>
        <c:gapWidth val="50"/>
        <c:gapDepth val="50"/>
        <c:shape val="box"/>
        <c:axId val="1750656064"/>
        <c:axId val="1750669984"/>
        <c:axId val="0"/>
      </c:bar3DChart>
      <c:catAx>
        <c:axId val="17506560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50669984"/>
        <c:crosses val="autoZero"/>
        <c:auto val="1"/>
        <c:lblAlgn val="ctr"/>
        <c:lblOffset val="100"/>
        <c:noMultiLvlLbl val="0"/>
      </c:catAx>
      <c:valAx>
        <c:axId val="1750669984"/>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50656064"/>
        <c:crosses val="autoZero"/>
        <c:crossBetween val="between"/>
      </c:valAx>
      <c:spPr>
        <a:noFill/>
        <a:ln>
          <a:noFill/>
        </a:ln>
        <a:effectLst/>
      </c:spPr>
    </c:plotArea>
    <c:legend>
      <c:legendPos val="b"/>
      <c:layout>
        <c:manualLayout>
          <c:xMode val="edge"/>
          <c:yMode val="edge"/>
          <c:x val="0.91243219597550307"/>
          <c:y val="2.8401137357830297E-2"/>
          <c:w val="7.2913385826771648E-2"/>
          <c:h val="0.9114136774569845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3">
        <a:lumMod val="20000"/>
        <a:lumOff val="80000"/>
      </a:schemeClr>
    </a:solidFill>
    <a:ln w="12700" cap="flat" cmpd="sng" algn="ctr">
      <a:solidFill>
        <a:schemeClr val="dk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9285596011907906"/>
          <c:y val="4.2413793103448276E-2"/>
          <c:w val="0.5026697669502721"/>
          <c:h val="0.84551928913913699"/>
        </c:manualLayout>
      </c:layout>
      <c:barChart>
        <c:barDir val="bar"/>
        <c:grouping val="clustered"/>
        <c:varyColors val="0"/>
        <c:ser>
          <c:idx val="0"/>
          <c:order val="0"/>
          <c:tx>
            <c:strRef>
              <c:f>'Final-Score-1-20nos'!$B$245</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'Final-Score-1-20nos'!$R$244:$V$244</c:f>
              <c:strCache>
                <c:ptCount val="5"/>
                <c:pt idx="0">
                  <c:v>Q 16. I find myself more connected to restaurants that offer valuable content such as health tips, recipe ideas, or cooking videos on social media.</c:v>
                </c:pt>
                <c:pt idx="1">
                  <c:v>Q 17. Programs that reward loyalty, like discounts or points for repeat visits, encourage me to come back to a restaurant. </c:v>
                </c:pt>
                <c:pt idx="2">
                  <c:v>Q 18. I trust restaurants more when they are transparent about their ingredients, sourcing practices, and cooking methods. </c:v>
                </c:pt>
                <c:pt idx="3">
                  <c:v>Q 19. I tend to favour restaurants that encourage sustainability through the use of eco-friendly packaging and minimizing food waste.</c:v>
                </c:pt>
                <c:pt idx="4">
                  <c:v>Q 20. I would be excited to join events such as food festivals, live cooking demonstrations, or cultural food talks arranged by a restaurant. </c:v>
                </c:pt>
              </c:strCache>
            </c:strRef>
          </c:cat>
          <c:val>
            <c:numRef>
              <c:f>'Final-Score-1-20nos'!$R$245:$V$245</c:f>
              <c:numCache>
                <c:formatCode>General</c:formatCode>
                <c:ptCount val="5"/>
                <c:pt idx="0">
                  <c:v>38</c:v>
                </c:pt>
                <c:pt idx="1">
                  <c:v>65</c:v>
                </c:pt>
                <c:pt idx="2">
                  <c:v>51</c:v>
                </c:pt>
                <c:pt idx="3">
                  <c:v>80</c:v>
                </c:pt>
                <c:pt idx="4">
                  <c:v>44</c:v>
                </c:pt>
              </c:numCache>
            </c:numRef>
          </c:val>
          <c:extLst>
            <c:ext xmlns:c16="http://schemas.microsoft.com/office/drawing/2014/chart" uri="{C3380CC4-5D6E-409C-BE32-E72D297353CC}">
              <c16:uniqueId val="{00000000-05D6-4CF6-8046-26CC62716203}"/>
            </c:ext>
          </c:extLst>
        </c:ser>
        <c:ser>
          <c:idx val="1"/>
          <c:order val="1"/>
          <c:tx>
            <c:strRef>
              <c:f>'Final-Score-1-20nos'!$B$246</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'Final-Score-1-20nos'!$R$244:$V$244</c:f>
              <c:strCache>
                <c:ptCount val="5"/>
                <c:pt idx="0">
                  <c:v>Q 16. I find myself more connected to restaurants that offer valuable content such as health tips, recipe ideas, or cooking videos on social media.</c:v>
                </c:pt>
                <c:pt idx="1">
                  <c:v>Q 17. Programs that reward loyalty, like discounts or points for repeat visits, encourage me to come back to a restaurant. </c:v>
                </c:pt>
                <c:pt idx="2">
                  <c:v>Q 18. I trust restaurants more when they are transparent about their ingredients, sourcing practices, and cooking methods. </c:v>
                </c:pt>
                <c:pt idx="3">
                  <c:v>Q 19. I tend to favour restaurants that encourage sustainability through the use of eco-friendly packaging and minimizing food waste.</c:v>
                </c:pt>
                <c:pt idx="4">
                  <c:v>Q 20. I would be excited to join events such as food festivals, live cooking demonstrations, or cultural food talks arranged by a restaurant. </c:v>
                </c:pt>
              </c:strCache>
            </c:strRef>
          </c:cat>
          <c:val>
            <c:numRef>
              <c:f>'Final-Score-1-20nos'!$R$246:$V$246</c:f>
              <c:numCache>
                <c:formatCode>General</c:formatCode>
                <c:ptCount val="5"/>
                <c:pt idx="0">
                  <c:v>59</c:v>
                </c:pt>
                <c:pt idx="1">
                  <c:v>75</c:v>
                </c:pt>
                <c:pt idx="2">
                  <c:v>68</c:v>
                </c:pt>
                <c:pt idx="3">
                  <c:v>64</c:v>
                </c:pt>
                <c:pt idx="4">
                  <c:v>67</c:v>
                </c:pt>
              </c:numCache>
            </c:numRef>
          </c:val>
          <c:extLst>
            <c:ext xmlns:c16="http://schemas.microsoft.com/office/drawing/2014/chart" uri="{C3380CC4-5D6E-409C-BE32-E72D297353CC}">
              <c16:uniqueId val="{00000001-05D6-4CF6-8046-26CC62716203}"/>
            </c:ext>
          </c:extLst>
        </c:ser>
        <c:ser>
          <c:idx val="2"/>
          <c:order val="2"/>
          <c:tx>
            <c:strRef>
              <c:f>'Final-Score-1-20nos'!$B$247</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'Final-Score-1-20nos'!$R$244:$V$244</c:f>
              <c:strCache>
                <c:ptCount val="5"/>
                <c:pt idx="0">
                  <c:v>Q 16. I find myself more connected to restaurants that offer valuable content such as health tips, recipe ideas, or cooking videos on social media.</c:v>
                </c:pt>
                <c:pt idx="1">
                  <c:v>Q 17. Programs that reward loyalty, like discounts or points for repeat visits, encourage me to come back to a restaurant. </c:v>
                </c:pt>
                <c:pt idx="2">
                  <c:v>Q 18. I trust restaurants more when they are transparent about their ingredients, sourcing practices, and cooking methods. </c:v>
                </c:pt>
                <c:pt idx="3">
                  <c:v>Q 19. I tend to favour restaurants that encourage sustainability through the use of eco-friendly packaging and minimizing food waste.</c:v>
                </c:pt>
                <c:pt idx="4">
                  <c:v>Q 20. I would be excited to join events such as food festivals, live cooking demonstrations, or cultural food talks arranged by a restaurant. </c:v>
                </c:pt>
              </c:strCache>
            </c:strRef>
          </c:cat>
          <c:val>
            <c:numRef>
              <c:f>'Final-Score-1-20nos'!$R$247:$V$247</c:f>
              <c:numCache>
                <c:formatCode>General</c:formatCode>
                <c:ptCount val="5"/>
                <c:pt idx="0">
                  <c:v>57</c:v>
                </c:pt>
                <c:pt idx="1">
                  <c:v>18</c:v>
                </c:pt>
                <c:pt idx="2">
                  <c:v>38</c:v>
                </c:pt>
                <c:pt idx="3">
                  <c:v>15</c:v>
                </c:pt>
                <c:pt idx="4">
                  <c:v>42</c:v>
                </c:pt>
              </c:numCache>
            </c:numRef>
          </c:val>
          <c:extLst>
            <c:ext xmlns:c16="http://schemas.microsoft.com/office/drawing/2014/chart" uri="{C3380CC4-5D6E-409C-BE32-E72D297353CC}">
              <c16:uniqueId val="{00000002-05D6-4CF6-8046-26CC62716203}"/>
            </c:ext>
          </c:extLst>
        </c:ser>
        <c:ser>
          <c:idx val="3"/>
          <c:order val="3"/>
          <c:tx>
            <c:strRef>
              <c:f>'Final-Score-1-20nos'!$B$248</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'Final-Score-1-20nos'!$R$244:$V$244</c:f>
              <c:strCache>
                <c:ptCount val="5"/>
                <c:pt idx="0">
                  <c:v>Q 16. I find myself more connected to restaurants that offer valuable content such as health tips, recipe ideas, or cooking videos on social media.</c:v>
                </c:pt>
                <c:pt idx="1">
                  <c:v>Q 17. Programs that reward loyalty, like discounts or points for repeat visits, encourage me to come back to a restaurant. </c:v>
                </c:pt>
                <c:pt idx="2">
                  <c:v>Q 18. I trust restaurants more when they are transparent about their ingredients, sourcing practices, and cooking methods. </c:v>
                </c:pt>
                <c:pt idx="3">
                  <c:v>Q 19. I tend to favour restaurants that encourage sustainability through the use of eco-friendly packaging and minimizing food waste.</c:v>
                </c:pt>
                <c:pt idx="4">
                  <c:v>Q 20. I would be excited to join events such as food festivals, live cooking demonstrations, or cultural food talks arranged by a restaurant. </c:v>
                </c:pt>
              </c:strCache>
            </c:strRef>
          </c:cat>
          <c:val>
            <c:numRef>
              <c:f>'Final-Score-1-20nos'!$R$248:$V$248</c:f>
              <c:numCache>
                <c:formatCode>General</c:formatCode>
                <c:ptCount val="5"/>
                <c:pt idx="0">
                  <c:v>4</c:v>
                </c:pt>
                <c:pt idx="1">
                  <c:v>3</c:v>
                </c:pt>
                <c:pt idx="2">
                  <c:v>3</c:v>
                </c:pt>
                <c:pt idx="3">
                  <c:v>2</c:v>
                </c:pt>
                <c:pt idx="4">
                  <c:v>8</c:v>
                </c:pt>
              </c:numCache>
            </c:numRef>
          </c:val>
          <c:extLst>
            <c:ext xmlns:c16="http://schemas.microsoft.com/office/drawing/2014/chart" uri="{C3380CC4-5D6E-409C-BE32-E72D297353CC}">
              <c16:uniqueId val="{00000003-05D6-4CF6-8046-26CC62716203}"/>
            </c:ext>
          </c:extLst>
        </c:ser>
        <c:ser>
          <c:idx val="4"/>
          <c:order val="4"/>
          <c:tx>
            <c:strRef>
              <c:f>'Final-Score-1-20nos'!$B$249</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'Final-Score-1-20nos'!$R$244:$V$244</c:f>
              <c:strCache>
                <c:ptCount val="5"/>
                <c:pt idx="0">
                  <c:v>Q 16. I find myself more connected to restaurants that offer valuable content such as health tips, recipe ideas, or cooking videos on social media.</c:v>
                </c:pt>
                <c:pt idx="1">
                  <c:v>Q 17. Programs that reward loyalty, like discounts or points for repeat visits, encourage me to come back to a restaurant. </c:v>
                </c:pt>
                <c:pt idx="2">
                  <c:v>Q 18. I trust restaurants more when they are transparent about their ingredients, sourcing practices, and cooking methods. </c:v>
                </c:pt>
                <c:pt idx="3">
                  <c:v>Q 19. I tend to favour restaurants that encourage sustainability through the use of eco-friendly packaging and minimizing food waste.</c:v>
                </c:pt>
                <c:pt idx="4">
                  <c:v>Q 20. I would be excited to join events such as food festivals, live cooking demonstrations, or cultural food talks arranged by a restaurant. </c:v>
                </c:pt>
              </c:strCache>
            </c:strRef>
          </c:cat>
          <c:val>
            <c:numRef>
              <c:f>'Final-Score-1-20nos'!$R$249:$V$249</c:f>
              <c:numCache>
                <c:formatCode>General</c:formatCode>
                <c:ptCount val="5"/>
                <c:pt idx="0">
                  <c:v>1</c:v>
                </c:pt>
                <c:pt idx="1">
                  <c:v>0</c:v>
                </c:pt>
                <c:pt idx="2">
                  <c:v>0</c:v>
                </c:pt>
                <c:pt idx="3">
                  <c:v>0</c:v>
                </c:pt>
                <c:pt idx="4">
                  <c:v>0</c:v>
                </c:pt>
              </c:numCache>
            </c:numRef>
          </c:val>
          <c:extLst>
            <c:ext xmlns:c16="http://schemas.microsoft.com/office/drawing/2014/chart" uri="{C3380CC4-5D6E-409C-BE32-E72D297353CC}">
              <c16:uniqueId val="{00000004-05D6-4CF6-8046-26CC62716203}"/>
            </c:ext>
          </c:extLst>
        </c:ser>
        <c:ser>
          <c:idx val="5"/>
          <c:order val="5"/>
          <c:tx>
            <c:strRef>
              <c:f>'Final-Score-1-20nos'!$B$250</c:f>
              <c:strCache>
                <c:ptCount val="1"/>
                <c:pt idx="0">
                  <c:v>No response</c:v>
                </c:pt>
              </c:strCache>
            </c:strRef>
          </c:tx>
          <c:spPr>
            <a:solidFill>
              <a:schemeClr val="accent6"/>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'Final-Score-1-20nos'!$R$244:$V$244</c:f>
              <c:strCache>
                <c:ptCount val="5"/>
                <c:pt idx="0">
                  <c:v>Q 16. I find myself more connected to restaurants that offer valuable content such as health tips, recipe ideas, or cooking videos on social media.</c:v>
                </c:pt>
                <c:pt idx="1">
                  <c:v>Q 17. Programs that reward loyalty, like discounts or points for repeat visits, encourage me to come back to a restaurant. </c:v>
                </c:pt>
                <c:pt idx="2">
                  <c:v>Q 18. I trust restaurants more when they are transparent about their ingredients, sourcing practices, and cooking methods. </c:v>
                </c:pt>
                <c:pt idx="3">
                  <c:v>Q 19. I tend to favour restaurants that encourage sustainability through the use of eco-friendly packaging and minimizing food waste.</c:v>
                </c:pt>
                <c:pt idx="4">
                  <c:v>Q 20. I would be excited to join events such as food festivals, live cooking demonstrations, or cultural food talks arranged by a restaurant. </c:v>
                </c:pt>
              </c:strCache>
            </c:strRef>
          </c:cat>
          <c:val>
            <c:numRef>
              <c:f>'Final-Score-1-20nos'!$R$250:$V$250</c:f>
              <c:numCache>
                <c:formatCode>General</c:formatCode>
                <c:ptCount val="5"/>
                <c:pt idx="0">
                  <c:v>3</c:v>
                </c:pt>
                <c:pt idx="1">
                  <c:v>1</c:v>
                </c:pt>
                <c:pt idx="2">
                  <c:v>2</c:v>
                </c:pt>
                <c:pt idx="3">
                  <c:v>1</c:v>
                </c:pt>
                <c:pt idx="4">
                  <c:v>1</c:v>
                </c:pt>
              </c:numCache>
            </c:numRef>
          </c:val>
          <c:extLst>
            <c:ext xmlns:c16="http://schemas.microsoft.com/office/drawing/2014/chart" uri="{C3380CC4-5D6E-409C-BE32-E72D297353CC}">
              <c16:uniqueId val="{00000005-05D6-4CF6-8046-26CC62716203}"/>
            </c:ext>
          </c:extLst>
        </c:ser>
        <c:dLbls>
          <c:showLegendKey val="0"/>
          <c:showVal val="0"/>
          <c:showCatName val="0"/>
          <c:showSerName val="0"/>
          <c:showPercent val="0"/>
          <c:showBubbleSize val="0"/>
        </c:dLbls>
        <c:gapWidth val="50"/>
        <c:axId val="1420461136"/>
        <c:axId val="1420456816"/>
      </c:barChart>
      <c:catAx>
        <c:axId val="142046113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420456816"/>
        <c:crosses val="autoZero"/>
        <c:auto val="1"/>
        <c:lblAlgn val="l"/>
        <c:lblOffset val="100"/>
        <c:noMultiLvlLbl val="0"/>
      </c:catAx>
      <c:valAx>
        <c:axId val="1420456816"/>
        <c:scaling>
          <c:orientation val="minMax"/>
        </c:scaling>
        <c:delete val="1"/>
        <c:axPos val="b"/>
        <c:numFmt formatCode="General" sourceLinked="1"/>
        <c:majorTickMark val="none"/>
        <c:minorTickMark val="none"/>
        <c:tickLblPos val="nextTo"/>
        <c:crossAx val="1420461136"/>
        <c:crosses val="autoZero"/>
        <c:crossBetween val="between"/>
      </c:valAx>
      <c:spPr>
        <a:noFill/>
        <a:ln>
          <a:noFill/>
        </a:ln>
        <a:effectLst/>
      </c:spPr>
    </c:plotArea>
    <c:legend>
      <c:legendPos val="b"/>
      <c:layout>
        <c:manualLayout>
          <c:xMode val="edge"/>
          <c:yMode val="edge"/>
          <c:x val="1.682960770843242E-2"/>
          <c:y val="0.91271455593190509"/>
          <c:w val="0.9641036481178108"/>
          <c:h val="6.0786798201948891E-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accent3">
        <a:lumMod val="20000"/>
        <a:lumOff val="80000"/>
      </a:schemeClr>
    </a:solidFill>
    <a:ln w="12700" cap="flat" cmpd="sng" algn="ctr">
      <a:solidFill>
        <a:schemeClr val="accent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3842925289434012E-2"/>
          <c:y val="5.3467396913652189E-2"/>
          <c:w val="0.8815210164798829"/>
          <c:h val="0.78576284729736479"/>
        </c:manualLayout>
      </c:layout>
      <c:bar3DChart>
        <c:barDir val="col"/>
        <c:grouping val="clustered"/>
        <c:varyColors val="0"/>
        <c:ser>
          <c:idx val="0"/>
          <c:order val="0"/>
          <c:tx>
            <c:strRef>
              <c:f>'Final-Score-1-20nos'!$R$263</c:f>
              <c:strCache>
                <c:ptCount val="1"/>
                <c:pt idx="0">
                  <c:v>Q16</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'Final-Score-1-20nos'!$R$264:$R$269</c:f>
              <c:numCache>
                <c:formatCode>0.00%</c:formatCode>
                <c:ptCount val="6"/>
                <c:pt idx="0">
                  <c:v>0.23456790123456789</c:v>
                </c:pt>
                <c:pt idx="1">
                  <c:v>0.36419753086419754</c:v>
                </c:pt>
                <c:pt idx="2">
                  <c:v>0.35185185185185186</c:v>
                </c:pt>
                <c:pt idx="3">
                  <c:v>2.4691358024691357E-2</c:v>
                </c:pt>
                <c:pt idx="4">
                  <c:v>6.1728395061728392E-3</c:v>
                </c:pt>
                <c:pt idx="5">
                  <c:v>1.8518518518518517E-2</c:v>
                </c:pt>
              </c:numCache>
            </c:numRef>
          </c:val>
          <c:shape val="pyramidToMax"/>
          <c:extLst>
            <c:ext xmlns:c16="http://schemas.microsoft.com/office/drawing/2014/chart" uri="{C3380CC4-5D6E-409C-BE32-E72D297353CC}">
              <c16:uniqueId val="{00000000-4D25-4394-89C0-8F37A2CD7CBB}"/>
            </c:ext>
          </c:extLst>
        </c:ser>
        <c:ser>
          <c:idx val="1"/>
          <c:order val="1"/>
          <c:tx>
            <c:strRef>
              <c:f>'Final-Score-1-20nos'!$S$263</c:f>
              <c:strCache>
                <c:ptCount val="1"/>
                <c:pt idx="0">
                  <c:v>Q17</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'Final-Score-1-20nos'!$S$264:$S$269</c:f>
              <c:numCache>
                <c:formatCode>0.00%</c:formatCode>
                <c:ptCount val="6"/>
                <c:pt idx="0">
                  <c:v>0.40123456790123457</c:v>
                </c:pt>
                <c:pt idx="1">
                  <c:v>0.46296296296296297</c:v>
                </c:pt>
                <c:pt idx="2">
                  <c:v>0.1111111111111111</c:v>
                </c:pt>
                <c:pt idx="3">
                  <c:v>1.8518518518518517E-2</c:v>
                </c:pt>
                <c:pt idx="4">
                  <c:v>0</c:v>
                </c:pt>
                <c:pt idx="5">
                  <c:v>6.1728395061728392E-3</c:v>
                </c:pt>
              </c:numCache>
            </c:numRef>
          </c:val>
          <c:shape val="pyramidToMax"/>
          <c:extLst>
            <c:ext xmlns:c16="http://schemas.microsoft.com/office/drawing/2014/chart" uri="{C3380CC4-5D6E-409C-BE32-E72D297353CC}">
              <c16:uniqueId val="{00000001-4D25-4394-89C0-8F37A2CD7CBB}"/>
            </c:ext>
          </c:extLst>
        </c:ser>
        <c:ser>
          <c:idx val="2"/>
          <c:order val="2"/>
          <c:tx>
            <c:strRef>
              <c:f>'Final-Score-1-20nos'!$T$263</c:f>
              <c:strCache>
                <c:ptCount val="1"/>
                <c:pt idx="0">
                  <c:v>Q18</c:v>
                </c:pt>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'Final-Score-1-20nos'!$T$264:$T$269</c:f>
              <c:numCache>
                <c:formatCode>0.00%</c:formatCode>
                <c:ptCount val="6"/>
                <c:pt idx="0">
                  <c:v>0.31481481481481483</c:v>
                </c:pt>
                <c:pt idx="1">
                  <c:v>0.41975308641975306</c:v>
                </c:pt>
                <c:pt idx="2">
                  <c:v>0.23456790123456789</c:v>
                </c:pt>
                <c:pt idx="3">
                  <c:v>1.8518518518518517E-2</c:v>
                </c:pt>
                <c:pt idx="4">
                  <c:v>0</c:v>
                </c:pt>
                <c:pt idx="5">
                  <c:v>1.2345679012345678E-2</c:v>
                </c:pt>
              </c:numCache>
            </c:numRef>
          </c:val>
          <c:shape val="pyramidToMax"/>
          <c:extLst>
            <c:ext xmlns:c16="http://schemas.microsoft.com/office/drawing/2014/chart" uri="{C3380CC4-5D6E-409C-BE32-E72D297353CC}">
              <c16:uniqueId val="{00000002-4D25-4394-89C0-8F37A2CD7CBB}"/>
            </c:ext>
          </c:extLst>
        </c:ser>
        <c:ser>
          <c:idx val="3"/>
          <c:order val="3"/>
          <c:tx>
            <c:strRef>
              <c:f>'Final-Score-1-20nos'!$U$263</c:f>
              <c:strCache>
                <c:ptCount val="1"/>
                <c:pt idx="0">
                  <c:v>Q19</c:v>
                </c:pt>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'Final-Score-1-20nos'!$U$264:$U$269</c:f>
              <c:numCache>
                <c:formatCode>0.00%</c:formatCode>
                <c:ptCount val="6"/>
                <c:pt idx="0">
                  <c:v>0.49382716049382713</c:v>
                </c:pt>
                <c:pt idx="1">
                  <c:v>0.39506172839506171</c:v>
                </c:pt>
                <c:pt idx="2">
                  <c:v>9.2592592592592587E-2</c:v>
                </c:pt>
                <c:pt idx="3">
                  <c:v>1.2345679012345678E-2</c:v>
                </c:pt>
                <c:pt idx="4">
                  <c:v>0</c:v>
                </c:pt>
                <c:pt idx="5">
                  <c:v>6.1728395061728392E-3</c:v>
                </c:pt>
              </c:numCache>
            </c:numRef>
          </c:val>
          <c:shape val="pyramidToMax"/>
          <c:extLst>
            <c:ext xmlns:c16="http://schemas.microsoft.com/office/drawing/2014/chart" uri="{C3380CC4-5D6E-409C-BE32-E72D297353CC}">
              <c16:uniqueId val="{00000003-4D25-4394-89C0-8F37A2CD7CBB}"/>
            </c:ext>
          </c:extLst>
        </c:ser>
        <c:ser>
          <c:idx val="4"/>
          <c:order val="4"/>
          <c:tx>
            <c:strRef>
              <c:f>'Final-Score-1-20nos'!$V$263</c:f>
              <c:strCache>
                <c:ptCount val="1"/>
                <c:pt idx="0">
                  <c:v>Q20</c:v>
                </c:pt>
              </c:strCache>
            </c:strRef>
          </c:tx>
          <c:spPr>
            <a:solidFill>
              <a:schemeClr val="accent5"/>
            </a:solidFill>
            <a:ln>
              <a:solidFill>
                <a:schemeClr val="accent5">
                  <a:lumMod val="75000"/>
                </a:schemeClr>
              </a:solidFill>
            </a:ln>
            <a:effectLst/>
            <a:scene3d>
              <a:camera prst="orthographicFront"/>
              <a:lightRig rig="threePt" dir="t"/>
            </a:scene3d>
            <a:sp3d prstMaterial="translucentPowder">
              <a:contourClr>
                <a:schemeClr val="accent5">
                  <a:lumMod val="75000"/>
                </a:schemeClr>
              </a:contourClr>
            </a:sp3d>
          </c:spPr>
          <c:invertIfNegative val="0"/>
          <c:cat>
            <c:strRef>
              <c:f>'Final-Score-1-20nos'!$B$264:$B$269</c:f>
              <c:strCache>
                <c:ptCount val="6"/>
                <c:pt idx="0">
                  <c:v>Strongly Agree</c:v>
                </c:pt>
                <c:pt idx="1">
                  <c:v>Agree</c:v>
                </c:pt>
                <c:pt idx="2">
                  <c:v>Neutral</c:v>
                </c:pt>
                <c:pt idx="3">
                  <c:v>Disagree</c:v>
                </c:pt>
                <c:pt idx="4">
                  <c:v>Strongly Disagree</c:v>
                </c:pt>
                <c:pt idx="5">
                  <c:v>No response</c:v>
                </c:pt>
              </c:strCache>
            </c:strRef>
          </c:cat>
          <c:val>
            <c:numRef>
              <c:f>'Final-Score-1-20nos'!$V$264:$V$269</c:f>
              <c:numCache>
                <c:formatCode>0.00%</c:formatCode>
                <c:ptCount val="6"/>
                <c:pt idx="0">
                  <c:v>0.27160493827160492</c:v>
                </c:pt>
                <c:pt idx="1">
                  <c:v>0.41358024691358025</c:v>
                </c:pt>
                <c:pt idx="2">
                  <c:v>0.25925925925925924</c:v>
                </c:pt>
                <c:pt idx="3">
                  <c:v>4.9382716049382713E-2</c:v>
                </c:pt>
                <c:pt idx="4">
                  <c:v>0</c:v>
                </c:pt>
                <c:pt idx="5">
                  <c:v>6.1728395061728392E-3</c:v>
                </c:pt>
              </c:numCache>
            </c:numRef>
          </c:val>
          <c:shape val="pyramidToMax"/>
          <c:extLst>
            <c:ext xmlns:c16="http://schemas.microsoft.com/office/drawing/2014/chart" uri="{C3380CC4-5D6E-409C-BE32-E72D297353CC}">
              <c16:uniqueId val="{00000004-4D25-4394-89C0-8F37A2CD7CBB}"/>
            </c:ext>
          </c:extLst>
        </c:ser>
        <c:dLbls>
          <c:showLegendKey val="0"/>
          <c:showVal val="0"/>
          <c:showCatName val="0"/>
          <c:showSerName val="0"/>
          <c:showPercent val="0"/>
          <c:showBubbleSize val="0"/>
        </c:dLbls>
        <c:gapWidth val="150"/>
        <c:shape val="box"/>
        <c:axId val="1701376032"/>
        <c:axId val="1701376512"/>
        <c:axId val="0"/>
      </c:bar3DChart>
      <c:catAx>
        <c:axId val="17013760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01376512"/>
        <c:crosses val="autoZero"/>
        <c:auto val="1"/>
        <c:lblAlgn val="ctr"/>
        <c:lblOffset val="100"/>
        <c:noMultiLvlLbl val="0"/>
      </c:catAx>
      <c:valAx>
        <c:axId val="170137651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crossAx val="1701376032"/>
        <c:crosses val="autoZero"/>
        <c:crossBetween val="between"/>
      </c:valAx>
      <c:spPr>
        <a:noFill/>
        <a:ln>
          <a:noFill/>
        </a:ln>
        <a:effectLst/>
      </c:spPr>
    </c:plotArea>
    <c:legend>
      <c:legendPos val="b"/>
      <c:layout>
        <c:manualLayout>
          <c:xMode val="edge"/>
          <c:yMode val="edge"/>
          <c:x val="0.90670658049042863"/>
          <c:y val="3.2281799870153678E-2"/>
          <c:w val="8.0203860295738505E-2"/>
          <c:h val="0.9338915616520451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3">
        <a:lumMod val="20000"/>
        <a:lumOff val="80000"/>
      </a:schemeClr>
    </a:solidFill>
    <a:ln w="12700" cap="flat" cmpd="sng" algn="ctr">
      <a:solidFill>
        <a:schemeClr val="dk1"/>
      </a:solidFill>
      <a:prstDash val="solid"/>
      <a:miter lim="800000"/>
    </a:ln>
    <a:effectLst/>
    <a:scene3d>
      <a:camera prst="orthographicFront"/>
      <a:lightRig rig="threePt" dir="t"/>
    </a:scene3d>
    <a:sp3d>
      <a:bevelT prst="angle"/>
    </a:sp3d>
  </c:spPr>
  <c:txPr>
    <a:bodyPr/>
    <a:lstStyle/>
    <a:p>
      <a:pPr>
        <a:defRPr>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5.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7.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8.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9.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10.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1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1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65</Pages>
  <Words>18770</Words>
  <Characters>106989</Characters>
  <Application>Microsoft Office Word</Application>
  <DocSecurity>0</DocSecurity>
  <Lines>891</Lines>
  <Paragraphs>251</Paragraphs>
  <ScaleCrop>false</ScaleCrop>
  <Company/>
  <LinksUpToDate>false</LinksUpToDate>
  <CharactersWithSpaces>125508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Dhinakaran A</dc:creator>
  <cp:keywords/>
  <dc:description/>
  <cp:lastModifiedBy>Samuel Dhinakaran A</cp:lastModifiedBy>
  <cp:revision>24</cp:revision>
  <dcterms:created xsi:type="dcterms:W3CDTF">2025-12-11T14:07:00Z</dcterms:created>
  <dcterms:modified xsi:type="dcterms:W3CDTF">2025-12-11T14:32:00Z</dcterms:modified>
</cp:coreProperties>
</file>