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A3AB45C" w:rsidR="00575A8F" w:rsidRPr="008F22BD" w:rsidRDefault="004E2D4F" w:rsidP="00E6298B">
            <w:pPr>
              <w:overflowPunct/>
              <w:autoSpaceDE/>
              <w:autoSpaceDN/>
              <w:adjustRightInd/>
              <w:ind w:right="107"/>
              <w:textAlignment w:val="auto"/>
              <w:rPr>
                <w:b/>
                <w:color w:val="auto"/>
                <w:sz w:val="32"/>
              </w:rPr>
            </w:pPr>
            <w:r>
              <w:rPr>
                <w:b/>
                <w:color w:val="auto"/>
                <w:sz w:val="32"/>
              </w:rPr>
              <w:t>L</w:t>
            </w:r>
            <w:r w:rsidR="00575A8F" w:rsidRPr="008F22BD">
              <w:rPr>
                <w:b/>
                <w:color w:val="auto"/>
                <w:sz w:val="32"/>
              </w:rPr>
              <w:t>earner name</w:t>
            </w:r>
            <w:r w:rsidR="00575A8F">
              <w:rPr>
                <w:b/>
                <w:color w:val="auto"/>
                <w:sz w:val="32"/>
              </w:rPr>
              <w:t xml:space="preserve">: </w:t>
            </w:r>
            <w:r>
              <w:rPr>
                <w:b/>
                <w:color w:val="auto"/>
                <w:sz w:val="32"/>
              </w:rPr>
              <w:t>Natalie Amaral-Richards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F4DC09E"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4E2D4F">
              <w:rPr>
                <w:b/>
                <w:color w:val="auto"/>
                <w:sz w:val="32"/>
              </w:rPr>
              <w:t xml:space="preserve"> 2236983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0D597C9" w14:textId="77777777" w:rsidR="004E2D4F" w:rsidRPr="009D63AF" w:rsidRDefault="004E2D4F" w:rsidP="009D63AF">
      <w:pPr>
        <w:pStyle w:val="NoSpacing"/>
        <w:spacing w:line="480" w:lineRule="auto"/>
        <w:rPr>
          <w:sz w:val="24"/>
          <w:szCs w:val="24"/>
        </w:rPr>
      </w:pPr>
    </w:p>
    <w:p w14:paraId="6D2CAD31" w14:textId="2FFE99C8" w:rsidR="004E2D4F" w:rsidRPr="009D63AF" w:rsidRDefault="004E2D4F" w:rsidP="009D63AF">
      <w:pPr>
        <w:pStyle w:val="NoSpacing"/>
        <w:spacing w:line="480" w:lineRule="auto"/>
        <w:rPr>
          <w:sz w:val="24"/>
          <w:szCs w:val="24"/>
        </w:rPr>
      </w:pPr>
      <w:r w:rsidRPr="009D63AF">
        <w:rPr>
          <w:sz w:val="24"/>
          <w:szCs w:val="24"/>
        </w:rPr>
        <w:t xml:space="preserve">      I will be discussing the obstacles I faced during my initial six months of training and the different techniques I used </w:t>
      </w:r>
      <w:r w:rsidR="009D63AF" w:rsidRPr="009D63AF">
        <w:rPr>
          <w:sz w:val="24"/>
          <w:szCs w:val="24"/>
        </w:rPr>
        <w:t>to</w:t>
      </w:r>
      <w:r w:rsidRPr="009D63AF">
        <w:rPr>
          <w:sz w:val="24"/>
          <w:szCs w:val="24"/>
        </w:rPr>
        <w:t xml:space="preserve"> overcome these. I will also be discussing how stress can affect a person and how resilience can be developed from this. </w:t>
      </w:r>
    </w:p>
    <w:p w14:paraId="65FD3353" w14:textId="77777777" w:rsidR="004E2D4F" w:rsidRPr="009D63AF" w:rsidRDefault="004E2D4F" w:rsidP="009D63AF">
      <w:pPr>
        <w:pStyle w:val="NoSpacing"/>
        <w:spacing w:line="480" w:lineRule="auto"/>
        <w:rPr>
          <w:sz w:val="24"/>
          <w:szCs w:val="24"/>
        </w:rPr>
      </w:pPr>
      <w:r w:rsidRPr="009D63AF">
        <w:rPr>
          <w:sz w:val="24"/>
          <w:szCs w:val="24"/>
        </w:rPr>
        <w:t xml:space="preserve">      Stress can be explained as people being put in difficult situations which then causes them to feel worried or tensed. Stress is a response to challenges or threats which occur in our lives which can be experienced in a variety of ways. This can include a change of behaviour, ill-health or negative emotion. These can be portrayed through lack of energy, lack of motivation, poor concentration, unhappiness, low confidence and low self-esteem which can all affect a person’s performance in the workplace (Matthews et al. 2000)</w:t>
      </w:r>
    </w:p>
    <w:p w14:paraId="3DA6E12D" w14:textId="77777777" w:rsidR="004E2D4F" w:rsidRPr="009D63AF" w:rsidRDefault="004E2D4F" w:rsidP="009D63AF">
      <w:pPr>
        <w:pStyle w:val="NoSpacing"/>
        <w:spacing w:line="480" w:lineRule="auto"/>
        <w:rPr>
          <w:sz w:val="24"/>
          <w:szCs w:val="24"/>
        </w:rPr>
      </w:pPr>
      <w:r w:rsidRPr="009D63AF">
        <w:rPr>
          <w:sz w:val="24"/>
          <w:szCs w:val="24"/>
        </w:rPr>
        <w:t xml:space="preserve">      If not managed effectively, high levels of stress in the workplace can lead to negative performances. When working in highly stressful settings, this puts people at risk of conditions including anxiety, stress and depression. Workplace stress can have serious implications on the work of an employee and their psychological state of mind (Rees et al. 2015)</w:t>
      </w:r>
    </w:p>
    <w:p w14:paraId="46195603" w14:textId="77777777" w:rsidR="004E2D4F" w:rsidRPr="009D63AF" w:rsidRDefault="004E2D4F" w:rsidP="009D63AF">
      <w:pPr>
        <w:pStyle w:val="NoSpacing"/>
        <w:spacing w:line="480" w:lineRule="auto"/>
        <w:rPr>
          <w:sz w:val="24"/>
          <w:szCs w:val="24"/>
        </w:rPr>
      </w:pPr>
      <w:r w:rsidRPr="009D63AF">
        <w:rPr>
          <w:sz w:val="24"/>
          <w:szCs w:val="24"/>
        </w:rPr>
        <w:lastRenderedPageBreak/>
        <w:t xml:space="preserve">     It has been emphasised that overscheduling can be a significant cause of stress. A sense of calmness and being in control can enhance confidence and performance. Unscheduled time is essential to well-being and mental health (Jay, 2019)</w:t>
      </w:r>
    </w:p>
    <w:p w14:paraId="550582B0" w14:textId="77777777" w:rsidR="004E2D4F" w:rsidRPr="009D63AF" w:rsidRDefault="004E2D4F" w:rsidP="009D63AF">
      <w:pPr>
        <w:pStyle w:val="NoSpacing"/>
        <w:spacing w:line="480" w:lineRule="auto"/>
        <w:rPr>
          <w:sz w:val="24"/>
          <w:szCs w:val="24"/>
        </w:rPr>
      </w:pPr>
      <w:r w:rsidRPr="009D63AF">
        <w:rPr>
          <w:sz w:val="24"/>
          <w:szCs w:val="24"/>
        </w:rPr>
        <w:t xml:space="preserve">      During my initial six months of training, work, home and family life took up the majority of my time. Ensuring that I had at least one hour a day to myself was essential. This would be activities such as walking, swimming or talking to family and friends about worries or concerns. The help of family and friends was vital during this time to ensure it would happen.</w:t>
      </w:r>
    </w:p>
    <w:p w14:paraId="4F736C5C" w14:textId="77777777" w:rsidR="004E2D4F" w:rsidRPr="009D63AF" w:rsidRDefault="004E2D4F" w:rsidP="009D63AF">
      <w:pPr>
        <w:pStyle w:val="NoSpacing"/>
        <w:spacing w:line="480" w:lineRule="auto"/>
        <w:rPr>
          <w:sz w:val="24"/>
          <w:szCs w:val="24"/>
        </w:rPr>
      </w:pPr>
      <w:r w:rsidRPr="009D63AF">
        <w:rPr>
          <w:sz w:val="24"/>
          <w:szCs w:val="24"/>
        </w:rPr>
        <w:t xml:space="preserve">    Worry can be seen as being a chain of negative thoughts or doubts regarding things that might potentially happen in the future. It focuses on problems that may arise rather than what is happening in the here and now. These potential problems could cause a person to feel as though they are caught in a whirlwind or spiral of worry, leaving them feel stressed, nervous, overwhelmed or anxious (Meares &amp; Freeston, 2008)</w:t>
      </w:r>
    </w:p>
    <w:p w14:paraId="1A10D7C5" w14:textId="1DDE310A" w:rsidR="004E2D4F" w:rsidRPr="009D63AF" w:rsidRDefault="004E2D4F" w:rsidP="009D63AF">
      <w:pPr>
        <w:pStyle w:val="NoSpacing"/>
        <w:spacing w:line="480" w:lineRule="auto"/>
        <w:rPr>
          <w:sz w:val="24"/>
          <w:szCs w:val="24"/>
        </w:rPr>
      </w:pPr>
      <w:r w:rsidRPr="009D63AF">
        <w:rPr>
          <w:sz w:val="24"/>
          <w:szCs w:val="24"/>
        </w:rPr>
        <w:t xml:space="preserve">    Prior to starting my six months of training, my anxiety and worry was already at a high level. The thought of meeting new people, learning a new role which included a lot of studying for exams and self-doubt as to whether I was capable of doing it were all I would focus on. This ha</w:t>
      </w:r>
      <w:r w:rsidR="00515A0D">
        <w:rPr>
          <w:sz w:val="24"/>
          <w:szCs w:val="24"/>
        </w:rPr>
        <w:t>d</w:t>
      </w:r>
      <w:r w:rsidRPr="009D63AF">
        <w:rPr>
          <w:sz w:val="24"/>
          <w:szCs w:val="24"/>
        </w:rPr>
        <w:t xml:space="preserve"> to be addressed early on as I felt it could have escalated further throughout training. I was focusing on the negatives rather than the fact I had achieved my dream job and had accomplished a lot.</w:t>
      </w:r>
    </w:p>
    <w:p w14:paraId="13326BF3" w14:textId="77777777" w:rsidR="004E2D4F" w:rsidRPr="009D63AF" w:rsidRDefault="004E2D4F" w:rsidP="009D63AF">
      <w:pPr>
        <w:pStyle w:val="NoSpacing"/>
        <w:spacing w:line="480" w:lineRule="auto"/>
        <w:rPr>
          <w:sz w:val="24"/>
          <w:szCs w:val="24"/>
        </w:rPr>
      </w:pPr>
      <w:r w:rsidRPr="009D63AF">
        <w:rPr>
          <w:sz w:val="24"/>
          <w:szCs w:val="24"/>
        </w:rPr>
        <w:t xml:space="preserve">    To stop these feelings escalating, talking through issues with family and friends had a huge role to play. Discussing concerns I had with family and friends meant they could offer their advice and views, and they would often praise me on much I was achieving and had overcome.</w:t>
      </w:r>
    </w:p>
    <w:p w14:paraId="1063F26B" w14:textId="77777777" w:rsidR="004E2D4F" w:rsidRPr="009D63AF" w:rsidRDefault="004E2D4F" w:rsidP="009D63AF">
      <w:pPr>
        <w:pStyle w:val="NoSpacing"/>
        <w:spacing w:line="480" w:lineRule="auto"/>
        <w:rPr>
          <w:sz w:val="24"/>
          <w:szCs w:val="24"/>
        </w:rPr>
      </w:pPr>
      <w:r w:rsidRPr="009D63AF">
        <w:rPr>
          <w:sz w:val="24"/>
          <w:szCs w:val="24"/>
        </w:rPr>
        <w:lastRenderedPageBreak/>
        <w:t xml:space="preserve">      Jay (2019, p.229) suggests that walking and keeping active lifts your mood. Walking can clear the mind and can be a form of meditation, leaving you feeling refreshed and rebalanced.</w:t>
      </w:r>
    </w:p>
    <w:p w14:paraId="65579BA1" w14:textId="77777777" w:rsidR="004E2D4F" w:rsidRPr="009D63AF" w:rsidRDefault="004E2D4F" w:rsidP="009D63AF">
      <w:pPr>
        <w:pStyle w:val="NoSpacing"/>
        <w:spacing w:line="480" w:lineRule="auto"/>
        <w:rPr>
          <w:sz w:val="24"/>
          <w:szCs w:val="24"/>
        </w:rPr>
      </w:pPr>
      <w:r w:rsidRPr="009D63AF">
        <w:rPr>
          <w:sz w:val="24"/>
          <w:szCs w:val="24"/>
        </w:rPr>
        <w:t xml:space="preserve">      During my six months of training, walking every day was vital. It would clear my mind and distract me from overthinking about my workload. I also went swimming as often as possible as this not only helped clear my mind, but it made me feel more energetic and ready to take on new challenges during training. </w:t>
      </w:r>
    </w:p>
    <w:p w14:paraId="6CFA687F" w14:textId="6C88A0E8" w:rsidR="004E2D4F" w:rsidRPr="009D63AF" w:rsidRDefault="004E2D4F" w:rsidP="009D63AF">
      <w:pPr>
        <w:pStyle w:val="NoSpacing"/>
        <w:spacing w:line="480" w:lineRule="auto"/>
        <w:rPr>
          <w:sz w:val="24"/>
          <w:szCs w:val="24"/>
        </w:rPr>
      </w:pPr>
      <w:r w:rsidRPr="009D63AF">
        <w:rPr>
          <w:sz w:val="24"/>
          <w:szCs w:val="24"/>
        </w:rPr>
        <w:t xml:space="preserve">       Resilience is described as having the ability to return to being happy or successful after something difficult has happened or a problem has occurred. Being resilient means a person can create habits whereby these can help get a person through difficult times and can return to their previous good condition (Cambridge dictionary, N</w:t>
      </w:r>
      <w:r w:rsidR="00515A0D">
        <w:rPr>
          <w:sz w:val="24"/>
          <w:szCs w:val="24"/>
        </w:rPr>
        <w:t xml:space="preserve">o </w:t>
      </w:r>
      <w:r w:rsidRPr="009D63AF">
        <w:rPr>
          <w:sz w:val="24"/>
          <w:szCs w:val="24"/>
        </w:rPr>
        <w:t>D</w:t>
      </w:r>
      <w:r w:rsidR="00515A0D">
        <w:rPr>
          <w:sz w:val="24"/>
          <w:szCs w:val="24"/>
        </w:rPr>
        <w:t>ate</w:t>
      </w:r>
      <w:r w:rsidRPr="009D63AF">
        <w:rPr>
          <w:sz w:val="24"/>
          <w:szCs w:val="24"/>
        </w:rPr>
        <w:t>)</w:t>
      </w:r>
    </w:p>
    <w:p w14:paraId="5D87B763" w14:textId="77777777" w:rsidR="004E2D4F" w:rsidRPr="009D63AF" w:rsidRDefault="004E2D4F" w:rsidP="009D63AF">
      <w:pPr>
        <w:pStyle w:val="NoSpacing"/>
        <w:spacing w:line="480" w:lineRule="auto"/>
        <w:rPr>
          <w:sz w:val="24"/>
          <w:szCs w:val="24"/>
        </w:rPr>
      </w:pPr>
      <w:r w:rsidRPr="009D63AF">
        <w:rPr>
          <w:sz w:val="24"/>
          <w:szCs w:val="24"/>
        </w:rPr>
        <w:t xml:space="preserve">      Being resilient plays an important role when being a police officer. Feedback is given during training which can influence performance, especially when it is negative criticism. Upon receiving this, it took me a lot longer to process it. I would need time to reflect on what the criticism was, look at the positives I could take from it and learn how to improve for next time. I believe it is hard for anyone to receive negative criticism but it is what you do with that criticism and what you choose to take from it is what matters.</w:t>
      </w:r>
    </w:p>
    <w:p w14:paraId="3A93367E" w14:textId="77777777" w:rsidR="004E2D4F" w:rsidRPr="009D63AF" w:rsidRDefault="004E2D4F" w:rsidP="009D63AF">
      <w:pPr>
        <w:pStyle w:val="NoSpacing"/>
        <w:spacing w:line="480" w:lineRule="auto"/>
        <w:rPr>
          <w:sz w:val="24"/>
          <w:szCs w:val="24"/>
        </w:rPr>
      </w:pPr>
      <w:r w:rsidRPr="009D63AF">
        <w:rPr>
          <w:sz w:val="24"/>
          <w:szCs w:val="24"/>
        </w:rPr>
        <w:t xml:space="preserve">      I was slightly disappointed with my first exam mark as I felt I had studied so hard for it. I felt disheartened which affected my stress levels going forward. However, the following days whilst on one of my daily walks, I had time to reflect on this and reiterated to myself how much work I had put in whilst struggling to balance work and home life.</w:t>
      </w:r>
    </w:p>
    <w:p w14:paraId="3C9E5E55" w14:textId="77777777" w:rsidR="004E2D4F" w:rsidRPr="009D63AF" w:rsidRDefault="004E2D4F" w:rsidP="009D63AF">
      <w:pPr>
        <w:pStyle w:val="NoSpacing"/>
        <w:spacing w:line="480" w:lineRule="auto"/>
        <w:rPr>
          <w:sz w:val="24"/>
          <w:szCs w:val="24"/>
        </w:rPr>
      </w:pPr>
      <w:r w:rsidRPr="009D63AF">
        <w:rPr>
          <w:sz w:val="24"/>
          <w:szCs w:val="24"/>
        </w:rPr>
        <w:t xml:space="preserve">     Often, I would feel concerned on how easily other people in my class would grasp what we were learning so quickly. It took a little longer for me to understand certain aspects which would leave me feeling frustrated and stressed. I would often question my ability to do the job. This was something I had to express to people, including those in my class. I </w:t>
      </w:r>
      <w:r w:rsidRPr="009D63AF">
        <w:rPr>
          <w:sz w:val="24"/>
          <w:szCs w:val="24"/>
        </w:rPr>
        <w:lastRenderedPageBreak/>
        <w:t>soon realised that I wasn’t alone in feeling this. The majority of people in my class were younger students who had recently left University and had no dependants which meant they had more free time to study. I had left University approximately eight years ago and had two children at home who also needed my time. It did take a while to adjust, however I would often have to convince myself to stop thinking negatively.</w:t>
      </w:r>
    </w:p>
    <w:p w14:paraId="2295C590" w14:textId="77777777" w:rsidR="004E2D4F" w:rsidRPr="009D63AF" w:rsidRDefault="004E2D4F" w:rsidP="009D63AF">
      <w:pPr>
        <w:pStyle w:val="NoSpacing"/>
        <w:spacing w:line="480" w:lineRule="auto"/>
        <w:rPr>
          <w:sz w:val="24"/>
          <w:szCs w:val="24"/>
        </w:rPr>
      </w:pPr>
      <w:r w:rsidRPr="009D63AF">
        <w:rPr>
          <w:sz w:val="24"/>
          <w:szCs w:val="24"/>
        </w:rPr>
        <w:t xml:space="preserve">    It was essential that I planned ahead. I had to create a calendar at home and schedule slots into my days for time to revise. I also had to schedule time to take my children to their hobbies, but also time to be a family and spend time with them, doing activities that we all love. For me, spending time with my children is when I feel most calm, relaxed and happy. </w:t>
      </w:r>
    </w:p>
    <w:p w14:paraId="66C8E141" w14:textId="77777777" w:rsidR="004E2D4F" w:rsidRPr="009D63AF" w:rsidRDefault="004E2D4F" w:rsidP="009D63AF">
      <w:pPr>
        <w:pStyle w:val="NoSpacing"/>
        <w:spacing w:line="480" w:lineRule="auto"/>
        <w:rPr>
          <w:sz w:val="24"/>
          <w:szCs w:val="24"/>
        </w:rPr>
      </w:pPr>
      <w:r w:rsidRPr="009D63AF">
        <w:rPr>
          <w:sz w:val="24"/>
          <w:szCs w:val="24"/>
        </w:rPr>
        <w:t xml:space="preserve">      To conclude, it is evident that if obstacles arise, it is vital that these are addressed immediately to ensure that they refrain from leaving the person feeling defeated or as though they are unable to cope which can impact on their daily life. It is also clear that by addressing these obstacles, this can build resilience and can define what coping strategy is best which can be used again if the obstacle was to arise again. </w:t>
      </w:r>
    </w:p>
    <w:p w14:paraId="43766071" w14:textId="77777777" w:rsidR="004E2D4F" w:rsidRPr="009D63AF" w:rsidRDefault="004E2D4F" w:rsidP="009D63AF">
      <w:pPr>
        <w:pStyle w:val="NoSpacing"/>
        <w:spacing w:line="480" w:lineRule="auto"/>
        <w:rPr>
          <w:sz w:val="24"/>
          <w:szCs w:val="24"/>
        </w:rPr>
      </w:pPr>
    </w:p>
    <w:p w14:paraId="2F5EA31F" w14:textId="362F125A" w:rsidR="004E2D4F" w:rsidRPr="009D63AF" w:rsidRDefault="004E2D4F" w:rsidP="009D63AF">
      <w:pPr>
        <w:pStyle w:val="NoSpacing"/>
        <w:spacing w:line="480" w:lineRule="auto"/>
        <w:rPr>
          <w:sz w:val="24"/>
          <w:szCs w:val="24"/>
        </w:rPr>
      </w:pPr>
      <w:r w:rsidRPr="009D63AF">
        <w:rPr>
          <w:sz w:val="24"/>
          <w:szCs w:val="24"/>
        </w:rPr>
        <w:t>(109</w:t>
      </w:r>
      <w:r w:rsidR="009D63AF">
        <w:rPr>
          <w:sz w:val="24"/>
          <w:szCs w:val="24"/>
        </w:rPr>
        <w:t>0</w:t>
      </w:r>
      <w:r w:rsidRPr="009D63AF">
        <w:rPr>
          <w:sz w:val="24"/>
          <w:szCs w:val="24"/>
        </w:rPr>
        <w:t xml:space="preserve"> words)</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999B8E7"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I will be addressing what conflict is and how it affects a police officer whilst on duty. I will also be discussing an incident I attended whereby a female required assistance from the Police and medical staff, however at the time was having withdrawal symptoms from alcohol meaning her behaviour was causing conflict between all parties involved. Focusing on a variety of skills I needed to use, in order to help the female, was key which I will be discussing in more detail and will be highlighting Betari’s Box and Gibb’s reflective cycle during this.</w:t>
      </w:r>
    </w:p>
    <w:p w14:paraId="49575381"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Butterworth (2010, p.57) suggests that dealing with confrontation can be an occurrence which happens daily as a police officer. It entails engaging with people who will not be compliant with you by using violence.</w:t>
      </w:r>
    </w:p>
    <w:p w14:paraId="362B50AF"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It is hugely common that during a police officer’s career, they will have to use force and put themselves between the public and someone who is intending to cause harm to themselves, the public or an officer. The officer needs to assess the situation and reflect on the threat that is posed (Pepper and McGrath, 2020)</w:t>
      </w:r>
    </w:p>
    <w:p w14:paraId="36C314BA"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lastRenderedPageBreak/>
        <w:t xml:space="preserve">      It is stated that conflict arose during the Marxian riots which heightened people’s perspectives of police officer’s not being part of the community and being outsiders. It was believed that police officers having more power meant that they were not equal (Fielding, 1991)</w:t>
      </w:r>
    </w:p>
    <w:p w14:paraId="74FF0486"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Often, police officers may experience conflict in situations where people find it difficult to communicate. These can be due to disabilities, illnesses, reduced mental capacity, language barriers or people who are intoxicated. Police officers need to be aware of people displaying signs such as agitation, confusion, unable to follow instruction or behaving in a concerning manner (College of Policing, No date)</w:t>
      </w:r>
    </w:p>
    <w:p w14:paraId="765D8A87"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This is something I am passionate about. There are many times when people are reluctant to cooperate with the police due to their feelings towards them or how they have been treated by police officers previously. However, I am a firm believer in that people can change their attitudes towards you based on how you treat them. </w:t>
      </w:r>
    </w:p>
    <w:p w14:paraId="7D985500"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Kilgallon &amp; Wright (2022, p.177) suggests that Betari’s box illustrates how our attitudes and behaviour affect the behaviour and attitude of people around us. When relating this to being a police officer, ensuring our behaviour is positive at all times can influence the end result of a situation.</w:t>
      </w:r>
    </w:p>
    <w:p w14:paraId="5801D9DC"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w:t>
      </w:r>
      <w:r w:rsidRPr="009D63AF">
        <w:rPr>
          <w:sz w:val="24"/>
          <w:szCs w:val="24"/>
        </w:rPr>
        <w:tab/>
        <w:t>Conflict between police officers and members of the public can arise when there is no public confidence or trust in the police. Once this is broken, it is difficult to get it back. Police officers’ attitude and behaviour towards the public lie at the heart of the relationship between the two (Rowe, 2018)</w:t>
      </w:r>
    </w:p>
    <w:p w14:paraId="5A0FA64F"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Pepper and McGrath (2020, p.76) suggests that conflict can arise when officers do not listen to those who are communicating with them. The officer needs to assess the body language and demeanour of the person before making the decision on how they will </w:t>
      </w:r>
      <w:r w:rsidRPr="009D63AF">
        <w:rPr>
          <w:sz w:val="24"/>
          <w:szCs w:val="24"/>
        </w:rPr>
        <w:lastRenderedPageBreak/>
        <w:t xml:space="preserve">approach them. Verbal communication must then consistently continue throughout contact with that person. </w:t>
      </w:r>
    </w:p>
    <w:p w14:paraId="256C194A"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Whilst on duty at the police station, I was made aware of a female who had contacted the police asking for help, stating she had been raped a few days ago. I was informed that the female was well known to the police due to having been arrested previously and had been engaged in many incidents needing police involvement. The female had been violent, aggressive and non-compliant each time officers had dealt with her. I had time to reflect on this and prepare what approach I would use based on methods I had used previously in similar situations which had been successful. </w:t>
      </w:r>
    </w:p>
    <w:p w14:paraId="3F12F7A3"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Gibb’s reflective cycle expands on learning from experiences. It teaches you to learn and plan things had been successful or unsuccessful previously. This includes reflecting on what happened, your feelings and thoughts during it, evaluating the experience negatively or positively, analysing the situation to understand it, conclude about what you learnt from the experience and creating an action plan on how you would deal with the situation next time (Kilgallon &amp; Wright, 2022)</w:t>
      </w:r>
    </w:p>
    <w:p w14:paraId="55B2F431"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The female was intoxicated, however was showing signs of alcohol withdrawal and it was made aware that the female was dependent on alcohol. She had been aggressive towards members of  the rape investigation team, shouting and swearing at them. Up until this point, I had not come into contact with the female, however, her room was situated next to the response room, therefore I could hear that the situation was escalating. The rape investigation team then let the female have some time to calm down and asked response officers to take care of her until she was ready to talk to them. At this point no further information had been disclosed other than the female had been raped a few days ago.</w:t>
      </w:r>
    </w:p>
    <w:p w14:paraId="4D4EDCAF"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I was then asked to attend to the female and handle the situation until the rape investigation team returned to her. My initial thought was how was I able to control the </w:t>
      </w:r>
      <w:r w:rsidRPr="009D63AF">
        <w:rPr>
          <w:sz w:val="24"/>
          <w:szCs w:val="24"/>
        </w:rPr>
        <w:lastRenderedPageBreak/>
        <w:t xml:space="preserve">situation and refrain the female from being aggressive towards me to keep myself safe. I was aware I had to keep my distance from her, in order to assess the situation and be ready in case she became violent. It is so important when going to every call on response that the police officer is aware of any warning markers the person has in order to be prepared to keep themselves safe. </w:t>
      </w:r>
    </w:p>
    <w:p w14:paraId="6574FA17"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Public safety and the well-being of the public are at the heart of policing (Rowe, 2018)  Immediately I noticed that the female had been sick due to the alcohol withdrawal and she was shaking. Officers who had dealt with her previously had focused on the report she had made of a rape allegation, however my initial reaction was to attend to her medical needs and how to make her comfortable while she was with us. </w:t>
      </w:r>
    </w:p>
    <w:p w14:paraId="53AB405C"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I entered the room and introduced myself. I could clearly see she was in a distressed state due to her shouting and swearing, so I ensured I remained calm. The female was an older lady, which immediately heightened my response to treat her with dignity and respect and not make her feel intimidated. There were also issues understanding what she was saying due to her speech being slurred from the alcohol. I made sure I was listening intently as I felt asking her constantly to repeat what she was saying would cause her distress. I ensured I took the time to give her space and not rush her. I slowly began distracting her by making conversation about unrelated topics to see if this would help and focused on my body language.</w:t>
      </w:r>
    </w:p>
    <w:p w14:paraId="6BD0FADC"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People use communication through body language. Our faces, bodies and tone of voice all communicate information to others. People sense others by the look on their face, their posture and gestures they make which can all influence the impression a person makes about another person (Moskowitz, 2005)</w:t>
      </w:r>
    </w:p>
    <w:p w14:paraId="4B34CA46"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lastRenderedPageBreak/>
        <w:t xml:space="preserve">      Rogers &amp; Lewis (2011, p.39) suggests that all police officers have a duty to maintain and improve the level of service given to the public. This relates to how we act towards them, the level of trust and an understanding of the needs of the public.</w:t>
      </w:r>
    </w:p>
    <w:p w14:paraId="4340BF1D"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I noticed that the female’s behaviour had calmed down significantly, and she was happy to make conversation with me. I ensured that I was listening to her intently and using effective communication skills to build up her trust to remain talking to me. </w:t>
      </w:r>
    </w:p>
    <w:p w14:paraId="25F093A7"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Communication requires listening. This gives the other person the opportunity to express themselves. This involves waiting when the other person pauses and accepting that having silence is acceptable as it gives the person time to think and avoids asking them further questions. It is important to show the other person that you are listening by nodding, smiling, making eye contact and using verbal cues, ensuring that you avoid interrupting or rushing them (Reid and Hammersley, 2000)</w:t>
      </w:r>
    </w:p>
    <w:p w14:paraId="195D3886"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Effective communication skills is vital when dealing with members of the public. This requires the person to be clear, open, honest and empathetic when giving information and using effective non-verbal communication including facial expressions, hand movements, gestures and positive attitude (Reid and Hammersley, 2000)</w:t>
      </w:r>
    </w:p>
    <w:p w14:paraId="284E31C4"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The female was clearly distressed so I ensured that I was compassionate and empathetic in anything she was disclosing to me and maintained eye contact with her constantly, so she was aware I was interested in what she was saying.</w:t>
      </w:r>
    </w:p>
    <w:p w14:paraId="5AD7F1CF"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When a person is distressed, this results in them feeling vulnerable and isolated. Being empathetic to a person in distress involves putting oneself into another’s experiences and appreciating their feelings going through them. This can help give a sense of hope to the person (Haugh and Merry, 2006)</w:t>
      </w:r>
    </w:p>
    <w:p w14:paraId="29648896"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When I felt as though I had made progress with the female and had got the situation under control, another police officer entered the room and informed her that she was wanted </w:t>
      </w:r>
      <w:r w:rsidRPr="009D63AF">
        <w:rPr>
          <w:sz w:val="24"/>
          <w:szCs w:val="24"/>
        </w:rPr>
        <w:lastRenderedPageBreak/>
        <w:t xml:space="preserve">on warrant and was under arrest. This changed her demeanour again and she returned to being aggressive, shouting and swearing. I decided at this point to step in due to having built a rapport with her. After some persuasion, she relaxed and continued to talk to me. By now, the effects of the alcohol had started to wear off, however the withdrawal symptoms were still showing. </w:t>
      </w:r>
    </w:p>
    <w:p w14:paraId="10D8BC09"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The female then disclosed information regarding the incident she had reported and it was then clear that she needed medical attention. The female was then escorted to custody where her detention was authorised and the custody sergeant was made aware that she had disclosed information and following that needed to be seen by a doctor. The female then began to get verbally abusive to custody staff stating she was not going to the hospital unless I would be going with her. This was then discussed with my Sergeant, and it was agreed that due to me gaining her trust and building a good rapport with her, my colleague and I would escort her to hospital. </w:t>
      </w:r>
    </w:p>
    <w:p w14:paraId="65B25B11"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On the way to the hospital, the female then began stating that she was feeling unwell. I sat with her whilst my colleague drove and the female then began to have a seizure. Once the seizure had stopped, she started to come around but was struggling to breathe. My colleague stopped the van and we immediately contacted 999 and our Sergeant. We were instructed by 999 to blue light to hospital and I was guided on how to deal with the female over the telephone. </w:t>
      </w:r>
    </w:p>
    <w:p w14:paraId="065C850E"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At this point, my concern was her health. I was doing everything I could to ensure she was safe until we reached the hospital but also had to assess my safety. The female was going in and out of seizures and due to her aggressive behaviour at the station, I had to be prepared for her returning to that behaviour again. I remained calm throughout the journey and repeated many times to her that I was there with her looking after her.</w:t>
      </w:r>
    </w:p>
    <w:p w14:paraId="26691073"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lastRenderedPageBreak/>
        <w:t xml:space="preserve">      Upon arrival at the hospital, the female’s behaviour returned to being aggressive, shouting at hospital staff and was refusing to let the doctors assess her. At this point, I was aware that it is my duty as a police officer to not only look after members of the public  and myself, but other members of staff who are doing their jobs. It was then that I had to be firm with the female and take her to the police van to address the issues. </w:t>
      </w:r>
    </w:p>
    <w:p w14:paraId="27A8E59E"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Initially the female continued to behave in an aggressive manner. She started to bump her head against the van and was threatening to run away from us and hurt us in the process if we were to stop her. She also stated that she had not had any positive encounters with police officers previously and this made her feel as though we were not going to help her. This is when force had to be used to ensure none of those things happened and refrain her from hurting herself.</w:t>
      </w:r>
    </w:p>
    <w:p w14:paraId="157DB013"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Again, it took time to regain her trust and build the confidence back up. I ensured that I remained calm but firm at all times and continued to express how I wanted to help her. Some time later, she had calmed down to an acceptable level and accepted to receive treatment from the medical staff. </w:t>
      </w:r>
    </w:p>
    <w:p w14:paraId="11D87BEF" w14:textId="77777777" w:rsidR="009D63AF" w:rsidRPr="009D63AF" w:rsidRDefault="009D63AF" w:rsidP="009D63AF">
      <w:pPr>
        <w:suppressAutoHyphens/>
        <w:adjustRightInd/>
        <w:spacing w:line="480" w:lineRule="auto"/>
        <w:ind w:right="107"/>
        <w:jc w:val="both"/>
        <w:rPr>
          <w:sz w:val="24"/>
          <w:szCs w:val="24"/>
        </w:rPr>
      </w:pPr>
      <w:r w:rsidRPr="009D63AF">
        <w:rPr>
          <w:sz w:val="24"/>
          <w:szCs w:val="24"/>
        </w:rPr>
        <w:t xml:space="preserve">      To conclude, it is evident that communication is key when attending any incident. How a person communicates can have a detrimental effect on the outcome of any incident. In this instance, due to having the time initially before meeting the female to use Gibb’s reflective cycle and reflect on what had worked previously, this gave the opportunity to decide on a plan on how to control the situation which resulted in a positive outcome. I was able to reflect on the positives that had come from the situation, building up a good rapport with the female by using effective communication skills but also reflecting on the possibilities of the situation not being controlled and having to adapt my plan or communication skills.</w:t>
      </w:r>
    </w:p>
    <w:p w14:paraId="391727B0" w14:textId="77777777" w:rsidR="009D63AF" w:rsidRPr="009D63AF" w:rsidRDefault="009D63AF" w:rsidP="009D63AF">
      <w:pPr>
        <w:suppressAutoHyphens/>
        <w:adjustRightInd/>
        <w:spacing w:line="480" w:lineRule="auto"/>
        <w:ind w:right="107"/>
        <w:jc w:val="both"/>
        <w:rPr>
          <w:sz w:val="24"/>
          <w:szCs w:val="24"/>
        </w:rPr>
      </w:pPr>
    </w:p>
    <w:p w14:paraId="54B26E47" w14:textId="77777777" w:rsidR="009D63AF" w:rsidRDefault="009D63AF" w:rsidP="009D63AF">
      <w:pPr>
        <w:suppressAutoHyphens/>
        <w:adjustRightInd/>
        <w:spacing w:line="480" w:lineRule="auto"/>
        <w:ind w:right="107"/>
        <w:jc w:val="both"/>
        <w:rPr>
          <w:sz w:val="24"/>
          <w:szCs w:val="24"/>
        </w:rPr>
      </w:pPr>
      <w:r w:rsidRPr="009D63AF">
        <w:rPr>
          <w:sz w:val="24"/>
          <w:szCs w:val="24"/>
        </w:rPr>
        <w:t>(2184 words)</w:t>
      </w:r>
    </w:p>
    <w:p w14:paraId="13F4B7E0" w14:textId="5001B6BB" w:rsidR="00082668" w:rsidRPr="00270EEB" w:rsidRDefault="009D63AF" w:rsidP="009D63AF">
      <w:pPr>
        <w:suppressAutoHyphens/>
        <w:adjustRightInd/>
        <w:spacing w:line="480" w:lineRule="auto"/>
        <w:ind w:right="107"/>
        <w:jc w:val="both"/>
        <w:rPr>
          <w:b/>
          <w:bCs/>
          <w:sz w:val="24"/>
          <w:szCs w:val="24"/>
        </w:rPr>
      </w:pPr>
      <w:r>
        <w:rPr>
          <w:sz w:val="24"/>
          <w:szCs w:val="24"/>
        </w:rPr>
        <w:lastRenderedPageBreak/>
        <w:t xml:space="preserve">                                                              </w:t>
      </w:r>
      <w:r w:rsidR="28A9B94D" w:rsidRPr="28A9B94D">
        <w:rPr>
          <w:b/>
          <w:bCs/>
          <w:color w:val="auto"/>
          <w:sz w:val="24"/>
          <w:szCs w:val="24"/>
        </w:rPr>
        <w:t xml:space="preserve">Task </w:t>
      </w:r>
      <w:r w:rsidR="28A9B94D"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38E73475"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I will explain about an incident whereby I had cause to attend to a victim who had been bitten by a dog whilst riding his bike. I will explain what LANGUAGE LINE is which is what was used to overcome the language barrier I faced with the victim and will detail how the victim’s code of practice and the Human Rights Act relate to the incident.</w:t>
      </w:r>
    </w:p>
    <w:p w14:paraId="18D433EA"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Human rights are given to all human beings, regardless of their sex, race, nationality, ethnicity, language, religion or any other status (Rowe, 2018) </w:t>
      </w:r>
    </w:p>
    <w:p w14:paraId="1FD84F75"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The Human Rights Act 1998 sets out articles which include the rights and freedoms that all people in the UK are entitled to. The Human Rights Act makes it illegal to discriminate a person due to their characteristics (The Human Rights Act, No date)</w:t>
      </w:r>
    </w:p>
    <w:p w14:paraId="486CFEDD"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A person who is a victim of any criminal offence must be provided with certain services which are set out by the victim’s code of practice. These include offering enhanced rights for victims who are vulnerable or intimidated, persistently targeted or victims of the most </w:t>
      </w:r>
      <w:r w:rsidRPr="001369B2">
        <w:rPr>
          <w:sz w:val="24"/>
          <w:szCs w:val="24"/>
        </w:rPr>
        <w:lastRenderedPageBreak/>
        <w:t>serious crime. There are twelve rights included in the victim’s code of practice which I will explain in further where necessary (Victim’s code for Policing, No Date)</w:t>
      </w:r>
    </w:p>
    <w:p w14:paraId="187A4971"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The victim’s code of practice sets out the minimum level of service required that victims should receive from the criminal justice system. This applies to the Police, Crown Prosecution service, courts and the probation service and details what each agency must do for the victim and the timeframe to do it in (Victim’s code, 2022)</w:t>
      </w:r>
    </w:p>
    <w:p w14:paraId="26602FC5"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The victim’s code of practice sets out what information and support victims are entitled to who have been victims of crime. This ensures that all victims are offered support. (Williams, 2023)       </w:t>
      </w:r>
    </w:p>
    <w:p w14:paraId="5315697D"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Upon arrival at the scene, it was evident that the victim did not speak any English. The victim’s friend was present who could speak English and was relaying information back and fore, however, this seemed to make the situation worse as he was answering questions himself regarding the incident instead of the victim. I needed to speak to the male alone to ensure that he had the opportunity to give his account of what had happened and to assess the severity of his injury, but had to ensure that we understood each other when doing so. </w:t>
      </w:r>
    </w:p>
    <w:p w14:paraId="777CC0D7"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This is where Right one of the victim’s code of practice was relevant. My aim was to ensure that the victim was treated fairly, regardless of the language barrier and ensure that right one of the victim’s code which states that all victim’s must be able to understand and be understood was fulfilled (Pepper &amp; McGrath, 2020) </w:t>
      </w:r>
    </w:p>
    <w:p w14:paraId="07FEEF8C"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Right one of the victim’s code of practice states that information must be given in a way that can be understood and to be provided with help to understand, providing access to interpretation and translation services if required (Victim’s code, 2022)</w:t>
      </w:r>
    </w:p>
    <w:p w14:paraId="5A386FA7"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Studies show that people who do not speak the local language are more likely to be disadvantaged when trying to access services and the service they receive is of poorer quality (Al Shamsi et al., 2020) I wanted to ensure that this did not happen to the victim. </w:t>
      </w:r>
    </w:p>
    <w:p w14:paraId="4220306F"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lastRenderedPageBreak/>
        <w:t xml:space="preserve">       Article fourteen of the Human Rights Act states that the person should be protected from being discriminated and should have equal access to all human rights (The Human Rights Act, No Date) To ensure this could happen, I had to contact LANGUAGE LINE.</w:t>
      </w:r>
    </w:p>
    <w:p w14:paraId="67EEF933"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LANGUAGE LINE is a service which supplies interpreters who speak both English and the first language of the person who requires their help, who work with a variety of people building relationships to gain their trust and ensure that they fully understand the circumstances they are in (Languageline UK - Interpreting &amp; Translation Services, No Date)</w:t>
      </w:r>
      <w:bookmarkStart w:id="0" w:name="_Hlk150771349"/>
      <w:r w:rsidRPr="001369B2">
        <w:rPr>
          <w:sz w:val="24"/>
          <w:szCs w:val="24"/>
        </w:rPr>
        <w:t xml:space="preserve">    </w:t>
      </w:r>
    </w:p>
    <w:bookmarkEnd w:id="0"/>
    <w:p w14:paraId="55DB026D"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Through LANGUAGE LINE it was relayed then that the dog had bitten the victim without any reason and the injury caused needed medical attention. The victim was distressed and stated that he wished to make a complaint as he felt the attack was unjustified. It was then relayed to the victim that I would contact him after he had medical assistance at the hospital to arrange a suitable time for him to provide a statement.</w:t>
      </w:r>
    </w:p>
    <w:p w14:paraId="4DF8F4D3"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Right two of the victim’s code of practice states that if a victim is required to provide a statement, they have the right to be provided with additional support (Victim’s code, 2022) This entailed arranging an interpreter to assist the victim when providing his statement.</w:t>
      </w:r>
    </w:p>
    <w:p w14:paraId="62D52BB3"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Right two of the victim’s code of practice also states that a person has the right to have details of the crime recorded without delay. Right three of the victim’s code states that the victim is to be provided with information when reporting a crime (Joyce &amp; Laverick, 2021) This meant that I had to gather sufficient information from the victim to ensure the crime was recorded correctly and arrange for the male to provide a statement as soon as possible, and ensure that the victim was given all the necessary details. </w:t>
      </w:r>
    </w:p>
    <w:p w14:paraId="26FA6532"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When contacting the victim to arrange a suitable time, it was then brought to my attention that the victim was receiving support from a social worker due to having been involved in a separate incident which had required police involvement. It was then agreed that when the victim attended to provide a statement, his social worker would assist him also </w:t>
      </w:r>
      <w:r w:rsidRPr="001369B2">
        <w:rPr>
          <w:sz w:val="24"/>
          <w:szCs w:val="24"/>
        </w:rPr>
        <w:lastRenderedPageBreak/>
        <w:t>to make him feel more comfortable. The victim advised he was suffering with his mental health due to the previous incident and I was concerned that this could have impacted on his progress.</w:t>
      </w:r>
    </w:p>
    <w:p w14:paraId="6F08E99B"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Prior to the male attending the police station, I had time to reflect on using different communication skills due to the language barrier. I knew this could affect the rapport I would build with him as reflecting on previous situations, this has always been at the heart of how I make progress with people. I also reflected on the fact that due to the male originating from another country, I was unaware if he had had any dealings with the police there previously which could have affected his attitude towards the police, therefore ensuring I built up a good relationship with him to trust me was important. </w:t>
      </w:r>
    </w:p>
    <w:p w14:paraId="43F6D339"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Through productive empathy, relationships can be built by using dynamic communication techniques and active listening which can build rapport. Respect should be given by maintaining eye contact with the victim and avoiding talking through the interpreter as this can heighten the issue of there being a language barrier (Gill &amp; Mastoras, 2021)</w:t>
      </w:r>
    </w:p>
    <w:p w14:paraId="6F120B8B"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I am a fast talker so I was aware I had to address this. When there are communication barriers many factors are needed to be taken into consideration. These can include the tone of your voice, how fast or slow you speak, your body language and gestures to emphasise what you are talking about (NHS Choices, No Date) I had to consider these when meeting with the victim.</w:t>
      </w:r>
    </w:p>
    <w:p w14:paraId="2251CB89"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It is proven that if a person has built up a good rapport and feels listened too and respected, it is more likely that the outcome will be successful. It is associated with the person’s thoughts and feelings being recognised and having a sense of confidence in the relationship. First impressions are important when building a rapport People make judgements unconsciously which can impact on how the relationship will go (Open University, No Date)</w:t>
      </w:r>
    </w:p>
    <w:p w14:paraId="36F9F9F2"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lastRenderedPageBreak/>
        <w:t xml:space="preserve">     Before taking a statement from the victim, I wanted to ensure I had built up a rapport with him and make him feel comfortable. With the help from the interpreter, I asked him questions regarding his origin and his background and ensured that he understood what was involved in the police process and what he should expect to happen next. He divulged how much the incident had affected him and we went into detail about this and I told him about the support we could offer him </w:t>
      </w:r>
    </w:p>
    <w:p w14:paraId="2EF69514"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To overcome the obstacle of a language barrier there are many factors that can influence this. Speaking slowly and clear to avoid miscommunication, asking for clarification, often check that what has been said has been understood both ways, avoiding using jargon, be specific to the topics that need covering and remaining calm and patient at all times (Europarc Federation, No Date) These are all skills that I used when taking the statement from the victim.</w:t>
      </w:r>
    </w:p>
    <w:p w14:paraId="44C1E3C7"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I was aware of how much the incident had affected the victim. He had stated that he was now afraid of dogs and was afraid to go out alone. I knew this was affecting him daily and I wanted to ensure that I had offered him all the support I possibly could. Right four of the victim’s code of practice states that the victim is to be referred to services that supports victims and have support tailored to the victim’s needs (Bryant, 2020) During the time the victim was providing a statement, I discussed the support options the Police offered which were accepted.</w:t>
      </w:r>
    </w:p>
    <w:p w14:paraId="5D4C1605"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Keeping the victim up to date with the investigation is vital. Right six of the victim’s code of practice states that the victim mut be provided with information about the investigation and prosecution (Pepper &amp; McGrath, 2020) Due to the language barrier, it was agreed that all updates were made through the victim’s social worker.</w:t>
      </w:r>
    </w:p>
    <w:p w14:paraId="4AF597A8"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 xml:space="preserve">      The investigation is still ongoing, however I am in regular contact with the victim and his social worker and provide them updates when necessary. </w:t>
      </w:r>
    </w:p>
    <w:p w14:paraId="4AC7D9B4" w14:textId="77BB9AA0" w:rsidR="001369B2" w:rsidRPr="001369B2" w:rsidRDefault="001369B2" w:rsidP="001369B2">
      <w:pPr>
        <w:suppressAutoHyphens/>
        <w:adjustRightInd/>
        <w:spacing w:line="480" w:lineRule="auto"/>
        <w:ind w:right="107"/>
        <w:jc w:val="both"/>
        <w:rPr>
          <w:sz w:val="24"/>
          <w:szCs w:val="24"/>
        </w:rPr>
      </w:pPr>
      <w:r w:rsidRPr="001369B2">
        <w:rPr>
          <w:sz w:val="24"/>
          <w:szCs w:val="24"/>
        </w:rPr>
        <w:lastRenderedPageBreak/>
        <w:t xml:space="preserve">    To conclude, it is vital that the victim’s code of practice and the human rights act are all adhered to when dealing with victims of crime. The situation was harder to deal with, due to the language barrier and the need for an interpreter. Not only did I need to choose alternative communication methods to build a rapport with the victim, but also wanted to ensure I had built up a good rapport with the interpreter and social worker too. I felt I had to gain the trust of his social worker due to having to make contact with the victim th</w:t>
      </w:r>
      <w:r w:rsidR="00DF34A2">
        <w:rPr>
          <w:sz w:val="24"/>
          <w:szCs w:val="24"/>
        </w:rPr>
        <w:t>r</w:t>
      </w:r>
      <w:r w:rsidRPr="001369B2">
        <w:rPr>
          <w:sz w:val="24"/>
          <w:szCs w:val="24"/>
        </w:rPr>
        <w:t>ough him. This incident has been beneficial with regards to building alternative effective communication skills and has proven that a rapport can be built by alternative methods rather than just by talking.</w:t>
      </w:r>
    </w:p>
    <w:p w14:paraId="6FF7A7C7" w14:textId="77777777" w:rsidR="001369B2" w:rsidRPr="001369B2" w:rsidRDefault="001369B2" w:rsidP="001369B2">
      <w:pPr>
        <w:suppressAutoHyphens/>
        <w:adjustRightInd/>
        <w:spacing w:line="480" w:lineRule="auto"/>
        <w:ind w:right="107"/>
        <w:jc w:val="both"/>
        <w:rPr>
          <w:sz w:val="24"/>
          <w:szCs w:val="24"/>
        </w:rPr>
      </w:pPr>
    </w:p>
    <w:p w14:paraId="0AEC71E3" w14:textId="77777777" w:rsidR="001369B2" w:rsidRPr="001369B2" w:rsidRDefault="001369B2" w:rsidP="001369B2">
      <w:pPr>
        <w:suppressAutoHyphens/>
        <w:adjustRightInd/>
        <w:spacing w:line="480" w:lineRule="auto"/>
        <w:ind w:right="107"/>
        <w:jc w:val="both"/>
        <w:rPr>
          <w:sz w:val="24"/>
          <w:szCs w:val="24"/>
        </w:rPr>
      </w:pPr>
      <w:r w:rsidRPr="001369B2">
        <w:rPr>
          <w:sz w:val="24"/>
          <w:szCs w:val="24"/>
        </w:rPr>
        <w:t>(1716 words)</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1B202DAE"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I will be discussing an incident whereby I had cause to attend to a victim who had been assaulted which had left him with an injury. I will be discussing what the national </w:t>
      </w:r>
    </w:p>
    <w:p w14:paraId="3C85211C"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decision-making model is, including the code of ethics, and how it was used to make decisions during the incident and will be highlighting what the Criminal Procedures and Investigations act 1996 is.</w:t>
      </w:r>
    </w:p>
    <w:p w14:paraId="5A541227"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 national decision-making model provides the basis for decision making and the rationale of the choices police officers make or do not make and why. The main priority is to ensure police officers are acting with integrity to serve and protect the public. (Wood et al, 2023)</w:t>
      </w:r>
    </w:p>
    <w:p w14:paraId="664939FB"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 national decision-making model should be used in every decision in policing. The model has six key elements. At the centre of the national decision-making model is the code </w:t>
      </w:r>
      <w:r w:rsidRPr="00996B1A">
        <w:rPr>
          <w:sz w:val="24"/>
          <w:szCs w:val="24"/>
        </w:rPr>
        <w:lastRenderedPageBreak/>
        <w:t>of ethics. Gathering information and intelligence, assessing threat and risk and developing a working strategy, considering powers and policies, identifying options and contingencies and taking action and reviewing what happened all make up the model (College of Policing, No date)</w:t>
      </w:r>
    </w:p>
    <w:p w14:paraId="22424DE4"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 heart of the national decision-making model is the code of ethics. This provides a set of principles to ensure that policing is carried out in accordance with human rights. It ensures that police officers’ decisions and actions are legal and moral and includes nine principles. (Joyce &amp; Laverick, 2021)</w:t>
      </w:r>
    </w:p>
    <w:p w14:paraId="64B2F965"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 principles include being accountable for your actions, treating people fairly, being honest, acting with integrity, leading by example, making choices based on professional judgement, being open and transparent, treating everyone with respect and acting in the interest of the public. The code of ethics standards include honesty and integrity, respect and courtesy, equality and diversity, using force which is proportionate and reasonable, give and carry out lawful orders, being diligent with duties, treat information with respect, be fit to carry out duties, behave in an acceptable manner and challenge improper behaviour (Code of ethics, 2014)</w:t>
      </w:r>
    </w:p>
    <w:p w14:paraId="4116822A"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 Human Rights Act 1998 ensures that all person’s basic rights and freedoms are protected by Law. These cannot be taken away, however they can be restricted in certain circumstances, such as power of arrest. There are sixteen rights which include right to life, freedom from torture and inhuman or degrading treatment, freedom from slavery and forced labour, right to liberty and security, right to a fair trial, no punishment without Law, respect for private and family life, freedom of thought, belief and religion, freedom of expression, freedom of assembly and association, right to marry and start a family and protection from discrimination. These all coincide with the decision-making model (Human Rights Act, No date)</w:t>
      </w:r>
    </w:p>
    <w:p w14:paraId="178C635F"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lastRenderedPageBreak/>
        <w:t xml:space="preserve">      Upon arriving at the scene, I was met with the victim who had been assaulted. The initial stage began to gather information and intelligence to discover who the victim was, who had assaulted him, the extent of his injuries and what had happened. I noticed there was a large amount of blood on the floor next to him and blood was dropping from his hand. My immediate thought was to give him medical treatment. The concern was growing for him regarding how much blood he was losing and as we did not have any details at this point, we were unaware of any possible medical conditions. This could have potentially put the male at further risk. </w:t>
      </w:r>
    </w:p>
    <w:p w14:paraId="7FCCEC61"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Williams, B (2023, p.34) suggests that being able to assess if there is a risk is a major part of policing. Noticing if a person is at risk of harm or has suffered harm is vital. This is reflected in the person’s appearance, their behaviour, how they are communicating with you, if there are any danger signs and their surroundings. </w:t>
      </w:r>
    </w:p>
    <w:p w14:paraId="73954045"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Due to the male being intoxicated and unable to account for how the assault had happened or give a description of the youths responsible, there were further threats of the persons responsible returning and further potential assaults happening. This could have imposed further risks to the safety of other members of the public. Information was relayed to the public service centre with all that we had, and further officers were sent to the location to identify witnesses.</w:t>
      </w:r>
    </w:p>
    <w:p w14:paraId="3FCF7ACC"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At this point we had reached the assess threat and risk stage. We clearly identified that the victim was at risk due to the amount of blood he was losing. It was also a concern to the public that the people who had assaulted the victim had not been found.</w:t>
      </w:r>
    </w:p>
    <w:p w14:paraId="15A6B4F6"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Once as much information as possible has been obtained and after assessing the threat and risk has taken place, there now needs to be an evaluation at what support could be provided to the victim and how that could be managed (Spooner and Cooper, 2023)</w:t>
      </w:r>
    </w:p>
    <w:p w14:paraId="3778F478"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lastRenderedPageBreak/>
        <w:t xml:space="preserve">     At this point, I had reached the stage of identifying options and contingencies. It was impossible to escort the male home as we had no details of him, and he was not being compliant with us to assess the severity of his injury. Putting safeguarding measures in place for the male was a priority. It was decided that we would escort the male to the hospital, and in the hope that once he had capacity, we could get his details and he would be able to give his account of what had happened. </w:t>
      </w:r>
    </w:p>
    <w:p w14:paraId="364774CA"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Once this was decided we assisted the male in getting to his feet and informed him of what action we were taking and why. This is when the male became aggressive. He began shouting and swearing at us and started to walk away from us, telling us to leave him alone. This put the male at further risk as he was too intoxicated to walk by himself, falling as he tried as he was unsteady on his feet. His hand was also continuing to bleed out. The male could not be left alone as the threat of risk to him was gradually increasing. </w:t>
      </w:r>
    </w:p>
    <w:p w14:paraId="6E583103"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It was then discussed by my colleague and I that we would use force to hold on to the male and escort him to the police van for us to take him to the hospital. Upon doing so, the male then removed my colleague’s hands from his arm and pushed my colleague in the chest with both his hands, causing him to jolt backwards. It was then decided that the male was to be placed in handcuffs for his own safety and for the safety of myself and my colleague. </w:t>
      </w:r>
    </w:p>
    <w:p w14:paraId="485D32CE"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There are situations where police officers may be required to use force which is down to the discretion of the officer. This would be to prevent any injury occurring, effecting a lawful arrest or to prevent potential risks to other people (College of Policing, No date)</w:t>
      </w:r>
    </w:p>
    <w:p w14:paraId="3A72E646"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Joyce &amp; Laverick (2021, p.22) suggests that as police officers, we are provided with a range of powers to enable us to achieve the best outcome that is appropriate  in dealing with members of the public.</w:t>
      </w:r>
    </w:p>
    <w:p w14:paraId="64F8D24F"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lastRenderedPageBreak/>
        <w:t xml:space="preserve">       Police officers are encouraged to make decisions based on their discretion. This involves making the right choices based on their professional judgement (Spooner and Cooper, 2023)</w:t>
      </w:r>
    </w:p>
    <w:p w14:paraId="38A91A75"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Due to this, it was decided that the male was to be arrested for assaulting a police officer which is covered by Section 89 of the Police Act 1996 which is when a police officer is assaulted whilst in the execution of their duty (The Crown Prosecution Service, No date)</w:t>
      </w:r>
    </w:p>
    <w:p w14:paraId="4A68DAB6"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I had initially attended the scene using the national decision-making model with a view that the male was to be treated as a victim. However, due to him becoming aggressive and assaulting my colleague, I now had to reassess the situation and start the national decision-making model from the beginning, assessing the possible risks he now posed as a suspect.</w:t>
      </w:r>
    </w:p>
    <w:p w14:paraId="339B5AA6"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There are many factors that need to be taken into consideration when working through the decision-making model. These include the environment the incident took place, if there are any members of the public in the vicinity, any weapons or other dangers involved, if the person is under the influence of alcohol or drugs and the physical ability and mental capacity of the person. All these factors need to be considered to ensure the safety of the officers and the public (Pepper &amp; McGrath, 2020)</w:t>
      </w:r>
    </w:p>
    <w:p w14:paraId="69F166AC"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 police have difficult decisions to make every day, especially when put in a fast- moving situation. These decisions need to be those that are seen as acting in accordance with their own judgement (Bryant, 2020)</w:t>
      </w:r>
    </w:p>
    <w:p w14:paraId="6CFCC28D"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As police officers, we have a duty of care to protect ourselves, members of the public and any members of staff who assist us. Upon arriving at the hospital, the male had become increasingly aggressive, kicking the inside of the police van, shouting, swearing and growling at us. After some time and talking to the male, I had built up a rapport with him. His demeanour had changed and he now had capacity to understand what I was asking him </w:t>
      </w:r>
      <w:r w:rsidRPr="00996B1A">
        <w:rPr>
          <w:sz w:val="24"/>
          <w:szCs w:val="24"/>
        </w:rPr>
        <w:lastRenderedPageBreak/>
        <w:t>and he was apologetic for his behaviour. The situation was re-assessed and due to it now being under control, the male was ready to be assessed inside the hospital.</w:t>
      </w:r>
    </w:p>
    <w:p w14:paraId="37C094E8"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Whilst inside the hospital, I continued to assess the situation to ensure the safety of hospital staff, the male and us as police officers was of highest importance. The male had calmed down significantly and he allowed the doctor to look at his hand. I had now built up a good rapport with the male and we had a good level of communication. All decisions made by police officers must be accounted for and there must be a rationale for the decision made and why (Pepper &amp; McGrath, 2020)         </w:t>
      </w:r>
    </w:p>
    <w:p w14:paraId="721D6185"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The Criminal Procedures and investigations Act 1996 was introduced to ensure that the disclosure of material to the accused is fair which could be relevant to the investigation but does not form part of the prosecution case. It sets out rules in which police officers are to record, retain and reveal material obtained in a criminal investigation which may be of relevance. Any information which may be relevant must be recorded as soon as possible, must be retained in a form of a photograph, video recorded or written and must be disclosed if it has any bearing on the investigation (Criminal procedure and investigations act code of practice, 2015)  </w:t>
      </w:r>
    </w:p>
    <w:p w14:paraId="6C3311F7"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During this incident, my body worn camera was activated for the duration of time spent with the male. I also made notes of any relevant information. Throughout, I remained professional. I was accountable for the decisions I made and ensured that I took leadership in ensuring the safety of the public and hospital staff. I treated the male with respect and was courteous to him at all times, remaining open and honest.</w:t>
      </w:r>
    </w:p>
    <w:p w14:paraId="7E452B3C" w14:textId="77777777" w:rsidR="00996B1A" w:rsidRPr="00996B1A" w:rsidRDefault="00996B1A" w:rsidP="00996B1A">
      <w:pPr>
        <w:suppressAutoHyphens/>
        <w:adjustRightInd/>
        <w:spacing w:line="480" w:lineRule="auto"/>
        <w:ind w:right="107"/>
        <w:jc w:val="both"/>
        <w:rPr>
          <w:sz w:val="24"/>
          <w:szCs w:val="24"/>
        </w:rPr>
      </w:pPr>
      <w:r w:rsidRPr="00996B1A">
        <w:rPr>
          <w:sz w:val="24"/>
          <w:szCs w:val="24"/>
        </w:rPr>
        <w:t xml:space="preserve">     To conclude, it is evident that the national decision-making model provides an excellent base for how an officer makes decisions in order to protect the public and work in accordance with the standards set for them. During this incident, the national decision </w:t>
      </w:r>
      <w:r w:rsidRPr="00996B1A">
        <w:rPr>
          <w:sz w:val="24"/>
          <w:szCs w:val="24"/>
        </w:rPr>
        <w:lastRenderedPageBreak/>
        <w:t xml:space="preserve">making model was similar to that of a constant cycle, having to assess each stage, move on to the next and return to that stage again to reassess. </w:t>
      </w:r>
    </w:p>
    <w:p w14:paraId="3E989C66" w14:textId="77777777" w:rsidR="00996B1A" w:rsidRPr="00996B1A" w:rsidRDefault="00996B1A" w:rsidP="00996B1A">
      <w:pPr>
        <w:suppressAutoHyphens/>
        <w:adjustRightInd/>
        <w:spacing w:line="480" w:lineRule="auto"/>
        <w:ind w:right="107"/>
        <w:jc w:val="both"/>
        <w:rPr>
          <w:sz w:val="24"/>
          <w:szCs w:val="24"/>
        </w:rPr>
      </w:pPr>
    </w:p>
    <w:p w14:paraId="7FB4DBC7" w14:textId="77777777" w:rsidR="00996B1A" w:rsidRPr="00996B1A" w:rsidRDefault="00996B1A" w:rsidP="00996B1A">
      <w:pPr>
        <w:suppressAutoHyphens/>
        <w:adjustRightInd/>
      </w:pPr>
      <w:r w:rsidRPr="00996B1A">
        <w:rPr>
          <w:sz w:val="24"/>
          <w:szCs w:val="24"/>
        </w:rPr>
        <w:t>(1863 words)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059581E" w14:textId="77777777" w:rsidR="00996B1A" w:rsidRDefault="00996B1A" w:rsidP="00996B1A">
      <w:pPr>
        <w:pStyle w:val="NormalWeb"/>
        <w:ind w:left="567" w:hanging="567"/>
        <w:rPr>
          <w:rFonts w:asciiTheme="minorHAnsi" w:hAnsiTheme="minorHAnsi" w:cstheme="minorHAnsi"/>
          <w:bCs/>
        </w:rPr>
      </w:pPr>
      <w:r>
        <w:rPr>
          <w:rFonts w:asciiTheme="minorHAnsi" w:hAnsiTheme="minorHAnsi" w:cstheme="minorHAnsi"/>
          <w:bCs/>
          <w:i/>
          <w:iCs/>
        </w:rPr>
        <w:t>1</w:t>
      </w:r>
      <w:r w:rsidRPr="00BB001E">
        <w:rPr>
          <w:rFonts w:asciiTheme="minorHAnsi" w:hAnsiTheme="minorHAnsi" w:cstheme="minorHAnsi"/>
          <w:bCs/>
          <w:i/>
          <w:iCs/>
        </w:rPr>
        <w:t xml:space="preserve"> building rapport</w:t>
      </w:r>
      <w:r w:rsidRPr="00BB001E">
        <w:rPr>
          <w:rFonts w:asciiTheme="minorHAnsi" w:hAnsiTheme="minorHAnsi" w:cstheme="minorHAnsi"/>
          <w:bCs/>
        </w:rPr>
        <w:t xml:space="preserve"> (no date) </w:t>
      </w:r>
      <w:r w:rsidRPr="00BB001E">
        <w:rPr>
          <w:rFonts w:asciiTheme="minorHAnsi" w:hAnsiTheme="minorHAnsi" w:cstheme="minorHAnsi"/>
          <w:bCs/>
          <w:i/>
          <w:iCs/>
        </w:rPr>
        <w:t>Three principles of a coaching approach</w:t>
      </w:r>
      <w:r w:rsidRPr="00BB001E">
        <w:rPr>
          <w:rFonts w:asciiTheme="minorHAnsi" w:hAnsiTheme="minorHAnsi" w:cstheme="minorHAnsi"/>
          <w:bCs/>
        </w:rPr>
        <w:t xml:space="preserve">. Available at: https://www.open.edu/openlearn/money-business/leadership-management/three-principles-coaching-approach/content-section-1 (Accessed: 11 November 2023). </w:t>
      </w:r>
    </w:p>
    <w:p w14:paraId="1E9641C1" w14:textId="77777777" w:rsidR="00996B1A" w:rsidRDefault="00996B1A" w:rsidP="00996B1A">
      <w:pPr>
        <w:pStyle w:val="NormalWeb"/>
        <w:ind w:left="567" w:hanging="567"/>
        <w:rPr>
          <w:rFonts w:asciiTheme="minorHAnsi" w:hAnsiTheme="minorHAnsi" w:cstheme="minorHAnsi"/>
          <w:bCs/>
        </w:rPr>
      </w:pPr>
    </w:p>
    <w:p w14:paraId="05654E33" w14:textId="77777777" w:rsidR="00996B1A" w:rsidRDefault="00996B1A" w:rsidP="00996B1A">
      <w:pPr>
        <w:pStyle w:val="NormalWeb"/>
        <w:ind w:left="567" w:hanging="567"/>
        <w:rPr>
          <w:rFonts w:asciiTheme="minorHAnsi" w:hAnsiTheme="minorHAnsi" w:cstheme="minorHAnsi"/>
          <w:bCs/>
        </w:rPr>
      </w:pPr>
    </w:p>
    <w:p w14:paraId="1A75C023"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rPr>
        <w:t xml:space="preserve">(No date a) </w:t>
      </w:r>
      <w:r w:rsidRPr="00BB001E">
        <w:rPr>
          <w:rFonts w:asciiTheme="minorHAnsi" w:hAnsiTheme="minorHAnsi" w:cstheme="minorHAnsi"/>
          <w:bCs/>
          <w:i/>
          <w:iCs/>
        </w:rPr>
        <w:t>10 strategies for overcoming language barriers - europarc federation</w:t>
      </w:r>
      <w:r w:rsidRPr="00BB001E">
        <w:rPr>
          <w:rFonts w:asciiTheme="minorHAnsi" w:hAnsiTheme="minorHAnsi" w:cstheme="minorHAnsi"/>
          <w:bCs/>
        </w:rPr>
        <w:t xml:space="preserve">. Available at: https://www.europarc.org/communication-skills/pdf/10%20Strategies%20for%20Overcoming%20Language%20Barriers.pdf (Accessed: 11 November 2023). </w:t>
      </w:r>
    </w:p>
    <w:p w14:paraId="3258CEBD" w14:textId="77777777" w:rsidR="00996B1A" w:rsidRPr="00BB001E" w:rsidRDefault="00996B1A" w:rsidP="00996B1A">
      <w:pPr>
        <w:pStyle w:val="NormalWeb"/>
        <w:ind w:left="567" w:hanging="567"/>
        <w:rPr>
          <w:rFonts w:asciiTheme="minorHAnsi" w:hAnsiTheme="minorHAnsi" w:cstheme="minorHAnsi"/>
          <w:bCs/>
        </w:rPr>
      </w:pPr>
    </w:p>
    <w:p w14:paraId="14000234" w14:textId="77777777" w:rsidR="00996B1A" w:rsidRPr="00BB001E" w:rsidRDefault="00996B1A" w:rsidP="00996B1A">
      <w:pPr>
        <w:suppressAutoHyphens/>
        <w:overflowPunct/>
        <w:autoSpaceDE/>
        <w:adjustRightInd/>
        <w:spacing w:before="100" w:after="100"/>
        <w:textAlignment w:val="auto"/>
        <w:rPr>
          <w:rFonts w:asciiTheme="minorHAnsi" w:hAnsiTheme="minorHAnsi" w:cstheme="minorHAnsi"/>
          <w:bCs/>
          <w:color w:val="auto"/>
          <w:sz w:val="24"/>
          <w:szCs w:val="24"/>
        </w:rPr>
      </w:pPr>
    </w:p>
    <w:p w14:paraId="5F613AB0" w14:textId="77777777" w:rsidR="00996B1A"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rPr>
        <w:t xml:space="preserve">Al Shamsi, H. </w:t>
      </w:r>
      <w:r w:rsidRPr="00BB001E">
        <w:rPr>
          <w:rFonts w:asciiTheme="minorHAnsi" w:hAnsiTheme="minorHAnsi" w:cstheme="minorHAnsi"/>
          <w:bCs/>
          <w:i/>
          <w:iCs/>
        </w:rPr>
        <w:t>et al.</w:t>
      </w:r>
      <w:r w:rsidRPr="00BB001E">
        <w:rPr>
          <w:rFonts w:asciiTheme="minorHAnsi" w:hAnsiTheme="minorHAnsi" w:cstheme="minorHAnsi"/>
          <w:bCs/>
        </w:rPr>
        <w:t xml:space="preserve"> (2020) ‘Implications of language barriers for Healthcare: A systematic review’, </w:t>
      </w:r>
      <w:r w:rsidRPr="00BB001E">
        <w:rPr>
          <w:rFonts w:asciiTheme="minorHAnsi" w:hAnsiTheme="minorHAnsi" w:cstheme="minorHAnsi"/>
          <w:bCs/>
          <w:i/>
          <w:iCs/>
        </w:rPr>
        <w:t>Oman Medical Journal</w:t>
      </w:r>
      <w:r w:rsidRPr="00BB001E">
        <w:rPr>
          <w:rFonts w:asciiTheme="minorHAnsi" w:hAnsiTheme="minorHAnsi" w:cstheme="minorHAnsi"/>
          <w:bCs/>
        </w:rPr>
        <w:t xml:space="preserve">, 35(2). doi:10.5001/omj.2020.40. </w:t>
      </w:r>
    </w:p>
    <w:p w14:paraId="30155BD0" w14:textId="77777777" w:rsidR="00996B1A" w:rsidRDefault="00996B1A" w:rsidP="00996B1A">
      <w:pPr>
        <w:pStyle w:val="NormalWeb"/>
        <w:ind w:left="567" w:hanging="567"/>
        <w:rPr>
          <w:rFonts w:asciiTheme="minorHAnsi" w:hAnsiTheme="minorHAnsi" w:cstheme="minorHAnsi"/>
          <w:bCs/>
        </w:rPr>
      </w:pPr>
    </w:p>
    <w:p w14:paraId="3E70074A" w14:textId="77777777" w:rsidR="00996B1A" w:rsidRDefault="00996B1A" w:rsidP="00996B1A">
      <w:pPr>
        <w:pStyle w:val="NormalWeb"/>
        <w:ind w:left="567" w:hanging="567"/>
        <w:rPr>
          <w:rFonts w:asciiTheme="minorHAnsi" w:hAnsiTheme="minorHAnsi" w:cstheme="minorHAnsi"/>
          <w:bCs/>
        </w:rPr>
      </w:pPr>
    </w:p>
    <w:p w14:paraId="6AD47BB8"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i/>
          <w:iCs/>
        </w:rPr>
        <w:t>Assaults on emergency workers (offences) act 2018</w:t>
      </w:r>
      <w:r w:rsidRPr="00BB001E">
        <w:rPr>
          <w:rFonts w:asciiTheme="minorHAnsi" w:hAnsiTheme="minorHAnsi" w:cstheme="minorHAnsi"/>
          <w:bCs/>
        </w:rPr>
        <w:t xml:space="preserve"> (no date) </w:t>
      </w:r>
      <w:r w:rsidRPr="00BB001E">
        <w:rPr>
          <w:rFonts w:asciiTheme="minorHAnsi" w:hAnsiTheme="minorHAnsi" w:cstheme="minorHAnsi"/>
          <w:bCs/>
          <w:i/>
          <w:iCs/>
        </w:rPr>
        <w:t>Assaults on Emergency Workers (Offences) Act 2018 | The Crown Prosecution Service</w:t>
      </w:r>
      <w:r w:rsidRPr="00BB001E">
        <w:rPr>
          <w:rFonts w:asciiTheme="minorHAnsi" w:hAnsiTheme="minorHAnsi" w:cstheme="minorHAnsi"/>
          <w:bCs/>
        </w:rPr>
        <w:t xml:space="preserve">. Available at: https://www.cps.gov.uk/legal-guidance/assaults-emergency-workers-offences-act-2018 (Accessed: 11 November 2023). </w:t>
      </w:r>
    </w:p>
    <w:p w14:paraId="749B39E0" w14:textId="77777777" w:rsidR="00996B1A" w:rsidRDefault="00996B1A" w:rsidP="00996B1A">
      <w:pPr>
        <w:ind w:right="107"/>
        <w:jc w:val="both"/>
        <w:rPr>
          <w:b/>
          <w:sz w:val="24"/>
          <w:szCs w:val="24"/>
        </w:rPr>
      </w:pPr>
    </w:p>
    <w:p w14:paraId="02084648" w14:textId="77777777" w:rsidR="00996B1A" w:rsidRPr="00270EEB" w:rsidRDefault="00996B1A" w:rsidP="00996B1A">
      <w:pPr>
        <w:ind w:right="107"/>
        <w:jc w:val="both"/>
        <w:rPr>
          <w:b/>
          <w:sz w:val="24"/>
          <w:szCs w:val="24"/>
        </w:rPr>
      </w:pPr>
    </w:p>
    <w:p w14:paraId="127CEE08" w14:textId="77777777" w:rsidR="00996B1A" w:rsidRDefault="00996B1A" w:rsidP="00996B1A">
      <w:pPr>
        <w:overflowPunct/>
        <w:autoSpaceDE/>
        <w:autoSpaceDN/>
        <w:adjustRightInd/>
        <w:ind w:right="107"/>
        <w:textAlignment w:val="auto"/>
        <w:rPr>
          <w:b/>
          <w:sz w:val="24"/>
          <w:szCs w:val="24"/>
        </w:rPr>
      </w:pPr>
    </w:p>
    <w:p w14:paraId="5DC47363"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Bryant, R &amp; Bryant, S. (2020) </w:t>
      </w:r>
      <w:r w:rsidRPr="00996B1A">
        <w:rPr>
          <w:rFonts w:asciiTheme="minorHAnsi" w:hAnsiTheme="minorHAnsi" w:cstheme="minorHAnsi"/>
          <w:bCs/>
          <w:i/>
          <w:iCs/>
          <w:sz w:val="24"/>
          <w:szCs w:val="24"/>
        </w:rPr>
        <w:t>Blackstone’s handbook for policing students</w:t>
      </w:r>
      <w:r w:rsidRPr="00BB001E">
        <w:rPr>
          <w:rFonts w:asciiTheme="minorHAnsi" w:hAnsiTheme="minorHAnsi" w:cstheme="minorHAnsi"/>
          <w:bCs/>
          <w:sz w:val="24"/>
          <w:szCs w:val="24"/>
        </w:rPr>
        <w:t>. Oxford university press. Oxford</w:t>
      </w:r>
    </w:p>
    <w:p w14:paraId="548B7C93"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0636E48E"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Butterworth, R. (2010) </w:t>
      </w:r>
      <w:r w:rsidRPr="00996B1A">
        <w:rPr>
          <w:rFonts w:asciiTheme="minorHAnsi" w:hAnsiTheme="minorHAnsi" w:cstheme="minorHAnsi"/>
          <w:bCs/>
          <w:i/>
          <w:iCs/>
          <w:sz w:val="24"/>
          <w:szCs w:val="24"/>
        </w:rPr>
        <w:t>Preparing for police duty.</w:t>
      </w:r>
      <w:r w:rsidRPr="00BB001E">
        <w:rPr>
          <w:rFonts w:asciiTheme="minorHAnsi" w:hAnsiTheme="minorHAnsi" w:cstheme="minorHAnsi"/>
          <w:bCs/>
          <w:sz w:val="24"/>
          <w:szCs w:val="24"/>
        </w:rPr>
        <w:t xml:space="preserve"> Fourth edn. Oxford university press. New York</w:t>
      </w:r>
    </w:p>
    <w:p w14:paraId="02EAC433"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03759D3E" w14:textId="77777777" w:rsidR="00996B1A" w:rsidRPr="00BB001E" w:rsidRDefault="00996B1A" w:rsidP="00996B1A">
      <w:pPr>
        <w:suppressAutoHyphens/>
        <w:overflowPunct/>
        <w:autoSpaceDE/>
        <w:adjustRightInd/>
        <w:spacing w:before="100" w:after="100"/>
        <w:ind w:left="567" w:hanging="567"/>
        <w:textAlignment w:val="auto"/>
        <w:rPr>
          <w:rFonts w:asciiTheme="minorHAnsi" w:hAnsiTheme="minorHAnsi" w:cstheme="minorHAnsi"/>
          <w:bCs/>
          <w:color w:val="auto"/>
          <w:sz w:val="24"/>
          <w:szCs w:val="24"/>
        </w:rPr>
      </w:pPr>
      <w:r w:rsidRPr="00BB001E">
        <w:rPr>
          <w:rFonts w:asciiTheme="minorHAnsi" w:hAnsiTheme="minorHAnsi" w:cstheme="minorHAnsi"/>
          <w:bCs/>
          <w:i/>
          <w:iCs/>
          <w:color w:val="auto"/>
          <w:sz w:val="24"/>
          <w:szCs w:val="24"/>
        </w:rPr>
        <w:t>English dictionary, translations &amp; thesaurus</w:t>
      </w:r>
      <w:r w:rsidRPr="00BB001E">
        <w:rPr>
          <w:rFonts w:asciiTheme="minorHAnsi" w:hAnsiTheme="minorHAnsi" w:cstheme="minorHAnsi"/>
          <w:bCs/>
          <w:color w:val="auto"/>
          <w:sz w:val="24"/>
          <w:szCs w:val="24"/>
        </w:rPr>
        <w:t xml:space="preserve"> (no date) </w:t>
      </w:r>
      <w:r w:rsidRPr="00BB001E">
        <w:rPr>
          <w:rFonts w:asciiTheme="minorHAnsi" w:hAnsiTheme="minorHAnsi" w:cstheme="minorHAnsi"/>
          <w:bCs/>
          <w:i/>
          <w:iCs/>
          <w:color w:val="auto"/>
          <w:sz w:val="24"/>
          <w:szCs w:val="24"/>
        </w:rPr>
        <w:t>Cambridge Dictionary</w:t>
      </w:r>
      <w:r w:rsidRPr="00BB001E">
        <w:rPr>
          <w:rFonts w:asciiTheme="minorHAnsi" w:hAnsiTheme="minorHAnsi" w:cstheme="minorHAnsi"/>
          <w:bCs/>
          <w:color w:val="auto"/>
          <w:sz w:val="24"/>
          <w:szCs w:val="24"/>
        </w:rPr>
        <w:t xml:space="preserve">. Available at: https://dictionary.cambridge.org/ (Accessed: 10 November 2023). </w:t>
      </w:r>
    </w:p>
    <w:p w14:paraId="521DF64B"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627E7081"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27AEEA8B"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Fielding, N. (1991) </w:t>
      </w:r>
      <w:r w:rsidRPr="00996B1A">
        <w:rPr>
          <w:rFonts w:asciiTheme="minorHAnsi" w:hAnsiTheme="minorHAnsi" w:cstheme="minorHAnsi"/>
          <w:bCs/>
          <w:i/>
          <w:iCs/>
          <w:sz w:val="24"/>
          <w:szCs w:val="24"/>
        </w:rPr>
        <w:t>The police and social conflict</w:t>
      </w:r>
      <w:r w:rsidRPr="00BB001E">
        <w:rPr>
          <w:rFonts w:asciiTheme="minorHAnsi" w:hAnsiTheme="minorHAnsi" w:cstheme="minorHAnsi"/>
          <w:bCs/>
          <w:sz w:val="24"/>
          <w:szCs w:val="24"/>
        </w:rPr>
        <w:t>. The Athlone press ltd. London</w:t>
      </w:r>
    </w:p>
    <w:p w14:paraId="7C689CA0"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544DA6ED"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rPr>
        <w:t xml:space="preserve">Gill, C. and Mastoras, M.C. (2021) ‘Proactive alliance: Combining policing and counselling psychology’, </w:t>
      </w:r>
      <w:r w:rsidRPr="00BB001E">
        <w:rPr>
          <w:rFonts w:asciiTheme="minorHAnsi" w:hAnsiTheme="minorHAnsi" w:cstheme="minorHAnsi"/>
          <w:bCs/>
          <w:i/>
          <w:iCs/>
        </w:rPr>
        <w:t>Journal of Community Safety and Well-Being</w:t>
      </w:r>
      <w:r w:rsidRPr="00BB001E">
        <w:rPr>
          <w:rFonts w:asciiTheme="minorHAnsi" w:hAnsiTheme="minorHAnsi" w:cstheme="minorHAnsi"/>
          <w:bCs/>
        </w:rPr>
        <w:t xml:space="preserve">, 6(3), pp. 112–117. doi:10.35502/jcswb.193. </w:t>
      </w:r>
    </w:p>
    <w:p w14:paraId="4209B53A" w14:textId="77777777" w:rsidR="00996B1A" w:rsidRDefault="00996B1A" w:rsidP="00996B1A">
      <w:pPr>
        <w:spacing w:line="480" w:lineRule="auto"/>
        <w:ind w:right="107"/>
        <w:jc w:val="both"/>
        <w:rPr>
          <w:rFonts w:asciiTheme="minorHAnsi" w:hAnsiTheme="minorHAnsi" w:cstheme="minorHAnsi"/>
          <w:bCs/>
          <w:sz w:val="24"/>
          <w:szCs w:val="24"/>
        </w:rPr>
      </w:pPr>
    </w:p>
    <w:p w14:paraId="097A57D4" w14:textId="77777777" w:rsidR="00996B1A" w:rsidRDefault="00996B1A" w:rsidP="00996B1A">
      <w:pPr>
        <w:spacing w:line="480" w:lineRule="auto"/>
        <w:ind w:right="107"/>
        <w:jc w:val="both"/>
        <w:rPr>
          <w:rFonts w:asciiTheme="minorHAnsi" w:hAnsiTheme="minorHAnsi" w:cstheme="minorHAnsi"/>
          <w:bCs/>
          <w:sz w:val="24"/>
          <w:szCs w:val="24"/>
        </w:rPr>
      </w:pPr>
    </w:p>
    <w:p w14:paraId="358806C1" w14:textId="77777777" w:rsidR="00996B1A" w:rsidRDefault="00996B1A" w:rsidP="00996B1A">
      <w:pPr>
        <w:spacing w:line="480" w:lineRule="auto"/>
        <w:ind w:right="107"/>
        <w:jc w:val="both"/>
        <w:rPr>
          <w:rFonts w:asciiTheme="minorHAnsi" w:hAnsiTheme="minorHAnsi" w:cstheme="minorHAnsi"/>
          <w:bCs/>
          <w:sz w:val="24"/>
          <w:szCs w:val="24"/>
        </w:rPr>
      </w:pPr>
      <w:r w:rsidRPr="00BB001E">
        <w:rPr>
          <w:rFonts w:asciiTheme="minorHAnsi" w:hAnsiTheme="minorHAnsi" w:cstheme="minorHAnsi"/>
          <w:bCs/>
          <w:sz w:val="24"/>
          <w:szCs w:val="24"/>
        </w:rPr>
        <w:t>Haugh, S. Merry, T. (2006) Rogers’ therapeutic conditions: Evolution, theory and practice. Volume 2: Empathy. PCCS Books. United Kingdom</w:t>
      </w:r>
    </w:p>
    <w:p w14:paraId="3E77F06E" w14:textId="77777777" w:rsidR="00996B1A" w:rsidRDefault="00996B1A" w:rsidP="00996B1A">
      <w:pPr>
        <w:spacing w:line="480" w:lineRule="auto"/>
        <w:ind w:right="107"/>
        <w:jc w:val="both"/>
        <w:rPr>
          <w:rFonts w:asciiTheme="minorHAnsi" w:hAnsiTheme="minorHAnsi" w:cstheme="minorHAnsi"/>
          <w:bCs/>
          <w:sz w:val="24"/>
          <w:szCs w:val="24"/>
        </w:rPr>
      </w:pPr>
    </w:p>
    <w:p w14:paraId="1A4F8F65"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i/>
          <w:iCs/>
        </w:rPr>
        <w:t>Human rights act 1988 - overview</w:t>
      </w:r>
      <w:r w:rsidRPr="00BB001E">
        <w:rPr>
          <w:rFonts w:asciiTheme="minorHAnsi" w:hAnsiTheme="minorHAnsi" w:cstheme="minorHAnsi"/>
          <w:bCs/>
        </w:rPr>
        <w:t xml:space="preserve"> (no date) </w:t>
      </w:r>
      <w:r w:rsidRPr="00BB001E">
        <w:rPr>
          <w:rFonts w:asciiTheme="minorHAnsi" w:hAnsiTheme="minorHAnsi" w:cstheme="minorHAnsi"/>
          <w:bCs/>
          <w:i/>
          <w:iCs/>
        </w:rPr>
        <w:t>Mind</w:t>
      </w:r>
      <w:r w:rsidRPr="00BB001E">
        <w:rPr>
          <w:rFonts w:asciiTheme="minorHAnsi" w:hAnsiTheme="minorHAnsi" w:cstheme="minorHAnsi"/>
          <w:bCs/>
        </w:rPr>
        <w:t xml:space="preserve">. Available at: https://www.mind.org.uk/information-support/legal-rights/human-rights-act-1998/overview/ (Accessed: 11 November 2023). </w:t>
      </w:r>
    </w:p>
    <w:p w14:paraId="793CCA96"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2C34E5D6"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Jay, F. (2019) </w:t>
      </w:r>
      <w:r w:rsidRPr="00996B1A">
        <w:rPr>
          <w:rFonts w:asciiTheme="minorHAnsi" w:hAnsiTheme="minorHAnsi" w:cstheme="minorHAnsi"/>
          <w:bCs/>
          <w:i/>
          <w:iCs/>
          <w:sz w:val="24"/>
          <w:szCs w:val="24"/>
        </w:rPr>
        <w:t>How to live a simple, serene and stress free life</w:t>
      </w:r>
      <w:r w:rsidRPr="00BB001E">
        <w:rPr>
          <w:rFonts w:asciiTheme="minorHAnsi" w:hAnsiTheme="minorHAnsi" w:cstheme="minorHAnsi"/>
          <w:bCs/>
          <w:sz w:val="24"/>
          <w:szCs w:val="24"/>
        </w:rPr>
        <w:t>. Quercus editions Ltd. London</w:t>
      </w:r>
    </w:p>
    <w:p w14:paraId="04621AA3"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42A4952A"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Joyce, P &amp; Laverick, W. (2021) </w:t>
      </w:r>
      <w:r w:rsidRPr="00996B1A">
        <w:rPr>
          <w:rFonts w:asciiTheme="minorHAnsi" w:hAnsiTheme="minorHAnsi" w:cstheme="minorHAnsi"/>
          <w:bCs/>
          <w:i/>
          <w:iCs/>
          <w:sz w:val="24"/>
          <w:szCs w:val="24"/>
        </w:rPr>
        <w:t>Policing: Developmental and contemporary practice</w:t>
      </w:r>
      <w:r w:rsidRPr="00BB001E">
        <w:rPr>
          <w:rFonts w:asciiTheme="minorHAnsi" w:hAnsiTheme="minorHAnsi" w:cstheme="minorHAnsi"/>
          <w:bCs/>
          <w:sz w:val="24"/>
          <w:szCs w:val="24"/>
        </w:rPr>
        <w:t>.  Sage publications Ltd. London</w:t>
      </w:r>
    </w:p>
    <w:p w14:paraId="3EFB3DB5"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477B0D3D"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rPr>
        <w:t xml:space="preserve">Justice, M. of (2015) </w:t>
      </w:r>
      <w:r w:rsidRPr="00BB001E">
        <w:rPr>
          <w:rFonts w:asciiTheme="minorHAnsi" w:hAnsiTheme="minorHAnsi" w:cstheme="minorHAnsi"/>
          <w:bCs/>
          <w:i/>
          <w:iCs/>
        </w:rPr>
        <w:t>Criminal procedure and investigations act code of practice</w:t>
      </w:r>
      <w:r w:rsidRPr="00BB001E">
        <w:rPr>
          <w:rFonts w:asciiTheme="minorHAnsi" w:hAnsiTheme="minorHAnsi" w:cstheme="minorHAnsi"/>
          <w:bCs/>
        </w:rPr>
        <w:t xml:space="preserve">, </w:t>
      </w:r>
      <w:r w:rsidRPr="00BB001E">
        <w:rPr>
          <w:rFonts w:asciiTheme="minorHAnsi" w:hAnsiTheme="minorHAnsi" w:cstheme="minorHAnsi"/>
          <w:bCs/>
          <w:i/>
          <w:iCs/>
        </w:rPr>
        <w:t>GOV.UK</w:t>
      </w:r>
      <w:r w:rsidRPr="00BB001E">
        <w:rPr>
          <w:rFonts w:asciiTheme="minorHAnsi" w:hAnsiTheme="minorHAnsi" w:cstheme="minorHAnsi"/>
          <w:bCs/>
        </w:rPr>
        <w:t xml:space="preserve">. Available at: https://www.gov.uk/government/publications/criminal-procedure-and-investigations-act-code-of-practice (Accessed: 11 November 2023). </w:t>
      </w:r>
    </w:p>
    <w:p w14:paraId="56B7B7BF"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61110B60"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65EE5EC7"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Kilgallon, M &amp; Wright, M (2022</w:t>
      </w:r>
      <w:r w:rsidRPr="00996B1A">
        <w:rPr>
          <w:rFonts w:asciiTheme="minorHAnsi" w:hAnsiTheme="minorHAnsi" w:cstheme="minorHAnsi"/>
          <w:bCs/>
          <w:i/>
          <w:iCs/>
          <w:sz w:val="24"/>
          <w:szCs w:val="24"/>
        </w:rPr>
        <w:t>) Behavioural skills for effective policing</w:t>
      </w:r>
      <w:r w:rsidRPr="00BB001E">
        <w:rPr>
          <w:rFonts w:asciiTheme="minorHAnsi" w:hAnsiTheme="minorHAnsi" w:cstheme="minorHAnsi"/>
          <w:bCs/>
          <w:sz w:val="24"/>
          <w:szCs w:val="24"/>
        </w:rPr>
        <w:t>. Critical publishing Ltd. St Albans</w:t>
      </w:r>
    </w:p>
    <w:p w14:paraId="04B6F0A2"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793A1F62" w14:textId="77777777" w:rsidR="00996B1A" w:rsidRPr="00BB001E" w:rsidRDefault="00996B1A" w:rsidP="00996B1A">
      <w:pPr>
        <w:suppressAutoHyphens/>
        <w:adjustRightInd/>
        <w:spacing w:line="480" w:lineRule="auto"/>
        <w:rPr>
          <w:rFonts w:asciiTheme="minorHAnsi" w:hAnsiTheme="minorHAnsi" w:cstheme="minorHAnsi"/>
          <w:bCs/>
          <w:sz w:val="24"/>
          <w:szCs w:val="24"/>
        </w:rPr>
      </w:pPr>
      <w:r w:rsidRPr="00BB001E">
        <w:rPr>
          <w:rFonts w:asciiTheme="minorHAnsi" w:hAnsiTheme="minorHAnsi" w:cstheme="minorHAnsi"/>
          <w:bCs/>
          <w:sz w:val="24"/>
          <w:szCs w:val="24"/>
        </w:rPr>
        <w:lastRenderedPageBreak/>
        <w:t xml:space="preserve">Matthews, G. Davies, D.R. Westerman, S &amp; Stammers, R. (2000) </w:t>
      </w:r>
      <w:r w:rsidRPr="00BB001E">
        <w:rPr>
          <w:rFonts w:asciiTheme="minorHAnsi" w:hAnsiTheme="minorHAnsi" w:cstheme="minorHAnsi"/>
          <w:bCs/>
          <w:i/>
          <w:iCs/>
          <w:sz w:val="24"/>
          <w:szCs w:val="24"/>
        </w:rPr>
        <w:t>Human performance: Cognition,</w:t>
      </w:r>
      <w:r>
        <w:rPr>
          <w:rFonts w:asciiTheme="minorHAnsi" w:hAnsiTheme="minorHAnsi" w:cstheme="minorHAnsi"/>
          <w:bCs/>
          <w:i/>
          <w:iCs/>
          <w:sz w:val="24"/>
          <w:szCs w:val="24"/>
        </w:rPr>
        <w:t xml:space="preserve"> </w:t>
      </w:r>
      <w:r w:rsidRPr="00BB001E">
        <w:rPr>
          <w:rFonts w:asciiTheme="minorHAnsi" w:hAnsiTheme="minorHAnsi" w:cstheme="minorHAnsi"/>
          <w:bCs/>
          <w:i/>
          <w:iCs/>
          <w:sz w:val="24"/>
          <w:szCs w:val="24"/>
        </w:rPr>
        <w:t>stress and individual differences.</w:t>
      </w:r>
      <w:r w:rsidRPr="00BB001E">
        <w:rPr>
          <w:rFonts w:asciiTheme="minorHAnsi" w:hAnsiTheme="minorHAnsi" w:cstheme="minorHAnsi"/>
          <w:bCs/>
          <w:sz w:val="24"/>
          <w:szCs w:val="24"/>
        </w:rPr>
        <w:t xml:space="preserve"> Psychology press. New York</w:t>
      </w:r>
    </w:p>
    <w:p w14:paraId="45D2FD12"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4A4368CA"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Meares, K &amp; Freeston, M (2008</w:t>
      </w:r>
      <w:r w:rsidRPr="00996B1A">
        <w:rPr>
          <w:rFonts w:asciiTheme="minorHAnsi" w:hAnsiTheme="minorHAnsi" w:cstheme="minorHAnsi"/>
          <w:bCs/>
          <w:i/>
          <w:iCs/>
          <w:sz w:val="24"/>
          <w:szCs w:val="24"/>
        </w:rPr>
        <w:t>) Overcoming worry and generalised anxiety disorder</w:t>
      </w:r>
      <w:r w:rsidRPr="00BB001E">
        <w:rPr>
          <w:rFonts w:asciiTheme="minorHAnsi" w:hAnsiTheme="minorHAnsi" w:cstheme="minorHAnsi"/>
          <w:bCs/>
          <w:sz w:val="24"/>
          <w:szCs w:val="24"/>
        </w:rPr>
        <w:t>. Robinson Ltd. Great Britain</w:t>
      </w:r>
    </w:p>
    <w:p w14:paraId="1717F1A4" w14:textId="77777777" w:rsidR="00996B1A" w:rsidRPr="00BB001E" w:rsidRDefault="00996B1A" w:rsidP="00996B1A">
      <w:pPr>
        <w:spacing w:line="480" w:lineRule="auto"/>
        <w:ind w:right="107"/>
        <w:jc w:val="both"/>
        <w:rPr>
          <w:rFonts w:asciiTheme="minorHAnsi" w:hAnsiTheme="minorHAnsi" w:cstheme="minorHAnsi"/>
          <w:bCs/>
          <w:sz w:val="24"/>
          <w:szCs w:val="24"/>
        </w:rPr>
      </w:pPr>
    </w:p>
    <w:p w14:paraId="0C9DD568" w14:textId="77777777" w:rsidR="00996B1A" w:rsidRDefault="00996B1A" w:rsidP="00996B1A">
      <w:pPr>
        <w:spacing w:line="480" w:lineRule="auto"/>
        <w:ind w:right="107"/>
        <w:jc w:val="both"/>
        <w:rPr>
          <w:rFonts w:asciiTheme="minorHAnsi" w:hAnsiTheme="minorHAnsi" w:cstheme="minorHAnsi"/>
          <w:bCs/>
          <w:sz w:val="24"/>
          <w:szCs w:val="24"/>
        </w:rPr>
      </w:pPr>
      <w:r w:rsidRPr="00BB001E">
        <w:rPr>
          <w:rFonts w:asciiTheme="minorHAnsi" w:hAnsiTheme="minorHAnsi" w:cstheme="minorHAnsi"/>
          <w:bCs/>
          <w:sz w:val="24"/>
          <w:szCs w:val="24"/>
        </w:rPr>
        <w:t xml:space="preserve">Moskowitz, G. (2005) </w:t>
      </w:r>
      <w:r w:rsidRPr="00BB001E">
        <w:rPr>
          <w:rFonts w:asciiTheme="minorHAnsi" w:hAnsiTheme="minorHAnsi" w:cstheme="minorHAnsi"/>
          <w:bCs/>
          <w:i/>
          <w:iCs/>
          <w:sz w:val="24"/>
          <w:szCs w:val="24"/>
        </w:rPr>
        <w:t>Social cognition: Understanding self and others</w:t>
      </w:r>
      <w:r w:rsidRPr="00BB001E">
        <w:rPr>
          <w:rFonts w:asciiTheme="minorHAnsi" w:hAnsiTheme="minorHAnsi" w:cstheme="minorHAnsi"/>
          <w:bCs/>
          <w:sz w:val="24"/>
          <w:szCs w:val="24"/>
        </w:rPr>
        <w:t>. The Guilford Press. New York</w:t>
      </w:r>
    </w:p>
    <w:p w14:paraId="1E10AC6F" w14:textId="77777777" w:rsidR="00996B1A" w:rsidRDefault="00996B1A" w:rsidP="00996B1A">
      <w:pPr>
        <w:spacing w:line="480" w:lineRule="auto"/>
        <w:ind w:right="107"/>
        <w:jc w:val="both"/>
        <w:rPr>
          <w:rFonts w:asciiTheme="minorHAnsi" w:hAnsiTheme="minorHAnsi" w:cstheme="minorHAnsi"/>
          <w:bCs/>
          <w:sz w:val="24"/>
          <w:szCs w:val="24"/>
        </w:rPr>
      </w:pPr>
    </w:p>
    <w:p w14:paraId="00B3D3E7" w14:textId="77777777" w:rsidR="00996B1A"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rPr>
        <w:t xml:space="preserve">(No date) </w:t>
      </w:r>
      <w:r w:rsidRPr="00BB001E">
        <w:rPr>
          <w:rFonts w:asciiTheme="minorHAnsi" w:hAnsiTheme="minorHAnsi" w:cstheme="minorHAnsi"/>
          <w:bCs/>
          <w:i/>
          <w:iCs/>
        </w:rPr>
        <w:t>NHS choices</w:t>
      </w:r>
      <w:r w:rsidRPr="00BB001E">
        <w:rPr>
          <w:rFonts w:asciiTheme="minorHAnsi" w:hAnsiTheme="minorHAnsi" w:cstheme="minorHAnsi"/>
          <w:bCs/>
        </w:rPr>
        <w:t xml:space="preserve">. Available at: https://www.nhs.uk/conditions/social-care-and-support-guide/practical-tips-if-you-care-for-someone/how-to-care-for-someone-with-communication-difficulties/ (Accessed: 11 November 2023). </w:t>
      </w:r>
    </w:p>
    <w:p w14:paraId="0DD4F387" w14:textId="77777777" w:rsidR="00996B1A" w:rsidRDefault="00996B1A" w:rsidP="00996B1A">
      <w:pPr>
        <w:pStyle w:val="NormalWeb"/>
        <w:ind w:left="567" w:hanging="567"/>
        <w:rPr>
          <w:rFonts w:asciiTheme="minorHAnsi" w:hAnsiTheme="minorHAnsi" w:cstheme="minorHAnsi"/>
          <w:bCs/>
        </w:rPr>
      </w:pPr>
    </w:p>
    <w:p w14:paraId="3D8F34C5"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rPr>
        <w:t xml:space="preserve">Office, H. (2014) </w:t>
      </w:r>
      <w:r w:rsidRPr="00BB001E">
        <w:rPr>
          <w:rFonts w:asciiTheme="minorHAnsi" w:hAnsiTheme="minorHAnsi" w:cstheme="minorHAnsi"/>
          <w:bCs/>
          <w:i/>
          <w:iCs/>
        </w:rPr>
        <w:t>Code of ethics launched</w:t>
      </w:r>
      <w:r w:rsidRPr="00BB001E">
        <w:rPr>
          <w:rFonts w:asciiTheme="minorHAnsi" w:hAnsiTheme="minorHAnsi" w:cstheme="minorHAnsi"/>
          <w:bCs/>
        </w:rPr>
        <w:t xml:space="preserve">, </w:t>
      </w:r>
      <w:r w:rsidRPr="00BB001E">
        <w:rPr>
          <w:rFonts w:asciiTheme="minorHAnsi" w:hAnsiTheme="minorHAnsi" w:cstheme="minorHAnsi"/>
          <w:bCs/>
          <w:i/>
          <w:iCs/>
        </w:rPr>
        <w:t>GOV.UK</w:t>
      </w:r>
      <w:r w:rsidRPr="00BB001E">
        <w:rPr>
          <w:rFonts w:asciiTheme="minorHAnsi" w:hAnsiTheme="minorHAnsi" w:cstheme="minorHAnsi"/>
          <w:bCs/>
        </w:rPr>
        <w:t xml:space="preserve">. Available at: https://www.gov.uk/government/news/code-of-ethics-launched (Accessed: 11 November 2023). </w:t>
      </w:r>
    </w:p>
    <w:p w14:paraId="39E84DC9"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1FFCDC82"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Pepper, I &amp; McGrath, R (2020</w:t>
      </w:r>
      <w:r w:rsidRPr="00996B1A">
        <w:rPr>
          <w:rFonts w:asciiTheme="minorHAnsi" w:hAnsiTheme="minorHAnsi" w:cstheme="minorHAnsi"/>
          <w:bCs/>
          <w:i/>
          <w:iCs/>
          <w:sz w:val="24"/>
          <w:szCs w:val="24"/>
        </w:rPr>
        <w:t>) Introduction to professional policing</w:t>
      </w:r>
      <w:r w:rsidRPr="00BB001E">
        <w:rPr>
          <w:rFonts w:asciiTheme="minorHAnsi" w:hAnsiTheme="minorHAnsi" w:cstheme="minorHAnsi"/>
          <w:bCs/>
          <w:sz w:val="24"/>
          <w:szCs w:val="24"/>
        </w:rPr>
        <w:t>. Routledge. New York</w:t>
      </w:r>
    </w:p>
    <w:p w14:paraId="42A41B74"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2CBDFBC5"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Rees, C. Breen, L. Cusack, L. Hegney, D. (2015</w:t>
      </w:r>
      <w:r w:rsidRPr="00996B1A">
        <w:rPr>
          <w:rFonts w:asciiTheme="minorHAnsi" w:hAnsiTheme="minorHAnsi" w:cstheme="minorHAnsi"/>
          <w:bCs/>
          <w:i/>
          <w:iCs/>
          <w:sz w:val="24"/>
          <w:szCs w:val="24"/>
        </w:rPr>
        <w:t>) Frontiers in psychology.</w:t>
      </w:r>
      <w:r w:rsidRPr="00BB001E">
        <w:rPr>
          <w:rFonts w:asciiTheme="minorHAnsi" w:hAnsiTheme="minorHAnsi" w:cstheme="minorHAnsi"/>
          <w:bCs/>
          <w:sz w:val="24"/>
          <w:szCs w:val="24"/>
        </w:rPr>
        <w:t xml:space="preserve"> Frontiers media S.A. Switzerland</w:t>
      </w:r>
    </w:p>
    <w:p w14:paraId="0F708B1D" w14:textId="77777777" w:rsidR="00996B1A" w:rsidRPr="00BB001E" w:rsidRDefault="00996B1A" w:rsidP="00996B1A">
      <w:pPr>
        <w:spacing w:line="480" w:lineRule="auto"/>
        <w:ind w:right="107"/>
        <w:jc w:val="both"/>
        <w:rPr>
          <w:rFonts w:asciiTheme="minorHAnsi" w:hAnsiTheme="minorHAnsi" w:cstheme="minorHAnsi"/>
          <w:bCs/>
          <w:sz w:val="24"/>
          <w:szCs w:val="24"/>
        </w:rPr>
      </w:pPr>
    </w:p>
    <w:p w14:paraId="6B958324"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Reid, M. Hammersley, R. (2000) </w:t>
      </w:r>
      <w:r w:rsidRPr="00BB001E">
        <w:rPr>
          <w:rFonts w:asciiTheme="minorHAnsi" w:hAnsiTheme="minorHAnsi" w:cstheme="minorHAnsi"/>
          <w:bCs/>
          <w:i/>
          <w:iCs/>
          <w:sz w:val="24"/>
          <w:szCs w:val="24"/>
        </w:rPr>
        <w:t>Communicating successfully in groups.</w:t>
      </w:r>
      <w:r w:rsidRPr="00BB001E">
        <w:rPr>
          <w:rFonts w:asciiTheme="minorHAnsi" w:hAnsiTheme="minorHAnsi" w:cstheme="minorHAnsi"/>
          <w:bCs/>
          <w:sz w:val="24"/>
          <w:szCs w:val="24"/>
        </w:rPr>
        <w:t xml:space="preserve"> Routledge. London</w:t>
      </w:r>
    </w:p>
    <w:p w14:paraId="61D4F157"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413B7AC9"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Rowe, M. (2018) </w:t>
      </w:r>
      <w:r w:rsidRPr="00996B1A">
        <w:rPr>
          <w:rFonts w:asciiTheme="minorHAnsi" w:hAnsiTheme="minorHAnsi" w:cstheme="minorHAnsi"/>
          <w:bCs/>
          <w:i/>
          <w:iCs/>
          <w:sz w:val="24"/>
          <w:szCs w:val="24"/>
        </w:rPr>
        <w:t>Introduction to policing</w:t>
      </w:r>
      <w:r w:rsidRPr="00BB001E">
        <w:rPr>
          <w:rFonts w:asciiTheme="minorHAnsi" w:hAnsiTheme="minorHAnsi" w:cstheme="minorHAnsi"/>
          <w:bCs/>
          <w:sz w:val="24"/>
          <w:szCs w:val="24"/>
        </w:rPr>
        <w:t>. Third edition. Sage publications Ltd. London</w:t>
      </w:r>
    </w:p>
    <w:p w14:paraId="21E2453E"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0087154C"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rPr>
        <w:t xml:space="preserve">Solutions, L. (no date) </w:t>
      </w:r>
      <w:r w:rsidRPr="00BB001E">
        <w:rPr>
          <w:rFonts w:asciiTheme="minorHAnsi" w:hAnsiTheme="minorHAnsi" w:cstheme="minorHAnsi"/>
          <w:bCs/>
          <w:i/>
          <w:iCs/>
        </w:rPr>
        <w:t>Languageline UK - Interpreting &amp; Translation Services</w:t>
      </w:r>
      <w:r w:rsidRPr="00BB001E">
        <w:rPr>
          <w:rFonts w:asciiTheme="minorHAnsi" w:hAnsiTheme="minorHAnsi" w:cstheme="minorHAnsi"/>
          <w:bCs/>
        </w:rPr>
        <w:t xml:space="preserve">, </w:t>
      </w:r>
      <w:r w:rsidRPr="00BB001E">
        <w:rPr>
          <w:rFonts w:asciiTheme="minorHAnsi" w:hAnsiTheme="minorHAnsi" w:cstheme="minorHAnsi"/>
          <w:bCs/>
          <w:i/>
          <w:iCs/>
        </w:rPr>
        <w:t>LanguageLine UK - Interpreting &amp; Translation Services</w:t>
      </w:r>
      <w:r w:rsidRPr="00BB001E">
        <w:rPr>
          <w:rFonts w:asciiTheme="minorHAnsi" w:hAnsiTheme="minorHAnsi" w:cstheme="minorHAnsi"/>
          <w:bCs/>
        </w:rPr>
        <w:t xml:space="preserve">. Available at: https://www.languageline.com/en-gb/ (Accessed: 11 November 2023). </w:t>
      </w:r>
    </w:p>
    <w:p w14:paraId="5948B9CF"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560D12B1"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lastRenderedPageBreak/>
        <w:t xml:space="preserve">Spooner, E &amp; Cooper, B (2023) </w:t>
      </w:r>
      <w:r w:rsidRPr="00996B1A">
        <w:rPr>
          <w:rFonts w:asciiTheme="minorHAnsi" w:hAnsiTheme="minorHAnsi" w:cstheme="minorHAnsi"/>
          <w:bCs/>
          <w:i/>
          <w:iCs/>
          <w:sz w:val="24"/>
          <w:szCs w:val="24"/>
        </w:rPr>
        <w:t>Dilemmas and decision making in policing</w:t>
      </w:r>
      <w:r w:rsidRPr="00BB001E">
        <w:rPr>
          <w:rFonts w:asciiTheme="minorHAnsi" w:hAnsiTheme="minorHAnsi" w:cstheme="minorHAnsi"/>
          <w:bCs/>
          <w:sz w:val="24"/>
          <w:szCs w:val="24"/>
        </w:rPr>
        <w:t xml:space="preserve">. Critical publishing Ltd. St Albans </w:t>
      </w:r>
    </w:p>
    <w:p w14:paraId="4E92E319"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741F04E7"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i/>
          <w:iCs/>
        </w:rPr>
        <w:t>The Human Rights Act</w:t>
      </w:r>
      <w:r w:rsidRPr="00BB001E">
        <w:rPr>
          <w:rFonts w:asciiTheme="minorHAnsi" w:hAnsiTheme="minorHAnsi" w:cstheme="minorHAnsi"/>
          <w:bCs/>
        </w:rPr>
        <w:t xml:space="preserve"> (no date) </w:t>
      </w:r>
      <w:r w:rsidRPr="00BB001E">
        <w:rPr>
          <w:rFonts w:asciiTheme="minorHAnsi" w:hAnsiTheme="minorHAnsi" w:cstheme="minorHAnsi"/>
          <w:bCs/>
          <w:i/>
          <w:iCs/>
        </w:rPr>
        <w:t>The Human Rights Act | EHRC</w:t>
      </w:r>
      <w:r w:rsidRPr="00BB001E">
        <w:rPr>
          <w:rFonts w:asciiTheme="minorHAnsi" w:hAnsiTheme="minorHAnsi" w:cstheme="minorHAnsi"/>
          <w:bCs/>
        </w:rPr>
        <w:t xml:space="preserve">. Available at: https://www.equalityhumanrights.com/human-rights/human-rights-act (Accessed: 11 November 2023). </w:t>
      </w:r>
    </w:p>
    <w:p w14:paraId="650C156A" w14:textId="77777777" w:rsidR="00996B1A"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1B9E7B52" w14:textId="77777777" w:rsidR="00996B1A" w:rsidRDefault="00996B1A" w:rsidP="00996B1A">
      <w:pPr>
        <w:pStyle w:val="NormalWeb"/>
        <w:rPr>
          <w:rFonts w:asciiTheme="minorHAnsi" w:hAnsiTheme="minorHAnsi" w:cstheme="minorHAnsi"/>
          <w:bCs/>
        </w:rPr>
      </w:pPr>
      <w:r>
        <w:rPr>
          <w:rFonts w:asciiTheme="minorHAnsi" w:hAnsiTheme="minorHAnsi" w:cstheme="minorHAnsi"/>
          <w:bCs/>
          <w:i/>
          <w:iCs/>
        </w:rPr>
        <w:t xml:space="preserve">The </w:t>
      </w:r>
      <w:r w:rsidRPr="00BB001E">
        <w:rPr>
          <w:rFonts w:asciiTheme="minorHAnsi" w:hAnsiTheme="minorHAnsi" w:cstheme="minorHAnsi"/>
          <w:bCs/>
          <w:i/>
          <w:iCs/>
        </w:rPr>
        <w:t>Victims’ code for policing</w:t>
      </w:r>
      <w:r w:rsidRPr="00BB001E">
        <w:rPr>
          <w:rFonts w:asciiTheme="minorHAnsi" w:hAnsiTheme="minorHAnsi" w:cstheme="minorHAnsi"/>
          <w:bCs/>
        </w:rPr>
        <w:t xml:space="preserve"> (no date) </w:t>
      </w:r>
      <w:r w:rsidRPr="00BB001E">
        <w:rPr>
          <w:rFonts w:asciiTheme="minorHAnsi" w:hAnsiTheme="minorHAnsi" w:cstheme="minorHAnsi"/>
          <w:bCs/>
          <w:i/>
          <w:iCs/>
        </w:rPr>
        <w:t>College of Policing</w:t>
      </w:r>
      <w:r w:rsidRPr="00BB001E">
        <w:rPr>
          <w:rFonts w:asciiTheme="minorHAnsi" w:hAnsiTheme="minorHAnsi" w:cstheme="minorHAnsi"/>
          <w:bCs/>
        </w:rPr>
        <w:t xml:space="preserve">. Available at: https://www.college.police.uk/guidance/victims-code/victims-rights-policing (Accessed: 11 November 2023). </w:t>
      </w:r>
    </w:p>
    <w:p w14:paraId="29EDBD46" w14:textId="77777777" w:rsidR="00996B1A" w:rsidRDefault="00996B1A" w:rsidP="00996B1A">
      <w:pPr>
        <w:pStyle w:val="NormalWeb"/>
        <w:ind w:left="567" w:hanging="567"/>
        <w:rPr>
          <w:rFonts w:asciiTheme="minorHAnsi" w:hAnsiTheme="minorHAnsi" w:cstheme="minorHAnsi"/>
          <w:bCs/>
        </w:rPr>
      </w:pPr>
    </w:p>
    <w:p w14:paraId="20830105" w14:textId="77777777" w:rsidR="00996B1A" w:rsidRPr="00BB001E" w:rsidRDefault="00996B1A" w:rsidP="00996B1A">
      <w:pPr>
        <w:pStyle w:val="NormalWeb"/>
        <w:ind w:left="567" w:hanging="567"/>
        <w:rPr>
          <w:rFonts w:asciiTheme="minorHAnsi" w:hAnsiTheme="minorHAnsi" w:cstheme="minorHAnsi"/>
          <w:bCs/>
        </w:rPr>
      </w:pPr>
      <w:r w:rsidRPr="00BB001E">
        <w:rPr>
          <w:rFonts w:asciiTheme="minorHAnsi" w:hAnsiTheme="minorHAnsi" w:cstheme="minorHAnsi"/>
          <w:bCs/>
          <w:i/>
          <w:iCs/>
        </w:rPr>
        <w:t>Victims’ code</w:t>
      </w:r>
      <w:r w:rsidRPr="00BB001E">
        <w:rPr>
          <w:rFonts w:asciiTheme="minorHAnsi" w:hAnsiTheme="minorHAnsi" w:cstheme="minorHAnsi"/>
          <w:bCs/>
        </w:rPr>
        <w:t xml:space="preserve"> (2022) </w:t>
      </w:r>
      <w:r w:rsidRPr="00BB001E">
        <w:rPr>
          <w:rFonts w:asciiTheme="minorHAnsi" w:hAnsiTheme="minorHAnsi" w:cstheme="minorHAnsi"/>
          <w:bCs/>
          <w:i/>
          <w:iCs/>
        </w:rPr>
        <w:t>Victim Support</w:t>
      </w:r>
      <w:r w:rsidRPr="00BB001E">
        <w:rPr>
          <w:rFonts w:asciiTheme="minorHAnsi" w:hAnsiTheme="minorHAnsi" w:cstheme="minorHAnsi"/>
          <w:bCs/>
        </w:rPr>
        <w:t xml:space="preserve">. Available at: https://www.victimsupport.org.uk/help-and-support/your-rights/victims-code/ (Accessed: 11 November 2023). </w:t>
      </w:r>
    </w:p>
    <w:p w14:paraId="5CCAE772"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p>
    <w:p w14:paraId="6F1DD6F4" w14:textId="77777777" w:rsidR="00996B1A" w:rsidRPr="00BB001E" w:rsidRDefault="00996B1A" w:rsidP="00996B1A">
      <w:pPr>
        <w:overflowPunct/>
        <w:autoSpaceDE/>
        <w:autoSpaceDN/>
        <w:adjustRightInd/>
        <w:spacing w:line="480" w:lineRule="auto"/>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Williams, B (2023) </w:t>
      </w:r>
      <w:r w:rsidRPr="00996B1A">
        <w:rPr>
          <w:rFonts w:asciiTheme="minorHAnsi" w:hAnsiTheme="minorHAnsi" w:cstheme="minorHAnsi"/>
          <w:bCs/>
          <w:i/>
          <w:iCs/>
          <w:sz w:val="24"/>
          <w:szCs w:val="24"/>
        </w:rPr>
        <w:t>Policing: Mental health, vulnerability and risk</w:t>
      </w:r>
      <w:r w:rsidRPr="00BB001E">
        <w:rPr>
          <w:rFonts w:asciiTheme="minorHAnsi" w:hAnsiTheme="minorHAnsi" w:cstheme="minorHAnsi"/>
          <w:bCs/>
          <w:sz w:val="24"/>
          <w:szCs w:val="24"/>
        </w:rPr>
        <w:t>. Critical publishing Ltd. St Albans</w:t>
      </w:r>
    </w:p>
    <w:p w14:paraId="66CC46F9" w14:textId="77777777" w:rsidR="00996B1A" w:rsidRPr="00BB001E" w:rsidRDefault="00996B1A" w:rsidP="00996B1A">
      <w:pPr>
        <w:overflowPunct/>
        <w:autoSpaceDE/>
        <w:autoSpaceDN/>
        <w:adjustRightInd/>
        <w:ind w:right="107"/>
        <w:textAlignment w:val="auto"/>
        <w:rPr>
          <w:rFonts w:asciiTheme="minorHAnsi" w:hAnsiTheme="minorHAnsi" w:cstheme="minorHAnsi"/>
          <w:bCs/>
          <w:sz w:val="24"/>
          <w:szCs w:val="24"/>
        </w:rPr>
      </w:pPr>
    </w:p>
    <w:p w14:paraId="45CBB3DF" w14:textId="77777777" w:rsidR="00996B1A" w:rsidRPr="00BB001E" w:rsidRDefault="00996B1A" w:rsidP="00996B1A">
      <w:pPr>
        <w:overflowPunct/>
        <w:autoSpaceDE/>
        <w:autoSpaceDN/>
        <w:adjustRightInd/>
        <w:ind w:right="107"/>
        <w:textAlignment w:val="auto"/>
        <w:rPr>
          <w:rFonts w:asciiTheme="minorHAnsi" w:hAnsiTheme="minorHAnsi" w:cstheme="minorHAnsi"/>
          <w:bCs/>
          <w:sz w:val="24"/>
          <w:szCs w:val="24"/>
        </w:rPr>
      </w:pPr>
      <w:r w:rsidRPr="00BB001E">
        <w:rPr>
          <w:rFonts w:asciiTheme="minorHAnsi" w:hAnsiTheme="minorHAnsi" w:cstheme="minorHAnsi"/>
          <w:bCs/>
          <w:sz w:val="24"/>
          <w:szCs w:val="24"/>
        </w:rPr>
        <w:t xml:space="preserve">Wood, D. Bradshaw, S. Dickens, T. Parker-Mcleod, J. Simpson, F. Weaver. G. (2023) </w:t>
      </w:r>
      <w:r w:rsidRPr="00996B1A">
        <w:rPr>
          <w:rFonts w:asciiTheme="minorHAnsi" w:hAnsiTheme="minorHAnsi" w:cstheme="minorHAnsi"/>
          <w:bCs/>
          <w:i/>
          <w:iCs/>
          <w:sz w:val="24"/>
          <w:szCs w:val="24"/>
        </w:rPr>
        <w:t>Blackstone’s handbook for policing students</w:t>
      </w:r>
      <w:r w:rsidRPr="00BB001E">
        <w:rPr>
          <w:rFonts w:asciiTheme="minorHAnsi" w:hAnsiTheme="minorHAnsi" w:cstheme="minorHAnsi"/>
          <w:bCs/>
          <w:sz w:val="24"/>
          <w:szCs w:val="24"/>
        </w:rPr>
        <w:t>. Seventeenth edn. Oxford University press. UK</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28CC35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A43548">
        <w:rPr>
          <w:rFonts w:eastAsia="Arial"/>
          <w:color w:val="000000" w:themeColor="text1"/>
          <w:sz w:val="24"/>
          <w:szCs w:val="24"/>
          <w:highlight w:val="yellow"/>
        </w:rPr>
        <w:t>Natalie Amaral-Richards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7FA854F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A43548">
        <w:rPr>
          <w:rFonts w:eastAsia="Arial"/>
          <w:color w:val="000000" w:themeColor="text1"/>
          <w:sz w:val="24"/>
          <w:szCs w:val="24"/>
          <w:highlight w:val="yellow"/>
        </w:rPr>
        <w:t>13.11.23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0C5A2" w14:textId="77777777" w:rsidR="00A720D9" w:rsidRDefault="00A720D9">
      <w:r>
        <w:separator/>
      </w:r>
    </w:p>
  </w:endnote>
  <w:endnote w:type="continuationSeparator" w:id="0">
    <w:p w14:paraId="73934189" w14:textId="77777777" w:rsidR="00A720D9" w:rsidRDefault="00A7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9DC08" w14:textId="77777777" w:rsidR="00A720D9" w:rsidRDefault="00A720D9">
      <w:r>
        <w:separator/>
      </w:r>
    </w:p>
  </w:footnote>
  <w:footnote w:type="continuationSeparator" w:id="0">
    <w:p w14:paraId="4FD1BAD5" w14:textId="77777777" w:rsidR="00A720D9" w:rsidRDefault="00A72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444764">
    <w:abstractNumId w:val="38"/>
  </w:num>
  <w:num w:numId="2" w16cid:durableId="464589702">
    <w:abstractNumId w:val="31"/>
  </w:num>
  <w:num w:numId="3" w16cid:durableId="1758020883">
    <w:abstractNumId w:val="23"/>
  </w:num>
  <w:num w:numId="4" w16cid:durableId="943808114">
    <w:abstractNumId w:val="1"/>
    <w:lvlOverride w:ilvl="0">
      <w:lvl w:ilvl="0">
        <w:start w:val="1"/>
        <w:numFmt w:val="bullet"/>
        <w:lvlText w:val=""/>
        <w:lvlJc w:val="left"/>
        <w:pPr>
          <w:ind w:left="720" w:hanging="360"/>
        </w:pPr>
        <w:rPr>
          <w:rFonts w:ascii="Symbol" w:hAnsi="Symbol" w:hint="default"/>
        </w:rPr>
      </w:lvl>
    </w:lvlOverride>
  </w:num>
  <w:num w:numId="5" w16cid:durableId="667516063">
    <w:abstractNumId w:val="21"/>
  </w:num>
  <w:num w:numId="6" w16cid:durableId="338697254">
    <w:abstractNumId w:val="45"/>
  </w:num>
  <w:num w:numId="7" w16cid:durableId="333653153">
    <w:abstractNumId w:val="47"/>
  </w:num>
  <w:num w:numId="8" w16cid:durableId="1456828015">
    <w:abstractNumId w:val="34"/>
  </w:num>
  <w:num w:numId="9" w16cid:durableId="896430330">
    <w:abstractNumId w:val="32"/>
  </w:num>
  <w:num w:numId="10" w16cid:durableId="1470853317">
    <w:abstractNumId w:val="28"/>
  </w:num>
  <w:num w:numId="11" w16cid:durableId="656303065">
    <w:abstractNumId w:val="29"/>
  </w:num>
  <w:num w:numId="12" w16cid:durableId="1117330983">
    <w:abstractNumId w:val="9"/>
  </w:num>
  <w:num w:numId="13" w16cid:durableId="1310209809">
    <w:abstractNumId w:val="33"/>
  </w:num>
  <w:num w:numId="14" w16cid:durableId="282425820">
    <w:abstractNumId w:val="16"/>
  </w:num>
  <w:num w:numId="15" w16cid:durableId="1632982381">
    <w:abstractNumId w:val="15"/>
  </w:num>
  <w:num w:numId="16" w16cid:durableId="1770856965">
    <w:abstractNumId w:val="26"/>
  </w:num>
  <w:num w:numId="17" w16cid:durableId="479269913">
    <w:abstractNumId w:val="7"/>
  </w:num>
  <w:num w:numId="18" w16cid:durableId="1110201463">
    <w:abstractNumId w:val="25"/>
  </w:num>
  <w:num w:numId="19" w16cid:durableId="1314872210">
    <w:abstractNumId w:val="14"/>
  </w:num>
  <w:num w:numId="20" w16cid:durableId="1200358422">
    <w:abstractNumId w:val="12"/>
  </w:num>
  <w:num w:numId="21" w16cid:durableId="10134047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4042630">
    <w:abstractNumId w:val="22"/>
  </w:num>
  <w:num w:numId="23" w16cid:durableId="10305648">
    <w:abstractNumId w:val="17"/>
  </w:num>
  <w:num w:numId="24" w16cid:durableId="997612984">
    <w:abstractNumId w:val="13"/>
  </w:num>
  <w:num w:numId="25" w16cid:durableId="180356949">
    <w:abstractNumId w:val="10"/>
  </w:num>
  <w:num w:numId="26" w16cid:durableId="928394614">
    <w:abstractNumId w:val="27"/>
  </w:num>
  <w:num w:numId="27" w16cid:durableId="83572708">
    <w:abstractNumId w:val="18"/>
  </w:num>
  <w:num w:numId="28" w16cid:durableId="1062679495">
    <w:abstractNumId w:val="41"/>
  </w:num>
  <w:num w:numId="29" w16cid:durableId="635183904">
    <w:abstractNumId w:val="35"/>
  </w:num>
  <w:num w:numId="30" w16cid:durableId="1969779214">
    <w:abstractNumId w:val="40"/>
  </w:num>
  <w:num w:numId="31" w16cid:durableId="1314066857">
    <w:abstractNumId w:val="19"/>
  </w:num>
  <w:num w:numId="32" w16cid:durableId="1292589508">
    <w:abstractNumId w:val="43"/>
  </w:num>
  <w:num w:numId="33" w16cid:durableId="2048721283">
    <w:abstractNumId w:val="30"/>
  </w:num>
  <w:num w:numId="34" w16cid:durableId="37320677">
    <w:abstractNumId w:val="11"/>
  </w:num>
  <w:num w:numId="35" w16cid:durableId="1002783750">
    <w:abstractNumId w:val="44"/>
  </w:num>
  <w:num w:numId="36" w16cid:durableId="2061245309">
    <w:abstractNumId w:val="39"/>
  </w:num>
  <w:num w:numId="37" w16cid:durableId="2140949423">
    <w:abstractNumId w:val="4"/>
  </w:num>
  <w:num w:numId="38" w16cid:durableId="1203322971">
    <w:abstractNumId w:val="46"/>
  </w:num>
  <w:num w:numId="39" w16cid:durableId="1602495694">
    <w:abstractNumId w:val="42"/>
  </w:num>
  <w:num w:numId="40" w16cid:durableId="636449151">
    <w:abstractNumId w:val="36"/>
  </w:num>
  <w:num w:numId="41" w16cid:durableId="1251700027">
    <w:abstractNumId w:val="37"/>
  </w:num>
  <w:num w:numId="42" w16cid:durableId="1133400012">
    <w:abstractNumId w:val="3"/>
  </w:num>
  <w:num w:numId="43" w16cid:durableId="939144309">
    <w:abstractNumId w:val="5"/>
  </w:num>
  <w:num w:numId="44" w16cid:durableId="938633921">
    <w:abstractNumId w:val="24"/>
  </w:num>
  <w:num w:numId="45" w16cid:durableId="1473402773">
    <w:abstractNumId w:val="6"/>
  </w:num>
  <w:num w:numId="46" w16cid:durableId="1091395450">
    <w:abstractNumId w:val="2"/>
  </w:num>
  <w:num w:numId="47" w16cid:durableId="415131425">
    <w:abstractNumId w:val="0"/>
  </w:num>
  <w:num w:numId="48" w16cid:durableId="636380025">
    <w:abstractNumId w:val="20"/>
  </w:num>
  <w:num w:numId="49" w16cid:durableId="88062731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69B2"/>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B4D0F"/>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451"/>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320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2D4F"/>
    <w:rsid w:val="004E44A4"/>
    <w:rsid w:val="004E7B8B"/>
    <w:rsid w:val="004E7BDD"/>
    <w:rsid w:val="004F1E21"/>
    <w:rsid w:val="004F740D"/>
    <w:rsid w:val="004F7B8F"/>
    <w:rsid w:val="00500748"/>
    <w:rsid w:val="005011D6"/>
    <w:rsid w:val="0050167A"/>
    <w:rsid w:val="005042F1"/>
    <w:rsid w:val="00504B92"/>
    <w:rsid w:val="00513C7D"/>
    <w:rsid w:val="00515A0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96B1A"/>
    <w:rsid w:val="009A5F3B"/>
    <w:rsid w:val="009B0B61"/>
    <w:rsid w:val="009B28C0"/>
    <w:rsid w:val="009B32A9"/>
    <w:rsid w:val="009B7136"/>
    <w:rsid w:val="009B7806"/>
    <w:rsid w:val="009C3AC2"/>
    <w:rsid w:val="009D25B4"/>
    <w:rsid w:val="009D4365"/>
    <w:rsid w:val="009D4E3B"/>
    <w:rsid w:val="009D63AF"/>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3548"/>
    <w:rsid w:val="00A470EE"/>
    <w:rsid w:val="00A47621"/>
    <w:rsid w:val="00A479CD"/>
    <w:rsid w:val="00A50CFC"/>
    <w:rsid w:val="00A54D67"/>
    <w:rsid w:val="00A55A3F"/>
    <w:rsid w:val="00A56410"/>
    <w:rsid w:val="00A652F6"/>
    <w:rsid w:val="00A720D9"/>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F34A2"/>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rsid w:val="004E2D4F"/>
    <w:pPr>
      <w:suppressAutoHyphens/>
      <w:overflowPunct w:val="0"/>
      <w:autoSpaceDE w:val="0"/>
      <w:autoSpaceDN w:val="0"/>
      <w:textAlignment w:val="baseline"/>
    </w:pPr>
    <w:rPr>
      <w:rFonts w:ascii="Arial" w:hAnsi="Arial" w:cs="Arial"/>
      <w:color w:val="000000"/>
      <w:lang w:eastAsia="en-GB"/>
    </w:rPr>
  </w:style>
  <w:style w:type="paragraph" w:styleId="NormalWeb">
    <w:name w:val="Normal (Web)"/>
    <w:basedOn w:val="Normal"/>
    <w:uiPriority w:val="99"/>
    <w:unhideWhenUsed/>
    <w:rsid w:val="00996B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8279</Words>
  <Characters>47195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natalie amaral</cp:lastModifiedBy>
  <cp:revision>2</cp:revision>
  <cp:lastPrinted>2019-08-13T11:47:00Z</cp:lastPrinted>
  <dcterms:created xsi:type="dcterms:W3CDTF">2023-11-13T21:37:00Z</dcterms:created>
  <dcterms:modified xsi:type="dcterms:W3CDTF">2023-11-13T21:37:00Z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