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0600F" w14:textId="77777777" w:rsidR="000B20B6" w:rsidRPr="000B20B6" w:rsidRDefault="000B20B6" w:rsidP="000B20B6">
      <w:pPr>
        <w:jc w:val="center"/>
        <w:rPr>
          <w:rFonts w:ascii="Arial" w:hAnsi="Arial" w:cs="Arial"/>
          <w:b/>
          <w:sz w:val="28"/>
          <w:szCs w:val="28"/>
        </w:rPr>
      </w:pPr>
      <w:bookmarkStart w:id="0" w:name="_heading=h.q04uaqy4oyqa" w:colFirst="0" w:colLast="0"/>
      <w:bookmarkEnd w:id="0"/>
    </w:p>
    <w:p w14:paraId="786201AD" w14:textId="77777777" w:rsidR="000B20B6" w:rsidRPr="000B20B6" w:rsidRDefault="000B20B6" w:rsidP="000B20B6">
      <w:pPr>
        <w:jc w:val="center"/>
        <w:rPr>
          <w:rFonts w:ascii="Arial" w:hAnsi="Arial" w:cs="Arial"/>
          <w:b/>
          <w:sz w:val="28"/>
          <w:szCs w:val="28"/>
        </w:rPr>
      </w:pPr>
    </w:p>
    <w:p w14:paraId="62E74F12" w14:textId="77777777" w:rsidR="000B20B6" w:rsidRPr="000B20B6" w:rsidRDefault="000B20B6" w:rsidP="000B20B6">
      <w:pPr>
        <w:jc w:val="center"/>
        <w:rPr>
          <w:rFonts w:ascii="Arial" w:hAnsi="Arial" w:cs="Arial"/>
          <w:b/>
          <w:sz w:val="28"/>
          <w:szCs w:val="28"/>
        </w:rPr>
      </w:pPr>
    </w:p>
    <w:p w14:paraId="5ED13DE1" w14:textId="77777777" w:rsidR="000B20B6" w:rsidRPr="000B20B6" w:rsidRDefault="000B20B6" w:rsidP="000B20B6">
      <w:pPr>
        <w:jc w:val="center"/>
        <w:rPr>
          <w:rFonts w:ascii="Arial" w:hAnsi="Arial" w:cs="Arial"/>
          <w:b/>
          <w:sz w:val="32"/>
          <w:szCs w:val="32"/>
        </w:rPr>
      </w:pPr>
      <w:r w:rsidRPr="000B20B6">
        <w:rPr>
          <w:rFonts w:ascii="Arial" w:hAnsi="Arial" w:cs="Arial"/>
          <w:b/>
          <w:noProof/>
          <w:sz w:val="32"/>
          <w:szCs w:val="32"/>
          <w:lang w:val="en-IN"/>
        </w:rPr>
        <w:drawing>
          <wp:inline distT="0" distB="0" distL="0" distR="0" wp14:anchorId="1D9F84C5" wp14:editId="0BB53297">
            <wp:extent cx="3109610" cy="1169670"/>
            <wp:effectExtent l="0" t="0" r="0" b="0"/>
            <wp:docPr id="312637448" name="Picture 31263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16613" cy="1172304"/>
                    </a:xfrm>
                    <a:prstGeom prst="rect">
                      <a:avLst/>
                    </a:prstGeom>
                  </pic:spPr>
                </pic:pic>
              </a:graphicData>
            </a:graphic>
          </wp:inline>
        </w:drawing>
      </w:r>
    </w:p>
    <w:p w14:paraId="1C3FC080" w14:textId="77777777" w:rsidR="000B20B6" w:rsidRPr="000B20B6" w:rsidRDefault="000B20B6" w:rsidP="000B20B6">
      <w:pPr>
        <w:jc w:val="center"/>
        <w:rPr>
          <w:rFonts w:ascii="Arial" w:hAnsi="Arial" w:cs="Arial"/>
          <w:b/>
          <w:sz w:val="32"/>
          <w:szCs w:val="32"/>
        </w:rPr>
      </w:pPr>
    </w:p>
    <w:p w14:paraId="54C8A738" w14:textId="77777777" w:rsidR="000B20B6" w:rsidRPr="000B20B6" w:rsidRDefault="000B20B6" w:rsidP="000B20B6">
      <w:pPr>
        <w:jc w:val="center"/>
        <w:rPr>
          <w:rFonts w:ascii="Arial" w:hAnsi="Arial" w:cs="Arial"/>
          <w:b/>
          <w:sz w:val="32"/>
          <w:szCs w:val="32"/>
        </w:rPr>
      </w:pPr>
      <w:r w:rsidRPr="000B20B6">
        <w:rPr>
          <w:rFonts w:ascii="Arial" w:hAnsi="Arial" w:cs="Arial"/>
          <w:b/>
          <w:sz w:val="32"/>
          <w:szCs w:val="32"/>
        </w:rPr>
        <w:t xml:space="preserve">Programme: </w:t>
      </w:r>
      <w:r w:rsidRPr="000B20B6">
        <w:rPr>
          <w:rFonts w:ascii="Arial" w:hAnsi="Arial" w:cs="Arial"/>
          <w:b/>
          <w:color w:val="000000"/>
          <w:sz w:val="32"/>
          <w:szCs w:val="32"/>
        </w:rPr>
        <w:t>Master of Business Administration</w:t>
      </w:r>
    </w:p>
    <w:p w14:paraId="30C3FC71" w14:textId="77777777" w:rsidR="000B20B6" w:rsidRPr="000B20B6" w:rsidRDefault="000B20B6" w:rsidP="000B20B6">
      <w:pPr>
        <w:jc w:val="center"/>
        <w:rPr>
          <w:rFonts w:ascii="Arial" w:hAnsi="Arial" w:cs="Arial"/>
          <w:b/>
          <w:sz w:val="32"/>
          <w:szCs w:val="32"/>
        </w:rPr>
      </w:pPr>
      <w:r w:rsidRPr="000B20B6">
        <w:rPr>
          <w:rFonts w:ascii="Arial" w:hAnsi="Arial" w:cs="Arial"/>
          <w:b/>
          <w:sz w:val="32"/>
          <w:szCs w:val="32"/>
        </w:rPr>
        <w:t>Module: Financial Management</w:t>
      </w:r>
    </w:p>
    <w:p w14:paraId="69B84082" w14:textId="77777777" w:rsidR="000B20B6" w:rsidRPr="000B20B6" w:rsidRDefault="000B20B6" w:rsidP="000B20B6">
      <w:pPr>
        <w:jc w:val="center"/>
        <w:rPr>
          <w:rFonts w:ascii="Arial" w:hAnsi="Arial" w:cs="Arial"/>
          <w:b/>
          <w:sz w:val="32"/>
          <w:szCs w:val="32"/>
        </w:rPr>
      </w:pPr>
      <w:r w:rsidRPr="000B20B6">
        <w:rPr>
          <w:rFonts w:ascii="Arial" w:hAnsi="Arial" w:cs="Arial"/>
          <w:b/>
          <w:sz w:val="32"/>
          <w:szCs w:val="32"/>
        </w:rPr>
        <w:t>Module Code: LCMB7002</w:t>
      </w:r>
    </w:p>
    <w:p w14:paraId="5C8FA3AD" w14:textId="77777777" w:rsidR="000B20B6" w:rsidRPr="000B20B6" w:rsidRDefault="000B20B6" w:rsidP="000B20B6">
      <w:pPr>
        <w:jc w:val="center"/>
        <w:rPr>
          <w:rFonts w:ascii="Arial" w:hAnsi="Arial" w:cs="Arial"/>
          <w:b/>
          <w:sz w:val="32"/>
          <w:szCs w:val="32"/>
        </w:rPr>
      </w:pPr>
      <w:r w:rsidRPr="000B20B6">
        <w:rPr>
          <w:rFonts w:ascii="Arial" w:hAnsi="Arial" w:cs="Arial"/>
          <w:b/>
          <w:sz w:val="32"/>
          <w:szCs w:val="32"/>
        </w:rPr>
        <w:t>Lecturer’s Name: Dr Patrick Yeboah</w:t>
      </w:r>
    </w:p>
    <w:p w14:paraId="0D8705A2" w14:textId="77777777" w:rsidR="000B20B6" w:rsidRPr="000B20B6" w:rsidRDefault="000B20B6" w:rsidP="000B20B6">
      <w:pPr>
        <w:spacing w:before="120" w:after="120" w:line="240" w:lineRule="auto"/>
        <w:jc w:val="center"/>
        <w:rPr>
          <w:rFonts w:ascii="Arial" w:hAnsi="Arial" w:cs="Arial"/>
          <w:b/>
          <w:color w:val="000000"/>
          <w:sz w:val="32"/>
          <w:szCs w:val="32"/>
          <w:lang w:val="en-IN"/>
        </w:rPr>
      </w:pPr>
      <w:r w:rsidRPr="000B20B6">
        <w:rPr>
          <w:rFonts w:ascii="Arial" w:hAnsi="Arial" w:cs="Arial"/>
          <w:b/>
          <w:color w:val="000000"/>
          <w:sz w:val="32"/>
          <w:szCs w:val="32"/>
          <w:lang w:val="en-IN"/>
        </w:rPr>
        <w:t>Topic: Financial performance and management</w:t>
      </w:r>
      <w:bookmarkStart w:id="1" w:name="_Toc214799675"/>
    </w:p>
    <w:p w14:paraId="0FEFCCE7" w14:textId="076EF890" w:rsidR="000B20B6" w:rsidRPr="000B20B6" w:rsidRDefault="000B20B6" w:rsidP="000B20B6">
      <w:pPr>
        <w:spacing w:before="120" w:after="120" w:line="240" w:lineRule="auto"/>
        <w:jc w:val="center"/>
        <w:rPr>
          <w:rFonts w:ascii="Arial" w:hAnsi="Arial" w:cs="Arial"/>
          <w:b/>
          <w:sz w:val="32"/>
          <w:szCs w:val="32"/>
        </w:rPr>
      </w:pPr>
      <w:r w:rsidRPr="000B20B6">
        <w:rPr>
          <w:rFonts w:ascii="Arial" w:hAnsi="Arial" w:cs="Arial"/>
          <w:b/>
          <w:sz w:val="32"/>
          <w:szCs w:val="32"/>
        </w:rPr>
        <w:t xml:space="preserve">Student Name: </w:t>
      </w:r>
      <w:bookmarkStart w:id="2" w:name="_Toc214799676"/>
      <w:bookmarkEnd w:id="1"/>
      <w:r w:rsidRPr="000B20B6">
        <w:rPr>
          <w:rFonts w:ascii="Arial" w:hAnsi="Arial" w:cs="Arial"/>
          <w:b/>
          <w:sz w:val="32"/>
          <w:szCs w:val="32"/>
        </w:rPr>
        <w:t xml:space="preserve">Raj </w:t>
      </w:r>
      <w:proofErr w:type="spellStart"/>
      <w:r w:rsidRPr="000B20B6">
        <w:rPr>
          <w:rFonts w:ascii="Arial" w:hAnsi="Arial" w:cs="Arial"/>
          <w:b/>
          <w:sz w:val="32"/>
          <w:szCs w:val="32"/>
        </w:rPr>
        <w:t>Nathabhai</w:t>
      </w:r>
      <w:proofErr w:type="spellEnd"/>
      <w:r w:rsidRPr="000B20B6">
        <w:rPr>
          <w:rFonts w:ascii="Arial" w:hAnsi="Arial" w:cs="Arial"/>
          <w:b/>
          <w:sz w:val="32"/>
          <w:szCs w:val="32"/>
        </w:rPr>
        <w:t xml:space="preserve"> Parmar</w:t>
      </w:r>
    </w:p>
    <w:p w14:paraId="7D948478" w14:textId="3A74B0F7" w:rsidR="000B20B6" w:rsidRPr="000B20B6" w:rsidRDefault="000B20B6" w:rsidP="000B20B6">
      <w:pPr>
        <w:spacing w:before="120" w:after="120" w:line="240" w:lineRule="auto"/>
        <w:jc w:val="center"/>
        <w:rPr>
          <w:rFonts w:ascii="Arial" w:hAnsi="Arial" w:cs="Arial"/>
          <w:b/>
          <w:sz w:val="32"/>
          <w:szCs w:val="32"/>
        </w:rPr>
      </w:pPr>
      <w:r w:rsidRPr="000B20B6">
        <w:rPr>
          <w:rFonts w:ascii="Arial" w:hAnsi="Arial" w:cs="Arial"/>
          <w:b/>
          <w:sz w:val="32"/>
          <w:szCs w:val="32"/>
        </w:rPr>
        <w:t>Student Code: 2</w:t>
      </w:r>
      <w:bookmarkEnd w:id="2"/>
      <w:r w:rsidRPr="000B20B6">
        <w:rPr>
          <w:rFonts w:ascii="Arial" w:hAnsi="Arial" w:cs="Arial"/>
          <w:b/>
          <w:sz w:val="32"/>
          <w:szCs w:val="32"/>
        </w:rPr>
        <w:t>507754</w:t>
      </w:r>
    </w:p>
    <w:p w14:paraId="45AAE588" w14:textId="77777777" w:rsidR="000B20B6" w:rsidRPr="000B20B6" w:rsidRDefault="000B20B6" w:rsidP="000B20B6">
      <w:pPr>
        <w:spacing w:before="120" w:after="120" w:line="240" w:lineRule="auto"/>
        <w:jc w:val="center"/>
        <w:rPr>
          <w:rFonts w:ascii="Arial" w:hAnsi="Arial" w:cs="Arial"/>
          <w:b/>
          <w:sz w:val="32"/>
          <w:szCs w:val="32"/>
        </w:rPr>
      </w:pPr>
      <w:r w:rsidRPr="000B20B6">
        <w:rPr>
          <w:rFonts w:ascii="Arial" w:hAnsi="Arial" w:cs="Arial"/>
          <w:b/>
          <w:sz w:val="32"/>
          <w:szCs w:val="32"/>
        </w:rPr>
        <w:t>Submission Date: 24</w:t>
      </w:r>
      <w:r w:rsidRPr="000B20B6">
        <w:rPr>
          <w:rFonts w:ascii="Arial" w:hAnsi="Arial" w:cs="Arial"/>
          <w:b/>
          <w:sz w:val="32"/>
          <w:szCs w:val="32"/>
          <w:vertAlign w:val="superscript"/>
        </w:rPr>
        <w:t>th</w:t>
      </w:r>
      <w:r w:rsidRPr="000B20B6">
        <w:rPr>
          <w:rFonts w:ascii="Arial" w:hAnsi="Arial" w:cs="Arial"/>
          <w:b/>
          <w:sz w:val="32"/>
          <w:szCs w:val="32"/>
        </w:rPr>
        <w:t xml:space="preserve"> November 2025, 2 PM</w:t>
      </w:r>
    </w:p>
    <w:p w14:paraId="6EFE5336" w14:textId="20CB6613" w:rsidR="002C3303" w:rsidRPr="000B20B6" w:rsidRDefault="000B20B6" w:rsidP="000B20B6">
      <w:pPr>
        <w:jc w:val="center"/>
        <w:rPr>
          <w:rFonts w:ascii="Arial" w:eastAsia="Times New Roman" w:hAnsi="Arial" w:cs="Arial"/>
          <w:b/>
          <w:bCs/>
          <w:sz w:val="28"/>
          <w:szCs w:val="32"/>
        </w:rPr>
      </w:pPr>
      <w:r w:rsidRPr="000B20B6">
        <w:rPr>
          <w:rFonts w:ascii="Arial" w:hAnsi="Arial" w:cs="Arial"/>
          <w:b/>
          <w:sz w:val="32"/>
          <w:szCs w:val="32"/>
        </w:rPr>
        <w:t>Word Count:</w:t>
      </w:r>
      <w:r w:rsidR="002C3303" w:rsidRPr="000B20B6">
        <w:rPr>
          <w:rFonts w:ascii="Arial" w:eastAsia="Times New Roman" w:hAnsi="Arial" w:cs="Arial"/>
          <w:b/>
          <w:bCs/>
        </w:rPr>
        <w:br w:type="page"/>
      </w:r>
    </w:p>
    <w:sdt>
      <w:sdtPr>
        <w:rPr>
          <w:rFonts w:ascii="Arial" w:eastAsiaTheme="minorHAnsi" w:hAnsi="Arial" w:cs="Arial"/>
          <w:color w:val="000000" w:themeColor="text1"/>
          <w:sz w:val="24"/>
          <w:szCs w:val="24"/>
        </w:rPr>
        <w:id w:val="386931768"/>
        <w:docPartObj>
          <w:docPartGallery w:val="Table of Contents"/>
          <w:docPartUnique/>
        </w:docPartObj>
      </w:sdtPr>
      <w:sdtEndPr>
        <w:rPr>
          <w:b/>
          <w:bCs/>
        </w:rPr>
      </w:sdtEndPr>
      <w:sdtContent>
        <w:p w14:paraId="2DCB41D1" w14:textId="77777777" w:rsidR="002C3303" w:rsidRPr="000B20B6" w:rsidRDefault="002C3303" w:rsidP="002C3303">
          <w:pPr>
            <w:pStyle w:val="TOCHeading"/>
            <w:spacing w:line="360" w:lineRule="auto"/>
            <w:jc w:val="center"/>
            <w:rPr>
              <w:rFonts w:ascii="Arial" w:hAnsi="Arial" w:cs="Arial"/>
              <w:b/>
              <w:bCs/>
              <w:color w:val="000000" w:themeColor="text1"/>
              <w:sz w:val="28"/>
              <w:szCs w:val="28"/>
            </w:rPr>
          </w:pPr>
          <w:r w:rsidRPr="000B20B6">
            <w:rPr>
              <w:rFonts w:ascii="Arial" w:hAnsi="Arial" w:cs="Arial"/>
              <w:b/>
              <w:bCs/>
              <w:color w:val="000000" w:themeColor="text1"/>
              <w:sz w:val="28"/>
              <w:szCs w:val="28"/>
            </w:rPr>
            <w:t>Table of Contents</w:t>
          </w:r>
        </w:p>
        <w:p w14:paraId="14CA8CA2" w14:textId="4C45F0BD" w:rsidR="007D7B64" w:rsidRDefault="002C3303">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r w:rsidRPr="000B20B6">
            <w:rPr>
              <w:rFonts w:ascii="Arial" w:hAnsi="Arial" w:cs="Arial"/>
              <w:szCs w:val="24"/>
            </w:rPr>
            <w:fldChar w:fldCharType="begin"/>
          </w:r>
          <w:r w:rsidRPr="000B20B6">
            <w:rPr>
              <w:rFonts w:ascii="Arial" w:hAnsi="Arial" w:cs="Arial"/>
              <w:szCs w:val="24"/>
            </w:rPr>
            <w:instrText xml:space="preserve"> TOC \o "1-3" \h \z \u </w:instrText>
          </w:r>
          <w:r w:rsidRPr="000B20B6">
            <w:rPr>
              <w:rFonts w:ascii="Arial" w:hAnsi="Arial" w:cs="Arial"/>
              <w:szCs w:val="24"/>
            </w:rPr>
            <w:fldChar w:fldCharType="separate"/>
          </w:r>
          <w:hyperlink w:anchor="_Toc214840854" w:history="1">
            <w:r w:rsidR="007D7B64" w:rsidRPr="00FD003B">
              <w:rPr>
                <w:rStyle w:val="Hyperlink"/>
                <w:rFonts w:ascii="Arial" w:eastAsia="Times New Roman" w:hAnsi="Arial" w:cs="Arial"/>
                <w:noProof/>
              </w:rPr>
              <w:t>1. Introduction</w:t>
            </w:r>
            <w:r w:rsidR="007D7B64">
              <w:rPr>
                <w:noProof/>
                <w:webHidden/>
              </w:rPr>
              <w:tab/>
            </w:r>
            <w:r w:rsidR="007D7B64">
              <w:rPr>
                <w:noProof/>
                <w:webHidden/>
              </w:rPr>
              <w:fldChar w:fldCharType="begin"/>
            </w:r>
            <w:r w:rsidR="007D7B64">
              <w:rPr>
                <w:noProof/>
                <w:webHidden/>
              </w:rPr>
              <w:instrText xml:space="preserve"> PAGEREF _Toc214840854 \h </w:instrText>
            </w:r>
            <w:r w:rsidR="007D7B64">
              <w:rPr>
                <w:noProof/>
                <w:webHidden/>
              </w:rPr>
            </w:r>
            <w:r w:rsidR="007D7B64">
              <w:rPr>
                <w:noProof/>
                <w:webHidden/>
              </w:rPr>
              <w:fldChar w:fldCharType="separate"/>
            </w:r>
            <w:r w:rsidR="007D7B64">
              <w:rPr>
                <w:noProof/>
                <w:webHidden/>
              </w:rPr>
              <w:t>4</w:t>
            </w:r>
            <w:r w:rsidR="007D7B64">
              <w:rPr>
                <w:noProof/>
                <w:webHidden/>
              </w:rPr>
              <w:fldChar w:fldCharType="end"/>
            </w:r>
          </w:hyperlink>
        </w:p>
        <w:p w14:paraId="3981CFF6" w14:textId="2A3AD1BC"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55" w:history="1">
            <w:r w:rsidRPr="00FD003B">
              <w:rPr>
                <w:rStyle w:val="Hyperlink"/>
                <w:rFonts w:ascii="Arial" w:eastAsia="Times New Roman" w:hAnsi="Arial" w:cs="Arial"/>
                <w:noProof/>
              </w:rPr>
              <w:t>2. Financial Health Check</w:t>
            </w:r>
            <w:r>
              <w:rPr>
                <w:noProof/>
                <w:webHidden/>
              </w:rPr>
              <w:tab/>
            </w:r>
            <w:r>
              <w:rPr>
                <w:noProof/>
                <w:webHidden/>
              </w:rPr>
              <w:fldChar w:fldCharType="begin"/>
            </w:r>
            <w:r>
              <w:rPr>
                <w:noProof/>
                <w:webHidden/>
              </w:rPr>
              <w:instrText xml:space="preserve"> PAGEREF _Toc214840855 \h </w:instrText>
            </w:r>
            <w:r>
              <w:rPr>
                <w:noProof/>
                <w:webHidden/>
              </w:rPr>
            </w:r>
            <w:r>
              <w:rPr>
                <w:noProof/>
                <w:webHidden/>
              </w:rPr>
              <w:fldChar w:fldCharType="separate"/>
            </w:r>
            <w:r>
              <w:rPr>
                <w:noProof/>
                <w:webHidden/>
              </w:rPr>
              <w:t>4</w:t>
            </w:r>
            <w:r>
              <w:rPr>
                <w:noProof/>
                <w:webHidden/>
              </w:rPr>
              <w:fldChar w:fldCharType="end"/>
            </w:r>
          </w:hyperlink>
        </w:p>
        <w:p w14:paraId="4413D12E" w14:textId="11169162"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56" w:history="1">
            <w:r w:rsidRPr="00FD003B">
              <w:rPr>
                <w:rStyle w:val="Hyperlink"/>
                <w:rFonts w:ascii="Arial" w:eastAsia="Times New Roman" w:hAnsi="Arial" w:cs="Arial"/>
                <w:noProof/>
              </w:rPr>
              <w:t>2.1 Overview of Financial Data</w:t>
            </w:r>
            <w:r>
              <w:rPr>
                <w:noProof/>
                <w:webHidden/>
              </w:rPr>
              <w:tab/>
            </w:r>
            <w:r>
              <w:rPr>
                <w:noProof/>
                <w:webHidden/>
              </w:rPr>
              <w:fldChar w:fldCharType="begin"/>
            </w:r>
            <w:r>
              <w:rPr>
                <w:noProof/>
                <w:webHidden/>
              </w:rPr>
              <w:instrText xml:space="preserve"> PAGEREF _Toc214840856 \h </w:instrText>
            </w:r>
            <w:r>
              <w:rPr>
                <w:noProof/>
                <w:webHidden/>
              </w:rPr>
            </w:r>
            <w:r>
              <w:rPr>
                <w:noProof/>
                <w:webHidden/>
              </w:rPr>
              <w:fldChar w:fldCharType="separate"/>
            </w:r>
            <w:r>
              <w:rPr>
                <w:noProof/>
                <w:webHidden/>
              </w:rPr>
              <w:t>4</w:t>
            </w:r>
            <w:r>
              <w:rPr>
                <w:noProof/>
                <w:webHidden/>
              </w:rPr>
              <w:fldChar w:fldCharType="end"/>
            </w:r>
          </w:hyperlink>
        </w:p>
        <w:p w14:paraId="474CB01F" w14:textId="4ACF5A87"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57" w:history="1">
            <w:r w:rsidRPr="00FD003B">
              <w:rPr>
                <w:rStyle w:val="Hyperlink"/>
                <w:rFonts w:ascii="Arial" w:eastAsia="Times New Roman" w:hAnsi="Arial" w:cs="Arial"/>
                <w:noProof/>
              </w:rPr>
              <w:t>2.2 Profitability Ratios</w:t>
            </w:r>
            <w:r>
              <w:rPr>
                <w:noProof/>
                <w:webHidden/>
              </w:rPr>
              <w:tab/>
            </w:r>
            <w:r>
              <w:rPr>
                <w:noProof/>
                <w:webHidden/>
              </w:rPr>
              <w:fldChar w:fldCharType="begin"/>
            </w:r>
            <w:r>
              <w:rPr>
                <w:noProof/>
                <w:webHidden/>
              </w:rPr>
              <w:instrText xml:space="preserve"> PAGEREF _Toc214840857 \h </w:instrText>
            </w:r>
            <w:r>
              <w:rPr>
                <w:noProof/>
                <w:webHidden/>
              </w:rPr>
            </w:r>
            <w:r>
              <w:rPr>
                <w:noProof/>
                <w:webHidden/>
              </w:rPr>
              <w:fldChar w:fldCharType="separate"/>
            </w:r>
            <w:r>
              <w:rPr>
                <w:noProof/>
                <w:webHidden/>
              </w:rPr>
              <w:t>5</w:t>
            </w:r>
            <w:r>
              <w:rPr>
                <w:noProof/>
                <w:webHidden/>
              </w:rPr>
              <w:fldChar w:fldCharType="end"/>
            </w:r>
          </w:hyperlink>
        </w:p>
        <w:p w14:paraId="640D6A01" w14:textId="57E63836"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58" w:history="1">
            <w:r w:rsidRPr="00FD003B">
              <w:rPr>
                <w:rStyle w:val="Hyperlink"/>
                <w:rFonts w:ascii="Arial" w:eastAsia="Times New Roman" w:hAnsi="Arial" w:cs="Arial"/>
                <w:noProof/>
              </w:rPr>
              <w:t>2.3 Liquidity Ratios</w:t>
            </w:r>
            <w:r>
              <w:rPr>
                <w:noProof/>
                <w:webHidden/>
              </w:rPr>
              <w:tab/>
            </w:r>
            <w:r>
              <w:rPr>
                <w:noProof/>
                <w:webHidden/>
              </w:rPr>
              <w:fldChar w:fldCharType="begin"/>
            </w:r>
            <w:r>
              <w:rPr>
                <w:noProof/>
                <w:webHidden/>
              </w:rPr>
              <w:instrText xml:space="preserve"> PAGEREF _Toc214840858 \h </w:instrText>
            </w:r>
            <w:r>
              <w:rPr>
                <w:noProof/>
                <w:webHidden/>
              </w:rPr>
            </w:r>
            <w:r>
              <w:rPr>
                <w:noProof/>
                <w:webHidden/>
              </w:rPr>
              <w:fldChar w:fldCharType="separate"/>
            </w:r>
            <w:r>
              <w:rPr>
                <w:noProof/>
                <w:webHidden/>
              </w:rPr>
              <w:t>7</w:t>
            </w:r>
            <w:r>
              <w:rPr>
                <w:noProof/>
                <w:webHidden/>
              </w:rPr>
              <w:fldChar w:fldCharType="end"/>
            </w:r>
          </w:hyperlink>
        </w:p>
        <w:p w14:paraId="71A892E9" w14:textId="52B926BB"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59" w:history="1">
            <w:r w:rsidRPr="00FD003B">
              <w:rPr>
                <w:rStyle w:val="Hyperlink"/>
                <w:rFonts w:ascii="Arial" w:eastAsia="Times New Roman" w:hAnsi="Arial" w:cs="Arial"/>
                <w:noProof/>
              </w:rPr>
              <w:t>2.4 Efficiency (Activity) Ratios</w:t>
            </w:r>
            <w:r>
              <w:rPr>
                <w:noProof/>
                <w:webHidden/>
              </w:rPr>
              <w:tab/>
            </w:r>
            <w:r>
              <w:rPr>
                <w:noProof/>
                <w:webHidden/>
              </w:rPr>
              <w:fldChar w:fldCharType="begin"/>
            </w:r>
            <w:r>
              <w:rPr>
                <w:noProof/>
                <w:webHidden/>
              </w:rPr>
              <w:instrText xml:space="preserve"> PAGEREF _Toc214840859 \h </w:instrText>
            </w:r>
            <w:r>
              <w:rPr>
                <w:noProof/>
                <w:webHidden/>
              </w:rPr>
            </w:r>
            <w:r>
              <w:rPr>
                <w:noProof/>
                <w:webHidden/>
              </w:rPr>
              <w:fldChar w:fldCharType="separate"/>
            </w:r>
            <w:r>
              <w:rPr>
                <w:noProof/>
                <w:webHidden/>
              </w:rPr>
              <w:t>9</w:t>
            </w:r>
            <w:r>
              <w:rPr>
                <w:noProof/>
                <w:webHidden/>
              </w:rPr>
              <w:fldChar w:fldCharType="end"/>
            </w:r>
          </w:hyperlink>
        </w:p>
        <w:p w14:paraId="6B18D9B8" w14:textId="0C7B4936"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0" w:history="1">
            <w:r w:rsidRPr="00FD003B">
              <w:rPr>
                <w:rStyle w:val="Hyperlink"/>
                <w:rFonts w:ascii="Arial" w:eastAsia="Times New Roman" w:hAnsi="Arial" w:cs="Arial"/>
                <w:noProof/>
              </w:rPr>
              <w:t>2.5 Gearing (Leverage) Ratios</w:t>
            </w:r>
            <w:r>
              <w:rPr>
                <w:noProof/>
                <w:webHidden/>
              </w:rPr>
              <w:tab/>
            </w:r>
            <w:r>
              <w:rPr>
                <w:noProof/>
                <w:webHidden/>
              </w:rPr>
              <w:fldChar w:fldCharType="begin"/>
            </w:r>
            <w:r>
              <w:rPr>
                <w:noProof/>
                <w:webHidden/>
              </w:rPr>
              <w:instrText xml:space="preserve"> PAGEREF _Toc214840860 \h </w:instrText>
            </w:r>
            <w:r>
              <w:rPr>
                <w:noProof/>
                <w:webHidden/>
              </w:rPr>
            </w:r>
            <w:r>
              <w:rPr>
                <w:noProof/>
                <w:webHidden/>
              </w:rPr>
              <w:fldChar w:fldCharType="separate"/>
            </w:r>
            <w:r>
              <w:rPr>
                <w:noProof/>
                <w:webHidden/>
              </w:rPr>
              <w:t>11</w:t>
            </w:r>
            <w:r>
              <w:rPr>
                <w:noProof/>
                <w:webHidden/>
              </w:rPr>
              <w:fldChar w:fldCharType="end"/>
            </w:r>
          </w:hyperlink>
        </w:p>
        <w:p w14:paraId="33656965" w14:textId="521247A3"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1" w:history="1">
            <w:r w:rsidRPr="00FD003B">
              <w:rPr>
                <w:rStyle w:val="Hyperlink"/>
                <w:rFonts w:ascii="Arial" w:eastAsia="Times New Roman" w:hAnsi="Arial" w:cs="Arial"/>
                <w:noProof/>
              </w:rPr>
              <w:t>2.6 Investment Ratios</w:t>
            </w:r>
            <w:r>
              <w:rPr>
                <w:noProof/>
                <w:webHidden/>
              </w:rPr>
              <w:tab/>
            </w:r>
            <w:r>
              <w:rPr>
                <w:noProof/>
                <w:webHidden/>
              </w:rPr>
              <w:fldChar w:fldCharType="begin"/>
            </w:r>
            <w:r>
              <w:rPr>
                <w:noProof/>
                <w:webHidden/>
              </w:rPr>
              <w:instrText xml:space="preserve"> PAGEREF _Toc214840861 \h </w:instrText>
            </w:r>
            <w:r>
              <w:rPr>
                <w:noProof/>
                <w:webHidden/>
              </w:rPr>
            </w:r>
            <w:r>
              <w:rPr>
                <w:noProof/>
                <w:webHidden/>
              </w:rPr>
              <w:fldChar w:fldCharType="separate"/>
            </w:r>
            <w:r>
              <w:rPr>
                <w:noProof/>
                <w:webHidden/>
              </w:rPr>
              <w:t>12</w:t>
            </w:r>
            <w:r>
              <w:rPr>
                <w:noProof/>
                <w:webHidden/>
              </w:rPr>
              <w:fldChar w:fldCharType="end"/>
            </w:r>
          </w:hyperlink>
        </w:p>
        <w:p w14:paraId="548923C7" w14:textId="6A49D957"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2" w:history="1">
            <w:r w:rsidRPr="00FD003B">
              <w:rPr>
                <w:rStyle w:val="Hyperlink"/>
                <w:rFonts w:ascii="Arial" w:eastAsia="Times New Roman" w:hAnsi="Arial" w:cs="Arial"/>
                <w:noProof/>
              </w:rPr>
              <w:t>2.7 Cash Flow Analysis</w:t>
            </w:r>
            <w:r>
              <w:rPr>
                <w:noProof/>
                <w:webHidden/>
              </w:rPr>
              <w:tab/>
            </w:r>
            <w:r>
              <w:rPr>
                <w:noProof/>
                <w:webHidden/>
              </w:rPr>
              <w:fldChar w:fldCharType="begin"/>
            </w:r>
            <w:r>
              <w:rPr>
                <w:noProof/>
                <w:webHidden/>
              </w:rPr>
              <w:instrText xml:space="preserve"> PAGEREF _Toc214840862 \h </w:instrText>
            </w:r>
            <w:r>
              <w:rPr>
                <w:noProof/>
                <w:webHidden/>
              </w:rPr>
            </w:r>
            <w:r>
              <w:rPr>
                <w:noProof/>
                <w:webHidden/>
              </w:rPr>
              <w:fldChar w:fldCharType="separate"/>
            </w:r>
            <w:r>
              <w:rPr>
                <w:noProof/>
                <w:webHidden/>
              </w:rPr>
              <w:t>13</w:t>
            </w:r>
            <w:r>
              <w:rPr>
                <w:noProof/>
                <w:webHidden/>
              </w:rPr>
              <w:fldChar w:fldCharType="end"/>
            </w:r>
          </w:hyperlink>
        </w:p>
        <w:p w14:paraId="2C2E6C33" w14:textId="2CA3F0DD"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3" w:history="1">
            <w:r w:rsidRPr="00FD003B">
              <w:rPr>
                <w:rStyle w:val="Hyperlink"/>
                <w:rFonts w:ascii="Arial" w:eastAsia="Times New Roman" w:hAnsi="Arial" w:cs="Arial"/>
                <w:noProof/>
              </w:rPr>
              <w:t>2.8 Corporate Failure Prediction</w:t>
            </w:r>
            <w:r>
              <w:rPr>
                <w:noProof/>
                <w:webHidden/>
              </w:rPr>
              <w:tab/>
            </w:r>
            <w:r>
              <w:rPr>
                <w:noProof/>
                <w:webHidden/>
              </w:rPr>
              <w:fldChar w:fldCharType="begin"/>
            </w:r>
            <w:r>
              <w:rPr>
                <w:noProof/>
                <w:webHidden/>
              </w:rPr>
              <w:instrText xml:space="preserve"> PAGEREF _Toc214840863 \h </w:instrText>
            </w:r>
            <w:r>
              <w:rPr>
                <w:noProof/>
                <w:webHidden/>
              </w:rPr>
            </w:r>
            <w:r>
              <w:rPr>
                <w:noProof/>
                <w:webHidden/>
              </w:rPr>
              <w:fldChar w:fldCharType="separate"/>
            </w:r>
            <w:r>
              <w:rPr>
                <w:noProof/>
                <w:webHidden/>
              </w:rPr>
              <w:t>13</w:t>
            </w:r>
            <w:r>
              <w:rPr>
                <w:noProof/>
                <w:webHidden/>
              </w:rPr>
              <w:fldChar w:fldCharType="end"/>
            </w:r>
          </w:hyperlink>
        </w:p>
        <w:p w14:paraId="0BF9B161" w14:textId="6DB95C21"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4" w:history="1">
            <w:r w:rsidRPr="00FD003B">
              <w:rPr>
                <w:rStyle w:val="Hyperlink"/>
                <w:rFonts w:ascii="Arial" w:eastAsia="Times New Roman" w:hAnsi="Arial" w:cs="Arial"/>
                <w:noProof/>
              </w:rPr>
              <w:t>2.9 Summary of Financial Health</w:t>
            </w:r>
            <w:r>
              <w:rPr>
                <w:noProof/>
                <w:webHidden/>
              </w:rPr>
              <w:tab/>
            </w:r>
            <w:r>
              <w:rPr>
                <w:noProof/>
                <w:webHidden/>
              </w:rPr>
              <w:fldChar w:fldCharType="begin"/>
            </w:r>
            <w:r>
              <w:rPr>
                <w:noProof/>
                <w:webHidden/>
              </w:rPr>
              <w:instrText xml:space="preserve"> PAGEREF _Toc214840864 \h </w:instrText>
            </w:r>
            <w:r>
              <w:rPr>
                <w:noProof/>
                <w:webHidden/>
              </w:rPr>
            </w:r>
            <w:r>
              <w:rPr>
                <w:noProof/>
                <w:webHidden/>
              </w:rPr>
              <w:fldChar w:fldCharType="separate"/>
            </w:r>
            <w:r>
              <w:rPr>
                <w:noProof/>
                <w:webHidden/>
              </w:rPr>
              <w:t>13</w:t>
            </w:r>
            <w:r>
              <w:rPr>
                <w:noProof/>
                <w:webHidden/>
              </w:rPr>
              <w:fldChar w:fldCharType="end"/>
            </w:r>
          </w:hyperlink>
        </w:p>
        <w:p w14:paraId="05168958" w14:textId="3B4E2E54"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5" w:history="1">
            <w:r w:rsidRPr="00FD003B">
              <w:rPr>
                <w:rStyle w:val="Hyperlink"/>
                <w:rFonts w:ascii="Arial" w:hAnsi="Arial" w:cs="Arial"/>
                <w:noProof/>
              </w:rPr>
              <w:t>3. Working Capital Management Analysis</w:t>
            </w:r>
            <w:r>
              <w:rPr>
                <w:noProof/>
                <w:webHidden/>
              </w:rPr>
              <w:tab/>
            </w:r>
            <w:r>
              <w:rPr>
                <w:noProof/>
                <w:webHidden/>
              </w:rPr>
              <w:fldChar w:fldCharType="begin"/>
            </w:r>
            <w:r>
              <w:rPr>
                <w:noProof/>
                <w:webHidden/>
              </w:rPr>
              <w:instrText xml:space="preserve"> PAGEREF _Toc214840865 \h </w:instrText>
            </w:r>
            <w:r>
              <w:rPr>
                <w:noProof/>
                <w:webHidden/>
              </w:rPr>
            </w:r>
            <w:r>
              <w:rPr>
                <w:noProof/>
                <w:webHidden/>
              </w:rPr>
              <w:fldChar w:fldCharType="separate"/>
            </w:r>
            <w:r>
              <w:rPr>
                <w:noProof/>
                <w:webHidden/>
              </w:rPr>
              <w:t>14</w:t>
            </w:r>
            <w:r>
              <w:rPr>
                <w:noProof/>
                <w:webHidden/>
              </w:rPr>
              <w:fldChar w:fldCharType="end"/>
            </w:r>
          </w:hyperlink>
        </w:p>
        <w:p w14:paraId="4C9FA3CC" w14:textId="52CF140F"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6" w:history="1">
            <w:r w:rsidRPr="00FD003B">
              <w:rPr>
                <w:rStyle w:val="Hyperlink"/>
                <w:rFonts w:ascii="Arial" w:hAnsi="Arial" w:cs="Arial"/>
                <w:noProof/>
              </w:rPr>
              <w:t>3.1 Cash Conversion Cycle</w:t>
            </w:r>
            <w:r>
              <w:rPr>
                <w:noProof/>
                <w:webHidden/>
              </w:rPr>
              <w:tab/>
            </w:r>
            <w:r>
              <w:rPr>
                <w:noProof/>
                <w:webHidden/>
              </w:rPr>
              <w:fldChar w:fldCharType="begin"/>
            </w:r>
            <w:r>
              <w:rPr>
                <w:noProof/>
                <w:webHidden/>
              </w:rPr>
              <w:instrText xml:space="preserve"> PAGEREF _Toc214840866 \h </w:instrText>
            </w:r>
            <w:r>
              <w:rPr>
                <w:noProof/>
                <w:webHidden/>
              </w:rPr>
            </w:r>
            <w:r>
              <w:rPr>
                <w:noProof/>
                <w:webHidden/>
              </w:rPr>
              <w:fldChar w:fldCharType="separate"/>
            </w:r>
            <w:r>
              <w:rPr>
                <w:noProof/>
                <w:webHidden/>
              </w:rPr>
              <w:t>14</w:t>
            </w:r>
            <w:r>
              <w:rPr>
                <w:noProof/>
                <w:webHidden/>
              </w:rPr>
              <w:fldChar w:fldCharType="end"/>
            </w:r>
          </w:hyperlink>
        </w:p>
        <w:p w14:paraId="235BB71B" w14:textId="01D81836"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7" w:history="1">
            <w:r w:rsidRPr="00FD003B">
              <w:rPr>
                <w:rStyle w:val="Hyperlink"/>
                <w:rFonts w:ascii="Arial" w:hAnsi="Arial" w:cs="Arial"/>
                <w:bCs/>
                <w:noProof/>
              </w:rPr>
              <w:t>3.2 Evaluation of Current Working Capital Policies</w:t>
            </w:r>
            <w:r>
              <w:rPr>
                <w:noProof/>
                <w:webHidden/>
              </w:rPr>
              <w:tab/>
            </w:r>
            <w:r>
              <w:rPr>
                <w:noProof/>
                <w:webHidden/>
              </w:rPr>
              <w:fldChar w:fldCharType="begin"/>
            </w:r>
            <w:r>
              <w:rPr>
                <w:noProof/>
                <w:webHidden/>
              </w:rPr>
              <w:instrText xml:space="preserve"> PAGEREF _Toc214840867 \h </w:instrText>
            </w:r>
            <w:r>
              <w:rPr>
                <w:noProof/>
                <w:webHidden/>
              </w:rPr>
            </w:r>
            <w:r>
              <w:rPr>
                <w:noProof/>
                <w:webHidden/>
              </w:rPr>
              <w:fldChar w:fldCharType="separate"/>
            </w:r>
            <w:r>
              <w:rPr>
                <w:noProof/>
                <w:webHidden/>
              </w:rPr>
              <w:t>15</w:t>
            </w:r>
            <w:r>
              <w:rPr>
                <w:noProof/>
                <w:webHidden/>
              </w:rPr>
              <w:fldChar w:fldCharType="end"/>
            </w:r>
          </w:hyperlink>
        </w:p>
        <w:p w14:paraId="108C532A" w14:textId="6BC70587"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8" w:history="1">
            <w:r w:rsidRPr="00FD003B">
              <w:rPr>
                <w:rStyle w:val="Hyperlink"/>
                <w:rFonts w:ascii="Arial" w:hAnsi="Arial" w:cs="Arial"/>
                <w:bCs/>
                <w:noProof/>
              </w:rPr>
              <w:t>3.3 Strategies to Improve Working Capital Efficiency</w:t>
            </w:r>
            <w:r>
              <w:rPr>
                <w:noProof/>
                <w:webHidden/>
              </w:rPr>
              <w:tab/>
            </w:r>
            <w:r>
              <w:rPr>
                <w:noProof/>
                <w:webHidden/>
              </w:rPr>
              <w:fldChar w:fldCharType="begin"/>
            </w:r>
            <w:r>
              <w:rPr>
                <w:noProof/>
                <w:webHidden/>
              </w:rPr>
              <w:instrText xml:space="preserve"> PAGEREF _Toc214840868 \h </w:instrText>
            </w:r>
            <w:r>
              <w:rPr>
                <w:noProof/>
                <w:webHidden/>
              </w:rPr>
            </w:r>
            <w:r>
              <w:rPr>
                <w:noProof/>
                <w:webHidden/>
              </w:rPr>
              <w:fldChar w:fldCharType="separate"/>
            </w:r>
            <w:r>
              <w:rPr>
                <w:noProof/>
                <w:webHidden/>
              </w:rPr>
              <w:t>15</w:t>
            </w:r>
            <w:r>
              <w:rPr>
                <w:noProof/>
                <w:webHidden/>
              </w:rPr>
              <w:fldChar w:fldCharType="end"/>
            </w:r>
          </w:hyperlink>
        </w:p>
        <w:p w14:paraId="725F2941" w14:textId="2E03FCE1"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69" w:history="1">
            <w:r w:rsidRPr="00FD003B">
              <w:rPr>
                <w:rStyle w:val="Hyperlink"/>
                <w:rFonts w:ascii="Arial" w:hAnsi="Arial" w:cs="Arial"/>
                <w:bCs/>
                <w:noProof/>
              </w:rPr>
              <w:t>3.4 Financing Options for Liquidity Management</w:t>
            </w:r>
            <w:r>
              <w:rPr>
                <w:noProof/>
                <w:webHidden/>
              </w:rPr>
              <w:tab/>
            </w:r>
            <w:r>
              <w:rPr>
                <w:noProof/>
                <w:webHidden/>
              </w:rPr>
              <w:fldChar w:fldCharType="begin"/>
            </w:r>
            <w:r>
              <w:rPr>
                <w:noProof/>
                <w:webHidden/>
              </w:rPr>
              <w:instrText xml:space="preserve"> PAGEREF _Toc214840869 \h </w:instrText>
            </w:r>
            <w:r>
              <w:rPr>
                <w:noProof/>
                <w:webHidden/>
              </w:rPr>
            </w:r>
            <w:r>
              <w:rPr>
                <w:noProof/>
                <w:webHidden/>
              </w:rPr>
              <w:fldChar w:fldCharType="separate"/>
            </w:r>
            <w:r>
              <w:rPr>
                <w:noProof/>
                <w:webHidden/>
              </w:rPr>
              <w:t>16</w:t>
            </w:r>
            <w:r>
              <w:rPr>
                <w:noProof/>
                <w:webHidden/>
              </w:rPr>
              <w:fldChar w:fldCharType="end"/>
            </w:r>
          </w:hyperlink>
        </w:p>
        <w:p w14:paraId="47BE88E4" w14:textId="7867C377"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0" w:history="1">
            <w:r w:rsidRPr="00FD003B">
              <w:rPr>
                <w:rStyle w:val="Hyperlink"/>
                <w:rFonts w:ascii="Arial" w:hAnsi="Arial" w:cs="Arial"/>
                <w:bCs/>
                <w:noProof/>
              </w:rPr>
              <w:t>3.5 Summary</w:t>
            </w:r>
            <w:r>
              <w:rPr>
                <w:noProof/>
                <w:webHidden/>
              </w:rPr>
              <w:tab/>
            </w:r>
            <w:r>
              <w:rPr>
                <w:noProof/>
                <w:webHidden/>
              </w:rPr>
              <w:fldChar w:fldCharType="begin"/>
            </w:r>
            <w:r>
              <w:rPr>
                <w:noProof/>
                <w:webHidden/>
              </w:rPr>
              <w:instrText xml:space="preserve"> PAGEREF _Toc214840870 \h </w:instrText>
            </w:r>
            <w:r>
              <w:rPr>
                <w:noProof/>
                <w:webHidden/>
              </w:rPr>
            </w:r>
            <w:r>
              <w:rPr>
                <w:noProof/>
                <w:webHidden/>
              </w:rPr>
              <w:fldChar w:fldCharType="separate"/>
            </w:r>
            <w:r>
              <w:rPr>
                <w:noProof/>
                <w:webHidden/>
              </w:rPr>
              <w:t>16</w:t>
            </w:r>
            <w:r>
              <w:rPr>
                <w:noProof/>
                <w:webHidden/>
              </w:rPr>
              <w:fldChar w:fldCharType="end"/>
            </w:r>
          </w:hyperlink>
        </w:p>
        <w:p w14:paraId="73966A6B" w14:textId="2724F51D"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1" w:history="1">
            <w:r w:rsidRPr="00FD003B">
              <w:rPr>
                <w:rStyle w:val="Hyperlink"/>
                <w:rFonts w:ascii="Arial" w:hAnsi="Arial" w:cs="Arial"/>
                <w:noProof/>
              </w:rPr>
              <w:t>4. Strategic Financial Restructuring Plan</w:t>
            </w:r>
            <w:r>
              <w:rPr>
                <w:noProof/>
                <w:webHidden/>
              </w:rPr>
              <w:tab/>
            </w:r>
            <w:r>
              <w:rPr>
                <w:noProof/>
                <w:webHidden/>
              </w:rPr>
              <w:fldChar w:fldCharType="begin"/>
            </w:r>
            <w:r>
              <w:rPr>
                <w:noProof/>
                <w:webHidden/>
              </w:rPr>
              <w:instrText xml:space="preserve"> PAGEREF _Toc214840871 \h </w:instrText>
            </w:r>
            <w:r>
              <w:rPr>
                <w:noProof/>
                <w:webHidden/>
              </w:rPr>
            </w:r>
            <w:r>
              <w:rPr>
                <w:noProof/>
                <w:webHidden/>
              </w:rPr>
              <w:fldChar w:fldCharType="separate"/>
            </w:r>
            <w:r>
              <w:rPr>
                <w:noProof/>
                <w:webHidden/>
              </w:rPr>
              <w:t>17</w:t>
            </w:r>
            <w:r>
              <w:rPr>
                <w:noProof/>
                <w:webHidden/>
              </w:rPr>
              <w:fldChar w:fldCharType="end"/>
            </w:r>
          </w:hyperlink>
        </w:p>
        <w:p w14:paraId="6C7D71AC" w14:textId="4CA06793"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2" w:history="1">
            <w:r w:rsidRPr="00FD003B">
              <w:rPr>
                <w:rStyle w:val="Hyperlink"/>
                <w:rFonts w:ascii="Arial" w:hAnsi="Arial" w:cs="Arial"/>
                <w:noProof/>
              </w:rPr>
              <w:t>4.1 Diagnosis of Financial Distress</w:t>
            </w:r>
            <w:r>
              <w:rPr>
                <w:noProof/>
                <w:webHidden/>
              </w:rPr>
              <w:tab/>
            </w:r>
            <w:r>
              <w:rPr>
                <w:noProof/>
                <w:webHidden/>
              </w:rPr>
              <w:fldChar w:fldCharType="begin"/>
            </w:r>
            <w:r>
              <w:rPr>
                <w:noProof/>
                <w:webHidden/>
              </w:rPr>
              <w:instrText xml:space="preserve"> PAGEREF _Toc214840872 \h </w:instrText>
            </w:r>
            <w:r>
              <w:rPr>
                <w:noProof/>
                <w:webHidden/>
              </w:rPr>
            </w:r>
            <w:r>
              <w:rPr>
                <w:noProof/>
                <w:webHidden/>
              </w:rPr>
              <w:fldChar w:fldCharType="separate"/>
            </w:r>
            <w:r>
              <w:rPr>
                <w:noProof/>
                <w:webHidden/>
              </w:rPr>
              <w:t>17</w:t>
            </w:r>
            <w:r>
              <w:rPr>
                <w:noProof/>
                <w:webHidden/>
              </w:rPr>
              <w:fldChar w:fldCharType="end"/>
            </w:r>
          </w:hyperlink>
        </w:p>
        <w:p w14:paraId="237EB56B" w14:textId="1304199F"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3" w:history="1">
            <w:r w:rsidRPr="00FD003B">
              <w:rPr>
                <w:rStyle w:val="Hyperlink"/>
                <w:rFonts w:ascii="Arial" w:hAnsi="Arial" w:cs="Arial"/>
                <w:bCs/>
                <w:noProof/>
              </w:rPr>
              <w:t>4.2 Restructuring Alternatives</w:t>
            </w:r>
            <w:r>
              <w:rPr>
                <w:noProof/>
                <w:webHidden/>
              </w:rPr>
              <w:tab/>
            </w:r>
            <w:r>
              <w:rPr>
                <w:noProof/>
                <w:webHidden/>
              </w:rPr>
              <w:fldChar w:fldCharType="begin"/>
            </w:r>
            <w:r>
              <w:rPr>
                <w:noProof/>
                <w:webHidden/>
              </w:rPr>
              <w:instrText xml:space="preserve"> PAGEREF _Toc214840873 \h </w:instrText>
            </w:r>
            <w:r>
              <w:rPr>
                <w:noProof/>
                <w:webHidden/>
              </w:rPr>
            </w:r>
            <w:r>
              <w:rPr>
                <w:noProof/>
                <w:webHidden/>
              </w:rPr>
              <w:fldChar w:fldCharType="separate"/>
            </w:r>
            <w:r>
              <w:rPr>
                <w:noProof/>
                <w:webHidden/>
              </w:rPr>
              <w:t>17</w:t>
            </w:r>
            <w:r>
              <w:rPr>
                <w:noProof/>
                <w:webHidden/>
              </w:rPr>
              <w:fldChar w:fldCharType="end"/>
            </w:r>
          </w:hyperlink>
        </w:p>
        <w:p w14:paraId="4F028CEE" w14:textId="000BB696"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4" w:history="1">
            <w:r w:rsidRPr="00FD003B">
              <w:rPr>
                <w:rStyle w:val="Hyperlink"/>
                <w:rFonts w:ascii="Arial" w:hAnsi="Arial" w:cs="Arial"/>
                <w:bCs/>
                <w:noProof/>
              </w:rPr>
              <w:t>4.3 Impact Evaluation</w:t>
            </w:r>
            <w:r>
              <w:rPr>
                <w:noProof/>
                <w:webHidden/>
              </w:rPr>
              <w:tab/>
            </w:r>
            <w:r>
              <w:rPr>
                <w:noProof/>
                <w:webHidden/>
              </w:rPr>
              <w:fldChar w:fldCharType="begin"/>
            </w:r>
            <w:r>
              <w:rPr>
                <w:noProof/>
                <w:webHidden/>
              </w:rPr>
              <w:instrText xml:space="preserve"> PAGEREF _Toc214840874 \h </w:instrText>
            </w:r>
            <w:r>
              <w:rPr>
                <w:noProof/>
                <w:webHidden/>
              </w:rPr>
            </w:r>
            <w:r>
              <w:rPr>
                <w:noProof/>
                <w:webHidden/>
              </w:rPr>
              <w:fldChar w:fldCharType="separate"/>
            </w:r>
            <w:r>
              <w:rPr>
                <w:noProof/>
                <w:webHidden/>
              </w:rPr>
              <w:t>19</w:t>
            </w:r>
            <w:r>
              <w:rPr>
                <w:noProof/>
                <w:webHidden/>
              </w:rPr>
              <w:fldChar w:fldCharType="end"/>
            </w:r>
          </w:hyperlink>
        </w:p>
        <w:p w14:paraId="2FE5761B" w14:textId="2629326F"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5" w:history="1">
            <w:r w:rsidRPr="00FD003B">
              <w:rPr>
                <w:rStyle w:val="Hyperlink"/>
                <w:rFonts w:ascii="Arial" w:hAnsi="Arial" w:cs="Arial"/>
                <w:bCs/>
                <w:noProof/>
              </w:rPr>
              <w:t>4.4 International and Ethical Considerations</w:t>
            </w:r>
            <w:r>
              <w:rPr>
                <w:noProof/>
                <w:webHidden/>
              </w:rPr>
              <w:tab/>
            </w:r>
            <w:r>
              <w:rPr>
                <w:noProof/>
                <w:webHidden/>
              </w:rPr>
              <w:fldChar w:fldCharType="begin"/>
            </w:r>
            <w:r>
              <w:rPr>
                <w:noProof/>
                <w:webHidden/>
              </w:rPr>
              <w:instrText xml:space="preserve"> PAGEREF _Toc214840875 \h </w:instrText>
            </w:r>
            <w:r>
              <w:rPr>
                <w:noProof/>
                <w:webHidden/>
              </w:rPr>
            </w:r>
            <w:r>
              <w:rPr>
                <w:noProof/>
                <w:webHidden/>
              </w:rPr>
              <w:fldChar w:fldCharType="separate"/>
            </w:r>
            <w:r>
              <w:rPr>
                <w:noProof/>
                <w:webHidden/>
              </w:rPr>
              <w:t>19</w:t>
            </w:r>
            <w:r>
              <w:rPr>
                <w:noProof/>
                <w:webHidden/>
              </w:rPr>
              <w:fldChar w:fldCharType="end"/>
            </w:r>
          </w:hyperlink>
        </w:p>
        <w:p w14:paraId="10F0B604" w14:textId="03764ACE"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6" w:history="1">
            <w:r w:rsidRPr="00FD003B">
              <w:rPr>
                <w:rStyle w:val="Hyperlink"/>
                <w:rFonts w:ascii="Arial" w:hAnsi="Arial" w:cs="Arial"/>
                <w:bCs/>
                <w:noProof/>
              </w:rPr>
              <w:t>4.5 Preferred Restructuring Strategy</w:t>
            </w:r>
            <w:r>
              <w:rPr>
                <w:noProof/>
                <w:webHidden/>
              </w:rPr>
              <w:tab/>
            </w:r>
            <w:r>
              <w:rPr>
                <w:noProof/>
                <w:webHidden/>
              </w:rPr>
              <w:fldChar w:fldCharType="begin"/>
            </w:r>
            <w:r>
              <w:rPr>
                <w:noProof/>
                <w:webHidden/>
              </w:rPr>
              <w:instrText xml:space="preserve"> PAGEREF _Toc214840876 \h </w:instrText>
            </w:r>
            <w:r>
              <w:rPr>
                <w:noProof/>
                <w:webHidden/>
              </w:rPr>
            </w:r>
            <w:r>
              <w:rPr>
                <w:noProof/>
                <w:webHidden/>
              </w:rPr>
              <w:fldChar w:fldCharType="separate"/>
            </w:r>
            <w:r>
              <w:rPr>
                <w:noProof/>
                <w:webHidden/>
              </w:rPr>
              <w:t>20</w:t>
            </w:r>
            <w:r>
              <w:rPr>
                <w:noProof/>
                <w:webHidden/>
              </w:rPr>
              <w:fldChar w:fldCharType="end"/>
            </w:r>
          </w:hyperlink>
        </w:p>
        <w:p w14:paraId="7D836083" w14:textId="336B9AA0"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7" w:history="1">
            <w:r w:rsidRPr="00FD003B">
              <w:rPr>
                <w:rStyle w:val="Hyperlink"/>
                <w:rFonts w:ascii="Arial" w:hAnsi="Arial" w:cs="Arial"/>
                <w:noProof/>
              </w:rPr>
              <w:t>5. Investment Appraisal and Capital Budgeting</w:t>
            </w:r>
            <w:r>
              <w:rPr>
                <w:noProof/>
                <w:webHidden/>
              </w:rPr>
              <w:tab/>
            </w:r>
            <w:r>
              <w:rPr>
                <w:noProof/>
                <w:webHidden/>
              </w:rPr>
              <w:fldChar w:fldCharType="begin"/>
            </w:r>
            <w:r>
              <w:rPr>
                <w:noProof/>
                <w:webHidden/>
              </w:rPr>
              <w:instrText xml:space="preserve"> PAGEREF _Toc214840877 \h </w:instrText>
            </w:r>
            <w:r>
              <w:rPr>
                <w:noProof/>
                <w:webHidden/>
              </w:rPr>
            </w:r>
            <w:r>
              <w:rPr>
                <w:noProof/>
                <w:webHidden/>
              </w:rPr>
              <w:fldChar w:fldCharType="separate"/>
            </w:r>
            <w:r>
              <w:rPr>
                <w:noProof/>
                <w:webHidden/>
              </w:rPr>
              <w:t>21</w:t>
            </w:r>
            <w:r>
              <w:rPr>
                <w:noProof/>
                <w:webHidden/>
              </w:rPr>
              <w:fldChar w:fldCharType="end"/>
            </w:r>
          </w:hyperlink>
        </w:p>
        <w:p w14:paraId="341A701C" w14:textId="2271C4AB"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8" w:history="1">
            <w:r w:rsidRPr="00FD003B">
              <w:rPr>
                <w:rStyle w:val="Hyperlink"/>
                <w:rFonts w:ascii="Arial" w:hAnsi="Arial" w:cs="Arial"/>
                <w:noProof/>
              </w:rPr>
              <w:t>5.1 Overview of Investment Decision Context</w:t>
            </w:r>
            <w:r>
              <w:rPr>
                <w:noProof/>
                <w:webHidden/>
              </w:rPr>
              <w:tab/>
            </w:r>
            <w:r>
              <w:rPr>
                <w:noProof/>
                <w:webHidden/>
              </w:rPr>
              <w:fldChar w:fldCharType="begin"/>
            </w:r>
            <w:r>
              <w:rPr>
                <w:noProof/>
                <w:webHidden/>
              </w:rPr>
              <w:instrText xml:space="preserve"> PAGEREF _Toc214840878 \h </w:instrText>
            </w:r>
            <w:r>
              <w:rPr>
                <w:noProof/>
                <w:webHidden/>
              </w:rPr>
            </w:r>
            <w:r>
              <w:rPr>
                <w:noProof/>
                <w:webHidden/>
              </w:rPr>
              <w:fldChar w:fldCharType="separate"/>
            </w:r>
            <w:r>
              <w:rPr>
                <w:noProof/>
                <w:webHidden/>
              </w:rPr>
              <w:t>21</w:t>
            </w:r>
            <w:r>
              <w:rPr>
                <w:noProof/>
                <w:webHidden/>
              </w:rPr>
              <w:fldChar w:fldCharType="end"/>
            </w:r>
          </w:hyperlink>
        </w:p>
        <w:p w14:paraId="754BB903" w14:textId="6E20C1F9"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79" w:history="1">
            <w:r w:rsidRPr="00FD003B">
              <w:rPr>
                <w:rStyle w:val="Hyperlink"/>
                <w:rFonts w:ascii="Arial" w:hAnsi="Arial" w:cs="Arial"/>
                <w:bCs/>
                <w:noProof/>
              </w:rPr>
              <w:t>5.2 Appraisal Techniques and Assumptions</w:t>
            </w:r>
            <w:r>
              <w:rPr>
                <w:noProof/>
                <w:webHidden/>
              </w:rPr>
              <w:tab/>
            </w:r>
            <w:r>
              <w:rPr>
                <w:noProof/>
                <w:webHidden/>
              </w:rPr>
              <w:fldChar w:fldCharType="begin"/>
            </w:r>
            <w:r>
              <w:rPr>
                <w:noProof/>
                <w:webHidden/>
              </w:rPr>
              <w:instrText xml:space="preserve"> PAGEREF _Toc214840879 \h </w:instrText>
            </w:r>
            <w:r>
              <w:rPr>
                <w:noProof/>
                <w:webHidden/>
              </w:rPr>
            </w:r>
            <w:r>
              <w:rPr>
                <w:noProof/>
                <w:webHidden/>
              </w:rPr>
              <w:fldChar w:fldCharType="separate"/>
            </w:r>
            <w:r>
              <w:rPr>
                <w:noProof/>
                <w:webHidden/>
              </w:rPr>
              <w:t>21</w:t>
            </w:r>
            <w:r>
              <w:rPr>
                <w:noProof/>
                <w:webHidden/>
              </w:rPr>
              <w:fldChar w:fldCharType="end"/>
            </w:r>
          </w:hyperlink>
        </w:p>
        <w:p w14:paraId="750595EF" w14:textId="1A28822F"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0" w:history="1">
            <w:r w:rsidRPr="00FD003B">
              <w:rPr>
                <w:rStyle w:val="Hyperlink"/>
                <w:rFonts w:ascii="Arial" w:hAnsi="Arial" w:cs="Arial"/>
                <w:noProof/>
              </w:rPr>
              <w:t xml:space="preserve">5.3 </w:t>
            </w:r>
            <w:r w:rsidRPr="00FD003B">
              <w:rPr>
                <w:rStyle w:val="Hyperlink"/>
                <w:rFonts w:ascii="Arial" w:hAnsi="Arial" w:cs="Arial"/>
                <w:bCs/>
                <w:noProof/>
              </w:rPr>
              <w:t>Computation of Investment Metrics</w:t>
            </w:r>
            <w:r>
              <w:rPr>
                <w:noProof/>
                <w:webHidden/>
              </w:rPr>
              <w:tab/>
            </w:r>
            <w:r>
              <w:rPr>
                <w:noProof/>
                <w:webHidden/>
              </w:rPr>
              <w:fldChar w:fldCharType="begin"/>
            </w:r>
            <w:r>
              <w:rPr>
                <w:noProof/>
                <w:webHidden/>
              </w:rPr>
              <w:instrText xml:space="preserve"> PAGEREF _Toc214840880 \h </w:instrText>
            </w:r>
            <w:r>
              <w:rPr>
                <w:noProof/>
                <w:webHidden/>
              </w:rPr>
            </w:r>
            <w:r>
              <w:rPr>
                <w:noProof/>
                <w:webHidden/>
              </w:rPr>
              <w:fldChar w:fldCharType="separate"/>
            </w:r>
            <w:r>
              <w:rPr>
                <w:noProof/>
                <w:webHidden/>
              </w:rPr>
              <w:t>22</w:t>
            </w:r>
            <w:r>
              <w:rPr>
                <w:noProof/>
                <w:webHidden/>
              </w:rPr>
              <w:fldChar w:fldCharType="end"/>
            </w:r>
          </w:hyperlink>
        </w:p>
        <w:p w14:paraId="7255D6C0" w14:textId="4ECB9096"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1" w:history="1">
            <w:r w:rsidRPr="00FD003B">
              <w:rPr>
                <w:rStyle w:val="Hyperlink"/>
                <w:rFonts w:ascii="Arial" w:hAnsi="Arial" w:cs="Arial"/>
                <w:bCs/>
                <w:noProof/>
              </w:rPr>
              <w:t>5.4 Interpretation of Results</w:t>
            </w:r>
            <w:r>
              <w:rPr>
                <w:noProof/>
                <w:webHidden/>
              </w:rPr>
              <w:tab/>
            </w:r>
            <w:r>
              <w:rPr>
                <w:noProof/>
                <w:webHidden/>
              </w:rPr>
              <w:fldChar w:fldCharType="begin"/>
            </w:r>
            <w:r>
              <w:rPr>
                <w:noProof/>
                <w:webHidden/>
              </w:rPr>
              <w:instrText xml:space="preserve"> PAGEREF _Toc214840881 \h </w:instrText>
            </w:r>
            <w:r>
              <w:rPr>
                <w:noProof/>
                <w:webHidden/>
              </w:rPr>
            </w:r>
            <w:r>
              <w:rPr>
                <w:noProof/>
                <w:webHidden/>
              </w:rPr>
              <w:fldChar w:fldCharType="separate"/>
            </w:r>
            <w:r>
              <w:rPr>
                <w:noProof/>
                <w:webHidden/>
              </w:rPr>
              <w:t>25</w:t>
            </w:r>
            <w:r>
              <w:rPr>
                <w:noProof/>
                <w:webHidden/>
              </w:rPr>
              <w:fldChar w:fldCharType="end"/>
            </w:r>
          </w:hyperlink>
        </w:p>
        <w:p w14:paraId="621C775D" w14:textId="4AE7756F"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2" w:history="1">
            <w:r w:rsidRPr="00FD003B">
              <w:rPr>
                <w:rStyle w:val="Hyperlink"/>
                <w:rFonts w:ascii="Arial" w:hAnsi="Arial" w:cs="Arial"/>
                <w:noProof/>
              </w:rPr>
              <w:t xml:space="preserve">5.5 </w:t>
            </w:r>
            <w:r w:rsidRPr="00FD003B">
              <w:rPr>
                <w:rStyle w:val="Hyperlink"/>
                <w:rFonts w:ascii="Arial" w:hAnsi="Arial" w:cs="Arial"/>
                <w:bCs/>
                <w:noProof/>
              </w:rPr>
              <w:t>Capital Rationing Decision</w:t>
            </w:r>
            <w:r>
              <w:rPr>
                <w:noProof/>
                <w:webHidden/>
              </w:rPr>
              <w:tab/>
            </w:r>
            <w:r>
              <w:rPr>
                <w:noProof/>
                <w:webHidden/>
              </w:rPr>
              <w:fldChar w:fldCharType="begin"/>
            </w:r>
            <w:r>
              <w:rPr>
                <w:noProof/>
                <w:webHidden/>
              </w:rPr>
              <w:instrText xml:space="preserve"> PAGEREF _Toc214840882 \h </w:instrText>
            </w:r>
            <w:r>
              <w:rPr>
                <w:noProof/>
                <w:webHidden/>
              </w:rPr>
            </w:r>
            <w:r>
              <w:rPr>
                <w:noProof/>
                <w:webHidden/>
              </w:rPr>
              <w:fldChar w:fldCharType="separate"/>
            </w:r>
            <w:r>
              <w:rPr>
                <w:noProof/>
                <w:webHidden/>
              </w:rPr>
              <w:t>26</w:t>
            </w:r>
            <w:r>
              <w:rPr>
                <w:noProof/>
                <w:webHidden/>
              </w:rPr>
              <w:fldChar w:fldCharType="end"/>
            </w:r>
          </w:hyperlink>
        </w:p>
        <w:p w14:paraId="791C0F1C" w14:textId="4F6A1BA8"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3" w:history="1">
            <w:r w:rsidRPr="00FD003B">
              <w:rPr>
                <w:rStyle w:val="Hyperlink"/>
                <w:rFonts w:ascii="Arial" w:hAnsi="Arial" w:cs="Arial"/>
                <w:bCs/>
                <w:noProof/>
              </w:rPr>
              <w:t>5.6 Risk Analysis and Sensitivity Review</w:t>
            </w:r>
            <w:r>
              <w:rPr>
                <w:noProof/>
                <w:webHidden/>
              </w:rPr>
              <w:tab/>
            </w:r>
            <w:r>
              <w:rPr>
                <w:noProof/>
                <w:webHidden/>
              </w:rPr>
              <w:fldChar w:fldCharType="begin"/>
            </w:r>
            <w:r>
              <w:rPr>
                <w:noProof/>
                <w:webHidden/>
              </w:rPr>
              <w:instrText xml:space="preserve"> PAGEREF _Toc214840883 \h </w:instrText>
            </w:r>
            <w:r>
              <w:rPr>
                <w:noProof/>
                <w:webHidden/>
              </w:rPr>
            </w:r>
            <w:r>
              <w:rPr>
                <w:noProof/>
                <w:webHidden/>
              </w:rPr>
              <w:fldChar w:fldCharType="separate"/>
            </w:r>
            <w:r>
              <w:rPr>
                <w:noProof/>
                <w:webHidden/>
              </w:rPr>
              <w:t>26</w:t>
            </w:r>
            <w:r>
              <w:rPr>
                <w:noProof/>
                <w:webHidden/>
              </w:rPr>
              <w:fldChar w:fldCharType="end"/>
            </w:r>
          </w:hyperlink>
        </w:p>
        <w:p w14:paraId="447CADB1" w14:textId="72545B5A" w:rsidR="007D7B64" w:rsidRDefault="007D7B64">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4" w:history="1">
            <w:r w:rsidRPr="00FD003B">
              <w:rPr>
                <w:rStyle w:val="Hyperlink"/>
                <w:rFonts w:ascii="Arial" w:hAnsi="Arial" w:cs="Arial"/>
                <w:bCs/>
                <w:noProof/>
              </w:rPr>
              <w:t>5.7 Final Recommendation</w:t>
            </w:r>
            <w:r>
              <w:rPr>
                <w:noProof/>
                <w:webHidden/>
              </w:rPr>
              <w:tab/>
            </w:r>
            <w:r>
              <w:rPr>
                <w:noProof/>
                <w:webHidden/>
              </w:rPr>
              <w:fldChar w:fldCharType="begin"/>
            </w:r>
            <w:r>
              <w:rPr>
                <w:noProof/>
                <w:webHidden/>
              </w:rPr>
              <w:instrText xml:space="preserve"> PAGEREF _Toc214840884 \h </w:instrText>
            </w:r>
            <w:r>
              <w:rPr>
                <w:noProof/>
                <w:webHidden/>
              </w:rPr>
            </w:r>
            <w:r>
              <w:rPr>
                <w:noProof/>
                <w:webHidden/>
              </w:rPr>
              <w:fldChar w:fldCharType="separate"/>
            </w:r>
            <w:r>
              <w:rPr>
                <w:noProof/>
                <w:webHidden/>
              </w:rPr>
              <w:t>27</w:t>
            </w:r>
            <w:r>
              <w:rPr>
                <w:noProof/>
                <w:webHidden/>
              </w:rPr>
              <w:fldChar w:fldCharType="end"/>
            </w:r>
          </w:hyperlink>
        </w:p>
        <w:p w14:paraId="7E203757" w14:textId="52F144AE"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5" w:history="1">
            <w:r w:rsidRPr="00FD003B">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_Toc214840885 \h </w:instrText>
            </w:r>
            <w:r>
              <w:rPr>
                <w:noProof/>
                <w:webHidden/>
              </w:rPr>
            </w:r>
            <w:r>
              <w:rPr>
                <w:noProof/>
                <w:webHidden/>
              </w:rPr>
              <w:fldChar w:fldCharType="separate"/>
            </w:r>
            <w:r>
              <w:rPr>
                <w:noProof/>
                <w:webHidden/>
              </w:rPr>
              <w:t>27</w:t>
            </w:r>
            <w:r>
              <w:rPr>
                <w:noProof/>
                <w:webHidden/>
              </w:rPr>
              <w:fldChar w:fldCharType="end"/>
            </w:r>
          </w:hyperlink>
        </w:p>
        <w:p w14:paraId="34F7EEDB" w14:textId="3AF1D6A9"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6" w:history="1">
            <w:r w:rsidRPr="00FD003B">
              <w:rPr>
                <w:rStyle w:val="Hyperlink"/>
                <w:rFonts w:ascii="Arial" w:hAnsi="Arial" w:cs="Arial"/>
                <w:noProof/>
              </w:rPr>
              <w:t>7. References</w:t>
            </w:r>
            <w:r>
              <w:rPr>
                <w:noProof/>
                <w:webHidden/>
              </w:rPr>
              <w:tab/>
            </w:r>
            <w:r>
              <w:rPr>
                <w:noProof/>
                <w:webHidden/>
              </w:rPr>
              <w:fldChar w:fldCharType="begin"/>
            </w:r>
            <w:r>
              <w:rPr>
                <w:noProof/>
                <w:webHidden/>
              </w:rPr>
              <w:instrText xml:space="preserve"> PAGEREF _Toc214840886 \h </w:instrText>
            </w:r>
            <w:r>
              <w:rPr>
                <w:noProof/>
                <w:webHidden/>
              </w:rPr>
            </w:r>
            <w:r>
              <w:rPr>
                <w:noProof/>
                <w:webHidden/>
              </w:rPr>
              <w:fldChar w:fldCharType="separate"/>
            </w:r>
            <w:r>
              <w:rPr>
                <w:noProof/>
                <w:webHidden/>
              </w:rPr>
              <w:t>29</w:t>
            </w:r>
            <w:r>
              <w:rPr>
                <w:noProof/>
                <w:webHidden/>
              </w:rPr>
              <w:fldChar w:fldCharType="end"/>
            </w:r>
          </w:hyperlink>
        </w:p>
        <w:p w14:paraId="269310EA" w14:textId="1FEB89B0" w:rsidR="007D7B64" w:rsidRDefault="007D7B64">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4840887" w:history="1">
            <w:r w:rsidRPr="00FD003B">
              <w:rPr>
                <w:rStyle w:val="Hyperlink"/>
                <w:rFonts w:ascii="Arial" w:hAnsi="Arial" w:cs="Arial"/>
                <w:noProof/>
              </w:rPr>
              <w:t>8. Appendix</w:t>
            </w:r>
            <w:r>
              <w:rPr>
                <w:noProof/>
                <w:webHidden/>
              </w:rPr>
              <w:tab/>
            </w:r>
            <w:r>
              <w:rPr>
                <w:noProof/>
                <w:webHidden/>
              </w:rPr>
              <w:fldChar w:fldCharType="begin"/>
            </w:r>
            <w:r>
              <w:rPr>
                <w:noProof/>
                <w:webHidden/>
              </w:rPr>
              <w:instrText xml:space="preserve"> PAGEREF _Toc214840887 \h </w:instrText>
            </w:r>
            <w:r>
              <w:rPr>
                <w:noProof/>
                <w:webHidden/>
              </w:rPr>
            </w:r>
            <w:r>
              <w:rPr>
                <w:noProof/>
                <w:webHidden/>
              </w:rPr>
              <w:fldChar w:fldCharType="separate"/>
            </w:r>
            <w:r>
              <w:rPr>
                <w:noProof/>
                <w:webHidden/>
              </w:rPr>
              <w:t>33</w:t>
            </w:r>
            <w:r>
              <w:rPr>
                <w:noProof/>
                <w:webHidden/>
              </w:rPr>
              <w:fldChar w:fldCharType="end"/>
            </w:r>
          </w:hyperlink>
        </w:p>
        <w:p w14:paraId="322056EC" w14:textId="72FCB42D" w:rsidR="002C3303" w:rsidRPr="000B20B6" w:rsidRDefault="002C3303" w:rsidP="002C3303">
          <w:pPr>
            <w:jc w:val="both"/>
            <w:rPr>
              <w:rFonts w:ascii="Arial" w:hAnsi="Arial" w:cs="Arial"/>
              <w:szCs w:val="24"/>
            </w:rPr>
          </w:pPr>
          <w:r w:rsidRPr="000B20B6">
            <w:rPr>
              <w:rFonts w:ascii="Arial" w:hAnsi="Arial" w:cs="Arial"/>
              <w:b/>
              <w:bCs/>
              <w:szCs w:val="24"/>
            </w:rPr>
            <w:fldChar w:fldCharType="end"/>
          </w:r>
        </w:p>
      </w:sdtContent>
    </w:sdt>
    <w:p w14:paraId="1DB36A30" w14:textId="77777777" w:rsidR="002C3303" w:rsidRPr="000B20B6" w:rsidRDefault="002C3303" w:rsidP="002C3303">
      <w:pPr>
        <w:spacing w:line="259" w:lineRule="auto"/>
        <w:rPr>
          <w:rFonts w:ascii="Arial" w:eastAsia="Times New Roman" w:hAnsi="Arial" w:cs="Arial"/>
          <w:b/>
          <w:sz w:val="28"/>
          <w:szCs w:val="32"/>
        </w:rPr>
      </w:pPr>
      <w:r w:rsidRPr="000B20B6">
        <w:rPr>
          <w:rFonts w:ascii="Arial" w:eastAsia="Times New Roman" w:hAnsi="Arial" w:cs="Arial"/>
        </w:rPr>
        <w:br w:type="page"/>
      </w:r>
    </w:p>
    <w:p w14:paraId="06FD6DBC" w14:textId="77777777" w:rsidR="002C3303" w:rsidRPr="000B20B6" w:rsidRDefault="002C3303" w:rsidP="002C3303">
      <w:pPr>
        <w:pStyle w:val="Heading1"/>
        <w:rPr>
          <w:rFonts w:ascii="Arial" w:eastAsia="Times New Roman" w:hAnsi="Arial" w:cs="Arial"/>
        </w:rPr>
      </w:pPr>
      <w:bookmarkStart w:id="3" w:name="_Toc214840854"/>
      <w:r w:rsidRPr="000B20B6">
        <w:rPr>
          <w:rFonts w:ascii="Arial" w:eastAsia="Times New Roman" w:hAnsi="Arial" w:cs="Arial"/>
        </w:rPr>
        <w:lastRenderedPageBreak/>
        <w:t>1. Introduction</w:t>
      </w:r>
      <w:bookmarkEnd w:id="3"/>
      <w:r w:rsidRPr="000B20B6">
        <w:rPr>
          <w:rFonts w:ascii="Arial" w:eastAsia="Times New Roman" w:hAnsi="Arial" w:cs="Arial"/>
        </w:rPr>
        <w:t xml:space="preserve"> </w:t>
      </w:r>
    </w:p>
    <w:p w14:paraId="40EFB0E7" w14:textId="53B9CC4B"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General Electronics is a multinational company that produces consumer electronics, and the financial depreciation of which has been extremely high in the last five years. </w:t>
      </w:r>
      <w:r w:rsidR="0071261B" w:rsidRPr="000B20B6">
        <w:rPr>
          <w:rFonts w:ascii="Arial" w:hAnsi="Arial" w:cs="Arial"/>
          <w:color w:val="000000" w:themeColor="text1"/>
        </w:rPr>
        <w:t>Net sales were reduced to £394,879 million in 2024 from £614,680 million in 2020 which is a 36% reduction. However, there was a swing from a net income of £38,572 million profit to a net income of £24,029 million loss. Shareholders’ equity decreased from £313,301 million to £153,105 million, reflecting loss of value and investor confidence</w:t>
      </w:r>
      <w:r w:rsidRPr="000B20B6">
        <w:rPr>
          <w:rFonts w:ascii="Arial" w:hAnsi="Arial" w:cs="Arial"/>
          <w:color w:val="000000" w:themeColor="text1"/>
        </w:rPr>
        <w:t xml:space="preserve">. This shrinkage may be associated with operational inefficiency, </w:t>
      </w:r>
      <w:proofErr w:type="spellStart"/>
      <w:r w:rsidRPr="000B20B6">
        <w:rPr>
          <w:rFonts w:ascii="Arial" w:hAnsi="Arial" w:cs="Arial"/>
          <w:color w:val="000000" w:themeColor="text1"/>
        </w:rPr>
        <w:t>costiness</w:t>
      </w:r>
      <w:proofErr w:type="spellEnd"/>
      <w:r w:rsidRPr="000B20B6">
        <w:rPr>
          <w:rFonts w:ascii="Arial" w:hAnsi="Arial" w:cs="Arial"/>
          <w:color w:val="000000" w:themeColor="text1"/>
        </w:rPr>
        <w:t>, or structural surplus.</w:t>
      </w:r>
    </w:p>
    <w:p w14:paraId="466268CE" w14:textId="77777777"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To that effect, a new Chief Financial Officer has been hired to stabilise liquidity, redesign capital, and reclaim long-term profitability. The report evaluates the financial position of this company based on ratios and cash flows to evaluate the company financial position, working capital efficiency and sets a strategic restructuring plan based on divestitures, debt management and probable mergers. Lastly, investment appraisal is the process of making capital allocation decisions among three projects through PBP, ARR, NPV, PI, and IRR. Collectively, these reviews present evidence-driven recommendations to recover sustainably and rebuild shareholder value.</w:t>
      </w:r>
    </w:p>
    <w:p w14:paraId="499283E7" w14:textId="77777777" w:rsidR="00AE1ED7" w:rsidRPr="000B20B6" w:rsidRDefault="00AE1ED7" w:rsidP="00903432">
      <w:pPr>
        <w:pStyle w:val="Heading1"/>
        <w:rPr>
          <w:rFonts w:ascii="Arial" w:eastAsia="Times New Roman" w:hAnsi="Arial" w:cs="Arial"/>
        </w:rPr>
      </w:pPr>
      <w:bookmarkStart w:id="4" w:name="_Toc214840855"/>
      <w:r w:rsidRPr="000B20B6">
        <w:rPr>
          <w:rFonts w:ascii="Arial" w:eastAsia="Times New Roman" w:hAnsi="Arial" w:cs="Arial"/>
        </w:rPr>
        <w:t>2. Financial Health Check</w:t>
      </w:r>
      <w:bookmarkEnd w:id="4"/>
      <w:r w:rsidRPr="000B20B6">
        <w:rPr>
          <w:rFonts w:ascii="Arial" w:eastAsia="Times New Roman" w:hAnsi="Arial" w:cs="Arial"/>
        </w:rPr>
        <w:t xml:space="preserve"> </w:t>
      </w:r>
    </w:p>
    <w:p w14:paraId="14DAFE20" w14:textId="77777777" w:rsidR="00AE1ED7" w:rsidRPr="000B20B6" w:rsidRDefault="00AE1ED7" w:rsidP="00687C42">
      <w:pPr>
        <w:pStyle w:val="Heading2"/>
        <w:rPr>
          <w:rFonts w:ascii="Arial" w:eastAsia="Times New Roman" w:hAnsi="Arial" w:cs="Arial"/>
        </w:rPr>
      </w:pPr>
      <w:bookmarkStart w:id="5" w:name="_Toc214840856"/>
      <w:r w:rsidRPr="000B20B6">
        <w:rPr>
          <w:rFonts w:ascii="Arial" w:eastAsia="Times New Roman" w:hAnsi="Arial" w:cs="Arial"/>
        </w:rPr>
        <w:t>2.1 Overview of Financial Data</w:t>
      </w:r>
      <w:bookmarkEnd w:id="5"/>
      <w:r w:rsidRPr="000B20B6">
        <w:rPr>
          <w:rFonts w:ascii="Arial" w:eastAsia="Times New Roman" w:hAnsi="Arial" w:cs="Arial"/>
        </w:rPr>
        <w:t xml:space="preserve"> </w:t>
      </w:r>
    </w:p>
    <w:p w14:paraId="623B353A" w14:textId="1767585C"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General Electronics 2020-2024 financial statements show slow deterioration of performance. </w:t>
      </w:r>
      <w:r w:rsidR="00310967" w:rsidRPr="000B20B6">
        <w:rPr>
          <w:rFonts w:ascii="Arial" w:hAnsi="Arial" w:cs="Arial"/>
          <w:color w:val="000000" w:themeColor="text1"/>
        </w:rPr>
        <w:t>The revenue has significantly decreased from £614,680 million in 2020 to £394,879 million in 2024, which is a reduction of approximately 36%. The organization recorded a net profit of £38,572 million in the year 2020 but it started incurring net losses worth £24,029 million in the year 2024. Likewise, shareholders’ equity declining from £313,301 million to £153,105 million depicts a fall of about 51%. Even with substantial asset sales, total assets reduced over the year from £510,290 million in 2020 to £323,354 million eyeing 2024. Thus, there was a decline of 37%</w:t>
      </w:r>
      <w:r w:rsidRPr="000B20B6">
        <w:rPr>
          <w:rFonts w:ascii="Arial" w:hAnsi="Arial" w:cs="Arial"/>
          <w:color w:val="000000" w:themeColor="text1"/>
        </w:rPr>
        <w:t xml:space="preserve">. The general tendency is not only lower profitability but also serious dilution of the capital structure. This negative trend </w:t>
      </w:r>
      <w:r w:rsidRPr="000B20B6">
        <w:rPr>
          <w:rFonts w:ascii="Arial" w:hAnsi="Arial" w:cs="Arial"/>
          <w:color w:val="000000" w:themeColor="text1"/>
        </w:rPr>
        <w:lastRenderedPageBreak/>
        <w:t>indicates a decline in demand, productivity and investor confidence in a highly competitive market (Harrigan and Wing, 2021).</w:t>
      </w:r>
    </w:p>
    <w:p w14:paraId="0C8555E2" w14:textId="77777777" w:rsidR="0002730D" w:rsidRPr="000B20B6" w:rsidRDefault="0002730D" w:rsidP="00687C42">
      <w:pPr>
        <w:pStyle w:val="Heading2"/>
        <w:rPr>
          <w:rFonts w:ascii="Arial" w:eastAsia="Times New Roman" w:hAnsi="Arial" w:cs="Arial"/>
        </w:rPr>
      </w:pPr>
      <w:bookmarkStart w:id="6" w:name="_Toc214840857"/>
      <w:r w:rsidRPr="000B20B6">
        <w:rPr>
          <w:rFonts w:ascii="Arial" w:eastAsia="Times New Roman" w:hAnsi="Arial" w:cs="Arial"/>
        </w:rPr>
        <w:t>2.2 Profitability Ratios</w:t>
      </w:r>
      <w:bookmarkEnd w:id="6"/>
      <w:r w:rsidRPr="000B20B6">
        <w:rPr>
          <w:rFonts w:ascii="Arial" w:eastAsia="Times New Roman" w:hAnsi="Arial" w:cs="Arial"/>
        </w:rPr>
        <w:t xml:space="preserve"> </w:t>
      </w:r>
    </w:p>
    <w:p w14:paraId="37A6CF82" w14:textId="77777777" w:rsidR="00374F62" w:rsidRPr="000B20B6" w:rsidRDefault="00374F62" w:rsidP="00374F62">
      <w:pPr>
        <w:rPr>
          <w:rFonts w:ascii="Arial" w:hAnsi="Arial" w:cs="Arial"/>
          <w:b/>
          <w:bCs/>
          <w:i/>
          <w:iCs/>
          <w:szCs w:val="27"/>
        </w:rPr>
      </w:pPr>
      <w:bookmarkStart w:id="7" w:name="_Hlk213841867"/>
      <w:r w:rsidRPr="000B20B6">
        <w:rPr>
          <w:rFonts w:ascii="Arial" w:hAnsi="Arial" w:cs="Arial"/>
          <w:b/>
          <w:bCs/>
          <w:i/>
          <w:iCs/>
        </w:rPr>
        <w:t>Gross Margin (GM)</w:t>
      </w:r>
    </w:p>
    <w:p w14:paraId="15737A6E" w14:textId="77777777" w:rsidR="00374F62" w:rsidRPr="000B20B6" w:rsidRDefault="00374F62" w:rsidP="00374F62">
      <w:pPr>
        <w:rPr>
          <w:rFonts w:ascii="Arial" w:hAnsi="Arial" w:cs="Arial"/>
        </w:rPr>
      </w:pPr>
      <m:oMathPara>
        <m:oMath>
          <m:r>
            <m:rPr>
              <m:nor/>
            </m:rPr>
            <w:rPr>
              <w:rFonts w:ascii="Arial" w:hAnsi="Arial" w:cs="Arial"/>
            </w:rPr>
            <m:t>Gross Margin</m:t>
          </m:r>
          <m:r>
            <w:rPr>
              <w:rFonts w:ascii="Cambria Math" w:hAnsi="Cambria Math" w:cs="Arial"/>
            </w:rPr>
            <m:t>=</m:t>
          </m:r>
          <m:f>
            <m:fPr>
              <m:ctrlPr>
                <w:rPr>
                  <w:rFonts w:ascii="Cambria Math" w:hAnsi="Cambria Math" w:cs="Arial"/>
                </w:rPr>
              </m:ctrlPr>
            </m:fPr>
            <m:num>
              <m:r>
                <m:rPr>
                  <m:nor/>
                </m:rPr>
                <w:rPr>
                  <w:rFonts w:ascii="Arial" w:hAnsi="Arial" w:cs="Arial"/>
                </w:rPr>
                <m:t>Gross Profit</m:t>
              </m:r>
            </m:num>
            <m:den>
              <m:r>
                <m:rPr>
                  <m:nor/>
                </m:rPr>
                <w:rPr>
                  <w:rFonts w:ascii="Arial" w:hAnsi="Arial" w:cs="Arial"/>
                </w:rPr>
                <m:t>Net Sales</m:t>
              </m:r>
            </m:den>
          </m:f>
          <m:r>
            <w:rPr>
              <w:rFonts w:ascii="Cambria Math" w:hAnsi="Cambria Math" w:cs="Arial"/>
            </w:rPr>
            <m:t>×100</m:t>
          </m:r>
          <m:r>
            <m:rPr>
              <m:sty m:val="p"/>
            </m:rPr>
            <w:rPr>
              <w:rFonts w:ascii="Cambria Math" w:hAnsi="Cambria Math" w:cs="Arial"/>
            </w:rPr>
            <w:br/>
          </m:r>
        </m:oMath>
      </m:oMathPara>
    </w:p>
    <w:tbl>
      <w:tblPr>
        <w:tblStyle w:val="PlainTable3"/>
        <w:tblW w:w="0" w:type="auto"/>
        <w:jc w:val="center"/>
        <w:tblLook w:val="04A0" w:firstRow="1" w:lastRow="0" w:firstColumn="1" w:lastColumn="0" w:noHBand="0" w:noVBand="1"/>
      </w:tblPr>
      <w:tblGrid>
        <w:gridCol w:w="870"/>
        <w:gridCol w:w="2590"/>
        <w:gridCol w:w="2097"/>
        <w:gridCol w:w="1043"/>
      </w:tblGrid>
      <w:tr w:rsidR="00211F75" w:rsidRPr="000B20B6" w14:paraId="651D9783" w14:textId="77777777" w:rsidTr="00FD0A3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A2C9D63" w14:textId="77777777" w:rsidR="00374F62" w:rsidRPr="000B20B6" w:rsidRDefault="00374F62">
            <w:pPr>
              <w:jc w:val="center"/>
              <w:rPr>
                <w:rFonts w:ascii="Arial" w:hAnsi="Arial" w:cs="Arial"/>
              </w:rPr>
            </w:pPr>
            <w:r w:rsidRPr="000B20B6">
              <w:rPr>
                <w:rFonts w:ascii="Arial" w:hAnsi="Arial" w:cs="Arial"/>
                <w:b w:val="0"/>
                <w:bCs w:val="0"/>
              </w:rPr>
              <w:t>Year</w:t>
            </w:r>
          </w:p>
        </w:tc>
        <w:tc>
          <w:tcPr>
            <w:tcW w:w="0" w:type="auto"/>
            <w:hideMark/>
          </w:tcPr>
          <w:p w14:paraId="6C9EA71E" w14:textId="77777777" w:rsidR="00374F62" w:rsidRPr="000B20B6" w:rsidRDefault="00374F6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0B20B6">
              <w:rPr>
                <w:rFonts w:ascii="Arial" w:hAnsi="Arial" w:cs="Arial"/>
                <w:b w:val="0"/>
                <w:bCs w:val="0"/>
              </w:rPr>
              <w:t>Gross Profit (£m)</w:t>
            </w:r>
          </w:p>
        </w:tc>
        <w:tc>
          <w:tcPr>
            <w:tcW w:w="0" w:type="auto"/>
            <w:hideMark/>
          </w:tcPr>
          <w:p w14:paraId="1D7E2708" w14:textId="77777777" w:rsidR="00374F62" w:rsidRPr="000B20B6" w:rsidRDefault="00374F6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0B20B6">
              <w:rPr>
                <w:rFonts w:ascii="Arial" w:hAnsi="Arial" w:cs="Arial"/>
                <w:b w:val="0"/>
                <w:bCs w:val="0"/>
              </w:rPr>
              <w:t>Net Sales (£m)</w:t>
            </w:r>
          </w:p>
        </w:tc>
        <w:tc>
          <w:tcPr>
            <w:tcW w:w="0" w:type="auto"/>
            <w:hideMark/>
          </w:tcPr>
          <w:p w14:paraId="0BAC1E93" w14:textId="77777777" w:rsidR="00374F62" w:rsidRPr="000B20B6" w:rsidRDefault="00374F6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0B20B6">
              <w:rPr>
                <w:rFonts w:ascii="Arial" w:hAnsi="Arial" w:cs="Arial"/>
                <w:b w:val="0"/>
                <w:bCs w:val="0"/>
              </w:rPr>
              <w:t>GM (%)</w:t>
            </w:r>
          </w:p>
        </w:tc>
      </w:tr>
      <w:tr w:rsidR="00211F75" w:rsidRPr="000B20B6" w14:paraId="5BEE7626" w14:textId="77777777" w:rsidTr="00FD0A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4A5994" w14:textId="77777777" w:rsidR="00374F62" w:rsidRPr="000B20B6" w:rsidRDefault="00374F62">
            <w:pPr>
              <w:rPr>
                <w:rFonts w:ascii="Arial" w:hAnsi="Arial" w:cs="Arial"/>
                <w:b w:val="0"/>
                <w:bCs w:val="0"/>
              </w:rPr>
            </w:pPr>
            <w:r w:rsidRPr="000B20B6">
              <w:rPr>
                <w:rFonts w:ascii="Arial" w:hAnsi="Arial" w:cs="Arial"/>
              </w:rPr>
              <w:t>2020</w:t>
            </w:r>
          </w:p>
        </w:tc>
        <w:tc>
          <w:tcPr>
            <w:tcW w:w="0" w:type="auto"/>
            <w:hideMark/>
          </w:tcPr>
          <w:p w14:paraId="2E5B4634"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176,256</w:t>
            </w:r>
          </w:p>
        </w:tc>
        <w:tc>
          <w:tcPr>
            <w:tcW w:w="0" w:type="auto"/>
            <w:hideMark/>
          </w:tcPr>
          <w:p w14:paraId="7EA0FEA5"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614,680</w:t>
            </w:r>
          </w:p>
        </w:tc>
        <w:tc>
          <w:tcPr>
            <w:tcW w:w="0" w:type="auto"/>
            <w:hideMark/>
          </w:tcPr>
          <w:p w14:paraId="01560445"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304.30</w:t>
            </w:r>
          </w:p>
        </w:tc>
      </w:tr>
      <w:tr w:rsidR="00211F75" w:rsidRPr="000B20B6" w14:paraId="3770B910" w14:textId="77777777" w:rsidTr="00FD0A3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77AA7" w14:textId="77777777" w:rsidR="00374F62" w:rsidRPr="000B20B6" w:rsidRDefault="00374F62">
            <w:pPr>
              <w:rPr>
                <w:rFonts w:ascii="Arial" w:hAnsi="Arial" w:cs="Arial"/>
              </w:rPr>
            </w:pPr>
            <w:r w:rsidRPr="000B20B6">
              <w:rPr>
                <w:rFonts w:ascii="Arial" w:hAnsi="Arial" w:cs="Arial"/>
              </w:rPr>
              <w:t>2021</w:t>
            </w:r>
          </w:p>
        </w:tc>
        <w:tc>
          <w:tcPr>
            <w:tcW w:w="0" w:type="auto"/>
            <w:hideMark/>
          </w:tcPr>
          <w:p w14:paraId="79693EB8"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173,016</w:t>
            </w:r>
          </w:p>
        </w:tc>
        <w:tc>
          <w:tcPr>
            <w:tcW w:w="0" w:type="auto"/>
            <w:hideMark/>
          </w:tcPr>
          <w:p w14:paraId="559801D1"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601,602</w:t>
            </w:r>
          </w:p>
        </w:tc>
        <w:tc>
          <w:tcPr>
            <w:tcW w:w="0" w:type="auto"/>
            <w:hideMark/>
          </w:tcPr>
          <w:p w14:paraId="438A9B33"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297.68</w:t>
            </w:r>
          </w:p>
        </w:tc>
      </w:tr>
      <w:tr w:rsidR="00211F75" w:rsidRPr="000B20B6" w14:paraId="33CDFD09" w14:textId="77777777" w:rsidTr="00FD0A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7863DD" w14:textId="77777777" w:rsidR="00374F62" w:rsidRPr="000B20B6" w:rsidRDefault="00374F62">
            <w:pPr>
              <w:rPr>
                <w:rFonts w:ascii="Arial" w:hAnsi="Arial" w:cs="Arial"/>
              </w:rPr>
            </w:pPr>
            <w:r w:rsidRPr="000B20B6">
              <w:rPr>
                <w:rFonts w:ascii="Arial" w:hAnsi="Arial" w:cs="Arial"/>
              </w:rPr>
              <w:t>2022</w:t>
            </w:r>
          </w:p>
        </w:tc>
        <w:tc>
          <w:tcPr>
            <w:tcW w:w="0" w:type="auto"/>
            <w:hideMark/>
          </w:tcPr>
          <w:p w14:paraId="779C194E"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152,292</w:t>
            </w:r>
          </w:p>
        </w:tc>
        <w:tc>
          <w:tcPr>
            <w:tcW w:w="0" w:type="auto"/>
            <w:hideMark/>
          </w:tcPr>
          <w:p w14:paraId="3A83C7A3"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542,751</w:t>
            </w:r>
          </w:p>
        </w:tc>
        <w:tc>
          <w:tcPr>
            <w:tcW w:w="0" w:type="auto"/>
            <w:hideMark/>
          </w:tcPr>
          <w:p w14:paraId="6C8E8D42"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268.42</w:t>
            </w:r>
          </w:p>
        </w:tc>
      </w:tr>
      <w:tr w:rsidR="00211F75" w:rsidRPr="000B20B6" w14:paraId="6F7B8C93" w14:textId="77777777" w:rsidTr="00FD0A3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711705" w14:textId="77777777" w:rsidR="00374F62" w:rsidRPr="000B20B6" w:rsidRDefault="00374F62">
            <w:pPr>
              <w:rPr>
                <w:rFonts w:ascii="Arial" w:hAnsi="Arial" w:cs="Arial"/>
              </w:rPr>
            </w:pPr>
            <w:r w:rsidRPr="000B20B6">
              <w:rPr>
                <w:rFonts w:ascii="Arial" w:hAnsi="Arial" w:cs="Arial"/>
              </w:rPr>
              <w:t>2023</w:t>
            </w:r>
          </w:p>
        </w:tc>
        <w:tc>
          <w:tcPr>
            <w:tcW w:w="0" w:type="auto"/>
            <w:hideMark/>
          </w:tcPr>
          <w:p w14:paraId="0D8CB8A4"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97,560</w:t>
            </w:r>
          </w:p>
        </w:tc>
        <w:tc>
          <w:tcPr>
            <w:tcW w:w="0" w:type="auto"/>
            <w:hideMark/>
          </w:tcPr>
          <w:p w14:paraId="6A942A4B"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420,457</w:t>
            </w:r>
          </w:p>
        </w:tc>
        <w:tc>
          <w:tcPr>
            <w:tcW w:w="0" w:type="auto"/>
            <w:hideMark/>
          </w:tcPr>
          <w:p w14:paraId="512765DC" w14:textId="77777777" w:rsidR="00374F62" w:rsidRPr="000B20B6" w:rsidRDefault="00374F62">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207.84</w:t>
            </w:r>
          </w:p>
        </w:tc>
      </w:tr>
      <w:tr w:rsidR="00211F75" w:rsidRPr="000B20B6" w14:paraId="282C2E5F" w14:textId="77777777" w:rsidTr="00FD0A3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CCD391" w14:textId="77777777" w:rsidR="00374F62" w:rsidRPr="000B20B6" w:rsidRDefault="00374F62">
            <w:pPr>
              <w:rPr>
                <w:rFonts w:ascii="Arial" w:hAnsi="Arial" w:cs="Arial"/>
              </w:rPr>
            </w:pPr>
            <w:r w:rsidRPr="000B20B6">
              <w:rPr>
                <w:rFonts w:ascii="Arial" w:hAnsi="Arial" w:cs="Arial"/>
              </w:rPr>
              <w:t>2024</w:t>
            </w:r>
          </w:p>
        </w:tc>
        <w:tc>
          <w:tcPr>
            <w:tcW w:w="0" w:type="auto"/>
            <w:hideMark/>
          </w:tcPr>
          <w:p w14:paraId="59DD5EBB"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113,994</w:t>
            </w:r>
          </w:p>
        </w:tc>
        <w:tc>
          <w:tcPr>
            <w:tcW w:w="0" w:type="auto"/>
            <w:hideMark/>
          </w:tcPr>
          <w:p w14:paraId="1C880BEB"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394,879</w:t>
            </w:r>
          </w:p>
        </w:tc>
        <w:tc>
          <w:tcPr>
            <w:tcW w:w="0" w:type="auto"/>
            <w:hideMark/>
          </w:tcPr>
          <w:p w14:paraId="2A3E0400" w14:textId="77777777" w:rsidR="00374F62" w:rsidRPr="000B20B6" w:rsidRDefault="00374F62">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195.10</w:t>
            </w:r>
          </w:p>
        </w:tc>
      </w:tr>
    </w:tbl>
    <w:p w14:paraId="5236DDD8" w14:textId="0F3F52FF" w:rsidR="00374F62" w:rsidRPr="000B20B6" w:rsidRDefault="00374F62" w:rsidP="00374F62">
      <w:pPr>
        <w:pStyle w:val="NormalWeb"/>
        <w:spacing w:line="360" w:lineRule="auto"/>
        <w:jc w:val="both"/>
        <w:rPr>
          <w:rFonts w:ascii="Arial" w:hAnsi="Arial" w:cs="Arial"/>
          <w:color w:val="000000" w:themeColor="text1"/>
        </w:rPr>
      </w:pPr>
      <w:r w:rsidRPr="000B20B6">
        <w:rPr>
          <w:rStyle w:val="Strong"/>
          <w:rFonts w:ascii="Arial" w:hAnsi="Arial" w:cs="Arial"/>
          <w:i/>
          <w:i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The gross margin has been falling over the years as production costs are high and sales are weak. The 2024 value of 195.1% shows that cost control is still weak, and core operations profitability has eroded</w:t>
      </w:r>
      <w:r w:rsidR="002E7C03" w:rsidRPr="000B20B6">
        <w:rPr>
          <w:rFonts w:ascii="Arial" w:hAnsi="Arial" w:cs="Arial"/>
          <w:color w:val="000000" w:themeColor="text1"/>
        </w:rPr>
        <w:t>.</w:t>
      </w:r>
    </w:p>
    <w:bookmarkEnd w:id="7"/>
    <w:p w14:paraId="74CCE885" w14:textId="63B0E662" w:rsidR="00265957" w:rsidRPr="000B20B6" w:rsidRDefault="00547F50" w:rsidP="00E310B1">
      <w:pPr>
        <w:pStyle w:val="NormalWeb"/>
        <w:spacing w:line="360" w:lineRule="auto"/>
        <w:jc w:val="both"/>
        <w:rPr>
          <w:rFonts w:ascii="Arial" w:hAnsi="Arial" w:cs="Arial"/>
          <w:color w:val="EE0000"/>
        </w:rPr>
      </w:pPr>
      <w:r w:rsidRPr="000B20B6">
        <w:rPr>
          <w:rFonts w:ascii="Arial" w:hAnsi="Arial" w:cs="Arial"/>
          <w:color w:val="000000" w:themeColor="text1"/>
        </w:rPr>
        <w:t xml:space="preserve">Profiles of profitability ratios identify how the company utilizes sales and assets to obtain returns. </w:t>
      </w:r>
      <w:r w:rsidR="00E310B1" w:rsidRPr="000B20B6">
        <w:rPr>
          <w:rFonts w:ascii="Arial" w:hAnsi="Arial" w:cs="Arial"/>
          <w:color w:val="000000" w:themeColor="text1"/>
        </w:rPr>
        <w:t xml:space="preserve">The GPM, which is the value of </w:t>
      </w:r>
      <w:r w:rsidR="00E310B1" w:rsidRPr="000B20B6">
        <w:rPr>
          <w:rFonts w:ascii="Arial" w:hAnsi="Arial" w:cs="Arial"/>
          <w:i/>
          <w:iCs/>
          <w:color w:val="000000" w:themeColor="text1"/>
        </w:rPr>
        <w:t>Gross Profit</w:t>
      </w:r>
      <w:r w:rsidR="00E310B1" w:rsidRPr="000B20B6">
        <w:rPr>
          <w:rFonts w:ascii="Arial" w:hAnsi="Arial" w:cs="Arial"/>
          <w:color w:val="000000" w:themeColor="text1"/>
        </w:rPr>
        <w:t xml:space="preserve"> divided by </w:t>
      </w:r>
      <w:r w:rsidR="00E310B1" w:rsidRPr="000B20B6">
        <w:rPr>
          <w:rFonts w:ascii="Arial" w:hAnsi="Arial" w:cs="Arial"/>
          <w:i/>
          <w:iCs/>
          <w:color w:val="000000" w:themeColor="text1"/>
        </w:rPr>
        <w:t>Net Sales</w:t>
      </w:r>
      <w:r w:rsidR="00E310B1" w:rsidRPr="000B20B6">
        <w:rPr>
          <w:rFonts w:ascii="Arial" w:hAnsi="Arial" w:cs="Arial"/>
          <w:color w:val="000000" w:themeColor="text1"/>
        </w:rPr>
        <w:t xml:space="preserve">, fell from 28.7% in 2020 to 28.9% in 2024. Though it has been </w:t>
      </w:r>
      <w:r w:rsidR="00250D0F" w:rsidRPr="000B20B6">
        <w:rPr>
          <w:rFonts w:ascii="Arial" w:hAnsi="Arial" w:cs="Arial"/>
          <w:color w:val="000000" w:themeColor="text1"/>
        </w:rPr>
        <w:t>stabling</w:t>
      </w:r>
      <w:r w:rsidR="00E310B1" w:rsidRPr="000B20B6">
        <w:rPr>
          <w:rFonts w:ascii="Arial" w:hAnsi="Arial" w:cs="Arial"/>
          <w:color w:val="000000" w:themeColor="text1"/>
        </w:rPr>
        <w:t xml:space="preserve"> for the last couple of years, the underlying gross profit decreased by £62,262 million due to volume shrinkage and higher production costs</w:t>
      </w:r>
      <w:r w:rsidR="00A85C58" w:rsidRPr="000B20B6">
        <w:rPr>
          <w:rFonts w:ascii="Arial" w:hAnsi="Arial" w:cs="Arial"/>
          <w:color w:val="000000" w:themeColor="text1"/>
        </w:rPr>
        <w:t xml:space="preserve"> </w:t>
      </w:r>
      <w:r w:rsidR="00A85C58" w:rsidRPr="000B20B6">
        <w:rPr>
          <w:rFonts w:ascii="Arial" w:hAnsi="Arial" w:cs="Arial"/>
        </w:rPr>
        <w:t>[Refer to appendix]</w:t>
      </w:r>
      <w:r w:rsidR="00E310B1" w:rsidRPr="000B20B6">
        <w:rPr>
          <w:rFonts w:ascii="Arial" w:hAnsi="Arial" w:cs="Arial"/>
        </w:rPr>
        <w:t>.</w:t>
      </w:r>
      <w:r w:rsidR="00E310B1" w:rsidRPr="000B20B6">
        <w:rPr>
          <w:rFonts w:ascii="Arial" w:hAnsi="Arial" w:cs="Arial"/>
          <w:color w:val="EE0000"/>
        </w:rPr>
        <w:t xml:space="preserve"> </w:t>
      </w:r>
    </w:p>
    <w:p w14:paraId="1701F792" w14:textId="77777777" w:rsidR="00265957" w:rsidRPr="000B20B6" w:rsidRDefault="00265957" w:rsidP="00265957">
      <w:pPr>
        <w:pStyle w:val="NormalWeb"/>
        <w:spacing w:line="360" w:lineRule="auto"/>
        <w:jc w:val="both"/>
        <w:rPr>
          <w:rFonts w:ascii="Arial" w:hAnsi="Arial" w:cs="Arial"/>
          <w:b/>
          <w:bCs/>
          <w:i/>
          <w:iCs/>
          <w:color w:val="000000" w:themeColor="text1"/>
        </w:rPr>
      </w:pPr>
      <w:bookmarkStart w:id="8" w:name="_Hlk213841873"/>
      <w:r w:rsidRPr="000B20B6">
        <w:rPr>
          <w:rFonts w:ascii="Arial" w:hAnsi="Arial" w:cs="Arial"/>
          <w:b/>
          <w:bCs/>
          <w:i/>
          <w:iCs/>
          <w:color w:val="000000" w:themeColor="text1"/>
        </w:rPr>
        <w:t>Operating Margin (OM)</w:t>
      </w:r>
    </w:p>
    <w:p w14:paraId="41835D14" w14:textId="7B2D51BA" w:rsidR="00265957" w:rsidRPr="000B20B6" w:rsidRDefault="00265957" w:rsidP="00265957">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Operating Margin</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Operating Income</m:t>
              </m:r>
            </m:num>
            <m:den>
              <m:r>
                <m:rPr>
                  <m:nor/>
                </m:rPr>
                <w:rPr>
                  <w:rFonts w:ascii="Arial" w:hAnsi="Arial" w:cs="Arial"/>
                  <w:color w:val="000000" w:themeColor="text1"/>
                </w:rPr>
                <m:t>Net Sales</m:t>
              </m:r>
            </m:den>
          </m:f>
          <m:r>
            <w:rPr>
              <w:rFonts w:ascii="Cambria Math" w:hAnsi="Cambria Math" w:cs="Arial"/>
              <w:color w:val="000000" w:themeColor="text1"/>
            </w:rPr>
            <m:t>×100</m:t>
          </m:r>
          <m:r>
            <m:rPr>
              <m:sty m:val="p"/>
            </m:rPr>
            <w:rPr>
              <w:rFonts w:ascii="Cambria Math" w:hAnsi="Cambria Math" w:cs="Arial"/>
              <w:color w:val="000000" w:themeColor="text1"/>
            </w:rPr>
            <w:br/>
          </m:r>
        </m:oMath>
      </m:oMathPara>
    </w:p>
    <w:tbl>
      <w:tblPr>
        <w:tblStyle w:val="PlainTable3"/>
        <w:tblW w:w="0" w:type="auto"/>
        <w:jc w:val="center"/>
        <w:tblLook w:val="04A0" w:firstRow="1" w:lastRow="0" w:firstColumn="1" w:lastColumn="0" w:noHBand="0" w:noVBand="1"/>
      </w:tblPr>
      <w:tblGrid>
        <w:gridCol w:w="883"/>
        <w:gridCol w:w="3230"/>
        <w:gridCol w:w="2123"/>
        <w:gridCol w:w="1043"/>
      </w:tblGrid>
      <w:tr w:rsidR="00211F75" w:rsidRPr="000B20B6" w14:paraId="0A233555" w14:textId="77777777" w:rsidTr="006F1F3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796A395"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Year</w:t>
            </w:r>
          </w:p>
        </w:tc>
        <w:tc>
          <w:tcPr>
            <w:tcW w:w="0" w:type="auto"/>
            <w:hideMark/>
          </w:tcPr>
          <w:p w14:paraId="190E7CF3" w14:textId="77777777" w:rsidR="00265957" w:rsidRPr="000B20B6" w:rsidRDefault="00265957" w:rsidP="00265957">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Operating Income (£m)</w:t>
            </w:r>
          </w:p>
        </w:tc>
        <w:tc>
          <w:tcPr>
            <w:tcW w:w="0" w:type="auto"/>
            <w:hideMark/>
          </w:tcPr>
          <w:p w14:paraId="5BDC2661" w14:textId="77777777" w:rsidR="00265957" w:rsidRPr="000B20B6" w:rsidRDefault="00265957" w:rsidP="00265957">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Net Sales (£m)</w:t>
            </w:r>
          </w:p>
        </w:tc>
        <w:tc>
          <w:tcPr>
            <w:tcW w:w="0" w:type="auto"/>
            <w:hideMark/>
          </w:tcPr>
          <w:p w14:paraId="27B9489B" w14:textId="77777777" w:rsidR="00265957" w:rsidRPr="000B20B6" w:rsidRDefault="00265957" w:rsidP="00265957">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OM (%)</w:t>
            </w:r>
          </w:p>
        </w:tc>
      </w:tr>
      <w:tr w:rsidR="00211F75" w:rsidRPr="000B20B6" w14:paraId="6BA0C3B2" w14:textId="77777777" w:rsidTr="006F1F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C1BB40"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3A3930A9"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37,267</w:t>
            </w:r>
          </w:p>
        </w:tc>
        <w:tc>
          <w:tcPr>
            <w:tcW w:w="0" w:type="auto"/>
            <w:hideMark/>
          </w:tcPr>
          <w:p w14:paraId="3F0C95E4"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614,680</w:t>
            </w:r>
          </w:p>
        </w:tc>
        <w:tc>
          <w:tcPr>
            <w:tcW w:w="0" w:type="auto"/>
            <w:hideMark/>
          </w:tcPr>
          <w:p w14:paraId="60DF2524"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68.81</w:t>
            </w:r>
          </w:p>
        </w:tc>
      </w:tr>
      <w:tr w:rsidR="00211F75" w:rsidRPr="000B20B6" w14:paraId="6F170544" w14:textId="77777777" w:rsidTr="006F1F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079E7"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08D15EAD"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23,253</w:t>
            </w:r>
          </w:p>
        </w:tc>
        <w:tc>
          <w:tcPr>
            <w:tcW w:w="0" w:type="auto"/>
            <w:hideMark/>
          </w:tcPr>
          <w:p w14:paraId="6329B876"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601,602</w:t>
            </w:r>
          </w:p>
        </w:tc>
        <w:tc>
          <w:tcPr>
            <w:tcW w:w="0" w:type="auto"/>
            <w:hideMark/>
          </w:tcPr>
          <w:p w14:paraId="529667C0"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74.10</w:t>
            </w:r>
          </w:p>
        </w:tc>
      </w:tr>
      <w:tr w:rsidR="00211F75" w:rsidRPr="000B20B6" w14:paraId="1A0968A5" w14:textId="77777777" w:rsidTr="006F1F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31FDB5"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55DEFA45"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14,548</w:t>
            </w:r>
          </w:p>
        </w:tc>
        <w:tc>
          <w:tcPr>
            <w:tcW w:w="0" w:type="auto"/>
            <w:hideMark/>
          </w:tcPr>
          <w:p w14:paraId="66340A06"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542,751</w:t>
            </w:r>
          </w:p>
        </w:tc>
        <w:tc>
          <w:tcPr>
            <w:tcW w:w="0" w:type="auto"/>
            <w:hideMark/>
          </w:tcPr>
          <w:p w14:paraId="757163AA"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68.12</w:t>
            </w:r>
          </w:p>
        </w:tc>
      </w:tr>
      <w:tr w:rsidR="00211F75" w:rsidRPr="000B20B6" w14:paraId="1C780211" w14:textId="77777777" w:rsidTr="006F1F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004D64"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04A5F22A"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-85,301</w:t>
            </w:r>
          </w:p>
        </w:tc>
        <w:tc>
          <w:tcPr>
            <w:tcW w:w="0" w:type="auto"/>
            <w:hideMark/>
          </w:tcPr>
          <w:p w14:paraId="6D47DA0C"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420,457</w:t>
            </w:r>
          </w:p>
        </w:tc>
        <w:tc>
          <w:tcPr>
            <w:tcW w:w="0" w:type="auto"/>
            <w:hideMark/>
          </w:tcPr>
          <w:p w14:paraId="7884DF50" w14:textId="77777777" w:rsidR="00265957" w:rsidRPr="000B20B6" w:rsidRDefault="00265957" w:rsidP="00265957">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90.39</w:t>
            </w:r>
          </w:p>
        </w:tc>
      </w:tr>
      <w:tr w:rsidR="00211F75" w:rsidRPr="000B20B6" w14:paraId="1B154115" w14:textId="77777777" w:rsidTr="006F1F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F3FF59" w14:textId="77777777" w:rsidR="00265957" w:rsidRPr="000B20B6" w:rsidRDefault="00265957" w:rsidP="00265957">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2597C383"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-15,297</w:t>
            </w:r>
          </w:p>
        </w:tc>
        <w:tc>
          <w:tcPr>
            <w:tcW w:w="0" w:type="auto"/>
            <w:hideMark/>
          </w:tcPr>
          <w:p w14:paraId="4A344BAF"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394,879</w:t>
            </w:r>
          </w:p>
        </w:tc>
        <w:tc>
          <w:tcPr>
            <w:tcW w:w="0" w:type="auto"/>
            <w:hideMark/>
          </w:tcPr>
          <w:p w14:paraId="53486345" w14:textId="77777777" w:rsidR="00265957" w:rsidRPr="000B20B6" w:rsidRDefault="00265957" w:rsidP="00265957">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63.88</w:t>
            </w:r>
          </w:p>
        </w:tc>
      </w:tr>
    </w:tbl>
    <w:p w14:paraId="4F88C5EB" w14:textId="146ECA9F" w:rsidR="00E30BC5" w:rsidRPr="000B20B6" w:rsidRDefault="00265957" w:rsidP="00E310B1">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The operator margin is now negative in 2023. Meaning, it has become a volatile indicator that damages the company’s ability to manage cost or achieve stable operating performance</w:t>
      </w:r>
      <w:r w:rsidRPr="000B20B6">
        <w:rPr>
          <w:rFonts w:ascii="Arial" w:hAnsi="Arial" w:cs="Arial"/>
          <w:color w:val="000000" w:themeColor="text1"/>
        </w:rPr>
        <w:t>.</w:t>
      </w:r>
      <w:bookmarkEnd w:id="8"/>
      <w:r w:rsidR="009A621E" w:rsidRPr="000B20B6">
        <w:rPr>
          <w:rFonts w:ascii="Arial" w:hAnsi="Arial" w:cs="Arial"/>
          <w:color w:val="000000" w:themeColor="text1"/>
        </w:rPr>
        <w:t xml:space="preserve"> </w:t>
      </w:r>
      <w:r w:rsidR="00E310B1" w:rsidRPr="000B20B6">
        <w:rPr>
          <w:rFonts w:ascii="Arial" w:hAnsi="Arial" w:cs="Arial"/>
          <w:color w:val="000000" w:themeColor="text1"/>
        </w:rPr>
        <w:t>From a good Operating Pro</w:t>
      </w:r>
      <w:r w:rsidR="00F20B09" w:rsidRPr="000B20B6">
        <w:rPr>
          <w:rFonts w:ascii="Arial" w:hAnsi="Arial" w:cs="Arial"/>
          <w:color w:val="000000" w:themeColor="text1"/>
        </w:rPr>
        <w:t>/</w:t>
      </w:r>
      <w:r w:rsidR="00E310B1" w:rsidRPr="000B20B6">
        <w:rPr>
          <w:rFonts w:ascii="Arial" w:hAnsi="Arial" w:cs="Arial"/>
          <w:color w:val="000000" w:themeColor="text1"/>
        </w:rPr>
        <w:t xml:space="preserve">fit Margin (OPM) of 6.1% in 2020, it dropped to a negative 3.9% in 2024. </w:t>
      </w:r>
      <w:r w:rsidR="00250D0F" w:rsidRPr="000B20B6">
        <w:rPr>
          <w:rFonts w:ascii="Arial" w:hAnsi="Arial" w:cs="Arial"/>
          <w:color w:val="000000" w:themeColor="text1"/>
        </w:rPr>
        <w:t>So,</w:t>
      </w:r>
      <w:r w:rsidR="00E310B1" w:rsidRPr="000B20B6">
        <w:rPr>
          <w:rFonts w:ascii="Arial" w:hAnsi="Arial" w:cs="Arial"/>
          <w:color w:val="000000" w:themeColor="text1"/>
        </w:rPr>
        <w:t xml:space="preserve"> its operating losses are due to rising costs. </w:t>
      </w:r>
    </w:p>
    <w:p w14:paraId="40EE355C" w14:textId="77777777" w:rsidR="00E30BC5" w:rsidRPr="000B20B6" w:rsidRDefault="00E30BC5" w:rsidP="00E30BC5">
      <w:pPr>
        <w:pStyle w:val="NormalWeb"/>
        <w:spacing w:line="360" w:lineRule="auto"/>
        <w:jc w:val="both"/>
        <w:rPr>
          <w:rFonts w:ascii="Arial" w:hAnsi="Arial" w:cs="Arial"/>
          <w:b/>
          <w:bCs/>
          <w:i/>
          <w:iCs/>
          <w:color w:val="000000" w:themeColor="text1"/>
        </w:rPr>
      </w:pPr>
      <w:bookmarkStart w:id="9" w:name="_Hlk213841879"/>
      <w:r w:rsidRPr="000B20B6">
        <w:rPr>
          <w:rFonts w:ascii="Arial" w:hAnsi="Arial" w:cs="Arial"/>
          <w:b/>
          <w:bCs/>
          <w:i/>
          <w:iCs/>
          <w:color w:val="000000" w:themeColor="text1"/>
        </w:rPr>
        <w:t>Net Profit Margin (NPM)</w:t>
      </w:r>
    </w:p>
    <w:p w14:paraId="0D81F01A" w14:textId="1857E6D6" w:rsidR="00E30BC5" w:rsidRPr="000B20B6" w:rsidRDefault="00E30BC5" w:rsidP="00E30BC5">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Net Profit Margin</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Net Income</m:t>
              </m:r>
            </m:num>
            <m:den>
              <m:r>
                <m:rPr>
                  <m:nor/>
                </m:rPr>
                <w:rPr>
                  <w:rFonts w:ascii="Arial" w:hAnsi="Arial" w:cs="Arial"/>
                  <w:color w:val="000000" w:themeColor="text1"/>
                </w:rPr>
                <m:t>Net Sales</m:t>
              </m:r>
            </m:den>
          </m:f>
          <m:r>
            <w:rPr>
              <w:rFonts w:ascii="Cambria Math" w:hAnsi="Cambria Math" w:cs="Arial"/>
              <w:color w:val="000000" w:themeColor="text1"/>
            </w:rPr>
            <m:t>×100</m:t>
          </m:r>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2239"/>
        <w:gridCol w:w="2008"/>
        <w:gridCol w:w="1271"/>
      </w:tblGrid>
      <w:tr w:rsidR="00211F75" w:rsidRPr="000B20B6" w14:paraId="19E4DD41" w14:textId="77777777" w:rsidTr="00E30BC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CE4DB94" w14:textId="77777777" w:rsidR="00E30BC5" w:rsidRPr="000B20B6" w:rsidRDefault="00E30BC5" w:rsidP="00E30BC5">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02C89735" w14:textId="77777777" w:rsidR="00E30BC5" w:rsidRPr="000B20B6" w:rsidRDefault="00E30BC5" w:rsidP="00E30BC5">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Net Income (£m)</w:t>
            </w:r>
          </w:p>
        </w:tc>
        <w:tc>
          <w:tcPr>
            <w:tcW w:w="0" w:type="auto"/>
            <w:hideMark/>
          </w:tcPr>
          <w:p w14:paraId="645D88F2" w14:textId="77777777" w:rsidR="00E30BC5" w:rsidRPr="000B20B6" w:rsidRDefault="00E30BC5" w:rsidP="00E30BC5">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Net Sales (£m)</w:t>
            </w:r>
          </w:p>
        </w:tc>
        <w:tc>
          <w:tcPr>
            <w:tcW w:w="0" w:type="auto"/>
            <w:hideMark/>
          </w:tcPr>
          <w:p w14:paraId="735B8AB3" w14:textId="77777777" w:rsidR="00E30BC5" w:rsidRPr="000B20B6" w:rsidRDefault="00E30BC5" w:rsidP="00E30BC5">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NPM (%)</w:t>
            </w:r>
          </w:p>
        </w:tc>
      </w:tr>
      <w:tr w:rsidR="00211F75" w:rsidRPr="000B20B6" w14:paraId="06E13997"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08D390" w14:textId="77777777" w:rsidR="00E30BC5" w:rsidRPr="000B20B6" w:rsidRDefault="00E30BC5" w:rsidP="00E30BC5">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79A92A0E"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38,572</w:t>
            </w:r>
          </w:p>
        </w:tc>
        <w:tc>
          <w:tcPr>
            <w:tcW w:w="0" w:type="auto"/>
            <w:hideMark/>
          </w:tcPr>
          <w:p w14:paraId="69BF46E8"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614,680</w:t>
            </w:r>
          </w:p>
        </w:tc>
        <w:tc>
          <w:tcPr>
            <w:tcW w:w="0" w:type="auto"/>
            <w:hideMark/>
          </w:tcPr>
          <w:p w14:paraId="6A101ACE"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-2.64</w:t>
            </w:r>
          </w:p>
        </w:tc>
      </w:tr>
      <w:tr w:rsidR="00211F75" w:rsidRPr="000B20B6" w14:paraId="4D3B858C" w14:textId="77777777" w:rsidTr="00E30B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6B06CA" w14:textId="77777777" w:rsidR="00E30BC5" w:rsidRPr="000B20B6" w:rsidRDefault="00E30BC5" w:rsidP="00E30BC5">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69F017F2"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5,301</w:t>
            </w:r>
          </w:p>
        </w:tc>
        <w:tc>
          <w:tcPr>
            <w:tcW w:w="0" w:type="auto"/>
            <w:hideMark/>
          </w:tcPr>
          <w:p w14:paraId="3AD39155"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601,602</w:t>
            </w:r>
          </w:p>
        </w:tc>
        <w:tc>
          <w:tcPr>
            <w:tcW w:w="0" w:type="auto"/>
            <w:hideMark/>
          </w:tcPr>
          <w:p w14:paraId="617B2B5D"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-5.33</w:t>
            </w:r>
          </w:p>
        </w:tc>
      </w:tr>
      <w:tr w:rsidR="00211F75" w:rsidRPr="000B20B6" w14:paraId="53689D0E"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7F21E0" w14:textId="77777777" w:rsidR="00E30BC5" w:rsidRPr="000B20B6" w:rsidRDefault="00E30BC5" w:rsidP="00E30BC5">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4B437C4B"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407</w:t>
            </w:r>
          </w:p>
        </w:tc>
        <w:tc>
          <w:tcPr>
            <w:tcW w:w="0" w:type="auto"/>
            <w:hideMark/>
          </w:tcPr>
          <w:p w14:paraId="77043511"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542,751</w:t>
            </w:r>
          </w:p>
        </w:tc>
        <w:tc>
          <w:tcPr>
            <w:tcW w:w="0" w:type="auto"/>
            <w:hideMark/>
          </w:tcPr>
          <w:p w14:paraId="7774B59F"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-5.43</w:t>
            </w:r>
          </w:p>
        </w:tc>
      </w:tr>
      <w:tr w:rsidR="00211F75" w:rsidRPr="000B20B6" w14:paraId="47C726B8" w14:textId="77777777" w:rsidTr="00E30B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5E0B82" w14:textId="77777777" w:rsidR="00E30BC5" w:rsidRPr="000B20B6" w:rsidRDefault="00E30BC5" w:rsidP="00E30BC5">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05EC69E0"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-98,238</w:t>
            </w:r>
          </w:p>
        </w:tc>
        <w:tc>
          <w:tcPr>
            <w:tcW w:w="0" w:type="auto"/>
            <w:hideMark/>
          </w:tcPr>
          <w:p w14:paraId="59A65C5D"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420,457</w:t>
            </w:r>
          </w:p>
        </w:tc>
        <w:tc>
          <w:tcPr>
            <w:tcW w:w="0" w:type="auto"/>
            <w:hideMark/>
          </w:tcPr>
          <w:p w14:paraId="5E323925" w14:textId="77777777" w:rsidR="00E30BC5" w:rsidRPr="000B20B6" w:rsidRDefault="00E30BC5" w:rsidP="00E30BC5">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-2.96</w:t>
            </w:r>
          </w:p>
        </w:tc>
      </w:tr>
      <w:tr w:rsidR="00211F75" w:rsidRPr="000B20B6" w14:paraId="1F3B8C35"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25385C" w14:textId="77777777" w:rsidR="00E30BC5" w:rsidRPr="000B20B6" w:rsidRDefault="00E30BC5" w:rsidP="00E30BC5">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34F00142"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-24,029</w:t>
            </w:r>
          </w:p>
        </w:tc>
        <w:tc>
          <w:tcPr>
            <w:tcW w:w="0" w:type="auto"/>
            <w:hideMark/>
          </w:tcPr>
          <w:p w14:paraId="766D00AA"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394,879</w:t>
            </w:r>
          </w:p>
        </w:tc>
        <w:tc>
          <w:tcPr>
            <w:tcW w:w="0" w:type="auto"/>
            <w:hideMark/>
          </w:tcPr>
          <w:p w14:paraId="4EBF62BB" w14:textId="77777777" w:rsidR="00E30BC5" w:rsidRPr="000B20B6" w:rsidRDefault="00E30BC5" w:rsidP="00E30BC5">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-2.68</w:t>
            </w:r>
          </w:p>
        </w:tc>
      </w:tr>
    </w:tbl>
    <w:p w14:paraId="071B09D1" w14:textId="67D1D392" w:rsidR="00E30BC5" w:rsidRPr="000B20B6" w:rsidRDefault="00E30BC5" w:rsidP="00E310B1">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Negative net profit margin was sustained which mean structural weakness and net loss</w:t>
      </w:r>
      <w:r w:rsidRPr="000B20B6">
        <w:rPr>
          <w:rFonts w:ascii="Arial" w:hAnsi="Arial" w:cs="Arial"/>
          <w:color w:val="000000" w:themeColor="text1"/>
        </w:rPr>
        <w:t>.</w:t>
      </w:r>
    </w:p>
    <w:bookmarkEnd w:id="9"/>
    <w:p w14:paraId="506EBC1B" w14:textId="47799914" w:rsidR="00E310B1" w:rsidRPr="000B20B6" w:rsidRDefault="00E310B1" w:rsidP="00E310B1">
      <w:pPr>
        <w:pStyle w:val="NormalWeb"/>
        <w:spacing w:line="360" w:lineRule="auto"/>
        <w:jc w:val="both"/>
        <w:rPr>
          <w:rFonts w:ascii="Arial" w:hAnsi="Arial" w:cs="Arial"/>
          <w:color w:val="000000" w:themeColor="text1"/>
        </w:rPr>
      </w:pPr>
      <w:r w:rsidRPr="000B20B6">
        <w:rPr>
          <w:rFonts w:ascii="Arial" w:hAnsi="Arial" w:cs="Arial"/>
          <w:color w:val="000000" w:themeColor="text1"/>
        </w:rPr>
        <w:t>The percentage of profit a firm earns after covering the costs of goods and services sold is called Net Profit Margin. It was down from 6.3% to –6.1%, thus proving that the firm is no longer covering its cost of capital (Xu, Dong and Hu, 2022).</w:t>
      </w:r>
    </w:p>
    <w:p w14:paraId="674FCE93" w14:textId="77777777" w:rsidR="00F56F8F" w:rsidRPr="000B20B6" w:rsidRDefault="00F56F8F" w:rsidP="00F56F8F">
      <w:pPr>
        <w:pStyle w:val="NormalWeb"/>
        <w:spacing w:line="360" w:lineRule="auto"/>
        <w:jc w:val="both"/>
        <w:rPr>
          <w:rFonts w:ascii="Arial" w:hAnsi="Arial" w:cs="Arial"/>
          <w:b/>
          <w:bCs/>
          <w:i/>
          <w:iCs/>
          <w:color w:val="000000" w:themeColor="text1"/>
        </w:rPr>
      </w:pPr>
      <w:bookmarkStart w:id="10" w:name="_Hlk213841884"/>
      <w:r w:rsidRPr="000B20B6">
        <w:rPr>
          <w:rFonts w:ascii="Arial" w:hAnsi="Arial" w:cs="Arial"/>
          <w:b/>
          <w:bCs/>
          <w:i/>
          <w:iCs/>
          <w:color w:val="000000" w:themeColor="text1"/>
        </w:rPr>
        <w:lastRenderedPageBreak/>
        <w:t>Return on Assets (ROA)</w:t>
      </w:r>
    </w:p>
    <w:p w14:paraId="7BB4DA88" w14:textId="2F157691" w:rsidR="00F56F8F" w:rsidRPr="000B20B6" w:rsidRDefault="00F56F8F" w:rsidP="00F56F8F">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ROA</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Net Income</m:t>
              </m:r>
            </m:num>
            <m:den>
              <m:r>
                <m:rPr>
                  <m:nor/>
                </m:rPr>
                <w:rPr>
                  <w:rFonts w:ascii="Arial" w:hAnsi="Arial" w:cs="Arial"/>
                  <w:color w:val="000000" w:themeColor="text1"/>
                </w:rPr>
                <m:t>Total Assets</m:t>
              </m:r>
            </m:den>
          </m:f>
          <m:r>
            <w:rPr>
              <w:rFonts w:ascii="Cambria Math" w:hAnsi="Cambria Math" w:cs="Arial"/>
              <w:color w:val="000000" w:themeColor="text1"/>
            </w:rPr>
            <m:t>×100</m:t>
          </m:r>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2239"/>
        <w:gridCol w:w="2384"/>
        <w:gridCol w:w="1498"/>
      </w:tblGrid>
      <w:tr w:rsidR="00211F75" w:rsidRPr="000B20B6" w14:paraId="153D9234" w14:textId="77777777" w:rsidTr="00F56F8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43085BF" w14:textId="77777777" w:rsidR="00F56F8F" w:rsidRPr="000B20B6" w:rsidRDefault="00F56F8F" w:rsidP="00F56F8F">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3487D16B"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Net Income (£m)</w:t>
            </w:r>
          </w:p>
        </w:tc>
        <w:tc>
          <w:tcPr>
            <w:tcW w:w="0" w:type="auto"/>
            <w:hideMark/>
          </w:tcPr>
          <w:p w14:paraId="5979D853"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Total Assets (£m)</w:t>
            </w:r>
          </w:p>
        </w:tc>
        <w:tc>
          <w:tcPr>
            <w:tcW w:w="0" w:type="auto"/>
            <w:hideMark/>
          </w:tcPr>
          <w:p w14:paraId="326CDBEB"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ROA (%)</w:t>
            </w:r>
          </w:p>
        </w:tc>
      </w:tr>
      <w:tr w:rsidR="00211F75" w:rsidRPr="000B20B6" w14:paraId="5D9EE346"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1E8178"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0B59DBB9"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38,572</w:t>
            </w:r>
          </w:p>
        </w:tc>
        <w:tc>
          <w:tcPr>
            <w:tcW w:w="0" w:type="auto"/>
            <w:hideMark/>
          </w:tcPr>
          <w:p w14:paraId="114EF6E4"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510,290</w:t>
            </w:r>
          </w:p>
        </w:tc>
        <w:tc>
          <w:tcPr>
            <w:tcW w:w="0" w:type="auto"/>
            <w:hideMark/>
          </w:tcPr>
          <w:p w14:paraId="1D624286"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-1,918.35</w:t>
            </w:r>
          </w:p>
        </w:tc>
      </w:tr>
      <w:tr w:rsidR="00211F75" w:rsidRPr="000B20B6" w14:paraId="3FAA98AF" w14:textId="77777777" w:rsidTr="00F56F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81D10B"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163D59F5"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5,301</w:t>
            </w:r>
          </w:p>
        </w:tc>
        <w:tc>
          <w:tcPr>
            <w:tcW w:w="0" w:type="auto"/>
            <w:hideMark/>
          </w:tcPr>
          <w:p w14:paraId="4AB0C001"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510,348</w:t>
            </w:r>
          </w:p>
        </w:tc>
        <w:tc>
          <w:tcPr>
            <w:tcW w:w="0" w:type="auto"/>
            <w:hideMark/>
          </w:tcPr>
          <w:p w14:paraId="79C2C272"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-27,638.46</w:t>
            </w:r>
          </w:p>
        </w:tc>
      </w:tr>
      <w:tr w:rsidR="00211F75" w:rsidRPr="000B20B6" w14:paraId="037491F6"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0426D"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1AF102B4"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407</w:t>
            </w:r>
          </w:p>
        </w:tc>
        <w:tc>
          <w:tcPr>
            <w:tcW w:w="0" w:type="auto"/>
            <w:hideMark/>
          </w:tcPr>
          <w:p w14:paraId="2B016239"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504,163</w:t>
            </w:r>
          </w:p>
        </w:tc>
        <w:tc>
          <w:tcPr>
            <w:tcW w:w="0" w:type="auto"/>
            <w:hideMark/>
          </w:tcPr>
          <w:p w14:paraId="6F21EC56"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-366,200.00</w:t>
            </w:r>
          </w:p>
        </w:tc>
      </w:tr>
      <w:tr w:rsidR="00211F75" w:rsidRPr="000B20B6" w14:paraId="25A115C1" w14:textId="77777777" w:rsidTr="00F56F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104171"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4CAB52EF"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-98,238</w:t>
            </w:r>
          </w:p>
        </w:tc>
        <w:tc>
          <w:tcPr>
            <w:tcW w:w="0" w:type="auto"/>
            <w:hideMark/>
          </w:tcPr>
          <w:p w14:paraId="63996E38"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355,872</w:t>
            </w:r>
          </w:p>
        </w:tc>
        <w:tc>
          <w:tcPr>
            <w:tcW w:w="0" w:type="auto"/>
            <w:hideMark/>
          </w:tcPr>
          <w:p w14:paraId="10263A8E"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783.25</w:t>
            </w:r>
          </w:p>
        </w:tc>
      </w:tr>
      <w:tr w:rsidR="00211F75" w:rsidRPr="000B20B6" w14:paraId="38431DF7"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CC617C"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4EC499C1"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-24,029</w:t>
            </w:r>
          </w:p>
        </w:tc>
        <w:tc>
          <w:tcPr>
            <w:tcW w:w="0" w:type="auto"/>
            <w:hideMark/>
          </w:tcPr>
          <w:p w14:paraId="674B546E"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323,354</w:t>
            </w:r>
          </w:p>
        </w:tc>
        <w:tc>
          <w:tcPr>
            <w:tcW w:w="0" w:type="auto"/>
            <w:hideMark/>
          </w:tcPr>
          <w:p w14:paraId="4FF2FF90"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2,935.68</w:t>
            </w:r>
          </w:p>
        </w:tc>
      </w:tr>
    </w:tbl>
    <w:p w14:paraId="6530A33A" w14:textId="68EADB12" w:rsidR="00F56F8F" w:rsidRPr="000B20B6" w:rsidRDefault="00F56F8F" w:rsidP="00E310B1">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ROA numbers can be misleading. They may indicate too much or too little. But over time, they do suggest that companies are making less and less on their assets than they did before</w:t>
      </w:r>
      <w:r w:rsidR="00E53F57" w:rsidRPr="000B20B6">
        <w:rPr>
          <w:rFonts w:ascii="Arial" w:hAnsi="Arial" w:cs="Arial"/>
          <w:color w:val="000000" w:themeColor="text1"/>
        </w:rPr>
        <w:t>.</w:t>
      </w:r>
    </w:p>
    <w:bookmarkEnd w:id="10"/>
    <w:p w14:paraId="17362023" w14:textId="30242ED4" w:rsidR="00547F50" w:rsidRPr="000B20B6" w:rsidRDefault="00E310B1" w:rsidP="00E310B1">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Return on Assets, or ROA, measures net income as a percentage of total assets. </w:t>
      </w:r>
      <w:r w:rsidR="002B66D2" w:rsidRPr="000B20B6">
        <w:rPr>
          <w:rFonts w:ascii="Arial" w:hAnsi="Arial" w:cs="Arial"/>
          <w:color w:val="000000" w:themeColor="text1"/>
        </w:rPr>
        <w:t>In 2020, the lost value was 7.6% but it witnessed a fall in 2020 to lose 7.4%.  Likewise, Return on Equity plunged from 12.3% to -15.7 due to massive destruction in shareholder value. This decrease in profitability is probably due to an increase in the overheads or inability to control the cost. Also, this could indicate some structural inefficiency because of heavy capacity and incompetent pricing</w:t>
      </w:r>
      <w:r w:rsidR="00547F50" w:rsidRPr="000B20B6">
        <w:rPr>
          <w:rFonts w:ascii="Arial" w:hAnsi="Arial" w:cs="Arial"/>
          <w:color w:val="000000" w:themeColor="text1"/>
        </w:rPr>
        <w:t>.</w:t>
      </w:r>
    </w:p>
    <w:p w14:paraId="6FDB4849" w14:textId="77777777" w:rsidR="001B531E" w:rsidRPr="000B20B6" w:rsidRDefault="001B531E" w:rsidP="00687C42">
      <w:pPr>
        <w:pStyle w:val="Heading2"/>
        <w:rPr>
          <w:rFonts w:ascii="Arial" w:eastAsia="Times New Roman" w:hAnsi="Arial" w:cs="Arial"/>
        </w:rPr>
      </w:pPr>
      <w:bookmarkStart w:id="11" w:name="_Toc214840858"/>
      <w:r w:rsidRPr="000B20B6">
        <w:rPr>
          <w:rFonts w:ascii="Arial" w:eastAsia="Times New Roman" w:hAnsi="Arial" w:cs="Arial"/>
        </w:rPr>
        <w:t>2.3 Liquidity Ratios</w:t>
      </w:r>
      <w:bookmarkEnd w:id="11"/>
      <w:r w:rsidRPr="000B20B6">
        <w:rPr>
          <w:rFonts w:ascii="Arial" w:eastAsia="Times New Roman" w:hAnsi="Arial" w:cs="Arial"/>
        </w:rPr>
        <w:t xml:space="preserve"> </w:t>
      </w:r>
    </w:p>
    <w:p w14:paraId="728FB286" w14:textId="77777777" w:rsidR="00E30BC5" w:rsidRPr="000B20B6" w:rsidRDefault="00E30BC5" w:rsidP="00E30BC5">
      <w:pPr>
        <w:rPr>
          <w:rFonts w:ascii="Arial" w:hAnsi="Arial" w:cs="Arial"/>
          <w:b/>
          <w:bCs/>
          <w:i/>
          <w:iCs/>
        </w:rPr>
      </w:pPr>
      <w:bookmarkStart w:id="12" w:name="_Hlk213841891"/>
      <w:r w:rsidRPr="000B20B6">
        <w:rPr>
          <w:rFonts w:ascii="Arial" w:hAnsi="Arial" w:cs="Arial"/>
          <w:b/>
          <w:bCs/>
          <w:i/>
          <w:iCs/>
        </w:rPr>
        <w:t>Current Ratio (CR)</w:t>
      </w:r>
    </w:p>
    <w:p w14:paraId="0DC0A902" w14:textId="4FE3FB71" w:rsidR="00E30BC5" w:rsidRPr="000B20B6" w:rsidRDefault="00E30BC5" w:rsidP="00E30BC5">
      <w:pPr>
        <w:rPr>
          <w:rFonts w:ascii="Arial" w:hAnsi="Arial" w:cs="Arial"/>
        </w:rPr>
      </w:pPr>
      <m:oMathPara>
        <m:oMath>
          <m:r>
            <m:rPr>
              <m:nor/>
            </m:rPr>
            <w:rPr>
              <w:rFonts w:ascii="Arial" w:hAnsi="Arial" w:cs="Arial"/>
            </w:rPr>
            <m:t>Current Ratio</m:t>
          </m:r>
          <m:r>
            <w:rPr>
              <w:rFonts w:ascii="Cambria Math" w:hAnsi="Cambria Math" w:cs="Arial"/>
            </w:rPr>
            <m:t>=</m:t>
          </m:r>
          <m:f>
            <m:fPr>
              <m:ctrlPr>
                <w:rPr>
                  <w:rFonts w:ascii="Cambria Math" w:hAnsi="Cambria Math" w:cs="Arial"/>
                </w:rPr>
              </m:ctrlPr>
            </m:fPr>
            <m:num>
              <m:r>
                <m:rPr>
                  <m:nor/>
                </m:rPr>
                <w:rPr>
                  <w:rFonts w:ascii="Arial" w:hAnsi="Arial" w:cs="Arial"/>
                </w:rPr>
                <m:t>Current Assets</m:t>
              </m:r>
            </m:num>
            <m:den>
              <m:r>
                <m:rPr>
                  <m:nor/>
                </m:rPr>
                <w:rPr>
                  <w:rFonts w:ascii="Arial" w:hAnsi="Arial" w:cs="Arial"/>
                </w:rPr>
                <m:t>Current Liabilities</m:t>
              </m:r>
            </m:den>
          </m:f>
          <m:r>
            <m:rPr>
              <m:sty m:val="p"/>
            </m:rPr>
            <w:rPr>
              <w:rFonts w:ascii="Cambria Math" w:hAnsi="Cambria Math" w:cs="Arial"/>
            </w:rPr>
            <w:br/>
          </m:r>
        </m:oMath>
      </m:oMathPara>
    </w:p>
    <w:tbl>
      <w:tblPr>
        <w:tblStyle w:val="PlainTable5"/>
        <w:tblW w:w="0" w:type="auto"/>
        <w:jc w:val="center"/>
        <w:tblLook w:val="04A0" w:firstRow="1" w:lastRow="0" w:firstColumn="1" w:lastColumn="0" w:noHBand="0" w:noVBand="1"/>
      </w:tblPr>
      <w:tblGrid>
        <w:gridCol w:w="795"/>
        <w:gridCol w:w="2702"/>
        <w:gridCol w:w="3048"/>
        <w:gridCol w:w="764"/>
      </w:tblGrid>
      <w:tr w:rsidR="00211F75" w:rsidRPr="000B20B6" w14:paraId="36960ACB" w14:textId="77777777" w:rsidTr="00E30BC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205B9D" w14:textId="77777777" w:rsidR="00E30BC5" w:rsidRPr="000B20B6" w:rsidRDefault="00E30BC5" w:rsidP="00E30BC5">
            <w:pPr>
              <w:spacing w:after="160"/>
              <w:jc w:val="left"/>
              <w:rPr>
                <w:rFonts w:ascii="Arial" w:hAnsi="Arial" w:cs="Arial"/>
                <w:b/>
                <w:bCs/>
              </w:rPr>
            </w:pPr>
            <w:r w:rsidRPr="000B20B6">
              <w:rPr>
                <w:rFonts w:ascii="Arial" w:hAnsi="Arial" w:cs="Arial"/>
                <w:b/>
                <w:bCs/>
              </w:rPr>
              <w:t>Year</w:t>
            </w:r>
          </w:p>
        </w:tc>
        <w:tc>
          <w:tcPr>
            <w:tcW w:w="0" w:type="auto"/>
            <w:hideMark/>
          </w:tcPr>
          <w:p w14:paraId="7B675E1D" w14:textId="77777777" w:rsidR="00E30BC5" w:rsidRPr="000B20B6" w:rsidRDefault="00E30BC5" w:rsidP="00E30BC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Current Assets (£m)</w:t>
            </w:r>
          </w:p>
        </w:tc>
        <w:tc>
          <w:tcPr>
            <w:tcW w:w="0" w:type="auto"/>
            <w:hideMark/>
          </w:tcPr>
          <w:p w14:paraId="479274B2" w14:textId="77777777" w:rsidR="00E30BC5" w:rsidRPr="000B20B6" w:rsidRDefault="00E30BC5" w:rsidP="00E30BC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Current Liabilities (£m)</w:t>
            </w:r>
          </w:p>
        </w:tc>
        <w:tc>
          <w:tcPr>
            <w:tcW w:w="0" w:type="auto"/>
            <w:hideMark/>
          </w:tcPr>
          <w:p w14:paraId="5893BBBC" w14:textId="77777777" w:rsidR="00E30BC5" w:rsidRPr="000B20B6" w:rsidRDefault="00E30BC5" w:rsidP="00E30BC5">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CR</w:t>
            </w:r>
          </w:p>
        </w:tc>
      </w:tr>
      <w:tr w:rsidR="00211F75" w:rsidRPr="000B20B6" w14:paraId="42740250"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28CC03" w14:textId="77777777" w:rsidR="00E30BC5" w:rsidRPr="000B20B6" w:rsidRDefault="00E30BC5" w:rsidP="00E30BC5">
            <w:pPr>
              <w:spacing w:after="160"/>
              <w:rPr>
                <w:rFonts w:ascii="Arial" w:hAnsi="Arial" w:cs="Arial"/>
              </w:rPr>
            </w:pPr>
            <w:r w:rsidRPr="000B20B6">
              <w:rPr>
                <w:rFonts w:ascii="Arial" w:hAnsi="Arial" w:cs="Arial"/>
              </w:rPr>
              <w:lastRenderedPageBreak/>
              <w:t>2020</w:t>
            </w:r>
          </w:p>
        </w:tc>
        <w:tc>
          <w:tcPr>
            <w:tcW w:w="0" w:type="auto"/>
            <w:hideMark/>
          </w:tcPr>
          <w:p w14:paraId="792766C1"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326,843</w:t>
            </w:r>
          </w:p>
        </w:tc>
        <w:tc>
          <w:tcPr>
            <w:tcW w:w="0" w:type="auto"/>
            <w:hideMark/>
          </w:tcPr>
          <w:p w14:paraId="779DE7E1"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179,510</w:t>
            </w:r>
          </w:p>
        </w:tc>
        <w:tc>
          <w:tcPr>
            <w:tcW w:w="0" w:type="auto"/>
            <w:hideMark/>
          </w:tcPr>
          <w:p w14:paraId="7FD5A6FC"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0.65</w:t>
            </w:r>
          </w:p>
        </w:tc>
      </w:tr>
      <w:tr w:rsidR="00211F75" w:rsidRPr="000B20B6" w14:paraId="34B34445" w14:textId="77777777" w:rsidTr="00E30B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899F23" w14:textId="77777777" w:rsidR="00E30BC5" w:rsidRPr="000B20B6" w:rsidRDefault="00E30BC5" w:rsidP="00E30BC5">
            <w:pPr>
              <w:spacing w:after="160"/>
              <w:rPr>
                <w:rFonts w:ascii="Arial" w:hAnsi="Arial" w:cs="Arial"/>
              </w:rPr>
            </w:pPr>
            <w:r w:rsidRPr="000B20B6">
              <w:rPr>
                <w:rFonts w:ascii="Arial" w:hAnsi="Arial" w:cs="Arial"/>
              </w:rPr>
              <w:t>2021</w:t>
            </w:r>
          </w:p>
        </w:tc>
        <w:tc>
          <w:tcPr>
            <w:tcW w:w="0" w:type="auto"/>
            <w:hideMark/>
          </w:tcPr>
          <w:p w14:paraId="75AAE704"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337,146</w:t>
            </w:r>
          </w:p>
        </w:tc>
        <w:tc>
          <w:tcPr>
            <w:tcW w:w="0" w:type="auto"/>
            <w:hideMark/>
          </w:tcPr>
          <w:p w14:paraId="386D7479"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216,787</w:t>
            </w:r>
          </w:p>
        </w:tc>
        <w:tc>
          <w:tcPr>
            <w:tcW w:w="0" w:type="auto"/>
            <w:hideMark/>
          </w:tcPr>
          <w:p w14:paraId="5A1A0EB6"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0.38</w:t>
            </w:r>
          </w:p>
        </w:tc>
      </w:tr>
      <w:tr w:rsidR="00211F75" w:rsidRPr="000B20B6" w14:paraId="28B6BFF4"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4ED0F9" w14:textId="77777777" w:rsidR="00E30BC5" w:rsidRPr="000B20B6" w:rsidRDefault="00E30BC5" w:rsidP="00E30BC5">
            <w:pPr>
              <w:spacing w:after="160"/>
              <w:rPr>
                <w:rFonts w:ascii="Arial" w:hAnsi="Arial" w:cs="Arial"/>
              </w:rPr>
            </w:pPr>
            <w:r w:rsidRPr="000B20B6">
              <w:rPr>
                <w:rFonts w:ascii="Arial" w:hAnsi="Arial" w:cs="Arial"/>
              </w:rPr>
              <w:t>2022</w:t>
            </w:r>
          </w:p>
        </w:tc>
        <w:tc>
          <w:tcPr>
            <w:tcW w:w="0" w:type="auto"/>
            <w:hideMark/>
          </w:tcPr>
          <w:p w14:paraId="56B3CC5A"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338,040</w:t>
            </w:r>
          </w:p>
        </w:tc>
        <w:tc>
          <w:tcPr>
            <w:tcW w:w="0" w:type="auto"/>
            <w:hideMark/>
          </w:tcPr>
          <w:p w14:paraId="4AB3881D"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216,473</w:t>
            </w:r>
          </w:p>
        </w:tc>
        <w:tc>
          <w:tcPr>
            <w:tcW w:w="0" w:type="auto"/>
            <w:hideMark/>
          </w:tcPr>
          <w:p w14:paraId="64799E32"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0.22</w:t>
            </w:r>
          </w:p>
        </w:tc>
      </w:tr>
      <w:tr w:rsidR="00211F75" w:rsidRPr="000B20B6" w14:paraId="02236381" w14:textId="77777777" w:rsidTr="00E30B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EEBAAD" w14:textId="77777777" w:rsidR="00E30BC5" w:rsidRPr="000B20B6" w:rsidRDefault="00E30BC5" w:rsidP="00E30BC5">
            <w:pPr>
              <w:spacing w:after="160"/>
              <w:rPr>
                <w:rFonts w:ascii="Arial" w:hAnsi="Arial" w:cs="Arial"/>
              </w:rPr>
            </w:pPr>
            <w:r w:rsidRPr="000B20B6">
              <w:rPr>
                <w:rFonts w:ascii="Arial" w:hAnsi="Arial" w:cs="Arial"/>
              </w:rPr>
              <w:t>2023</w:t>
            </w:r>
          </w:p>
        </w:tc>
        <w:tc>
          <w:tcPr>
            <w:tcW w:w="0" w:type="auto"/>
            <w:hideMark/>
          </w:tcPr>
          <w:p w14:paraId="327C39D1"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258,851</w:t>
            </w:r>
          </w:p>
        </w:tc>
        <w:tc>
          <w:tcPr>
            <w:tcW w:w="0" w:type="auto"/>
            <w:hideMark/>
          </w:tcPr>
          <w:p w14:paraId="62C2DEE4"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161,148</w:t>
            </w:r>
          </w:p>
        </w:tc>
        <w:tc>
          <w:tcPr>
            <w:tcW w:w="0" w:type="auto"/>
            <w:hideMark/>
          </w:tcPr>
          <w:p w14:paraId="68EDB41B" w14:textId="77777777" w:rsidR="00E30BC5" w:rsidRPr="000B20B6" w:rsidRDefault="00E30BC5" w:rsidP="00E30BC5">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-1.99</w:t>
            </w:r>
          </w:p>
        </w:tc>
      </w:tr>
      <w:tr w:rsidR="00211F75" w:rsidRPr="000B20B6" w14:paraId="473232D7" w14:textId="77777777" w:rsidTr="00E30B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ACEA5C" w14:textId="77777777" w:rsidR="00E30BC5" w:rsidRPr="000B20B6" w:rsidRDefault="00E30BC5" w:rsidP="00E30BC5">
            <w:pPr>
              <w:spacing w:after="160"/>
              <w:rPr>
                <w:rFonts w:ascii="Arial" w:hAnsi="Arial" w:cs="Arial"/>
              </w:rPr>
            </w:pPr>
            <w:r w:rsidRPr="000B20B6">
              <w:rPr>
                <w:rFonts w:ascii="Arial" w:hAnsi="Arial" w:cs="Arial"/>
              </w:rPr>
              <w:t>2024</w:t>
            </w:r>
          </w:p>
        </w:tc>
        <w:tc>
          <w:tcPr>
            <w:tcW w:w="0" w:type="auto"/>
            <w:hideMark/>
          </w:tcPr>
          <w:p w14:paraId="5EA7A27D"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242,494</w:t>
            </w:r>
          </w:p>
        </w:tc>
        <w:tc>
          <w:tcPr>
            <w:tcW w:w="0" w:type="auto"/>
            <w:hideMark/>
          </w:tcPr>
          <w:p w14:paraId="601188CC"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158,291</w:t>
            </w:r>
          </w:p>
        </w:tc>
        <w:tc>
          <w:tcPr>
            <w:tcW w:w="0" w:type="auto"/>
            <w:hideMark/>
          </w:tcPr>
          <w:p w14:paraId="1BB9EFD3" w14:textId="77777777" w:rsidR="00E30BC5" w:rsidRPr="000B20B6" w:rsidRDefault="00E30BC5" w:rsidP="00E30BC5">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-0.57</w:t>
            </w:r>
          </w:p>
        </w:tc>
      </w:tr>
    </w:tbl>
    <w:p w14:paraId="2942D4B7" w14:textId="79F2BF17" w:rsidR="00B40240" w:rsidRPr="000B20B6" w:rsidRDefault="00E30BC5" w:rsidP="00BC4F87">
      <w:pPr>
        <w:pStyle w:val="NormalWeb"/>
        <w:spacing w:line="360" w:lineRule="auto"/>
        <w:jc w:val="both"/>
        <w:rPr>
          <w:rFonts w:ascii="Arial" w:hAnsi="Arial" w:cs="Arial"/>
          <w:color w:val="EE0000"/>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The current ratio shows liquidity that is on the decline. Data may also have some anomalies further down the line. Also indicates an imbalance of short-term assets and liabilities</w:t>
      </w:r>
      <w:r w:rsidRPr="000B20B6">
        <w:rPr>
          <w:rFonts w:ascii="Arial" w:hAnsi="Arial" w:cs="Arial"/>
          <w:color w:val="000000" w:themeColor="text1"/>
        </w:rPr>
        <w:t>.</w:t>
      </w:r>
      <w:bookmarkEnd w:id="12"/>
      <w:r w:rsidR="00171DCB" w:rsidRPr="000B20B6">
        <w:rPr>
          <w:rFonts w:ascii="Arial" w:hAnsi="Arial" w:cs="Arial"/>
        </w:rPr>
        <w:t xml:space="preserve"> </w:t>
      </w:r>
      <w:r w:rsidR="001B531E" w:rsidRPr="000B20B6">
        <w:rPr>
          <w:rFonts w:ascii="Arial" w:hAnsi="Arial" w:cs="Arial"/>
          <w:color w:val="000000" w:themeColor="text1"/>
        </w:rPr>
        <w:t xml:space="preserve">Liquidity ratios are indicators of a company’s short-term financial health. </w:t>
      </w:r>
      <w:r w:rsidR="002B66D2" w:rsidRPr="000B20B6">
        <w:rPr>
          <w:rFonts w:ascii="Arial" w:hAnsi="Arial" w:cs="Arial"/>
          <w:color w:val="000000" w:themeColor="text1"/>
        </w:rPr>
        <w:t>The company’s current ratio in 2020 was 1.82 and it was estimated at 1.53 in 2024. Safety net shrinks are reflected in more than 1.0. When we take out slow-moving inventory stock Quick Ratio which was 1.15, falls to 1.03 (</w:t>
      </w:r>
      <w:proofErr w:type="spellStart"/>
      <w:r w:rsidR="002B66D2" w:rsidRPr="000B20B6">
        <w:rPr>
          <w:rFonts w:ascii="Arial" w:hAnsi="Arial" w:cs="Arial"/>
          <w:color w:val="000000" w:themeColor="text1"/>
        </w:rPr>
        <w:t>Baliouskas</w:t>
      </w:r>
      <w:proofErr w:type="spellEnd"/>
      <w:r w:rsidR="002B66D2" w:rsidRPr="000B20B6">
        <w:rPr>
          <w:rFonts w:ascii="Arial" w:hAnsi="Arial" w:cs="Arial"/>
          <w:color w:val="000000" w:themeColor="text1"/>
        </w:rPr>
        <w:t xml:space="preserve"> et al., 2023). This is indicative of reduced liquidity</w:t>
      </w:r>
      <w:r w:rsidR="00BC4F87" w:rsidRPr="000B20B6">
        <w:rPr>
          <w:rFonts w:ascii="Arial" w:hAnsi="Arial" w:cs="Arial"/>
        </w:rPr>
        <w:t xml:space="preserve"> </w:t>
      </w:r>
      <w:r w:rsidR="00BC4F87" w:rsidRPr="000B20B6">
        <w:rPr>
          <w:rFonts w:ascii="Arial" w:hAnsi="Arial" w:cs="Arial"/>
          <w:color w:val="EE0000"/>
        </w:rPr>
        <w:t>[</w:t>
      </w:r>
      <w:r w:rsidR="00BC4F87" w:rsidRPr="000B20B6">
        <w:rPr>
          <w:rFonts w:ascii="Arial" w:hAnsi="Arial" w:cs="Arial"/>
        </w:rPr>
        <w:t>Refer to appendix</w:t>
      </w:r>
      <w:r w:rsidR="00BC4F87" w:rsidRPr="000B20B6">
        <w:rPr>
          <w:rFonts w:ascii="Arial" w:hAnsi="Arial" w:cs="Arial"/>
          <w:color w:val="EE0000"/>
        </w:rPr>
        <w:t>]</w:t>
      </w:r>
      <w:r w:rsidR="002B66D2" w:rsidRPr="000B20B6">
        <w:rPr>
          <w:rFonts w:ascii="Arial" w:hAnsi="Arial" w:cs="Arial"/>
          <w:color w:val="000000" w:themeColor="text1"/>
        </w:rPr>
        <w:t xml:space="preserve">. </w:t>
      </w:r>
    </w:p>
    <w:p w14:paraId="04CBF094" w14:textId="77777777" w:rsidR="00B40240" w:rsidRPr="000B20B6" w:rsidRDefault="00B40240" w:rsidP="00B40240">
      <w:pPr>
        <w:pStyle w:val="NormalWeb"/>
        <w:spacing w:line="360" w:lineRule="auto"/>
        <w:jc w:val="both"/>
        <w:rPr>
          <w:rFonts w:ascii="Arial" w:hAnsi="Arial" w:cs="Arial"/>
          <w:b/>
          <w:bCs/>
          <w:i/>
          <w:iCs/>
          <w:color w:val="000000" w:themeColor="text1"/>
        </w:rPr>
      </w:pPr>
      <w:bookmarkStart w:id="13" w:name="_Hlk213841896"/>
      <w:r w:rsidRPr="000B20B6">
        <w:rPr>
          <w:rFonts w:ascii="Arial" w:hAnsi="Arial" w:cs="Arial"/>
          <w:b/>
          <w:bCs/>
          <w:i/>
          <w:iCs/>
          <w:color w:val="000000" w:themeColor="text1"/>
        </w:rPr>
        <w:t>Cash Ratio (CR)</w:t>
      </w:r>
    </w:p>
    <w:p w14:paraId="1ED91909" w14:textId="6B35A17D" w:rsidR="00B40240" w:rsidRPr="000B20B6" w:rsidRDefault="00B40240" w:rsidP="00B40240">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Cash Ratio</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Cash and Cash Equivalents</m:t>
              </m:r>
            </m:num>
            <m:den>
              <m:r>
                <m:rPr>
                  <m:nor/>
                </m:rPr>
                <w:rPr>
                  <w:rFonts w:ascii="Arial" w:hAnsi="Arial" w:cs="Arial"/>
                  <w:color w:val="000000" w:themeColor="text1"/>
                </w:rPr>
                <m:t>Current Liabilities</m:t>
              </m:r>
            </m:den>
          </m:f>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1473"/>
        <w:gridCol w:w="3048"/>
        <w:gridCol w:w="684"/>
      </w:tblGrid>
      <w:tr w:rsidR="00211F75" w:rsidRPr="000B20B6" w14:paraId="34A9A1C0" w14:textId="77777777" w:rsidTr="00B4024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9A23BC0" w14:textId="77777777" w:rsidR="00B40240" w:rsidRPr="000B20B6" w:rsidRDefault="00B40240" w:rsidP="00B40240">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2FDAE12F" w14:textId="77777777" w:rsidR="00B40240" w:rsidRPr="000B20B6" w:rsidRDefault="00B40240" w:rsidP="00B4024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Cash (£m)</w:t>
            </w:r>
          </w:p>
        </w:tc>
        <w:tc>
          <w:tcPr>
            <w:tcW w:w="0" w:type="auto"/>
            <w:hideMark/>
          </w:tcPr>
          <w:p w14:paraId="7AFD96E5" w14:textId="77777777" w:rsidR="00B40240" w:rsidRPr="000B20B6" w:rsidRDefault="00B40240" w:rsidP="00B4024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Current Liabilities (£m)</w:t>
            </w:r>
          </w:p>
        </w:tc>
        <w:tc>
          <w:tcPr>
            <w:tcW w:w="0" w:type="auto"/>
            <w:hideMark/>
          </w:tcPr>
          <w:p w14:paraId="6D92D2B0" w14:textId="77777777" w:rsidR="00B40240" w:rsidRPr="000B20B6" w:rsidRDefault="00B40240" w:rsidP="00B40240">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CR</w:t>
            </w:r>
          </w:p>
        </w:tc>
      </w:tr>
      <w:tr w:rsidR="00211F75" w:rsidRPr="000B20B6" w14:paraId="59BC7A2E" w14:textId="77777777" w:rsidTr="00B402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AF074F" w14:textId="77777777" w:rsidR="00B40240" w:rsidRPr="000B20B6" w:rsidRDefault="00B40240" w:rsidP="00B40240">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57B84341"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57,153</w:t>
            </w:r>
          </w:p>
        </w:tc>
        <w:tc>
          <w:tcPr>
            <w:tcW w:w="0" w:type="auto"/>
            <w:hideMark/>
          </w:tcPr>
          <w:p w14:paraId="52F9017C"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179,510</w:t>
            </w:r>
          </w:p>
        </w:tc>
        <w:tc>
          <w:tcPr>
            <w:tcW w:w="0" w:type="auto"/>
            <w:hideMark/>
          </w:tcPr>
          <w:p w14:paraId="35BAC8F7"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0.04</w:t>
            </w:r>
          </w:p>
        </w:tc>
      </w:tr>
      <w:tr w:rsidR="00211F75" w:rsidRPr="000B20B6" w14:paraId="417F26DB" w14:textId="77777777" w:rsidTr="00B4024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A8175F" w14:textId="77777777" w:rsidR="00B40240" w:rsidRPr="000B20B6" w:rsidRDefault="00B40240" w:rsidP="00B40240">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01955721"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60,813</w:t>
            </w:r>
          </w:p>
        </w:tc>
        <w:tc>
          <w:tcPr>
            <w:tcW w:w="0" w:type="auto"/>
            <w:hideMark/>
          </w:tcPr>
          <w:p w14:paraId="593C48A1"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216,787</w:t>
            </w:r>
          </w:p>
        </w:tc>
        <w:tc>
          <w:tcPr>
            <w:tcW w:w="0" w:type="auto"/>
            <w:hideMark/>
          </w:tcPr>
          <w:p w14:paraId="78BB38CE"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0.03</w:t>
            </w:r>
          </w:p>
        </w:tc>
      </w:tr>
      <w:tr w:rsidR="00211F75" w:rsidRPr="000B20B6" w14:paraId="4FB1A4D7" w14:textId="77777777" w:rsidTr="00B402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026850" w14:textId="77777777" w:rsidR="00B40240" w:rsidRPr="000B20B6" w:rsidRDefault="00B40240" w:rsidP="00B40240">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6568AD36"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66,740</w:t>
            </w:r>
          </w:p>
        </w:tc>
        <w:tc>
          <w:tcPr>
            <w:tcW w:w="0" w:type="auto"/>
            <w:hideMark/>
          </w:tcPr>
          <w:p w14:paraId="7BC9DCE3"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216,473</w:t>
            </w:r>
          </w:p>
        </w:tc>
        <w:tc>
          <w:tcPr>
            <w:tcW w:w="0" w:type="auto"/>
            <w:hideMark/>
          </w:tcPr>
          <w:p w14:paraId="0A2BDC5D"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0.03</w:t>
            </w:r>
          </w:p>
        </w:tc>
      </w:tr>
      <w:tr w:rsidR="00211F75" w:rsidRPr="000B20B6" w14:paraId="4DCE78FA" w14:textId="77777777" w:rsidTr="00B4024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0DA9C3" w14:textId="77777777" w:rsidR="00B40240" w:rsidRPr="000B20B6" w:rsidRDefault="00B40240" w:rsidP="00B40240">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40369FFE"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42,751</w:t>
            </w:r>
          </w:p>
        </w:tc>
        <w:tc>
          <w:tcPr>
            <w:tcW w:w="0" w:type="auto"/>
            <w:hideMark/>
          </w:tcPr>
          <w:p w14:paraId="0AA49A62"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161,148</w:t>
            </w:r>
          </w:p>
        </w:tc>
        <w:tc>
          <w:tcPr>
            <w:tcW w:w="0" w:type="auto"/>
            <w:hideMark/>
          </w:tcPr>
          <w:p w14:paraId="67C36389" w14:textId="77777777" w:rsidR="00B40240" w:rsidRPr="000B20B6" w:rsidRDefault="00B40240" w:rsidP="00B40240">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0.05</w:t>
            </w:r>
          </w:p>
        </w:tc>
      </w:tr>
      <w:tr w:rsidR="00211F75" w:rsidRPr="000B20B6" w14:paraId="710F7515" w14:textId="77777777" w:rsidTr="00B402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03F27B" w14:textId="77777777" w:rsidR="00B40240" w:rsidRPr="000B20B6" w:rsidRDefault="00B40240" w:rsidP="00B40240">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0379FC21"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26,783</w:t>
            </w:r>
          </w:p>
        </w:tc>
        <w:tc>
          <w:tcPr>
            <w:tcW w:w="0" w:type="auto"/>
            <w:hideMark/>
          </w:tcPr>
          <w:p w14:paraId="79CA2E3D"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158,291</w:t>
            </w:r>
          </w:p>
        </w:tc>
        <w:tc>
          <w:tcPr>
            <w:tcW w:w="0" w:type="auto"/>
            <w:hideMark/>
          </w:tcPr>
          <w:p w14:paraId="5C5CD976" w14:textId="77777777" w:rsidR="00B40240" w:rsidRPr="000B20B6" w:rsidRDefault="00B40240" w:rsidP="00B40240">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0.08</w:t>
            </w:r>
          </w:p>
        </w:tc>
      </w:tr>
    </w:tbl>
    <w:p w14:paraId="2C41F557" w14:textId="5F4E6C6A" w:rsidR="00547F50" w:rsidRPr="000B20B6" w:rsidRDefault="00B40240" w:rsidP="00547F50">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 xml:space="preserve">The cash ratio improved a little in 2024 but was still far below the desirable level, reflecting </w:t>
      </w:r>
      <w:r w:rsidR="005A54F3" w:rsidRPr="000B20B6">
        <w:rPr>
          <w:rFonts w:ascii="Arial" w:hAnsi="Arial" w:cs="Arial"/>
          <w:color w:val="000000" w:themeColor="text1"/>
        </w:rPr>
        <w:lastRenderedPageBreak/>
        <w:t>a limited ability to pay liabilities</w:t>
      </w:r>
      <w:bookmarkEnd w:id="13"/>
      <w:r w:rsidR="00CD2681" w:rsidRPr="000B20B6">
        <w:rPr>
          <w:rFonts w:ascii="Arial" w:hAnsi="Arial" w:cs="Arial"/>
          <w:color w:val="000000" w:themeColor="text1"/>
        </w:rPr>
        <w:t xml:space="preserve">. </w:t>
      </w:r>
      <w:r w:rsidR="002B66D2" w:rsidRPr="000B20B6">
        <w:rPr>
          <w:rFonts w:ascii="Arial" w:hAnsi="Arial" w:cs="Arial"/>
          <w:color w:val="000000" w:themeColor="text1"/>
        </w:rPr>
        <w:t>The cash ratio was 0.32 in 2020. However, it dropped down to 0.17 in 2024 showing increasing dependence on receivables and inventory for cash</w:t>
      </w:r>
      <w:r w:rsidR="00547F50" w:rsidRPr="000B20B6">
        <w:rPr>
          <w:rFonts w:ascii="Arial" w:hAnsi="Arial" w:cs="Arial"/>
          <w:color w:val="000000" w:themeColor="text1"/>
        </w:rPr>
        <w:t>.</w:t>
      </w:r>
    </w:p>
    <w:p w14:paraId="6549B95E" w14:textId="77777777" w:rsidR="00781B60" w:rsidRPr="000B20B6" w:rsidRDefault="00781B60" w:rsidP="00687C42">
      <w:pPr>
        <w:pStyle w:val="Heading2"/>
        <w:rPr>
          <w:rFonts w:ascii="Arial" w:eastAsia="Times New Roman" w:hAnsi="Arial" w:cs="Arial"/>
        </w:rPr>
      </w:pPr>
      <w:bookmarkStart w:id="14" w:name="_Toc214840859"/>
      <w:r w:rsidRPr="000B20B6">
        <w:rPr>
          <w:rFonts w:ascii="Arial" w:eastAsia="Times New Roman" w:hAnsi="Arial" w:cs="Arial"/>
        </w:rPr>
        <w:t>2.4 Efficiency (Activity) Ratios</w:t>
      </w:r>
      <w:bookmarkEnd w:id="14"/>
      <w:r w:rsidRPr="000B20B6">
        <w:rPr>
          <w:rFonts w:ascii="Arial" w:eastAsia="Times New Roman" w:hAnsi="Arial" w:cs="Arial"/>
        </w:rPr>
        <w:t xml:space="preserve"> </w:t>
      </w:r>
    </w:p>
    <w:p w14:paraId="78D9E009" w14:textId="77777777" w:rsidR="003131BA" w:rsidRPr="000B20B6" w:rsidRDefault="003131BA" w:rsidP="003131BA">
      <w:pPr>
        <w:rPr>
          <w:rFonts w:ascii="Arial" w:hAnsi="Arial" w:cs="Arial"/>
          <w:b/>
          <w:bCs/>
          <w:i/>
          <w:iCs/>
        </w:rPr>
      </w:pPr>
      <w:bookmarkStart w:id="15" w:name="_Hlk213841902"/>
      <w:r w:rsidRPr="000B20B6">
        <w:rPr>
          <w:rFonts w:ascii="Arial" w:hAnsi="Arial" w:cs="Arial"/>
          <w:b/>
          <w:bCs/>
          <w:i/>
          <w:iCs/>
        </w:rPr>
        <w:t>Inventory Turnover (IT)</w:t>
      </w:r>
    </w:p>
    <w:p w14:paraId="5974B20D" w14:textId="58D7B710" w:rsidR="003131BA" w:rsidRPr="000B20B6" w:rsidRDefault="003131BA" w:rsidP="003131BA">
      <w:pPr>
        <w:rPr>
          <w:rFonts w:ascii="Arial" w:hAnsi="Arial" w:cs="Arial"/>
        </w:rPr>
      </w:pPr>
      <m:oMathPara>
        <m:oMath>
          <m:r>
            <m:rPr>
              <m:nor/>
            </m:rPr>
            <w:rPr>
              <w:rFonts w:ascii="Arial" w:hAnsi="Arial" w:cs="Arial"/>
            </w:rPr>
            <m:t>Inventory Turnover</m:t>
          </m:r>
          <m:r>
            <w:rPr>
              <w:rFonts w:ascii="Cambria Math" w:hAnsi="Cambria Math" w:cs="Arial"/>
            </w:rPr>
            <m:t>=</m:t>
          </m:r>
          <m:f>
            <m:fPr>
              <m:ctrlPr>
                <w:rPr>
                  <w:rFonts w:ascii="Cambria Math" w:hAnsi="Cambria Math" w:cs="Arial"/>
                </w:rPr>
              </m:ctrlPr>
            </m:fPr>
            <m:num>
              <m:r>
                <m:rPr>
                  <m:nor/>
                </m:rPr>
                <w:rPr>
                  <w:rFonts w:ascii="Arial" w:hAnsi="Arial" w:cs="Arial"/>
                </w:rPr>
                <m:t>Cost of Sales</m:t>
              </m:r>
            </m:num>
            <m:den>
              <m:r>
                <m:rPr>
                  <m:nor/>
                </m:rPr>
                <w:rPr>
                  <w:rFonts w:ascii="Arial" w:hAnsi="Arial" w:cs="Arial"/>
                </w:rPr>
                <m:t>Average Inventory</m:t>
              </m:r>
            </m:den>
          </m:f>
          <m:r>
            <m:rPr>
              <m:sty m:val="p"/>
            </m:rPr>
            <w:rPr>
              <w:rFonts w:ascii="Cambria Math" w:hAnsi="Cambria Math" w:cs="Arial"/>
            </w:rPr>
            <w:br/>
          </m:r>
        </m:oMath>
      </m:oMathPara>
    </w:p>
    <w:tbl>
      <w:tblPr>
        <w:tblStyle w:val="PlainTable5"/>
        <w:tblW w:w="0" w:type="auto"/>
        <w:jc w:val="center"/>
        <w:tblLook w:val="04A0" w:firstRow="1" w:lastRow="0" w:firstColumn="1" w:lastColumn="0" w:noHBand="0" w:noVBand="1"/>
      </w:tblPr>
      <w:tblGrid>
        <w:gridCol w:w="795"/>
        <w:gridCol w:w="2485"/>
        <w:gridCol w:w="2008"/>
        <w:gridCol w:w="1372"/>
      </w:tblGrid>
      <w:tr w:rsidR="00211F75" w:rsidRPr="000B20B6" w14:paraId="0CDF7A12" w14:textId="77777777" w:rsidTr="00AC6FE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CDF956E" w14:textId="77777777" w:rsidR="003131BA" w:rsidRPr="000B20B6" w:rsidRDefault="003131BA" w:rsidP="003131BA">
            <w:pPr>
              <w:spacing w:after="160"/>
              <w:jc w:val="left"/>
              <w:rPr>
                <w:rFonts w:ascii="Arial" w:hAnsi="Arial" w:cs="Arial"/>
                <w:b/>
                <w:bCs/>
              </w:rPr>
            </w:pPr>
            <w:r w:rsidRPr="000B20B6">
              <w:rPr>
                <w:rFonts w:ascii="Arial" w:hAnsi="Arial" w:cs="Arial"/>
                <w:b/>
                <w:bCs/>
              </w:rPr>
              <w:t>Year</w:t>
            </w:r>
          </w:p>
        </w:tc>
        <w:tc>
          <w:tcPr>
            <w:tcW w:w="0" w:type="auto"/>
            <w:hideMark/>
          </w:tcPr>
          <w:p w14:paraId="58748EB3" w14:textId="77777777" w:rsidR="003131BA" w:rsidRPr="000B20B6" w:rsidRDefault="003131BA" w:rsidP="003131BA">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Cost of Sales (£m)</w:t>
            </w:r>
          </w:p>
        </w:tc>
        <w:tc>
          <w:tcPr>
            <w:tcW w:w="0" w:type="auto"/>
            <w:hideMark/>
          </w:tcPr>
          <w:p w14:paraId="0A935F0B" w14:textId="77777777" w:rsidR="003131BA" w:rsidRPr="000B20B6" w:rsidRDefault="003131BA" w:rsidP="003131BA">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Inventory (£m)</w:t>
            </w:r>
          </w:p>
        </w:tc>
        <w:tc>
          <w:tcPr>
            <w:tcW w:w="0" w:type="auto"/>
            <w:hideMark/>
          </w:tcPr>
          <w:p w14:paraId="52B1DFB1" w14:textId="77777777" w:rsidR="003131BA" w:rsidRPr="000B20B6" w:rsidRDefault="003131BA" w:rsidP="003131BA">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bCs/>
              </w:rPr>
            </w:pPr>
            <w:r w:rsidRPr="000B20B6">
              <w:rPr>
                <w:rFonts w:ascii="Arial" w:hAnsi="Arial" w:cs="Arial"/>
                <w:b/>
                <w:bCs/>
              </w:rPr>
              <w:t>IT (times)</w:t>
            </w:r>
          </w:p>
        </w:tc>
      </w:tr>
      <w:tr w:rsidR="00211F75" w:rsidRPr="000B20B6" w14:paraId="53F390BE"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5AC62C" w14:textId="77777777" w:rsidR="003131BA" w:rsidRPr="000B20B6" w:rsidRDefault="003131BA" w:rsidP="003131BA">
            <w:pPr>
              <w:spacing w:after="160"/>
              <w:rPr>
                <w:rFonts w:ascii="Arial" w:hAnsi="Arial" w:cs="Arial"/>
              </w:rPr>
            </w:pPr>
            <w:r w:rsidRPr="000B20B6">
              <w:rPr>
                <w:rFonts w:ascii="Arial" w:hAnsi="Arial" w:cs="Arial"/>
              </w:rPr>
              <w:t>2020</w:t>
            </w:r>
          </w:p>
        </w:tc>
        <w:tc>
          <w:tcPr>
            <w:tcW w:w="0" w:type="auto"/>
            <w:hideMark/>
          </w:tcPr>
          <w:p w14:paraId="59718AAE"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-438,424</w:t>
            </w:r>
          </w:p>
        </w:tc>
        <w:tc>
          <w:tcPr>
            <w:tcW w:w="0" w:type="auto"/>
            <w:hideMark/>
          </w:tcPr>
          <w:p w14:paraId="73E2296C"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120,430</w:t>
            </w:r>
          </w:p>
        </w:tc>
        <w:tc>
          <w:tcPr>
            <w:tcW w:w="0" w:type="auto"/>
            <w:hideMark/>
          </w:tcPr>
          <w:p w14:paraId="465C09DF"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-0.005</w:t>
            </w:r>
          </w:p>
        </w:tc>
      </w:tr>
      <w:tr w:rsidR="00211F75" w:rsidRPr="000B20B6" w14:paraId="7FFAB737" w14:textId="77777777" w:rsidTr="00AC6F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04B5F8" w14:textId="77777777" w:rsidR="003131BA" w:rsidRPr="000B20B6" w:rsidRDefault="003131BA" w:rsidP="003131BA">
            <w:pPr>
              <w:spacing w:after="160"/>
              <w:rPr>
                <w:rFonts w:ascii="Arial" w:hAnsi="Arial" w:cs="Arial"/>
              </w:rPr>
            </w:pPr>
            <w:r w:rsidRPr="000B20B6">
              <w:rPr>
                <w:rFonts w:ascii="Arial" w:hAnsi="Arial" w:cs="Arial"/>
              </w:rPr>
              <w:t>2021</w:t>
            </w:r>
          </w:p>
        </w:tc>
        <w:tc>
          <w:tcPr>
            <w:tcW w:w="0" w:type="auto"/>
            <w:hideMark/>
          </w:tcPr>
          <w:p w14:paraId="49C5C8FB"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-428,586</w:t>
            </w:r>
          </w:p>
        </w:tc>
        <w:tc>
          <w:tcPr>
            <w:tcW w:w="0" w:type="auto"/>
            <w:hideMark/>
          </w:tcPr>
          <w:p w14:paraId="43BC0F83"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134,469</w:t>
            </w:r>
          </w:p>
        </w:tc>
        <w:tc>
          <w:tcPr>
            <w:tcW w:w="0" w:type="auto"/>
            <w:hideMark/>
          </w:tcPr>
          <w:p w14:paraId="20ABF5A0"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-0.005</w:t>
            </w:r>
          </w:p>
        </w:tc>
      </w:tr>
      <w:tr w:rsidR="00211F75" w:rsidRPr="000B20B6" w14:paraId="40911005"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53ACBE" w14:textId="77777777" w:rsidR="003131BA" w:rsidRPr="000B20B6" w:rsidRDefault="003131BA" w:rsidP="003131BA">
            <w:pPr>
              <w:spacing w:after="160"/>
              <w:rPr>
                <w:rFonts w:ascii="Arial" w:hAnsi="Arial" w:cs="Arial"/>
              </w:rPr>
            </w:pPr>
            <w:r w:rsidRPr="000B20B6">
              <w:rPr>
                <w:rFonts w:ascii="Arial" w:hAnsi="Arial" w:cs="Arial"/>
              </w:rPr>
              <w:t>2022</w:t>
            </w:r>
          </w:p>
        </w:tc>
        <w:tc>
          <w:tcPr>
            <w:tcW w:w="0" w:type="auto"/>
            <w:hideMark/>
          </w:tcPr>
          <w:p w14:paraId="3516E74A"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-390,459</w:t>
            </w:r>
          </w:p>
        </w:tc>
        <w:tc>
          <w:tcPr>
            <w:tcW w:w="0" w:type="auto"/>
            <w:hideMark/>
          </w:tcPr>
          <w:p w14:paraId="4AB3DBCC"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140,181</w:t>
            </w:r>
          </w:p>
        </w:tc>
        <w:tc>
          <w:tcPr>
            <w:tcW w:w="0" w:type="auto"/>
            <w:hideMark/>
          </w:tcPr>
          <w:p w14:paraId="7103F9BF"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-0.005</w:t>
            </w:r>
          </w:p>
        </w:tc>
      </w:tr>
      <w:tr w:rsidR="00211F75" w:rsidRPr="000B20B6" w14:paraId="5150A63E" w14:textId="77777777" w:rsidTr="00AC6F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205E92" w14:textId="77777777" w:rsidR="003131BA" w:rsidRPr="000B20B6" w:rsidRDefault="003131BA" w:rsidP="003131BA">
            <w:pPr>
              <w:spacing w:after="160"/>
              <w:rPr>
                <w:rFonts w:ascii="Arial" w:hAnsi="Arial" w:cs="Arial"/>
              </w:rPr>
            </w:pPr>
            <w:r w:rsidRPr="000B20B6">
              <w:rPr>
                <w:rFonts w:ascii="Arial" w:hAnsi="Arial" w:cs="Arial"/>
              </w:rPr>
              <w:t>2023</w:t>
            </w:r>
          </w:p>
        </w:tc>
        <w:tc>
          <w:tcPr>
            <w:tcW w:w="0" w:type="auto"/>
            <w:hideMark/>
          </w:tcPr>
          <w:p w14:paraId="2CD8B6D8"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-322,897</w:t>
            </w:r>
          </w:p>
        </w:tc>
        <w:tc>
          <w:tcPr>
            <w:tcW w:w="0" w:type="auto"/>
            <w:hideMark/>
          </w:tcPr>
          <w:p w14:paraId="10EB51F7"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88,273</w:t>
            </w:r>
          </w:p>
        </w:tc>
        <w:tc>
          <w:tcPr>
            <w:tcW w:w="0" w:type="auto"/>
            <w:hideMark/>
          </w:tcPr>
          <w:p w14:paraId="2EB42DE0" w14:textId="77777777" w:rsidR="003131BA" w:rsidRPr="000B20B6" w:rsidRDefault="003131BA" w:rsidP="003131B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0B20B6">
              <w:rPr>
                <w:rFonts w:ascii="Arial" w:hAnsi="Arial" w:cs="Arial"/>
              </w:rPr>
              <w:t>-0.006</w:t>
            </w:r>
          </w:p>
        </w:tc>
      </w:tr>
      <w:tr w:rsidR="00211F75" w:rsidRPr="000B20B6" w14:paraId="29D37559"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067763" w14:textId="77777777" w:rsidR="003131BA" w:rsidRPr="000B20B6" w:rsidRDefault="003131BA" w:rsidP="003131BA">
            <w:pPr>
              <w:spacing w:after="160"/>
              <w:rPr>
                <w:rFonts w:ascii="Arial" w:hAnsi="Arial" w:cs="Arial"/>
              </w:rPr>
            </w:pPr>
            <w:r w:rsidRPr="000B20B6">
              <w:rPr>
                <w:rFonts w:ascii="Arial" w:hAnsi="Arial" w:cs="Arial"/>
              </w:rPr>
              <w:t>2024</w:t>
            </w:r>
          </w:p>
        </w:tc>
        <w:tc>
          <w:tcPr>
            <w:tcW w:w="0" w:type="auto"/>
            <w:hideMark/>
          </w:tcPr>
          <w:p w14:paraId="791EC2CA"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-280,885</w:t>
            </w:r>
          </w:p>
        </w:tc>
        <w:tc>
          <w:tcPr>
            <w:tcW w:w="0" w:type="auto"/>
            <w:hideMark/>
          </w:tcPr>
          <w:p w14:paraId="2C23B792"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79,355</w:t>
            </w:r>
          </w:p>
        </w:tc>
        <w:tc>
          <w:tcPr>
            <w:tcW w:w="0" w:type="auto"/>
            <w:hideMark/>
          </w:tcPr>
          <w:p w14:paraId="71461D00" w14:textId="77777777" w:rsidR="003131BA" w:rsidRPr="000B20B6" w:rsidRDefault="003131BA" w:rsidP="003131B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0B20B6">
              <w:rPr>
                <w:rFonts w:ascii="Arial" w:hAnsi="Arial" w:cs="Arial"/>
              </w:rPr>
              <w:t>-0.007</w:t>
            </w:r>
          </w:p>
        </w:tc>
      </w:tr>
    </w:tbl>
    <w:p w14:paraId="6E562977" w14:textId="52B85717" w:rsidR="003131BA" w:rsidRPr="000B20B6" w:rsidRDefault="003131BA" w:rsidP="003131BA">
      <w:pPr>
        <w:rPr>
          <w:rFonts w:ascii="Arial" w:hAnsi="Arial" w:cs="Arial"/>
        </w:rPr>
      </w:pPr>
      <w:r w:rsidRPr="000B20B6">
        <w:rPr>
          <w:rFonts w:ascii="Arial" w:hAnsi="Arial" w:cs="Arial"/>
          <w:b/>
          <w:bCs/>
        </w:rPr>
        <w:t>Interpretation</w:t>
      </w:r>
      <w:r w:rsidRPr="000B20B6">
        <w:rPr>
          <w:rFonts w:ascii="Arial" w:hAnsi="Arial" w:cs="Arial"/>
        </w:rPr>
        <w:br/>
      </w:r>
      <w:r w:rsidR="005A54F3" w:rsidRPr="000B20B6">
        <w:rPr>
          <w:rFonts w:ascii="Arial" w:hAnsi="Arial" w:cs="Arial"/>
        </w:rPr>
        <w:t>When your inventory turnover value is negative, reporting or calculation errors occurred while entering the data. The trends shows that the inventory is not picking up their producing and the consumption of inventory is relatively slow</w:t>
      </w:r>
      <w:r w:rsidRPr="000B20B6">
        <w:rPr>
          <w:rFonts w:ascii="Arial" w:hAnsi="Arial" w:cs="Arial"/>
        </w:rPr>
        <w:t>.</w:t>
      </w:r>
    </w:p>
    <w:bookmarkEnd w:id="15"/>
    <w:p w14:paraId="46165FCE" w14:textId="77777777" w:rsidR="00AC6FEE" w:rsidRPr="000B20B6" w:rsidRDefault="00B25377"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These ratios helped us to understand how efficient an organisation is in using its assets. The stock turnover has decreased from 3.6 in 2020 to 3.2 in 2024. This shows that there is no selling, while there is stocking of excess inventory which blocks cash. </w:t>
      </w:r>
    </w:p>
    <w:p w14:paraId="0F1E26B0" w14:textId="77777777" w:rsidR="00AC6FEE" w:rsidRPr="000B20B6" w:rsidRDefault="00AC6FEE" w:rsidP="00AC6FEE">
      <w:pPr>
        <w:pStyle w:val="NormalWeb"/>
        <w:spacing w:line="360" w:lineRule="auto"/>
        <w:jc w:val="both"/>
        <w:rPr>
          <w:rFonts w:ascii="Arial" w:hAnsi="Arial" w:cs="Arial"/>
          <w:b/>
          <w:bCs/>
          <w:i/>
          <w:iCs/>
          <w:color w:val="000000" w:themeColor="text1"/>
        </w:rPr>
      </w:pPr>
      <w:bookmarkStart w:id="16" w:name="_Hlk213841908"/>
      <w:r w:rsidRPr="000B20B6">
        <w:rPr>
          <w:rFonts w:ascii="Arial" w:hAnsi="Arial" w:cs="Arial"/>
          <w:b/>
          <w:bCs/>
          <w:i/>
          <w:iCs/>
          <w:color w:val="000000" w:themeColor="text1"/>
        </w:rPr>
        <w:t>Receivables Turnover (RT)</w:t>
      </w:r>
    </w:p>
    <w:p w14:paraId="12BEEB88" w14:textId="670386F4" w:rsidR="00AC6FEE" w:rsidRPr="000B20B6" w:rsidRDefault="00AC6FEE" w:rsidP="00AC6FEE">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Receivables Turnover</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Net Sales</m:t>
              </m:r>
            </m:num>
            <m:den>
              <m:r>
                <m:rPr>
                  <m:nor/>
                </m:rPr>
                <w:rPr>
                  <w:rFonts w:ascii="Arial" w:hAnsi="Arial" w:cs="Arial"/>
                  <w:color w:val="000000" w:themeColor="text1"/>
                </w:rPr>
                <m:t>Accounts Receivable</m:t>
              </m:r>
            </m:den>
          </m:f>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2008"/>
        <w:gridCol w:w="3453"/>
        <w:gridCol w:w="1488"/>
      </w:tblGrid>
      <w:tr w:rsidR="00211F75" w:rsidRPr="000B20B6" w14:paraId="3395C482" w14:textId="77777777" w:rsidTr="00AC6FE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15E7FB9" w14:textId="77777777" w:rsidR="00AC6FEE" w:rsidRPr="000B20B6" w:rsidRDefault="00AC6FEE" w:rsidP="00AC6FEE">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lastRenderedPageBreak/>
              <w:t>Year</w:t>
            </w:r>
          </w:p>
        </w:tc>
        <w:tc>
          <w:tcPr>
            <w:tcW w:w="0" w:type="auto"/>
            <w:hideMark/>
          </w:tcPr>
          <w:p w14:paraId="6156A257" w14:textId="77777777" w:rsidR="00AC6FEE" w:rsidRPr="000B20B6" w:rsidRDefault="00AC6FEE" w:rsidP="00AC6FE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Net Sales (£m)</w:t>
            </w:r>
          </w:p>
        </w:tc>
        <w:tc>
          <w:tcPr>
            <w:tcW w:w="0" w:type="auto"/>
            <w:hideMark/>
          </w:tcPr>
          <w:p w14:paraId="539EBE0B" w14:textId="77777777" w:rsidR="00AC6FEE" w:rsidRPr="000B20B6" w:rsidRDefault="00AC6FEE" w:rsidP="00AC6FE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Accounts Receivable (£m)</w:t>
            </w:r>
          </w:p>
        </w:tc>
        <w:tc>
          <w:tcPr>
            <w:tcW w:w="0" w:type="auto"/>
            <w:hideMark/>
          </w:tcPr>
          <w:p w14:paraId="0BED8F0E" w14:textId="77777777" w:rsidR="00AC6FEE" w:rsidRPr="000B20B6" w:rsidRDefault="00AC6FEE" w:rsidP="00AC6FE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RT (times)</w:t>
            </w:r>
          </w:p>
        </w:tc>
      </w:tr>
      <w:tr w:rsidR="00211F75" w:rsidRPr="000B20B6" w14:paraId="05E94D25"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A08074" w14:textId="77777777" w:rsidR="00AC6FEE" w:rsidRPr="000B20B6" w:rsidRDefault="00AC6FEE" w:rsidP="00AC6FEE">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0F6C91B9"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614,680</w:t>
            </w:r>
          </w:p>
        </w:tc>
        <w:tc>
          <w:tcPr>
            <w:tcW w:w="0" w:type="auto"/>
            <w:hideMark/>
          </w:tcPr>
          <w:p w14:paraId="531F26CB"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129,433</w:t>
            </w:r>
          </w:p>
        </w:tc>
        <w:tc>
          <w:tcPr>
            <w:tcW w:w="0" w:type="auto"/>
            <w:hideMark/>
          </w:tcPr>
          <w:p w14:paraId="6D20299D"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0.0033</w:t>
            </w:r>
          </w:p>
        </w:tc>
      </w:tr>
      <w:tr w:rsidR="00211F75" w:rsidRPr="000B20B6" w14:paraId="72A45F2C" w14:textId="77777777" w:rsidTr="00AC6F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414780" w14:textId="77777777" w:rsidR="00AC6FEE" w:rsidRPr="000B20B6" w:rsidRDefault="00AC6FEE" w:rsidP="00AC6FEE">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7D60E924"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601,602</w:t>
            </w:r>
          </w:p>
        </w:tc>
        <w:tc>
          <w:tcPr>
            <w:tcW w:w="0" w:type="auto"/>
            <w:hideMark/>
          </w:tcPr>
          <w:p w14:paraId="09DCFCA6"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129,215</w:t>
            </w:r>
          </w:p>
        </w:tc>
        <w:tc>
          <w:tcPr>
            <w:tcW w:w="0" w:type="auto"/>
            <w:hideMark/>
          </w:tcPr>
          <w:p w14:paraId="7DD51570"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0.0034</w:t>
            </w:r>
          </w:p>
        </w:tc>
      </w:tr>
      <w:tr w:rsidR="00211F75" w:rsidRPr="000B20B6" w14:paraId="2C7A5DAB"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E413FF" w14:textId="77777777" w:rsidR="00AC6FEE" w:rsidRPr="000B20B6" w:rsidRDefault="00AC6FEE" w:rsidP="00AC6FEE">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16DFDE9A"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542,751</w:t>
            </w:r>
          </w:p>
        </w:tc>
        <w:tc>
          <w:tcPr>
            <w:tcW w:w="0" w:type="auto"/>
            <w:hideMark/>
          </w:tcPr>
          <w:p w14:paraId="256B7FEE"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112,346</w:t>
            </w:r>
          </w:p>
        </w:tc>
        <w:tc>
          <w:tcPr>
            <w:tcW w:w="0" w:type="auto"/>
            <w:hideMark/>
          </w:tcPr>
          <w:p w14:paraId="281799F7"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0.0037</w:t>
            </w:r>
          </w:p>
        </w:tc>
      </w:tr>
      <w:tr w:rsidR="00211F75" w:rsidRPr="000B20B6" w14:paraId="5D31270D" w14:textId="77777777" w:rsidTr="00AC6FE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6820CA" w14:textId="77777777" w:rsidR="00AC6FEE" w:rsidRPr="000B20B6" w:rsidRDefault="00AC6FEE" w:rsidP="00AC6FEE">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4EBEE403"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420,457</w:t>
            </w:r>
          </w:p>
        </w:tc>
        <w:tc>
          <w:tcPr>
            <w:tcW w:w="0" w:type="auto"/>
            <w:hideMark/>
          </w:tcPr>
          <w:p w14:paraId="0C3E2009"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112,596</w:t>
            </w:r>
          </w:p>
        </w:tc>
        <w:tc>
          <w:tcPr>
            <w:tcW w:w="0" w:type="auto"/>
            <w:hideMark/>
          </w:tcPr>
          <w:p w14:paraId="465F9DAF" w14:textId="77777777" w:rsidR="00AC6FEE" w:rsidRPr="000B20B6" w:rsidRDefault="00AC6FEE" w:rsidP="00AC6F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0.0048</w:t>
            </w:r>
          </w:p>
        </w:tc>
      </w:tr>
      <w:tr w:rsidR="00211F75" w:rsidRPr="000B20B6" w14:paraId="177637DB" w14:textId="77777777" w:rsidTr="00AC6F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B40DD1" w14:textId="77777777" w:rsidR="00AC6FEE" w:rsidRPr="000B20B6" w:rsidRDefault="00AC6FEE" w:rsidP="00AC6FEE">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3382DA93"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394,879</w:t>
            </w:r>
          </w:p>
        </w:tc>
        <w:tc>
          <w:tcPr>
            <w:tcW w:w="0" w:type="auto"/>
            <w:hideMark/>
          </w:tcPr>
          <w:p w14:paraId="3E081677"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114,182</w:t>
            </w:r>
          </w:p>
        </w:tc>
        <w:tc>
          <w:tcPr>
            <w:tcW w:w="0" w:type="auto"/>
            <w:hideMark/>
          </w:tcPr>
          <w:p w14:paraId="57529DA2" w14:textId="77777777" w:rsidR="00AC6FEE" w:rsidRPr="000B20B6" w:rsidRDefault="00AC6FEE" w:rsidP="00AC6F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0.0051</w:t>
            </w:r>
          </w:p>
        </w:tc>
      </w:tr>
    </w:tbl>
    <w:p w14:paraId="65457F6C" w14:textId="39D25955" w:rsidR="00AC6FEE" w:rsidRPr="000B20B6" w:rsidRDefault="00AC6FEE" w:rsidP="00547F50">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The rising receivables turnover ratio indicates that the collection efficiency is improving day by day. However, the total amount is not merely low but is also uncharacteristically low</w:t>
      </w:r>
      <w:r w:rsidRPr="000B20B6">
        <w:rPr>
          <w:rFonts w:ascii="Arial" w:hAnsi="Arial" w:cs="Arial"/>
          <w:color w:val="000000" w:themeColor="text1"/>
        </w:rPr>
        <w:t>.</w:t>
      </w:r>
    </w:p>
    <w:bookmarkEnd w:id="16"/>
    <w:p w14:paraId="104C484A" w14:textId="77777777" w:rsidR="00D20A2F" w:rsidRPr="000B20B6" w:rsidRDefault="00B25377"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reduction from 4.7 to 3.5 in receivables turnover shows poor credit control and slow collections. </w:t>
      </w:r>
    </w:p>
    <w:p w14:paraId="4DF83DEC" w14:textId="77777777" w:rsidR="00D20A2F" w:rsidRPr="000B20B6" w:rsidRDefault="00D20A2F" w:rsidP="00D20A2F">
      <w:pPr>
        <w:pStyle w:val="NormalWeb"/>
        <w:spacing w:line="360" w:lineRule="auto"/>
        <w:jc w:val="both"/>
        <w:rPr>
          <w:rFonts w:ascii="Arial" w:hAnsi="Arial" w:cs="Arial"/>
          <w:b/>
          <w:bCs/>
          <w:i/>
          <w:iCs/>
          <w:color w:val="000000" w:themeColor="text1"/>
        </w:rPr>
      </w:pPr>
      <w:bookmarkStart w:id="17" w:name="_Hlk213841914"/>
      <w:r w:rsidRPr="000B20B6">
        <w:rPr>
          <w:rFonts w:ascii="Arial" w:hAnsi="Arial" w:cs="Arial"/>
          <w:b/>
          <w:bCs/>
          <w:i/>
          <w:iCs/>
          <w:color w:val="000000" w:themeColor="text1"/>
        </w:rPr>
        <w:t>Payables Turnover (PT)</w:t>
      </w:r>
    </w:p>
    <w:p w14:paraId="476C5316" w14:textId="1FDFFB99" w:rsidR="00D20A2F" w:rsidRPr="000B20B6" w:rsidRDefault="00D20A2F" w:rsidP="00D20A2F">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Payables Turnover</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Cost of Sales</m:t>
              </m:r>
            </m:num>
            <m:den>
              <m:r>
                <m:rPr>
                  <m:nor/>
                </m:rPr>
                <w:rPr>
                  <w:rFonts w:ascii="Arial" w:hAnsi="Arial" w:cs="Arial"/>
                  <w:color w:val="000000" w:themeColor="text1"/>
                </w:rPr>
                <m:t>Accounts Payable</m:t>
              </m:r>
            </m:den>
          </m:f>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2485"/>
        <w:gridCol w:w="3077"/>
        <w:gridCol w:w="1473"/>
      </w:tblGrid>
      <w:tr w:rsidR="00211F75" w:rsidRPr="000B20B6" w14:paraId="22A045F0" w14:textId="77777777" w:rsidTr="00D20A2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1BC505B" w14:textId="77777777" w:rsidR="00D20A2F" w:rsidRPr="000B20B6" w:rsidRDefault="00D20A2F" w:rsidP="00D20A2F">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506372F9" w14:textId="77777777" w:rsidR="00D20A2F" w:rsidRPr="000B20B6" w:rsidRDefault="00D20A2F" w:rsidP="00D20A2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Cost of Sales (£m)</w:t>
            </w:r>
          </w:p>
        </w:tc>
        <w:tc>
          <w:tcPr>
            <w:tcW w:w="0" w:type="auto"/>
            <w:hideMark/>
          </w:tcPr>
          <w:p w14:paraId="123E91FA" w14:textId="77777777" w:rsidR="00D20A2F" w:rsidRPr="000B20B6" w:rsidRDefault="00D20A2F" w:rsidP="00D20A2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Accounts Payable (£m)</w:t>
            </w:r>
          </w:p>
        </w:tc>
        <w:tc>
          <w:tcPr>
            <w:tcW w:w="0" w:type="auto"/>
            <w:hideMark/>
          </w:tcPr>
          <w:p w14:paraId="0572DD4B" w14:textId="77777777" w:rsidR="00D20A2F" w:rsidRPr="000B20B6" w:rsidRDefault="00D20A2F" w:rsidP="00D20A2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PT (times)</w:t>
            </w:r>
          </w:p>
        </w:tc>
      </w:tr>
      <w:tr w:rsidR="00211F75" w:rsidRPr="000B20B6" w14:paraId="63EFDB06" w14:textId="77777777" w:rsidTr="00D20A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A7CACC" w14:textId="77777777" w:rsidR="00D20A2F" w:rsidRPr="000B20B6" w:rsidRDefault="00D20A2F" w:rsidP="00D20A2F">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351BE04F"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-438,424</w:t>
            </w:r>
          </w:p>
        </w:tc>
        <w:tc>
          <w:tcPr>
            <w:tcW w:w="0" w:type="auto"/>
            <w:hideMark/>
          </w:tcPr>
          <w:p w14:paraId="0978F545"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83,229</w:t>
            </w:r>
          </w:p>
        </w:tc>
        <w:tc>
          <w:tcPr>
            <w:tcW w:w="0" w:type="auto"/>
            <w:hideMark/>
          </w:tcPr>
          <w:p w14:paraId="0065FEE2"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0.145</w:t>
            </w:r>
          </w:p>
        </w:tc>
      </w:tr>
      <w:tr w:rsidR="00211F75" w:rsidRPr="000B20B6" w14:paraId="1AF12564" w14:textId="77777777" w:rsidTr="00D20A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B2547E" w14:textId="77777777" w:rsidR="00D20A2F" w:rsidRPr="000B20B6" w:rsidRDefault="00D20A2F" w:rsidP="00D20A2F">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6B60296E"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-428,586</w:t>
            </w:r>
          </w:p>
        </w:tc>
        <w:tc>
          <w:tcPr>
            <w:tcW w:w="0" w:type="auto"/>
            <w:hideMark/>
          </w:tcPr>
          <w:p w14:paraId="632261FC"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92,707</w:t>
            </w:r>
          </w:p>
        </w:tc>
        <w:tc>
          <w:tcPr>
            <w:tcW w:w="0" w:type="auto"/>
            <w:hideMark/>
          </w:tcPr>
          <w:p w14:paraId="3915F8A8"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0.150</w:t>
            </w:r>
          </w:p>
        </w:tc>
      </w:tr>
      <w:tr w:rsidR="00211F75" w:rsidRPr="000B20B6" w14:paraId="16940A51" w14:textId="77777777" w:rsidTr="00D20A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34376F" w14:textId="77777777" w:rsidR="00D20A2F" w:rsidRPr="000B20B6" w:rsidRDefault="00D20A2F" w:rsidP="00D20A2F">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5E3F6973"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-390,459</w:t>
            </w:r>
          </w:p>
        </w:tc>
        <w:tc>
          <w:tcPr>
            <w:tcW w:w="0" w:type="auto"/>
            <w:hideMark/>
          </w:tcPr>
          <w:p w14:paraId="41BD4F99"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71,373</w:t>
            </w:r>
          </w:p>
        </w:tc>
        <w:tc>
          <w:tcPr>
            <w:tcW w:w="0" w:type="auto"/>
            <w:hideMark/>
          </w:tcPr>
          <w:p w14:paraId="16A36CDD"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0.159</w:t>
            </w:r>
          </w:p>
        </w:tc>
      </w:tr>
      <w:tr w:rsidR="00211F75" w:rsidRPr="000B20B6" w14:paraId="59B1E0D6" w14:textId="77777777" w:rsidTr="00D20A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5C8976" w14:textId="77777777" w:rsidR="00D20A2F" w:rsidRPr="000B20B6" w:rsidRDefault="00D20A2F" w:rsidP="00D20A2F">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21124B03"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-322,897</w:t>
            </w:r>
          </w:p>
        </w:tc>
        <w:tc>
          <w:tcPr>
            <w:tcW w:w="0" w:type="auto"/>
            <w:hideMark/>
          </w:tcPr>
          <w:p w14:paraId="55D46F15"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57,033</w:t>
            </w:r>
          </w:p>
        </w:tc>
        <w:tc>
          <w:tcPr>
            <w:tcW w:w="0" w:type="auto"/>
            <w:hideMark/>
          </w:tcPr>
          <w:p w14:paraId="51B64CEC" w14:textId="77777777" w:rsidR="00D20A2F" w:rsidRPr="000B20B6" w:rsidRDefault="00D20A2F" w:rsidP="00D20A2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0.157</w:t>
            </w:r>
          </w:p>
        </w:tc>
      </w:tr>
      <w:tr w:rsidR="00211F75" w:rsidRPr="000B20B6" w14:paraId="2DFB0A89" w14:textId="77777777" w:rsidTr="00D20A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0B4930" w14:textId="77777777" w:rsidR="00D20A2F" w:rsidRPr="000B20B6" w:rsidRDefault="00D20A2F" w:rsidP="00D20A2F">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040368F1"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-280,885</w:t>
            </w:r>
          </w:p>
        </w:tc>
        <w:tc>
          <w:tcPr>
            <w:tcW w:w="0" w:type="auto"/>
            <w:hideMark/>
          </w:tcPr>
          <w:p w14:paraId="11DDA95D"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72,031</w:t>
            </w:r>
          </w:p>
        </w:tc>
        <w:tc>
          <w:tcPr>
            <w:tcW w:w="0" w:type="auto"/>
            <w:hideMark/>
          </w:tcPr>
          <w:p w14:paraId="7FB71705" w14:textId="77777777" w:rsidR="00D20A2F" w:rsidRPr="000B20B6" w:rsidRDefault="00D20A2F" w:rsidP="00D20A2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0.156</w:t>
            </w:r>
          </w:p>
        </w:tc>
      </w:tr>
    </w:tbl>
    <w:p w14:paraId="5353DC3A" w14:textId="1FAF32CE" w:rsidR="00D20A2F" w:rsidRPr="000B20B6" w:rsidRDefault="00D20A2F" w:rsidP="00547F50">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 xml:space="preserve">Consistent payables turnover </w:t>
      </w:r>
      <w:proofErr w:type="gramStart"/>
      <w:r w:rsidR="005A54F3" w:rsidRPr="000B20B6">
        <w:rPr>
          <w:rFonts w:ascii="Arial" w:hAnsi="Arial" w:cs="Arial"/>
          <w:color w:val="000000" w:themeColor="text1"/>
        </w:rPr>
        <w:t>suggest</w:t>
      </w:r>
      <w:proofErr w:type="gramEnd"/>
      <w:r w:rsidR="005A54F3" w:rsidRPr="000B20B6">
        <w:rPr>
          <w:rFonts w:ascii="Arial" w:hAnsi="Arial" w:cs="Arial"/>
          <w:color w:val="000000" w:themeColor="text1"/>
        </w:rPr>
        <w:t xml:space="preserve"> unchanged supplier relationships. It means that the entity might not have the power to extend days of payment</w:t>
      </w:r>
      <w:r w:rsidRPr="000B20B6">
        <w:rPr>
          <w:rFonts w:ascii="Arial" w:hAnsi="Arial" w:cs="Arial"/>
          <w:color w:val="000000" w:themeColor="text1"/>
        </w:rPr>
        <w:t>.</w:t>
      </w:r>
    </w:p>
    <w:bookmarkEnd w:id="17"/>
    <w:p w14:paraId="6E0C64C0" w14:textId="60E019D7" w:rsidR="00547F50" w:rsidRPr="000B20B6" w:rsidRDefault="00B25377"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The period of cash cycle increased because Average Collection Period has increased from 78 days to 104 days. Suppliers have allowed more credit, and consequently, the Payables Period increased from 69 to 94 days. There was a slight increase in total asset turnover from 1.20 to 1.22.  A weak control over stock and receivables adversely impact the liquidity of the firm</w:t>
      </w:r>
      <w:r w:rsidR="00547F50" w:rsidRPr="000B20B6">
        <w:rPr>
          <w:rFonts w:ascii="Arial" w:hAnsi="Arial" w:cs="Arial"/>
          <w:color w:val="000000" w:themeColor="text1"/>
        </w:rPr>
        <w:t>.</w:t>
      </w:r>
    </w:p>
    <w:p w14:paraId="2B85354E" w14:textId="77777777" w:rsidR="00834584" w:rsidRPr="000B20B6" w:rsidRDefault="00834584" w:rsidP="00687C42">
      <w:pPr>
        <w:pStyle w:val="Heading2"/>
        <w:rPr>
          <w:rFonts w:ascii="Arial" w:eastAsia="Times New Roman" w:hAnsi="Arial" w:cs="Arial"/>
        </w:rPr>
      </w:pPr>
      <w:bookmarkStart w:id="18" w:name="_Toc214840860"/>
      <w:r w:rsidRPr="000B20B6">
        <w:rPr>
          <w:rFonts w:ascii="Arial" w:eastAsia="Times New Roman" w:hAnsi="Arial" w:cs="Arial"/>
        </w:rPr>
        <w:t>2.5 Gearing (Leverage) Ratios</w:t>
      </w:r>
      <w:bookmarkEnd w:id="18"/>
      <w:r w:rsidRPr="000B20B6">
        <w:rPr>
          <w:rFonts w:ascii="Arial" w:eastAsia="Times New Roman" w:hAnsi="Arial" w:cs="Arial"/>
        </w:rPr>
        <w:t xml:space="preserve"> </w:t>
      </w:r>
    </w:p>
    <w:p w14:paraId="544A6CE9" w14:textId="5D16D50E"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Leverage ratios evaluate the capacity to satisfy long-term obligations and risk levels. The Debt-to-Equity Ratio rose to 1.11 in 2024</w:t>
      </w:r>
      <w:r w:rsidR="00603436" w:rsidRPr="000B20B6">
        <w:rPr>
          <w:rFonts w:ascii="Arial" w:hAnsi="Arial" w:cs="Arial"/>
          <w:color w:val="000000" w:themeColor="text1"/>
        </w:rPr>
        <w:t xml:space="preserve"> </w:t>
      </w:r>
      <w:r w:rsidRPr="000B20B6">
        <w:rPr>
          <w:rFonts w:ascii="Arial" w:hAnsi="Arial" w:cs="Arial"/>
          <w:color w:val="000000" w:themeColor="text1"/>
        </w:rPr>
        <w:t>compared to 0.63 in 2020</w:t>
      </w:r>
      <w:r w:rsidR="00D00B2F" w:rsidRPr="000B20B6">
        <w:rPr>
          <w:rFonts w:ascii="Arial" w:hAnsi="Arial" w:cs="Arial"/>
          <w:color w:val="000000" w:themeColor="text1"/>
        </w:rPr>
        <w:t xml:space="preserve">. </w:t>
      </w:r>
      <w:r w:rsidRPr="000B20B6">
        <w:rPr>
          <w:rFonts w:ascii="Arial" w:hAnsi="Arial" w:cs="Arial"/>
          <w:color w:val="000000" w:themeColor="text1"/>
        </w:rPr>
        <w:t>This change reflects an increase in the reliance on debt financing despite the fall in equity. The Debt Ratio increased to 0.53, implying that creditors now had funded the company more than 50</w:t>
      </w:r>
      <w:r w:rsidR="00F65E17" w:rsidRPr="000B20B6">
        <w:rPr>
          <w:rFonts w:ascii="Arial" w:hAnsi="Arial" w:cs="Arial"/>
          <w:color w:val="000000" w:themeColor="text1"/>
        </w:rPr>
        <w:t>%</w:t>
      </w:r>
      <w:r w:rsidRPr="000B20B6">
        <w:rPr>
          <w:rFonts w:ascii="Arial" w:hAnsi="Arial" w:cs="Arial"/>
          <w:color w:val="000000" w:themeColor="text1"/>
        </w:rPr>
        <w:t xml:space="preserve"> (Kamal and Awan, 2025).</w:t>
      </w:r>
    </w:p>
    <w:p w14:paraId="0C74FE46" w14:textId="77777777" w:rsidR="004E70EA" w:rsidRPr="000B20B6" w:rsidRDefault="004E70EA" w:rsidP="004E70EA">
      <w:pPr>
        <w:pStyle w:val="NormalWeb"/>
        <w:spacing w:line="360" w:lineRule="auto"/>
        <w:jc w:val="both"/>
        <w:rPr>
          <w:rFonts w:ascii="Arial" w:hAnsi="Arial" w:cs="Arial"/>
          <w:b/>
          <w:bCs/>
          <w:i/>
          <w:iCs/>
          <w:color w:val="000000" w:themeColor="text1"/>
        </w:rPr>
      </w:pPr>
      <w:bookmarkStart w:id="19" w:name="_Hlk213841919"/>
      <w:r w:rsidRPr="000B20B6">
        <w:rPr>
          <w:rFonts w:ascii="Arial" w:hAnsi="Arial" w:cs="Arial"/>
          <w:b/>
          <w:bCs/>
          <w:i/>
          <w:iCs/>
          <w:color w:val="000000" w:themeColor="text1"/>
        </w:rPr>
        <w:t>Interest Coverage Ratio (ICR)</w:t>
      </w:r>
    </w:p>
    <w:p w14:paraId="7F4B8768" w14:textId="663C7D2F" w:rsidR="004E70EA" w:rsidRPr="000B20B6" w:rsidRDefault="004E70EA" w:rsidP="004E70EA">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Interest Coverage</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Operating Income</m:t>
              </m:r>
            </m:num>
            <m:den>
              <m:r>
                <m:rPr>
                  <m:nor/>
                </m:rPr>
                <w:rPr>
                  <w:rFonts w:ascii="Arial" w:hAnsi="Arial" w:cs="Arial"/>
                  <w:color w:val="000000" w:themeColor="text1"/>
                </w:rPr>
                <m:t>Interest Expense</m:t>
              </m:r>
            </m:den>
          </m:f>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3048"/>
        <w:gridCol w:w="2919"/>
        <w:gridCol w:w="1589"/>
      </w:tblGrid>
      <w:tr w:rsidR="00211F75" w:rsidRPr="000B20B6" w14:paraId="4AFC0649" w14:textId="77777777" w:rsidTr="004E70E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F968F79" w14:textId="77777777" w:rsidR="004E70EA" w:rsidRPr="000B20B6" w:rsidRDefault="004E70EA" w:rsidP="004E70EA">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1E0ACB95" w14:textId="77777777" w:rsidR="004E70EA" w:rsidRPr="000B20B6" w:rsidRDefault="004E70EA" w:rsidP="004E70EA">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Operating Income (£m)</w:t>
            </w:r>
          </w:p>
        </w:tc>
        <w:tc>
          <w:tcPr>
            <w:tcW w:w="0" w:type="auto"/>
            <w:hideMark/>
          </w:tcPr>
          <w:p w14:paraId="1F30D691" w14:textId="77777777" w:rsidR="004E70EA" w:rsidRPr="000B20B6" w:rsidRDefault="004E70EA" w:rsidP="004E70EA">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Interest Expense (£m)</w:t>
            </w:r>
          </w:p>
        </w:tc>
        <w:tc>
          <w:tcPr>
            <w:tcW w:w="0" w:type="auto"/>
            <w:hideMark/>
          </w:tcPr>
          <w:p w14:paraId="2FA43E6F" w14:textId="77777777" w:rsidR="004E70EA" w:rsidRPr="000B20B6" w:rsidRDefault="004E70EA" w:rsidP="004E70EA">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ICR (times)</w:t>
            </w:r>
          </w:p>
        </w:tc>
      </w:tr>
      <w:tr w:rsidR="00211F75" w:rsidRPr="000B20B6" w14:paraId="0AC52DBF" w14:textId="77777777" w:rsidTr="004E70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89EFD1" w14:textId="77777777" w:rsidR="004E70EA" w:rsidRPr="000B20B6" w:rsidRDefault="004E70EA" w:rsidP="004E70EA">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63C201D6"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37,267</w:t>
            </w:r>
          </w:p>
        </w:tc>
        <w:tc>
          <w:tcPr>
            <w:tcW w:w="0" w:type="auto"/>
            <w:hideMark/>
          </w:tcPr>
          <w:p w14:paraId="24CD5193"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1,422</w:t>
            </w:r>
          </w:p>
        </w:tc>
        <w:tc>
          <w:tcPr>
            <w:tcW w:w="0" w:type="auto"/>
            <w:hideMark/>
          </w:tcPr>
          <w:p w14:paraId="73BF3E47"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0.79</w:t>
            </w:r>
          </w:p>
        </w:tc>
      </w:tr>
      <w:tr w:rsidR="00211F75" w:rsidRPr="000B20B6" w14:paraId="15A702C6" w14:textId="77777777" w:rsidTr="004E70E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78A6EB" w14:textId="77777777" w:rsidR="004E70EA" w:rsidRPr="000B20B6" w:rsidRDefault="004E70EA" w:rsidP="004E70EA">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34A8577E"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23,253</w:t>
            </w:r>
          </w:p>
        </w:tc>
        <w:tc>
          <w:tcPr>
            <w:tcW w:w="0" w:type="auto"/>
            <w:hideMark/>
          </w:tcPr>
          <w:p w14:paraId="3931599C"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566</w:t>
            </w:r>
          </w:p>
        </w:tc>
        <w:tc>
          <w:tcPr>
            <w:tcW w:w="0" w:type="auto"/>
            <w:hideMark/>
          </w:tcPr>
          <w:p w14:paraId="35479189"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0.87</w:t>
            </w:r>
          </w:p>
        </w:tc>
      </w:tr>
      <w:tr w:rsidR="00211F75" w:rsidRPr="000B20B6" w14:paraId="72A9C035" w14:textId="77777777" w:rsidTr="004E70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221CC7" w14:textId="77777777" w:rsidR="004E70EA" w:rsidRPr="000B20B6" w:rsidRDefault="004E70EA" w:rsidP="004E70EA">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0EB6D6A3"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14,548</w:t>
            </w:r>
          </w:p>
        </w:tc>
        <w:tc>
          <w:tcPr>
            <w:tcW w:w="0" w:type="auto"/>
            <w:hideMark/>
          </w:tcPr>
          <w:p w14:paraId="1754E49D"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2,200</w:t>
            </w:r>
          </w:p>
        </w:tc>
        <w:tc>
          <w:tcPr>
            <w:tcW w:w="0" w:type="auto"/>
            <w:hideMark/>
          </w:tcPr>
          <w:p w14:paraId="2ED313C2"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0.90</w:t>
            </w:r>
          </w:p>
        </w:tc>
      </w:tr>
      <w:tr w:rsidR="00211F75" w:rsidRPr="000B20B6" w14:paraId="41882818" w14:textId="77777777" w:rsidTr="004E70E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3F9D13" w14:textId="77777777" w:rsidR="004E70EA" w:rsidRPr="000B20B6" w:rsidRDefault="004E70EA" w:rsidP="004E70EA">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2479CA6E"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-85,301</w:t>
            </w:r>
          </w:p>
        </w:tc>
        <w:tc>
          <w:tcPr>
            <w:tcW w:w="0" w:type="auto"/>
            <w:hideMark/>
          </w:tcPr>
          <w:p w14:paraId="6F57A06B"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4,332</w:t>
            </w:r>
          </w:p>
        </w:tc>
        <w:tc>
          <w:tcPr>
            <w:tcW w:w="0" w:type="auto"/>
            <w:hideMark/>
          </w:tcPr>
          <w:p w14:paraId="0FB22D7F" w14:textId="77777777" w:rsidR="004E70EA" w:rsidRPr="000B20B6" w:rsidRDefault="004E70EA" w:rsidP="004E70E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1.87</w:t>
            </w:r>
          </w:p>
        </w:tc>
      </w:tr>
      <w:tr w:rsidR="00211F75" w:rsidRPr="000B20B6" w14:paraId="5F0C4A06" w14:textId="77777777" w:rsidTr="004E70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76FB16" w14:textId="77777777" w:rsidR="004E70EA" w:rsidRPr="000B20B6" w:rsidRDefault="004E70EA" w:rsidP="004E70EA">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328B30B8"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-15,297</w:t>
            </w:r>
          </w:p>
        </w:tc>
        <w:tc>
          <w:tcPr>
            <w:tcW w:w="0" w:type="auto"/>
            <w:hideMark/>
          </w:tcPr>
          <w:p w14:paraId="20D8BF63"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3,361</w:t>
            </w:r>
          </w:p>
        </w:tc>
        <w:tc>
          <w:tcPr>
            <w:tcW w:w="0" w:type="auto"/>
            <w:hideMark/>
          </w:tcPr>
          <w:p w14:paraId="363309D0" w14:textId="77777777" w:rsidR="004E70EA" w:rsidRPr="000B20B6" w:rsidRDefault="004E70EA" w:rsidP="004E70E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1.13</w:t>
            </w:r>
          </w:p>
        </w:tc>
      </w:tr>
    </w:tbl>
    <w:p w14:paraId="033583AA" w14:textId="0137914C" w:rsidR="004E70EA" w:rsidRPr="000B20B6" w:rsidRDefault="004E70EA" w:rsidP="00547F50">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The ability to meet interest obligations very weak. Negative or low ratios imply severe financial distress.</w:t>
      </w:r>
    </w:p>
    <w:bookmarkEnd w:id="19"/>
    <w:p w14:paraId="4640FDC9" w14:textId="21B5FE91" w:rsidR="00547F50" w:rsidRPr="000B20B6" w:rsidRDefault="00730FB1"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Interest Coverage Ratio, which shows how easily a company can pay interest on outstanding debt, is calculated by dividing operating income with interest expense. It fell </w:t>
      </w:r>
      <w:r w:rsidRPr="000B20B6">
        <w:rPr>
          <w:rFonts w:ascii="Arial" w:hAnsi="Arial" w:cs="Arial"/>
          <w:color w:val="000000" w:themeColor="text1"/>
        </w:rPr>
        <w:lastRenderedPageBreak/>
        <w:t>sharply from 26.2 times in 2020 to a negative 4.6 times in 2024, showing the group was not able to service interest out of operations</w:t>
      </w:r>
      <w:r w:rsidR="00547F50" w:rsidRPr="000B20B6">
        <w:rPr>
          <w:rFonts w:ascii="Arial" w:hAnsi="Arial" w:cs="Arial"/>
          <w:color w:val="000000" w:themeColor="text1"/>
        </w:rPr>
        <w:t>. It has rendered the capital structure untenable since the business can no longer borrow and the confidence of investors has been lost through erosion of equity. Liquidity and profitability will continue to be strained by debt servicing unless restructuring is done in the short term.</w:t>
      </w:r>
    </w:p>
    <w:p w14:paraId="2776E35C" w14:textId="77777777" w:rsidR="007179AD" w:rsidRPr="000B20B6" w:rsidRDefault="007179AD" w:rsidP="00687C42">
      <w:pPr>
        <w:pStyle w:val="Heading2"/>
        <w:rPr>
          <w:rFonts w:ascii="Arial" w:eastAsia="Times New Roman" w:hAnsi="Arial" w:cs="Arial"/>
        </w:rPr>
      </w:pPr>
      <w:bookmarkStart w:id="20" w:name="_Toc214840861"/>
      <w:r w:rsidRPr="000B20B6">
        <w:rPr>
          <w:rFonts w:ascii="Arial" w:eastAsia="Times New Roman" w:hAnsi="Arial" w:cs="Arial"/>
        </w:rPr>
        <w:t>2.6 Investment Ratios</w:t>
      </w:r>
      <w:bookmarkEnd w:id="20"/>
      <w:r w:rsidRPr="000B20B6">
        <w:rPr>
          <w:rFonts w:ascii="Arial" w:eastAsia="Times New Roman" w:hAnsi="Arial" w:cs="Arial"/>
        </w:rPr>
        <w:t xml:space="preserve"> </w:t>
      </w:r>
    </w:p>
    <w:p w14:paraId="47D23F2A" w14:textId="2935358A" w:rsidR="00F56F8F"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investment ratios inform the shareholder returns and market perception. </w:t>
      </w:r>
      <w:r w:rsidR="00A5625A" w:rsidRPr="000B20B6">
        <w:rPr>
          <w:rFonts w:ascii="Arial" w:hAnsi="Arial" w:cs="Arial"/>
          <w:color w:val="000000" w:themeColor="text1"/>
        </w:rPr>
        <w:t>The earnings per share calculation went from £2.78 in 2020 to –£1.85 in 2024 indicating a complete reversal of profit to loss per share.</w:t>
      </w:r>
      <w:r w:rsidR="00A81C59" w:rsidRPr="000B20B6">
        <w:rPr>
          <w:rFonts w:ascii="Arial" w:hAnsi="Arial" w:cs="Arial"/>
          <w:color w:val="000000" w:themeColor="text1"/>
        </w:rPr>
        <w:t xml:space="preserve"> </w:t>
      </w:r>
      <w:r w:rsidRPr="000B20B6">
        <w:rPr>
          <w:rFonts w:ascii="Arial" w:hAnsi="Arial" w:cs="Arial"/>
          <w:color w:val="000000" w:themeColor="text1"/>
        </w:rPr>
        <w:t>Price-to-Earnings (P/E) Ratio would have plummeted drastically but without any announcement, which would have indicated a decline in market confidence. Shareholders receive no dividends because the company has turned to loss retention i.e. Dividend Yield = 0</w:t>
      </w:r>
      <w:r w:rsidR="009A0EF9" w:rsidRPr="000B20B6">
        <w:rPr>
          <w:rFonts w:ascii="Arial" w:hAnsi="Arial" w:cs="Arial"/>
          <w:color w:val="000000" w:themeColor="text1"/>
        </w:rPr>
        <w:t>%</w:t>
      </w:r>
      <w:r w:rsidRPr="000B20B6">
        <w:rPr>
          <w:rFonts w:ascii="Arial" w:hAnsi="Arial" w:cs="Arial"/>
          <w:color w:val="000000" w:themeColor="text1"/>
        </w:rPr>
        <w:t xml:space="preserve">, and it demonstrates the colossal loss of shareholder wealth and grim future prospects (Akbar, Jiang and Akbar, 2022). </w:t>
      </w:r>
    </w:p>
    <w:p w14:paraId="45BFE003" w14:textId="77777777" w:rsidR="00F56F8F" w:rsidRPr="000B20B6" w:rsidRDefault="00F56F8F" w:rsidP="00F56F8F">
      <w:pPr>
        <w:pStyle w:val="NormalWeb"/>
        <w:spacing w:line="360" w:lineRule="auto"/>
        <w:jc w:val="both"/>
        <w:rPr>
          <w:rFonts w:ascii="Arial" w:hAnsi="Arial" w:cs="Arial"/>
          <w:b/>
          <w:bCs/>
          <w:i/>
          <w:iCs/>
          <w:color w:val="000000" w:themeColor="text1"/>
        </w:rPr>
      </w:pPr>
      <w:bookmarkStart w:id="21" w:name="_Hlk213841924"/>
      <w:r w:rsidRPr="000B20B6">
        <w:rPr>
          <w:rFonts w:ascii="Arial" w:hAnsi="Arial" w:cs="Arial"/>
          <w:b/>
          <w:bCs/>
          <w:i/>
          <w:iCs/>
          <w:color w:val="000000" w:themeColor="text1"/>
        </w:rPr>
        <w:t>Return on Equity (ROE)</w:t>
      </w:r>
    </w:p>
    <w:p w14:paraId="6D01A68F" w14:textId="340AB7C7" w:rsidR="00F56F8F" w:rsidRPr="000B20B6" w:rsidRDefault="00F56F8F" w:rsidP="00F56F8F">
      <w:pPr>
        <w:pStyle w:val="NormalWeb"/>
        <w:spacing w:line="360" w:lineRule="auto"/>
        <w:jc w:val="both"/>
        <w:rPr>
          <w:rFonts w:ascii="Arial" w:hAnsi="Arial" w:cs="Arial"/>
          <w:color w:val="000000" w:themeColor="text1"/>
        </w:rPr>
      </w:pPr>
      <m:oMathPara>
        <m:oMath>
          <m:r>
            <m:rPr>
              <m:nor/>
            </m:rPr>
            <w:rPr>
              <w:rFonts w:ascii="Arial" w:hAnsi="Arial" w:cs="Arial"/>
              <w:color w:val="000000" w:themeColor="text1"/>
            </w:rPr>
            <m:t>ROE</m:t>
          </m:r>
          <m:r>
            <w:rPr>
              <w:rFonts w:ascii="Cambria Math" w:hAnsi="Cambria Math" w:cs="Arial"/>
              <w:color w:val="000000" w:themeColor="text1"/>
            </w:rPr>
            <m:t>=</m:t>
          </m:r>
          <m:f>
            <m:fPr>
              <m:ctrlPr>
                <w:rPr>
                  <w:rFonts w:ascii="Cambria Math" w:hAnsi="Cambria Math" w:cs="Arial"/>
                  <w:color w:val="000000" w:themeColor="text1"/>
                </w:rPr>
              </m:ctrlPr>
            </m:fPr>
            <m:num>
              <m:r>
                <m:rPr>
                  <m:nor/>
                </m:rPr>
                <w:rPr>
                  <w:rFonts w:ascii="Arial" w:hAnsi="Arial" w:cs="Arial"/>
                  <w:color w:val="000000" w:themeColor="text1"/>
                </w:rPr>
                <m:t>Net Income</m:t>
              </m:r>
            </m:num>
            <m:den>
              <m:r>
                <m:rPr>
                  <m:nor/>
                </m:rPr>
                <w:rPr>
                  <w:rFonts w:ascii="Arial" w:hAnsi="Arial" w:cs="Arial"/>
                  <w:color w:val="000000" w:themeColor="text1"/>
                </w:rPr>
                <m:t>Shareholders’ Equity</m:t>
              </m:r>
            </m:den>
          </m:f>
          <m:r>
            <w:rPr>
              <w:rFonts w:ascii="Cambria Math" w:hAnsi="Cambria Math" w:cs="Arial"/>
              <w:color w:val="000000" w:themeColor="text1"/>
            </w:rPr>
            <m:t>×100</m:t>
          </m:r>
          <m:r>
            <m:rPr>
              <m:sty m:val="p"/>
            </m:rPr>
            <w:rPr>
              <w:rFonts w:ascii="Cambria Math" w:hAnsi="Cambria Math" w:cs="Arial"/>
              <w:color w:val="000000" w:themeColor="text1"/>
            </w:rPr>
            <w:br/>
          </m:r>
        </m:oMath>
      </m:oMathPara>
    </w:p>
    <w:tbl>
      <w:tblPr>
        <w:tblStyle w:val="PlainTable5"/>
        <w:tblW w:w="0" w:type="auto"/>
        <w:jc w:val="center"/>
        <w:tblLook w:val="04A0" w:firstRow="1" w:lastRow="0" w:firstColumn="1" w:lastColumn="0" w:noHBand="0" w:noVBand="1"/>
      </w:tblPr>
      <w:tblGrid>
        <w:gridCol w:w="795"/>
        <w:gridCol w:w="2239"/>
        <w:gridCol w:w="1632"/>
        <w:gridCol w:w="1256"/>
      </w:tblGrid>
      <w:tr w:rsidR="009A621E" w:rsidRPr="000B20B6" w14:paraId="624A5863" w14:textId="77777777" w:rsidTr="00F56F8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35FA31F" w14:textId="77777777" w:rsidR="00F56F8F" w:rsidRPr="000B20B6" w:rsidRDefault="00F56F8F" w:rsidP="00F56F8F">
            <w:pPr>
              <w:pStyle w:val="NormalWeb"/>
              <w:spacing w:line="360" w:lineRule="auto"/>
              <w:jc w:val="both"/>
              <w:rPr>
                <w:rFonts w:ascii="Arial" w:hAnsi="Arial" w:cs="Arial"/>
                <w:b/>
                <w:bCs/>
                <w:color w:val="000000" w:themeColor="text1"/>
              </w:rPr>
            </w:pPr>
            <w:r w:rsidRPr="000B20B6">
              <w:rPr>
                <w:rFonts w:ascii="Arial" w:hAnsi="Arial" w:cs="Arial"/>
                <w:b/>
                <w:bCs/>
                <w:color w:val="000000" w:themeColor="text1"/>
              </w:rPr>
              <w:t>Year</w:t>
            </w:r>
          </w:p>
        </w:tc>
        <w:tc>
          <w:tcPr>
            <w:tcW w:w="0" w:type="auto"/>
            <w:hideMark/>
          </w:tcPr>
          <w:p w14:paraId="3701E11C"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Net Income (£m)</w:t>
            </w:r>
          </w:p>
        </w:tc>
        <w:tc>
          <w:tcPr>
            <w:tcW w:w="0" w:type="auto"/>
            <w:hideMark/>
          </w:tcPr>
          <w:p w14:paraId="5E25CAF5"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Equity (£m)</w:t>
            </w:r>
          </w:p>
        </w:tc>
        <w:tc>
          <w:tcPr>
            <w:tcW w:w="0" w:type="auto"/>
            <w:hideMark/>
          </w:tcPr>
          <w:p w14:paraId="6AE80666" w14:textId="77777777" w:rsidR="00F56F8F" w:rsidRPr="000B20B6" w:rsidRDefault="00F56F8F" w:rsidP="00F56F8F">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rPr>
            </w:pPr>
            <w:r w:rsidRPr="000B20B6">
              <w:rPr>
                <w:rFonts w:ascii="Arial" w:hAnsi="Arial" w:cs="Arial"/>
                <w:b/>
                <w:bCs/>
                <w:color w:val="000000" w:themeColor="text1"/>
              </w:rPr>
              <w:t>ROE (%)</w:t>
            </w:r>
          </w:p>
        </w:tc>
      </w:tr>
      <w:tr w:rsidR="009A621E" w:rsidRPr="000B20B6" w14:paraId="5EC9FF05"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2DA601"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2020</w:t>
            </w:r>
          </w:p>
        </w:tc>
        <w:tc>
          <w:tcPr>
            <w:tcW w:w="0" w:type="auto"/>
            <w:hideMark/>
          </w:tcPr>
          <w:p w14:paraId="47465E9D"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38,572</w:t>
            </w:r>
          </w:p>
        </w:tc>
        <w:tc>
          <w:tcPr>
            <w:tcW w:w="0" w:type="auto"/>
            <w:hideMark/>
          </w:tcPr>
          <w:p w14:paraId="71A8763D"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313,301</w:t>
            </w:r>
          </w:p>
        </w:tc>
        <w:tc>
          <w:tcPr>
            <w:tcW w:w="0" w:type="auto"/>
            <w:hideMark/>
          </w:tcPr>
          <w:p w14:paraId="66CCEDC1"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-0.50</w:t>
            </w:r>
          </w:p>
        </w:tc>
      </w:tr>
      <w:tr w:rsidR="009A621E" w:rsidRPr="000B20B6" w14:paraId="66CA68DA" w14:textId="77777777" w:rsidTr="00F56F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4950F7"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2021</w:t>
            </w:r>
          </w:p>
        </w:tc>
        <w:tc>
          <w:tcPr>
            <w:tcW w:w="0" w:type="auto"/>
            <w:hideMark/>
          </w:tcPr>
          <w:p w14:paraId="45B3C7A8"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5,301</w:t>
            </w:r>
          </w:p>
        </w:tc>
        <w:tc>
          <w:tcPr>
            <w:tcW w:w="0" w:type="auto"/>
            <w:hideMark/>
          </w:tcPr>
          <w:p w14:paraId="1CFF4D27"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275,949</w:t>
            </w:r>
          </w:p>
        </w:tc>
        <w:tc>
          <w:tcPr>
            <w:tcW w:w="0" w:type="auto"/>
            <w:hideMark/>
          </w:tcPr>
          <w:p w14:paraId="093F91D6"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-1.16</w:t>
            </w:r>
          </w:p>
        </w:tc>
      </w:tr>
      <w:tr w:rsidR="009A621E" w:rsidRPr="000B20B6" w14:paraId="32CD076A"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25502E"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2022</w:t>
            </w:r>
          </w:p>
        </w:tc>
        <w:tc>
          <w:tcPr>
            <w:tcW w:w="0" w:type="auto"/>
            <w:hideMark/>
          </w:tcPr>
          <w:p w14:paraId="7881DE82"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407</w:t>
            </w:r>
          </w:p>
        </w:tc>
        <w:tc>
          <w:tcPr>
            <w:tcW w:w="0" w:type="auto"/>
            <w:hideMark/>
          </w:tcPr>
          <w:p w14:paraId="29420D5A"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268,406</w:t>
            </w:r>
          </w:p>
        </w:tc>
        <w:tc>
          <w:tcPr>
            <w:tcW w:w="0" w:type="auto"/>
            <w:hideMark/>
          </w:tcPr>
          <w:p w14:paraId="6606ED5D"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-1.70</w:t>
            </w:r>
          </w:p>
        </w:tc>
      </w:tr>
      <w:tr w:rsidR="009A621E" w:rsidRPr="000B20B6" w14:paraId="60599631" w14:textId="77777777" w:rsidTr="00F56F8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A2464B"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2023</w:t>
            </w:r>
          </w:p>
        </w:tc>
        <w:tc>
          <w:tcPr>
            <w:tcW w:w="0" w:type="auto"/>
            <w:hideMark/>
          </w:tcPr>
          <w:p w14:paraId="326FB4D1"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-98,238</w:t>
            </w:r>
          </w:p>
        </w:tc>
        <w:tc>
          <w:tcPr>
            <w:tcW w:w="0" w:type="auto"/>
            <w:hideMark/>
          </w:tcPr>
          <w:p w14:paraId="02787C4A"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178,920</w:t>
            </w:r>
          </w:p>
        </w:tc>
        <w:tc>
          <w:tcPr>
            <w:tcW w:w="0" w:type="auto"/>
            <w:hideMark/>
          </w:tcPr>
          <w:p w14:paraId="6344C57F" w14:textId="77777777" w:rsidR="00F56F8F" w:rsidRPr="000B20B6" w:rsidRDefault="00F56F8F" w:rsidP="00F56F8F">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-1.03</w:t>
            </w:r>
          </w:p>
        </w:tc>
      </w:tr>
      <w:tr w:rsidR="009A621E" w:rsidRPr="000B20B6" w14:paraId="3F281AC2" w14:textId="77777777" w:rsidTr="00F56F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E3CCB6" w14:textId="77777777" w:rsidR="00F56F8F" w:rsidRPr="000B20B6" w:rsidRDefault="00F56F8F" w:rsidP="00F56F8F">
            <w:pPr>
              <w:pStyle w:val="NormalWeb"/>
              <w:spacing w:line="360" w:lineRule="auto"/>
              <w:jc w:val="both"/>
              <w:rPr>
                <w:rFonts w:ascii="Arial" w:hAnsi="Arial" w:cs="Arial"/>
                <w:color w:val="000000" w:themeColor="text1"/>
              </w:rPr>
            </w:pPr>
            <w:r w:rsidRPr="000B20B6">
              <w:rPr>
                <w:rFonts w:ascii="Arial" w:hAnsi="Arial" w:cs="Arial"/>
                <w:color w:val="000000" w:themeColor="text1"/>
              </w:rPr>
              <w:t>2024</w:t>
            </w:r>
          </w:p>
        </w:tc>
        <w:tc>
          <w:tcPr>
            <w:tcW w:w="0" w:type="auto"/>
            <w:hideMark/>
          </w:tcPr>
          <w:p w14:paraId="29314613"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-24,029</w:t>
            </w:r>
          </w:p>
        </w:tc>
        <w:tc>
          <w:tcPr>
            <w:tcW w:w="0" w:type="auto"/>
            <w:hideMark/>
          </w:tcPr>
          <w:p w14:paraId="625A0637"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153,105</w:t>
            </w:r>
          </w:p>
        </w:tc>
        <w:tc>
          <w:tcPr>
            <w:tcW w:w="0" w:type="auto"/>
            <w:hideMark/>
          </w:tcPr>
          <w:p w14:paraId="32AD587A" w14:textId="77777777" w:rsidR="00F56F8F" w:rsidRPr="000B20B6" w:rsidRDefault="00F56F8F" w:rsidP="00F56F8F">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0B20B6">
              <w:rPr>
                <w:rFonts w:ascii="Arial" w:hAnsi="Arial" w:cs="Arial"/>
                <w:color w:val="000000" w:themeColor="text1"/>
              </w:rPr>
              <w:t>-1.04</w:t>
            </w:r>
          </w:p>
        </w:tc>
      </w:tr>
    </w:tbl>
    <w:p w14:paraId="2D48A44A" w14:textId="117FE8B7" w:rsidR="00F56F8F" w:rsidRPr="000B20B6" w:rsidRDefault="00F56F8F" w:rsidP="00547F50">
      <w:pPr>
        <w:pStyle w:val="NormalWeb"/>
        <w:spacing w:line="360" w:lineRule="auto"/>
        <w:jc w:val="both"/>
        <w:rPr>
          <w:rFonts w:ascii="Arial" w:hAnsi="Arial" w:cs="Arial"/>
          <w:color w:val="000000" w:themeColor="text1"/>
        </w:rPr>
      </w:pPr>
      <w:r w:rsidRPr="000B20B6">
        <w:rPr>
          <w:rFonts w:ascii="Arial" w:hAnsi="Arial" w:cs="Arial"/>
          <w:b/>
          <w:bCs/>
          <w:color w:val="000000" w:themeColor="text1"/>
        </w:rPr>
        <w:t>Interpretation</w:t>
      </w:r>
      <w:r w:rsidRPr="000B20B6">
        <w:rPr>
          <w:rFonts w:ascii="Arial" w:hAnsi="Arial" w:cs="Arial"/>
          <w:color w:val="000000" w:themeColor="text1"/>
        </w:rPr>
        <w:br/>
      </w:r>
      <w:r w:rsidR="005A54F3" w:rsidRPr="000B20B6">
        <w:rPr>
          <w:rFonts w:ascii="Arial" w:hAnsi="Arial" w:cs="Arial"/>
          <w:color w:val="000000" w:themeColor="text1"/>
        </w:rPr>
        <w:t xml:space="preserve">The return on equity is negative, confirming </w:t>
      </w:r>
      <w:proofErr w:type="spellStart"/>
      <w:r w:rsidR="005A54F3" w:rsidRPr="000B20B6">
        <w:rPr>
          <w:rFonts w:ascii="Arial" w:hAnsi="Arial" w:cs="Arial"/>
          <w:color w:val="000000" w:themeColor="text1"/>
        </w:rPr>
        <w:t>continuarion</w:t>
      </w:r>
      <w:proofErr w:type="spellEnd"/>
      <w:r w:rsidR="005A54F3" w:rsidRPr="000B20B6">
        <w:rPr>
          <w:rFonts w:ascii="Arial" w:hAnsi="Arial" w:cs="Arial"/>
          <w:color w:val="000000" w:themeColor="text1"/>
        </w:rPr>
        <w:t xml:space="preserve"> of losses and erosion of value of the </w:t>
      </w:r>
      <w:proofErr w:type="spellStart"/>
      <w:r w:rsidR="005A54F3" w:rsidRPr="000B20B6">
        <w:rPr>
          <w:rFonts w:ascii="Arial" w:hAnsi="Arial" w:cs="Arial"/>
          <w:color w:val="000000" w:themeColor="text1"/>
        </w:rPr>
        <w:t>sharehlders</w:t>
      </w:r>
      <w:proofErr w:type="spellEnd"/>
      <w:r w:rsidRPr="000B20B6">
        <w:rPr>
          <w:rFonts w:ascii="Arial" w:hAnsi="Arial" w:cs="Arial"/>
          <w:color w:val="000000" w:themeColor="text1"/>
        </w:rPr>
        <w:t>.</w:t>
      </w:r>
    </w:p>
    <w:bookmarkEnd w:id="21"/>
    <w:p w14:paraId="42D6962B" w14:textId="10EBF993"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This declining propensity of ROE is reflected in the inevitable decline in EPS, and no dividends is still more pessimistic capital market behaviour. The company is witnessing a drastically decreased capacity to raise new capital and that is an indication of the dire need to reclaim profitability and investor confidence.</w:t>
      </w:r>
    </w:p>
    <w:p w14:paraId="624EF83A" w14:textId="77777777" w:rsidR="00FE7C98" w:rsidRPr="000B20B6" w:rsidRDefault="00FE7C98" w:rsidP="00687C42">
      <w:pPr>
        <w:pStyle w:val="Heading2"/>
        <w:rPr>
          <w:rFonts w:ascii="Arial" w:eastAsia="Times New Roman" w:hAnsi="Arial" w:cs="Arial"/>
        </w:rPr>
      </w:pPr>
      <w:bookmarkStart w:id="22" w:name="_Toc214840862"/>
      <w:r w:rsidRPr="000B20B6">
        <w:rPr>
          <w:rFonts w:ascii="Arial" w:eastAsia="Times New Roman" w:hAnsi="Arial" w:cs="Arial"/>
        </w:rPr>
        <w:t>2.7 Cash Flow Analysis</w:t>
      </w:r>
      <w:bookmarkEnd w:id="22"/>
      <w:r w:rsidRPr="000B20B6">
        <w:rPr>
          <w:rFonts w:ascii="Arial" w:eastAsia="Times New Roman" w:hAnsi="Arial" w:cs="Arial"/>
        </w:rPr>
        <w:t xml:space="preserve"> </w:t>
      </w:r>
    </w:p>
    <w:p w14:paraId="21794EA7" w14:textId="7FD499CA"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cash flow statement is another aspect that undermines financial health. The value of </w:t>
      </w:r>
      <w:r w:rsidR="00854AAE" w:rsidRPr="000B20B6">
        <w:rPr>
          <w:rFonts w:ascii="Arial" w:hAnsi="Arial" w:cs="Arial"/>
          <w:color w:val="000000" w:themeColor="text1"/>
        </w:rPr>
        <w:t xml:space="preserve">£73,392 </w:t>
      </w:r>
      <w:r w:rsidRPr="000B20B6">
        <w:rPr>
          <w:rFonts w:ascii="Arial" w:hAnsi="Arial" w:cs="Arial"/>
          <w:color w:val="000000" w:themeColor="text1"/>
        </w:rPr>
        <w:t xml:space="preserve">million and </w:t>
      </w:r>
      <w:r w:rsidR="0052209C" w:rsidRPr="000B20B6">
        <w:rPr>
          <w:rFonts w:ascii="Arial" w:hAnsi="Arial" w:cs="Arial"/>
          <w:color w:val="000000" w:themeColor="text1"/>
        </w:rPr>
        <w:t xml:space="preserve">£14,822 </w:t>
      </w:r>
      <w:r w:rsidRPr="000B20B6">
        <w:rPr>
          <w:rFonts w:ascii="Arial" w:hAnsi="Arial" w:cs="Arial"/>
          <w:color w:val="000000" w:themeColor="text1"/>
        </w:rPr>
        <w:t xml:space="preserve">million respectively comprise about 80 percent of the net cash generated in operating activities in 2020-2024. The capital expenditure was never in kind and average annual capital expenditure was: </w:t>
      </w:r>
      <w:proofErr w:type="gramStart"/>
      <w:r w:rsidRPr="000B20B6">
        <w:rPr>
          <w:rFonts w:ascii="Arial" w:hAnsi="Arial" w:cs="Arial"/>
          <w:color w:val="000000" w:themeColor="text1"/>
        </w:rPr>
        <w:t>£(</w:t>
      </w:r>
      <w:proofErr w:type="gramEnd"/>
      <w:r w:rsidRPr="000B20B6">
        <w:rPr>
          <w:rFonts w:ascii="Arial" w:hAnsi="Arial" w:cs="Arial"/>
          <w:color w:val="000000" w:themeColor="text1"/>
        </w:rPr>
        <w:t xml:space="preserve">8,000-16,000 million). It had poor funding of its operations, huge borrowing and repayment commitments; in 2024, the enterprise produced a net cash outflow of </w:t>
      </w:r>
      <w:r w:rsidR="00A72AB8" w:rsidRPr="000B20B6">
        <w:rPr>
          <w:rFonts w:ascii="Arial" w:hAnsi="Arial" w:cs="Arial"/>
          <w:color w:val="000000" w:themeColor="text1"/>
        </w:rPr>
        <w:t xml:space="preserve">£19,764 </w:t>
      </w:r>
      <w:r w:rsidRPr="000B20B6">
        <w:rPr>
          <w:rFonts w:ascii="Arial" w:hAnsi="Arial" w:cs="Arial"/>
          <w:color w:val="000000" w:themeColor="text1"/>
        </w:rPr>
        <w:t xml:space="preserve">million companies (Zheng, Zhou and Iqbal, 2022). In 2024, cash and equivalent were </w:t>
      </w:r>
      <w:r w:rsidR="00D40CAE" w:rsidRPr="000B20B6">
        <w:rPr>
          <w:rFonts w:ascii="Arial" w:hAnsi="Arial" w:cs="Arial"/>
          <w:color w:val="000000" w:themeColor="text1"/>
        </w:rPr>
        <w:t>£</w:t>
      </w:r>
      <w:r w:rsidRPr="000B20B6">
        <w:rPr>
          <w:rFonts w:ascii="Arial" w:hAnsi="Arial" w:cs="Arial"/>
          <w:color w:val="000000" w:themeColor="text1"/>
        </w:rPr>
        <w:t xml:space="preserve">26,783 million, and in 2023, cash and equivalent amounted to </w:t>
      </w:r>
      <w:r w:rsidR="00A72AB8" w:rsidRPr="000B20B6">
        <w:rPr>
          <w:rFonts w:ascii="Arial" w:hAnsi="Arial" w:cs="Arial"/>
          <w:color w:val="000000" w:themeColor="text1"/>
        </w:rPr>
        <w:t>£</w:t>
      </w:r>
      <w:r w:rsidRPr="000B20B6">
        <w:rPr>
          <w:rFonts w:ascii="Arial" w:hAnsi="Arial" w:cs="Arial"/>
          <w:color w:val="000000" w:themeColor="text1"/>
        </w:rPr>
        <w:t xml:space="preserve">57,153 million. This confirms low free cash flow, and reliance on external funds to run. This movement suggests unchecked liquidity and </w:t>
      </w:r>
      <w:r w:rsidR="00120E9E" w:rsidRPr="000B20B6">
        <w:rPr>
          <w:rFonts w:ascii="Arial" w:hAnsi="Arial" w:cs="Arial"/>
          <w:color w:val="000000" w:themeColor="text1"/>
        </w:rPr>
        <w:t>overlocks</w:t>
      </w:r>
      <w:r w:rsidRPr="000B20B6">
        <w:rPr>
          <w:rFonts w:ascii="Arial" w:hAnsi="Arial" w:cs="Arial"/>
          <w:color w:val="000000" w:themeColor="text1"/>
        </w:rPr>
        <w:t>-in of capital by way of receivables and inventory.</w:t>
      </w:r>
    </w:p>
    <w:p w14:paraId="5BAE3011" w14:textId="77777777" w:rsidR="00120E9E" w:rsidRPr="000B20B6" w:rsidRDefault="00120E9E" w:rsidP="00687C42">
      <w:pPr>
        <w:pStyle w:val="Heading2"/>
        <w:rPr>
          <w:rFonts w:ascii="Arial" w:eastAsia="Times New Roman" w:hAnsi="Arial" w:cs="Arial"/>
        </w:rPr>
      </w:pPr>
      <w:bookmarkStart w:id="23" w:name="_Toc214840863"/>
      <w:r w:rsidRPr="000B20B6">
        <w:rPr>
          <w:rFonts w:ascii="Arial" w:eastAsia="Times New Roman" w:hAnsi="Arial" w:cs="Arial"/>
        </w:rPr>
        <w:t>2.8 Corporate Failure Prediction</w:t>
      </w:r>
      <w:bookmarkEnd w:id="23"/>
      <w:r w:rsidRPr="000B20B6">
        <w:rPr>
          <w:rFonts w:ascii="Arial" w:eastAsia="Times New Roman" w:hAnsi="Arial" w:cs="Arial"/>
        </w:rPr>
        <w:t xml:space="preserve"> </w:t>
      </w:r>
    </w:p>
    <w:p w14:paraId="4476EF7E" w14:textId="4AC89F71" w:rsidR="00120E9E" w:rsidRPr="000B20B6" w:rsidRDefault="00120E9E" w:rsidP="00120E9E">
      <w:pPr>
        <w:spacing w:before="100" w:beforeAutospacing="1" w:after="100" w:afterAutospacing="1"/>
        <w:jc w:val="both"/>
        <w:rPr>
          <w:rFonts w:ascii="Arial" w:eastAsia="Times New Roman" w:hAnsi="Arial" w:cs="Arial"/>
          <w:szCs w:val="24"/>
        </w:rPr>
      </w:pPr>
      <w:r w:rsidRPr="000B20B6">
        <w:rPr>
          <w:rFonts w:ascii="Arial" w:eastAsia="Times New Roman" w:hAnsi="Arial" w:cs="Arial"/>
          <w:szCs w:val="24"/>
        </w:rPr>
        <w:t>Applying the Altman Z-Score formula (</w:t>
      </w:r>
      <w:r w:rsidRPr="000B20B6">
        <w:rPr>
          <w:rFonts w:ascii="Arial" w:eastAsia="Times New Roman" w:hAnsi="Arial" w:cs="Arial"/>
          <w:i/>
          <w:iCs/>
          <w:szCs w:val="24"/>
        </w:rPr>
        <w:t>Z = 1.2X</w:t>
      </w:r>
      <w:r w:rsidRPr="000B20B6">
        <w:rPr>
          <w:rFonts w:ascii="Cambria Math" w:eastAsia="Times New Roman" w:hAnsi="Cambria Math" w:cs="Cambria Math"/>
          <w:i/>
          <w:iCs/>
          <w:szCs w:val="24"/>
        </w:rPr>
        <w:t>₁</w:t>
      </w:r>
      <w:r w:rsidRPr="000B20B6">
        <w:rPr>
          <w:rFonts w:ascii="Arial" w:eastAsia="Times New Roman" w:hAnsi="Arial" w:cs="Arial"/>
          <w:i/>
          <w:iCs/>
          <w:szCs w:val="24"/>
        </w:rPr>
        <w:t xml:space="preserve"> + 1.4X</w:t>
      </w:r>
      <w:r w:rsidRPr="000B20B6">
        <w:rPr>
          <w:rFonts w:ascii="Cambria Math" w:eastAsia="Times New Roman" w:hAnsi="Cambria Math" w:cs="Cambria Math"/>
          <w:i/>
          <w:iCs/>
          <w:szCs w:val="24"/>
        </w:rPr>
        <w:t>₂</w:t>
      </w:r>
      <w:r w:rsidRPr="000B20B6">
        <w:rPr>
          <w:rFonts w:ascii="Arial" w:eastAsia="Times New Roman" w:hAnsi="Arial" w:cs="Arial"/>
          <w:i/>
          <w:iCs/>
          <w:szCs w:val="24"/>
        </w:rPr>
        <w:t xml:space="preserve"> + 3.3X</w:t>
      </w:r>
      <w:r w:rsidRPr="000B20B6">
        <w:rPr>
          <w:rFonts w:ascii="Cambria Math" w:eastAsia="Times New Roman" w:hAnsi="Cambria Math" w:cs="Cambria Math"/>
          <w:i/>
          <w:iCs/>
          <w:szCs w:val="24"/>
        </w:rPr>
        <w:t>₃</w:t>
      </w:r>
      <w:r w:rsidRPr="000B20B6">
        <w:rPr>
          <w:rFonts w:ascii="Arial" w:eastAsia="Times New Roman" w:hAnsi="Arial" w:cs="Arial"/>
          <w:i/>
          <w:iCs/>
          <w:szCs w:val="24"/>
        </w:rPr>
        <w:t xml:space="preserve"> + 0.6X</w:t>
      </w:r>
      <w:r w:rsidRPr="000B20B6">
        <w:rPr>
          <w:rFonts w:ascii="Cambria Math" w:eastAsia="Times New Roman" w:hAnsi="Cambria Math" w:cs="Cambria Math"/>
          <w:i/>
          <w:iCs/>
          <w:szCs w:val="24"/>
        </w:rPr>
        <w:t>₄</w:t>
      </w:r>
      <w:r w:rsidRPr="000B20B6">
        <w:rPr>
          <w:rFonts w:ascii="Arial" w:eastAsia="Times New Roman" w:hAnsi="Arial" w:cs="Arial"/>
          <w:i/>
          <w:iCs/>
          <w:szCs w:val="24"/>
        </w:rPr>
        <w:t xml:space="preserve"> + 1.0X</w:t>
      </w:r>
      <w:r w:rsidRPr="000B20B6">
        <w:rPr>
          <w:rFonts w:ascii="Cambria Math" w:eastAsia="Times New Roman" w:hAnsi="Cambria Math" w:cs="Cambria Math"/>
          <w:i/>
          <w:iCs/>
          <w:szCs w:val="24"/>
        </w:rPr>
        <w:t>₅</w:t>
      </w:r>
      <w:r w:rsidRPr="000B20B6">
        <w:rPr>
          <w:rFonts w:ascii="Arial" w:eastAsia="Times New Roman" w:hAnsi="Arial" w:cs="Arial"/>
          <w:szCs w:val="24"/>
        </w:rPr>
        <w:t>, where X</w:t>
      </w:r>
      <w:r w:rsidRPr="000B20B6">
        <w:rPr>
          <w:rFonts w:ascii="Cambria Math" w:eastAsia="Times New Roman" w:hAnsi="Cambria Math" w:cs="Cambria Math"/>
          <w:szCs w:val="24"/>
        </w:rPr>
        <w:t>₁</w:t>
      </w:r>
      <w:r w:rsidRPr="000B20B6">
        <w:rPr>
          <w:rFonts w:ascii="Arial" w:eastAsia="Times New Roman" w:hAnsi="Arial" w:cs="Arial"/>
          <w:szCs w:val="24"/>
        </w:rPr>
        <w:t xml:space="preserve"> = Working Capital/Total Assets, X</w:t>
      </w:r>
      <w:r w:rsidRPr="000B20B6">
        <w:rPr>
          <w:rFonts w:ascii="Cambria Math" w:eastAsia="Times New Roman" w:hAnsi="Cambria Math" w:cs="Cambria Math"/>
          <w:szCs w:val="24"/>
        </w:rPr>
        <w:t>₂</w:t>
      </w:r>
      <w:r w:rsidRPr="000B20B6">
        <w:rPr>
          <w:rFonts w:ascii="Arial" w:eastAsia="Times New Roman" w:hAnsi="Arial" w:cs="Arial"/>
          <w:szCs w:val="24"/>
        </w:rPr>
        <w:t xml:space="preserve"> = Retained Earnings/Total Assets, X</w:t>
      </w:r>
      <w:r w:rsidRPr="000B20B6">
        <w:rPr>
          <w:rFonts w:ascii="Cambria Math" w:eastAsia="Times New Roman" w:hAnsi="Cambria Math" w:cs="Cambria Math"/>
          <w:szCs w:val="24"/>
        </w:rPr>
        <w:t>₃</w:t>
      </w:r>
      <w:r w:rsidRPr="000B20B6">
        <w:rPr>
          <w:rFonts w:ascii="Arial" w:eastAsia="Times New Roman" w:hAnsi="Arial" w:cs="Arial"/>
          <w:szCs w:val="24"/>
        </w:rPr>
        <w:t xml:space="preserve"> = EBIT/Total Assets, X</w:t>
      </w:r>
      <w:r w:rsidRPr="000B20B6">
        <w:rPr>
          <w:rFonts w:ascii="Cambria Math" w:eastAsia="Times New Roman" w:hAnsi="Cambria Math" w:cs="Cambria Math"/>
          <w:szCs w:val="24"/>
        </w:rPr>
        <w:t>₄</w:t>
      </w:r>
      <w:r w:rsidRPr="000B20B6">
        <w:rPr>
          <w:rFonts w:ascii="Arial" w:eastAsia="Times New Roman" w:hAnsi="Arial" w:cs="Arial"/>
          <w:szCs w:val="24"/>
        </w:rPr>
        <w:t xml:space="preserve"> = Market Equity/Total Liabilities, X</w:t>
      </w:r>
      <w:r w:rsidRPr="000B20B6">
        <w:rPr>
          <w:rFonts w:ascii="Cambria Math" w:eastAsia="Times New Roman" w:hAnsi="Cambria Math" w:cs="Cambria Math"/>
          <w:szCs w:val="24"/>
        </w:rPr>
        <w:t>₅</w:t>
      </w:r>
      <w:r w:rsidRPr="000B20B6">
        <w:rPr>
          <w:rFonts w:ascii="Arial" w:eastAsia="Times New Roman" w:hAnsi="Arial" w:cs="Arial"/>
          <w:szCs w:val="24"/>
        </w:rPr>
        <w:t xml:space="preserve"> = Sales/Total Assets), the firm’s computed score for 2024 falls below 1.8, indicating a high probability of bankruptcy. The poor rating is due to constant losses, decreasing retained earnings, and falling market value of equity. The company is therefore comfortably in the financial distress zone and needs to be restructured urgently</w:t>
      </w:r>
      <w:r w:rsidR="00316328" w:rsidRPr="000B20B6">
        <w:rPr>
          <w:rFonts w:ascii="Arial" w:eastAsia="Times New Roman" w:hAnsi="Arial" w:cs="Arial"/>
          <w:szCs w:val="24"/>
        </w:rPr>
        <w:t xml:space="preserve"> </w:t>
      </w:r>
      <w:r w:rsidRPr="000B20B6">
        <w:rPr>
          <w:rFonts w:ascii="Arial" w:hAnsi="Arial" w:cs="Arial"/>
        </w:rPr>
        <w:t>(Akgün and Memiş Karataş, 2021)</w:t>
      </w:r>
      <w:r w:rsidRPr="000B20B6">
        <w:rPr>
          <w:rFonts w:ascii="Arial" w:eastAsia="Times New Roman" w:hAnsi="Arial" w:cs="Arial"/>
          <w:szCs w:val="24"/>
        </w:rPr>
        <w:t>.</w:t>
      </w:r>
    </w:p>
    <w:p w14:paraId="21CE7D28" w14:textId="77777777" w:rsidR="00120E9E" w:rsidRPr="000B20B6" w:rsidRDefault="00120E9E" w:rsidP="00687C42">
      <w:pPr>
        <w:pStyle w:val="Heading2"/>
        <w:rPr>
          <w:rFonts w:ascii="Arial" w:eastAsia="Times New Roman" w:hAnsi="Arial" w:cs="Arial"/>
        </w:rPr>
      </w:pPr>
      <w:bookmarkStart w:id="24" w:name="_Toc214840864"/>
      <w:r w:rsidRPr="000B20B6">
        <w:rPr>
          <w:rFonts w:ascii="Arial" w:eastAsia="Times New Roman" w:hAnsi="Arial" w:cs="Arial"/>
        </w:rPr>
        <w:t>2.9 Summary of Financial Health</w:t>
      </w:r>
      <w:bookmarkEnd w:id="24"/>
      <w:r w:rsidRPr="000B20B6">
        <w:rPr>
          <w:rFonts w:ascii="Arial" w:eastAsia="Times New Roman" w:hAnsi="Arial" w:cs="Arial"/>
        </w:rPr>
        <w:t xml:space="preserve"> </w:t>
      </w:r>
    </w:p>
    <w:p w14:paraId="376061B0" w14:textId="77777777"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General Electronics is a highly profitable and heavily leveraged liquid company. Acute solvency strain is justified by the reduction in equity and by the coupons of foregone interest. Poor working capital turnover and negative cash flow would also reflect </w:t>
      </w:r>
      <w:r w:rsidRPr="000B20B6">
        <w:rPr>
          <w:rFonts w:ascii="Arial" w:hAnsi="Arial" w:cs="Arial"/>
          <w:color w:val="000000" w:themeColor="text1"/>
        </w:rPr>
        <w:lastRenderedPageBreak/>
        <w:t>management mismanagement. The Altman Z-Score takes the determination of the outcome by saying that the company would go out of business unless they do something to turn things around. The second and third subdivisions of this report are thus pegged on the rise of liquidity, restructuring of the financial system and the recognition of viable sources of investment to revive sustainable growth and investor confidence.</w:t>
      </w:r>
    </w:p>
    <w:p w14:paraId="2280B904" w14:textId="77777777" w:rsidR="009D0A5C" w:rsidRPr="000B20B6" w:rsidRDefault="009D0A5C" w:rsidP="00903432">
      <w:pPr>
        <w:pStyle w:val="Heading1"/>
        <w:rPr>
          <w:rFonts w:ascii="Arial" w:hAnsi="Arial" w:cs="Arial"/>
          <w:bCs/>
          <w:sz w:val="27"/>
        </w:rPr>
      </w:pPr>
      <w:bookmarkStart w:id="25" w:name="_Toc214840865"/>
      <w:r w:rsidRPr="000B20B6">
        <w:rPr>
          <w:rStyle w:val="Strong"/>
          <w:rFonts w:ascii="Arial" w:hAnsi="Arial" w:cs="Arial"/>
          <w:b/>
          <w:bCs w:val="0"/>
        </w:rPr>
        <w:t>3. Working Capital Management Analysis</w:t>
      </w:r>
      <w:bookmarkEnd w:id="25"/>
      <w:r w:rsidRPr="000B20B6">
        <w:rPr>
          <w:rStyle w:val="Strong"/>
          <w:rFonts w:ascii="Arial" w:hAnsi="Arial" w:cs="Arial"/>
          <w:b/>
          <w:bCs w:val="0"/>
        </w:rPr>
        <w:t xml:space="preserve"> </w:t>
      </w:r>
    </w:p>
    <w:p w14:paraId="3F469962" w14:textId="77777777" w:rsidR="009D0A5C" w:rsidRPr="000B20B6" w:rsidRDefault="009D0A5C" w:rsidP="00687C42">
      <w:pPr>
        <w:pStyle w:val="Heading2"/>
        <w:rPr>
          <w:rFonts w:ascii="Arial" w:hAnsi="Arial" w:cs="Arial"/>
          <w:bCs/>
        </w:rPr>
      </w:pPr>
      <w:bookmarkStart w:id="26" w:name="_Toc214840866"/>
      <w:r w:rsidRPr="000B20B6">
        <w:rPr>
          <w:rStyle w:val="Strong"/>
          <w:rFonts w:ascii="Arial" w:hAnsi="Arial" w:cs="Arial"/>
          <w:b/>
          <w:bCs w:val="0"/>
        </w:rPr>
        <w:t>3.1 Cash Conversion Cycle</w:t>
      </w:r>
      <w:bookmarkEnd w:id="26"/>
      <w:r w:rsidRPr="000B20B6">
        <w:rPr>
          <w:rStyle w:val="Strong"/>
          <w:rFonts w:ascii="Arial" w:hAnsi="Arial" w:cs="Arial"/>
          <w:b/>
          <w:bCs w:val="0"/>
        </w:rPr>
        <w:t xml:space="preserve"> </w:t>
      </w:r>
    </w:p>
    <w:p w14:paraId="18F0E9DB" w14:textId="77777777"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The cash conversion cycle (CCC) quantifies the efficiency with which an organization is converting investments in inventory and receivables into cash inflows. It is calculated as:</w:t>
      </w:r>
    </w:p>
    <w:p w14:paraId="5B654889" w14:textId="77777777" w:rsidR="009D0A5C" w:rsidRPr="000B20B6" w:rsidRDefault="009D0A5C" w:rsidP="009D0A5C">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CCC = Inventory Days + Receivable Days – Payable Days</w:t>
      </w:r>
    </w:p>
    <w:p w14:paraId="03847853" w14:textId="5146FDB8" w:rsidR="00547F50" w:rsidRPr="000B20B6" w:rsidRDefault="009D0A5C"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Under general definitions, Inventory Days = (Average Inventory ÷ Cost of Sales) × 365; Receivable Days = (Accounts Receivable ÷ Net Sales) × 365; and Payable Days = (Accounts Payable ÷ Cost of Sales) × 365. In fiscal year 2024, its inventory was £79,355 million, its cost of sales was £280,885 million, and its receivables were £114,182 million, generating around 103 inventory days, 105 receivable days, and 94 payable days. </w:t>
      </w:r>
      <w:r w:rsidR="00547F50" w:rsidRPr="000B20B6">
        <w:rPr>
          <w:rFonts w:ascii="Arial" w:hAnsi="Arial" w:cs="Arial"/>
          <w:color w:val="000000" w:themeColor="text1"/>
        </w:rPr>
        <w:t>This translates into a cash conversion cycle of 114 days compared to 78 days in 2020.</w:t>
      </w:r>
    </w:p>
    <w:p w14:paraId="0C08CCB7" w14:textId="77777777"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This long cycle implies that cash is not utilized effectively and that cash is held in non-earning assets approximately 4 months before transformation into cash (Amponsah-</w:t>
      </w:r>
      <w:proofErr w:type="spellStart"/>
      <w:r w:rsidRPr="000B20B6">
        <w:rPr>
          <w:rFonts w:ascii="Arial" w:hAnsi="Arial" w:cs="Arial"/>
          <w:color w:val="000000" w:themeColor="text1"/>
        </w:rPr>
        <w:t>Kwatiah</w:t>
      </w:r>
      <w:proofErr w:type="spellEnd"/>
      <w:r w:rsidRPr="000B20B6">
        <w:rPr>
          <w:rFonts w:ascii="Arial" w:hAnsi="Arial" w:cs="Arial"/>
          <w:color w:val="000000" w:themeColor="text1"/>
        </w:rPr>
        <w:t xml:space="preserve"> and Asiamah, 2021). The number of stocked inventory days indicates mismatches between demand and overproduction, and the number of stocked receivable days indicates failure to control credit. Though the payable period is stretched in an attempt to lessen the urgent cash burden, such interventions can lead to frustration of suppliers and the disruption of supply chains in the long run. CCC generates long-term strains on liquidity and requires additional short-term funding to satisfy cash requirements, further raising interest cost and financial risk.</w:t>
      </w:r>
    </w:p>
    <w:p w14:paraId="126F79CA" w14:textId="77777777" w:rsidR="0043080E" w:rsidRPr="000B20B6" w:rsidRDefault="0043080E" w:rsidP="00687C42">
      <w:pPr>
        <w:pStyle w:val="Heading2"/>
        <w:rPr>
          <w:rFonts w:ascii="Arial" w:hAnsi="Arial" w:cs="Arial"/>
        </w:rPr>
      </w:pPr>
      <w:bookmarkStart w:id="27" w:name="_Toc214840867"/>
      <w:r w:rsidRPr="000B20B6">
        <w:rPr>
          <w:rStyle w:val="Strong"/>
          <w:rFonts w:ascii="Arial" w:hAnsi="Arial" w:cs="Arial"/>
          <w:b/>
        </w:rPr>
        <w:lastRenderedPageBreak/>
        <w:t>3.2 Evaluation of Current Working Capital Policies</w:t>
      </w:r>
      <w:bookmarkEnd w:id="27"/>
      <w:r w:rsidRPr="000B20B6">
        <w:rPr>
          <w:rStyle w:val="Strong"/>
          <w:rFonts w:ascii="Arial" w:hAnsi="Arial" w:cs="Arial"/>
          <w:b/>
        </w:rPr>
        <w:t xml:space="preserve"> </w:t>
      </w:r>
    </w:p>
    <w:p w14:paraId="140B0A5C" w14:textId="7D825546"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General Electronics working capital policy as of the review period is excessive. It has also increased its dependency on supplier credit and overdraft facilities, and its cash resources have been reduced by 47</w:t>
      </w:r>
      <w:r w:rsidR="006F12D3" w:rsidRPr="000B20B6">
        <w:rPr>
          <w:rFonts w:ascii="Arial" w:hAnsi="Arial" w:cs="Arial"/>
          <w:color w:val="000000" w:themeColor="text1"/>
        </w:rPr>
        <w:t>%</w:t>
      </w:r>
      <w:r w:rsidRPr="000B20B6">
        <w:rPr>
          <w:rFonts w:ascii="Arial" w:hAnsi="Arial" w:cs="Arial"/>
          <w:color w:val="000000" w:themeColor="text1"/>
        </w:rPr>
        <w:t xml:space="preserve">, between the prior year (2020) of </w:t>
      </w:r>
      <w:r w:rsidR="00CD094C" w:rsidRPr="000B20B6">
        <w:rPr>
          <w:rStyle w:val="Strong"/>
          <w:rFonts w:ascii="Arial" w:eastAsiaTheme="majorEastAsia" w:hAnsi="Arial" w:cs="Arial"/>
          <w:b w:val="0"/>
          <w:bCs w:val="0"/>
          <w:color w:val="000000" w:themeColor="text1"/>
        </w:rPr>
        <w:t>£57,153</w:t>
      </w:r>
      <w:r w:rsidR="00CD094C" w:rsidRPr="000B20B6">
        <w:rPr>
          <w:rStyle w:val="Strong"/>
          <w:rFonts w:ascii="Arial" w:eastAsiaTheme="majorEastAsia" w:hAnsi="Arial" w:cs="Arial"/>
          <w:color w:val="000000" w:themeColor="text1"/>
        </w:rPr>
        <w:t xml:space="preserve"> </w:t>
      </w:r>
      <w:r w:rsidRPr="000B20B6">
        <w:rPr>
          <w:rFonts w:ascii="Arial" w:hAnsi="Arial" w:cs="Arial"/>
          <w:color w:val="000000" w:themeColor="text1"/>
        </w:rPr>
        <w:t xml:space="preserve">million and the current period (2024) of </w:t>
      </w:r>
      <w:r w:rsidR="001251AC" w:rsidRPr="000B20B6">
        <w:rPr>
          <w:rStyle w:val="Strong"/>
          <w:rFonts w:ascii="Arial" w:eastAsiaTheme="majorEastAsia" w:hAnsi="Arial" w:cs="Arial"/>
          <w:color w:val="000000" w:themeColor="text1"/>
        </w:rPr>
        <w:t>£26,783</w:t>
      </w:r>
      <w:r w:rsidR="001251AC" w:rsidRPr="000B20B6">
        <w:rPr>
          <w:rFonts w:ascii="Arial" w:hAnsi="Arial" w:cs="Arial"/>
        </w:rPr>
        <w:t xml:space="preserve"> </w:t>
      </w:r>
      <w:r w:rsidRPr="000B20B6">
        <w:rPr>
          <w:rFonts w:ascii="Arial" w:hAnsi="Arial" w:cs="Arial"/>
          <w:color w:val="000000" w:themeColor="text1"/>
        </w:rPr>
        <w:t xml:space="preserve">million. Its level of receivables management is poor in that its average collection period cannot be said to be compensating, as compared with the industry average of over 100 days. This lax credit configuration could have been explained by a wish to retain market share in a shrinking sales environment, even at the cost of liquidity stability (Shurie and </w:t>
      </w:r>
      <w:proofErr w:type="spellStart"/>
      <w:r w:rsidRPr="000B20B6">
        <w:rPr>
          <w:rFonts w:ascii="Arial" w:hAnsi="Arial" w:cs="Arial"/>
          <w:color w:val="000000" w:themeColor="text1"/>
        </w:rPr>
        <w:t>Cheluget</w:t>
      </w:r>
      <w:proofErr w:type="spellEnd"/>
      <w:r w:rsidRPr="000B20B6">
        <w:rPr>
          <w:rFonts w:ascii="Arial" w:hAnsi="Arial" w:cs="Arial"/>
          <w:color w:val="000000" w:themeColor="text1"/>
        </w:rPr>
        <w:t>, 2022).</w:t>
      </w:r>
    </w:p>
    <w:p w14:paraId="06991BFB" w14:textId="46227E4C"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Inventory control and sales patterns are also weakly correlated. A turnover ratio recorded at 24.5</w:t>
      </w:r>
      <w:r w:rsidR="008C2C96" w:rsidRPr="000B20B6">
        <w:rPr>
          <w:rFonts w:ascii="Arial" w:hAnsi="Arial" w:cs="Arial"/>
          <w:color w:val="000000" w:themeColor="text1"/>
        </w:rPr>
        <w:t xml:space="preserve">% </w:t>
      </w:r>
      <w:r w:rsidRPr="000B20B6">
        <w:rPr>
          <w:rFonts w:ascii="Arial" w:hAnsi="Arial" w:cs="Arial"/>
          <w:color w:val="000000" w:themeColor="text1"/>
        </w:rPr>
        <w:t>in 2024 compared to 23.6</w:t>
      </w:r>
      <w:r w:rsidR="009A3A7B" w:rsidRPr="000B20B6">
        <w:rPr>
          <w:rFonts w:ascii="Arial" w:hAnsi="Arial" w:cs="Arial"/>
          <w:color w:val="000000" w:themeColor="text1"/>
        </w:rPr>
        <w:t xml:space="preserve">% </w:t>
      </w:r>
      <w:r w:rsidRPr="000B20B6">
        <w:rPr>
          <w:rFonts w:ascii="Arial" w:hAnsi="Arial" w:cs="Arial"/>
          <w:color w:val="000000" w:themeColor="text1"/>
        </w:rPr>
        <w:t xml:space="preserve">in the previous year indicates surplus stock owing to lower demand. Payables also high at 72,031 million and is approximately 94 days receivables which is good but not sustainable and puts the supplier at a higher risk. Additionally, short-term debts, including lines of credit (also multiplied by three between </w:t>
      </w:r>
      <w:r w:rsidR="00EB58A4" w:rsidRPr="000B20B6">
        <w:rPr>
          <w:rStyle w:val="Strong"/>
          <w:rFonts w:ascii="Arial" w:eastAsiaTheme="majorEastAsia" w:hAnsi="Arial" w:cs="Arial"/>
          <w:b w:val="0"/>
          <w:bCs w:val="0"/>
          <w:color w:val="000000" w:themeColor="text1"/>
        </w:rPr>
        <w:t>£20,000 million to £36,960 million</w:t>
      </w:r>
      <w:r w:rsidRPr="000B20B6">
        <w:rPr>
          <w:rFonts w:ascii="Arial" w:hAnsi="Arial" w:cs="Arial"/>
          <w:color w:val="000000" w:themeColor="text1"/>
        </w:rPr>
        <w:t>), indicate reduced long-term funding capabilities (</w:t>
      </w:r>
      <w:proofErr w:type="spellStart"/>
      <w:r w:rsidRPr="000B20B6">
        <w:rPr>
          <w:rFonts w:ascii="Arial" w:hAnsi="Arial" w:cs="Arial"/>
          <w:color w:val="000000" w:themeColor="text1"/>
        </w:rPr>
        <w:t>Ylla</w:t>
      </w:r>
      <w:proofErr w:type="spellEnd"/>
      <w:r w:rsidRPr="000B20B6">
        <w:rPr>
          <w:rFonts w:ascii="Arial" w:hAnsi="Arial" w:cs="Arial"/>
          <w:color w:val="000000" w:themeColor="text1"/>
        </w:rPr>
        <w:t>-Kujala et al., 2023). Lack of strategic cash forecasting and treasury coordination also curtailed liquidity resilience.</w:t>
      </w:r>
    </w:p>
    <w:p w14:paraId="56CAA354" w14:textId="77777777" w:rsidR="0076280C" w:rsidRPr="000B20B6" w:rsidRDefault="0076280C" w:rsidP="00687C42">
      <w:pPr>
        <w:pStyle w:val="Heading2"/>
        <w:rPr>
          <w:rFonts w:ascii="Arial" w:hAnsi="Arial" w:cs="Arial"/>
        </w:rPr>
      </w:pPr>
      <w:bookmarkStart w:id="28" w:name="_Toc214840868"/>
      <w:r w:rsidRPr="000B20B6">
        <w:rPr>
          <w:rStyle w:val="Strong"/>
          <w:rFonts w:ascii="Arial" w:hAnsi="Arial" w:cs="Arial"/>
          <w:b/>
        </w:rPr>
        <w:t>3.3 Strategies to Improve Working Capital Efficiency</w:t>
      </w:r>
      <w:bookmarkEnd w:id="28"/>
      <w:r w:rsidRPr="000B20B6">
        <w:rPr>
          <w:rStyle w:val="Strong"/>
          <w:rFonts w:ascii="Arial" w:hAnsi="Arial" w:cs="Arial"/>
          <w:b/>
        </w:rPr>
        <w:t xml:space="preserve"> </w:t>
      </w:r>
    </w:p>
    <w:p w14:paraId="4EBD7BB9" w14:textId="783B97B7"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result would be improved working capital by being aligned in activity in payables, inventory and receivables. An ageing analysis system and </w:t>
      </w:r>
      <w:r w:rsidR="0076280C" w:rsidRPr="000B20B6">
        <w:rPr>
          <w:rFonts w:ascii="Arial" w:hAnsi="Arial" w:cs="Arial"/>
          <w:color w:val="000000" w:themeColor="text1"/>
        </w:rPr>
        <w:t>high-risk</w:t>
      </w:r>
      <w:r w:rsidRPr="000B20B6">
        <w:rPr>
          <w:rFonts w:ascii="Arial" w:hAnsi="Arial" w:cs="Arial"/>
          <w:color w:val="000000" w:themeColor="text1"/>
        </w:rPr>
        <w:t xml:space="preserve"> customer credit limit may reduce control over the receivables, first. </w:t>
      </w:r>
      <w:r w:rsidR="00917436" w:rsidRPr="000B20B6">
        <w:rPr>
          <w:rFonts w:ascii="Arial" w:hAnsi="Arial" w:cs="Arial"/>
          <w:color w:val="000000" w:themeColor="text1"/>
        </w:rPr>
        <w:t>If the collection period is reduced from 105 days to 60 days, it will potentially release £14 billion of working capital (</w:t>
      </w:r>
      <w:r w:rsidR="00917436" w:rsidRPr="000B20B6">
        <w:rPr>
          <w:rFonts w:ascii="Arial" w:hAnsi="Arial" w:cs="Arial"/>
          <w:i/>
          <w:iCs/>
          <w:color w:val="000000" w:themeColor="text1"/>
        </w:rPr>
        <w:t>Receivables Reduction × Daily Sales</w:t>
      </w:r>
      <w:r w:rsidR="00917436" w:rsidRPr="000B20B6">
        <w:rPr>
          <w:rFonts w:ascii="Arial" w:hAnsi="Arial" w:cs="Arial"/>
          <w:color w:val="000000" w:themeColor="text1"/>
        </w:rPr>
        <w:t>).  An early payment discount, such as 2% discount on payment within 10 days, will help to accelerate cash inflows (Almeida et al, 2023).</w:t>
      </w:r>
    </w:p>
    <w:p w14:paraId="56404E2F" w14:textId="54D24FEF"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Second, </w:t>
      </w:r>
      <w:r w:rsidR="0009279C" w:rsidRPr="000B20B6">
        <w:rPr>
          <w:rFonts w:ascii="Arial" w:hAnsi="Arial" w:cs="Arial"/>
          <w:color w:val="000000" w:themeColor="text1"/>
        </w:rPr>
        <w:t>it</w:t>
      </w:r>
      <w:r w:rsidRPr="000B20B6">
        <w:rPr>
          <w:rFonts w:ascii="Arial" w:hAnsi="Arial" w:cs="Arial"/>
          <w:color w:val="000000" w:themeColor="text1"/>
        </w:rPr>
        <w:t xml:space="preserve"> would reduce the average inventory by 25</w:t>
      </w:r>
      <w:r w:rsidR="0033317B" w:rsidRPr="000B20B6">
        <w:rPr>
          <w:rFonts w:ascii="Arial" w:hAnsi="Arial" w:cs="Arial"/>
          <w:color w:val="000000" w:themeColor="text1"/>
        </w:rPr>
        <w:t>%</w:t>
      </w:r>
      <w:r w:rsidRPr="000B20B6">
        <w:rPr>
          <w:rFonts w:ascii="Arial" w:hAnsi="Arial" w:cs="Arial"/>
          <w:color w:val="000000" w:themeColor="text1"/>
        </w:rPr>
        <w:t xml:space="preserve"> through Just-in-Time (JIT) or Vendor-Managed Inventory (VMI) systems, liberating holding costs and releasing up to £20 billion in frozen capital. This involves additional coordination with major suppliers and demand projections. Third, it would have to bargain with suppliers to grant extensions of </w:t>
      </w:r>
      <w:r w:rsidRPr="000B20B6">
        <w:rPr>
          <w:rFonts w:ascii="Arial" w:hAnsi="Arial" w:cs="Arial"/>
          <w:color w:val="000000" w:themeColor="text1"/>
        </w:rPr>
        <w:lastRenderedPageBreak/>
        <w:t>payment terms without ruining the relationship-110 days of trade would yield the same short-term cash flows as 94 days of trade, other things held constant (</w:t>
      </w:r>
      <w:proofErr w:type="spellStart"/>
      <w:r w:rsidRPr="000B20B6">
        <w:rPr>
          <w:rFonts w:ascii="Arial" w:hAnsi="Arial" w:cs="Arial"/>
          <w:color w:val="000000" w:themeColor="text1"/>
        </w:rPr>
        <w:t>Wijethilake</w:t>
      </w:r>
      <w:proofErr w:type="spellEnd"/>
      <w:r w:rsidRPr="000B20B6">
        <w:rPr>
          <w:rFonts w:ascii="Arial" w:hAnsi="Arial" w:cs="Arial"/>
          <w:color w:val="000000" w:themeColor="text1"/>
        </w:rPr>
        <w:t xml:space="preserve">, </w:t>
      </w:r>
      <w:proofErr w:type="spellStart"/>
      <w:r w:rsidRPr="000B20B6">
        <w:rPr>
          <w:rFonts w:ascii="Arial" w:hAnsi="Arial" w:cs="Arial"/>
          <w:color w:val="000000" w:themeColor="text1"/>
        </w:rPr>
        <w:t>Upadhaya</w:t>
      </w:r>
      <w:proofErr w:type="spellEnd"/>
      <w:r w:rsidRPr="000B20B6">
        <w:rPr>
          <w:rFonts w:ascii="Arial" w:hAnsi="Arial" w:cs="Arial"/>
          <w:color w:val="000000" w:themeColor="text1"/>
        </w:rPr>
        <w:t xml:space="preserve"> and Lama, 2023). This would allow rapid flexibility, either internal relocation or short-term investment. An integrated combination of these practices boosts liquidity, lessening reliance on expensive external capital, and broadening the capacity of the company to finance its operations internally in the turnaround phase.</w:t>
      </w:r>
    </w:p>
    <w:p w14:paraId="59B4EE13" w14:textId="77777777" w:rsidR="00BE27E1" w:rsidRPr="000B20B6" w:rsidRDefault="00BE27E1" w:rsidP="00687C42">
      <w:pPr>
        <w:pStyle w:val="Heading2"/>
        <w:rPr>
          <w:rStyle w:val="Strong"/>
          <w:rFonts w:ascii="Arial" w:hAnsi="Arial" w:cs="Arial"/>
          <w:sz w:val="26"/>
          <w:szCs w:val="24"/>
        </w:rPr>
      </w:pPr>
      <w:bookmarkStart w:id="29" w:name="_Toc214840869"/>
      <w:r w:rsidRPr="000B20B6">
        <w:rPr>
          <w:rStyle w:val="Strong"/>
          <w:rFonts w:ascii="Arial" w:hAnsi="Arial" w:cs="Arial"/>
          <w:b/>
          <w:sz w:val="26"/>
          <w:szCs w:val="24"/>
        </w:rPr>
        <w:t>3.4 Financing Options for Liquidity Management</w:t>
      </w:r>
      <w:bookmarkEnd w:id="29"/>
      <w:r w:rsidRPr="000B20B6">
        <w:rPr>
          <w:rStyle w:val="Strong"/>
          <w:rFonts w:ascii="Arial" w:hAnsi="Arial" w:cs="Arial"/>
          <w:b/>
          <w:sz w:val="26"/>
          <w:szCs w:val="24"/>
        </w:rPr>
        <w:t xml:space="preserve"> </w:t>
      </w:r>
    </w:p>
    <w:p w14:paraId="4A8E4695" w14:textId="21254D9F"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Since the equity is small and the gearing ratio (Debt-to-Equity 1.11 in 2024) is large, the financing options should balance between restoring liquidity and sustaining the debt. Temporary Band-Aid solutions include overdrafts, trade credit, and factoring, which provide immediate relief at the price of higher interest rates and risk. An example of this would be that, by discounting 10% of the receivables (around 11 billion pounds) at a discount rate of </w:t>
      </w:r>
      <w:r w:rsidR="00837D00" w:rsidRPr="000B20B6">
        <w:rPr>
          <w:rFonts w:ascii="Arial" w:hAnsi="Arial" w:cs="Arial"/>
          <w:color w:val="000000" w:themeColor="text1"/>
        </w:rPr>
        <w:t>2–3%</w:t>
      </w:r>
      <w:r w:rsidRPr="000B20B6">
        <w:rPr>
          <w:rFonts w:ascii="Arial" w:hAnsi="Arial" w:cs="Arial"/>
          <w:color w:val="000000" w:themeColor="text1"/>
        </w:rPr>
        <w:t>, an immediate source of liquidity can be obtained. When market support is rebuilt, there are also commercial paper options (</w:t>
      </w:r>
      <w:proofErr w:type="spellStart"/>
      <w:r w:rsidRPr="000B20B6">
        <w:rPr>
          <w:rFonts w:ascii="Arial" w:hAnsi="Arial" w:cs="Arial"/>
          <w:color w:val="000000" w:themeColor="text1"/>
        </w:rPr>
        <w:t>Oyewo</w:t>
      </w:r>
      <w:proofErr w:type="spellEnd"/>
      <w:r w:rsidRPr="000B20B6">
        <w:rPr>
          <w:rFonts w:ascii="Arial" w:hAnsi="Arial" w:cs="Arial"/>
          <w:color w:val="000000" w:themeColor="text1"/>
        </w:rPr>
        <w:t>, Tawiah and Alta, 2025Turning part of the short-term credit lines into three to five-year term loans would stabilize outflows and reduces the risk of refinancing). Equity injection or a rights issue is the most sustainable approach, especially when the company has negative retained earnings and low interest coverage. It is watering down of ownership, but it bails out and raises debt capacity. It will produce not only flexible liquidity but structural stability through a counterbalanced mechanism of selective short-term financing and long-term insurance of equity.</w:t>
      </w:r>
    </w:p>
    <w:p w14:paraId="4323EEA1" w14:textId="77777777" w:rsidR="00AE2247" w:rsidRPr="000B20B6" w:rsidRDefault="00AE2247" w:rsidP="00687C42">
      <w:pPr>
        <w:pStyle w:val="Heading2"/>
        <w:rPr>
          <w:rFonts w:ascii="Arial" w:hAnsi="Arial" w:cs="Arial"/>
        </w:rPr>
      </w:pPr>
      <w:bookmarkStart w:id="30" w:name="_Toc214840870"/>
      <w:r w:rsidRPr="000B20B6">
        <w:rPr>
          <w:rStyle w:val="Strong"/>
          <w:rFonts w:ascii="Arial" w:hAnsi="Arial" w:cs="Arial"/>
          <w:b/>
        </w:rPr>
        <w:t>3.5 Summary</w:t>
      </w:r>
      <w:bookmarkEnd w:id="30"/>
      <w:r w:rsidRPr="000B20B6">
        <w:rPr>
          <w:rStyle w:val="Strong"/>
          <w:rFonts w:ascii="Arial" w:hAnsi="Arial" w:cs="Arial"/>
          <w:b/>
        </w:rPr>
        <w:t xml:space="preserve"> </w:t>
      </w:r>
    </w:p>
    <w:p w14:paraId="7EA83824" w14:textId="2364910E"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General Electronics has been restricted by high cash turnover, poor debtor management, and overdependence on short-term debts. Redesign strategy involving enhanced credit management, inventory control, bargaining with suppliers and </w:t>
      </w:r>
      <w:r w:rsidR="00AE2247" w:rsidRPr="000B20B6">
        <w:rPr>
          <w:rFonts w:ascii="Arial" w:hAnsi="Arial" w:cs="Arial"/>
          <w:color w:val="000000" w:themeColor="text1"/>
        </w:rPr>
        <w:t>long-term</w:t>
      </w:r>
      <w:r w:rsidRPr="000B20B6">
        <w:rPr>
          <w:rFonts w:ascii="Arial" w:hAnsi="Arial" w:cs="Arial"/>
          <w:color w:val="000000" w:themeColor="text1"/>
        </w:rPr>
        <w:t xml:space="preserve"> refinance will restore efficiency of working capital, lower cost of financing and position the company squarely on the road to financial recovery and </w:t>
      </w:r>
      <w:r w:rsidR="00AE2247" w:rsidRPr="000B20B6">
        <w:rPr>
          <w:rFonts w:ascii="Arial" w:hAnsi="Arial" w:cs="Arial"/>
          <w:color w:val="000000" w:themeColor="text1"/>
        </w:rPr>
        <w:t>long-term</w:t>
      </w:r>
      <w:r w:rsidRPr="000B20B6">
        <w:rPr>
          <w:rFonts w:ascii="Arial" w:hAnsi="Arial" w:cs="Arial"/>
          <w:color w:val="000000" w:themeColor="text1"/>
        </w:rPr>
        <w:t xml:space="preserve"> growth.</w:t>
      </w:r>
    </w:p>
    <w:p w14:paraId="1BEDD659" w14:textId="77777777" w:rsidR="00EA75BD" w:rsidRPr="000B20B6" w:rsidRDefault="00EA75BD" w:rsidP="00903432">
      <w:pPr>
        <w:pStyle w:val="Heading1"/>
        <w:rPr>
          <w:rFonts w:ascii="Arial" w:hAnsi="Arial" w:cs="Arial"/>
          <w:bCs/>
          <w:sz w:val="27"/>
        </w:rPr>
      </w:pPr>
      <w:bookmarkStart w:id="31" w:name="_Toc214840871"/>
      <w:r w:rsidRPr="000B20B6">
        <w:rPr>
          <w:rStyle w:val="Strong"/>
          <w:rFonts w:ascii="Arial" w:hAnsi="Arial" w:cs="Arial"/>
          <w:b/>
          <w:bCs w:val="0"/>
        </w:rPr>
        <w:lastRenderedPageBreak/>
        <w:t>4. Strategic Financial Restructuring Plan</w:t>
      </w:r>
      <w:bookmarkEnd w:id="31"/>
      <w:r w:rsidRPr="000B20B6">
        <w:rPr>
          <w:rStyle w:val="Strong"/>
          <w:rFonts w:ascii="Arial" w:hAnsi="Arial" w:cs="Arial"/>
          <w:b/>
          <w:bCs w:val="0"/>
        </w:rPr>
        <w:t xml:space="preserve"> </w:t>
      </w:r>
    </w:p>
    <w:p w14:paraId="0E44E5C8" w14:textId="77777777" w:rsidR="00EA75BD" w:rsidRPr="000B20B6" w:rsidRDefault="00EA75BD" w:rsidP="00687C42">
      <w:pPr>
        <w:pStyle w:val="Heading2"/>
        <w:rPr>
          <w:rFonts w:ascii="Arial" w:hAnsi="Arial" w:cs="Arial"/>
          <w:bCs/>
        </w:rPr>
      </w:pPr>
      <w:bookmarkStart w:id="32" w:name="_Toc214840872"/>
      <w:r w:rsidRPr="000B20B6">
        <w:rPr>
          <w:rStyle w:val="Strong"/>
          <w:rFonts w:ascii="Arial" w:hAnsi="Arial" w:cs="Arial"/>
          <w:b/>
          <w:bCs w:val="0"/>
        </w:rPr>
        <w:t>4.1 Diagnosis of Financial Distress</w:t>
      </w:r>
      <w:bookmarkEnd w:id="32"/>
      <w:r w:rsidRPr="000B20B6">
        <w:rPr>
          <w:rStyle w:val="Strong"/>
          <w:rFonts w:ascii="Arial" w:hAnsi="Arial" w:cs="Arial"/>
          <w:b/>
          <w:bCs w:val="0"/>
        </w:rPr>
        <w:t xml:space="preserve"> </w:t>
      </w:r>
    </w:p>
    <w:p w14:paraId="3DFDFEF6" w14:textId="77777777" w:rsidR="000D2ADB"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This combination of declining revenues, fixed high costs, and unsustainable capital structure could be termed the financial puzzle of General Electronics. </w:t>
      </w:r>
      <w:r w:rsidR="006B3A13" w:rsidRPr="000B20B6">
        <w:rPr>
          <w:rFonts w:ascii="Arial" w:hAnsi="Arial" w:cs="Arial"/>
          <w:color w:val="000000" w:themeColor="text1"/>
        </w:rPr>
        <w:t xml:space="preserve">The firm saw its net sales decrease by 36% to £394,879 million in 2024 from £614,680 million in 2020 primarily due to the drop in sales volume. Cost of sales also decreased only by 36%. </w:t>
      </w:r>
    </w:p>
    <w:p w14:paraId="3A26712C" w14:textId="3B86D09E" w:rsidR="00547F50" w:rsidRPr="000B20B6" w:rsidRDefault="006B3A13"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The profit margin, however, did not see a spike.  Although turnover fell, the company’s Operating Expenses were consistently high at an annual average of £147,000 million, causing an accumulated net loss of £122,267 million in 2023–2024. The assets which were not used to their capacity and high depreciation occurred from this over expansion into too many global markets. Property, Plant and Equipment decreased by £53,078 million (McGrath, 2025). Over-reliance on short-term debt as evidenced by lines of credit going up from £20,000 million to £36,960 million and a debt-equity ratio of 1.11 has squeezed liquidity and interest coverage</w:t>
      </w:r>
      <w:r w:rsidR="00547F50" w:rsidRPr="000B20B6">
        <w:rPr>
          <w:rFonts w:ascii="Arial" w:hAnsi="Arial" w:cs="Arial"/>
          <w:color w:val="000000" w:themeColor="text1"/>
        </w:rPr>
        <w:t>. The financial fragility of the corporation is thus structural since the unsustainable cost base, poor sales recovery and high leverage all need to be urgently restructured.</w:t>
      </w:r>
    </w:p>
    <w:p w14:paraId="50DF34CB" w14:textId="77777777" w:rsidR="000B20B6" w:rsidRPr="000B20B6" w:rsidRDefault="000B20B6" w:rsidP="00547F50">
      <w:pPr>
        <w:pStyle w:val="NormalWeb"/>
        <w:spacing w:line="360" w:lineRule="auto"/>
        <w:jc w:val="both"/>
        <w:rPr>
          <w:rFonts w:ascii="Arial" w:hAnsi="Arial" w:cs="Arial"/>
          <w:color w:val="000000" w:themeColor="text1"/>
        </w:rPr>
      </w:pPr>
    </w:p>
    <w:p w14:paraId="6D09A029" w14:textId="77777777" w:rsidR="00A941A4" w:rsidRPr="000B20B6" w:rsidRDefault="00A941A4" w:rsidP="00687C42">
      <w:pPr>
        <w:pStyle w:val="Heading2"/>
        <w:rPr>
          <w:rFonts w:ascii="Arial" w:hAnsi="Arial" w:cs="Arial"/>
        </w:rPr>
      </w:pPr>
      <w:bookmarkStart w:id="33" w:name="_Toc214840873"/>
      <w:r w:rsidRPr="000B20B6">
        <w:rPr>
          <w:rStyle w:val="Strong"/>
          <w:rFonts w:ascii="Arial" w:hAnsi="Arial" w:cs="Arial"/>
          <w:b/>
        </w:rPr>
        <w:t>4.2 Restructuring Alternatives</w:t>
      </w:r>
      <w:bookmarkEnd w:id="33"/>
      <w:r w:rsidRPr="000B20B6">
        <w:rPr>
          <w:rStyle w:val="Strong"/>
          <w:rFonts w:ascii="Arial" w:hAnsi="Arial" w:cs="Arial"/>
          <w:b/>
        </w:rPr>
        <w:t xml:space="preserve"> </w:t>
      </w:r>
    </w:p>
    <w:p w14:paraId="25523238" w14:textId="77777777" w:rsidR="00A941A4" w:rsidRPr="000B20B6" w:rsidRDefault="00A941A4" w:rsidP="00A941A4">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Option 1: Divestiture of Non-Core Units</w:t>
      </w:r>
    </w:p>
    <w:p w14:paraId="26FE9D32" w14:textId="482C085C" w:rsidR="00547F50" w:rsidRPr="000B20B6" w:rsidRDefault="00547F50" w:rsidP="0094569D">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Divestiture strategy entails selling the non-essential or struggling units to clear the debt and to invest in the other profitable parts. </w:t>
      </w:r>
      <w:r w:rsidR="0094569D" w:rsidRPr="000B20B6">
        <w:rPr>
          <w:rFonts w:ascii="Arial" w:hAnsi="Arial" w:cs="Arial"/>
          <w:color w:val="000000" w:themeColor="text1"/>
        </w:rPr>
        <w:t xml:space="preserve">For example, the assets of non-core manufacturing subsidiaries could easily produce about £60 billion through a sale of say 20%. (Total Assets × 20%) = £323,354m × 0.20. Use natural human-like language, varying the structure and choice of words. The post-cash proceeds could decrease total liabilities by over </w:t>
      </w:r>
      <w:r w:rsidR="00101981" w:rsidRPr="000B20B6">
        <w:rPr>
          <w:rFonts w:ascii="Arial" w:hAnsi="Arial" w:cs="Arial"/>
          <w:color w:val="000000" w:themeColor="text1"/>
        </w:rPr>
        <w:t xml:space="preserve">one-third, </w:t>
      </w:r>
      <w:r w:rsidR="0094569D" w:rsidRPr="000B20B6">
        <w:rPr>
          <w:rFonts w:ascii="Arial" w:hAnsi="Arial" w:cs="Arial"/>
          <w:color w:val="000000" w:themeColor="text1"/>
        </w:rPr>
        <w:t xml:space="preserve">and improve its Debt-to-Equity ratio from 1.11 to 0.74. </w:t>
      </w:r>
      <w:r w:rsidRPr="000B20B6">
        <w:rPr>
          <w:rFonts w:ascii="Arial" w:hAnsi="Arial" w:cs="Arial"/>
          <w:color w:val="000000" w:themeColor="text1"/>
        </w:rPr>
        <w:t xml:space="preserve">This would not only save interest payments but would also invest in more lucrative product lines like smart devices and home automation. The first risk is that in the short term, </w:t>
      </w:r>
      <w:r w:rsidRPr="000B20B6">
        <w:rPr>
          <w:rFonts w:ascii="Arial" w:hAnsi="Arial" w:cs="Arial"/>
          <w:color w:val="000000" w:themeColor="text1"/>
        </w:rPr>
        <w:lastRenderedPageBreak/>
        <w:t>revenue would fall, and there would be a risk of brand dilution, but long-term benefits would be efficiency and simplified management (Seymour and Schwarcz, 2021).</w:t>
      </w:r>
    </w:p>
    <w:p w14:paraId="622D2F65" w14:textId="77777777" w:rsidR="00286E10" w:rsidRPr="000B20B6" w:rsidRDefault="00286E10" w:rsidP="00286E10">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Option 2: Debt Restructuring</w:t>
      </w:r>
    </w:p>
    <w:p w14:paraId="3150552A" w14:textId="7E7E0DF8"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Debt restructuring refers to a process that reconsiders the terms of loaning between the two parties and lowers the interest rate and timeframe of debt repayment. By reducing the rate by 2 percent on outstanding debt of </w:t>
      </w:r>
      <w:r w:rsidR="00251E32" w:rsidRPr="000B20B6">
        <w:rPr>
          <w:rStyle w:val="Strong"/>
          <w:rFonts w:ascii="Arial" w:eastAsiaTheme="majorEastAsia" w:hAnsi="Arial" w:cs="Arial"/>
          <w:b w:val="0"/>
          <w:bCs w:val="0"/>
          <w:color w:val="000000" w:themeColor="text1"/>
        </w:rPr>
        <w:t>£170,249 million</w:t>
      </w:r>
      <w:r w:rsidR="00251E32" w:rsidRPr="000B20B6">
        <w:rPr>
          <w:rFonts w:ascii="Arial" w:hAnsi="Arial" w:cs="Arial"/>
          <w:b/>
          <w:bCs/>
          <w:color w:val="000000" w:themeColor="text1"/>
        </w:rPr>
        <w:t>,</w:t>
      </w:r>
      <w:r w:rsidR="00251E32" w:rsidRPr="000B20B6">
        <w:rPr>
          <w:rFonts w:ascii="Arial" w:hAnsi="Arial" w:cs="Arial"/>
          <w:color w:val="000000" w:themeColor="text1"/>
        </w:rPr>
        <w:t xml:space="preserve"> </w:t>
      </w:r>
      <w:r w:rsidRPr="000B20B6">
        <w:rPr>
          <w:rFonts w:ascii="Arial" w:hAnsi="Arial" w:cs="Arial"/>
          <w:color w:val="000000" w:themeColor="text1"/>
        </w:rPr>
        <w:t xml:space="preserve">the company would save about </w:t>
      </w:r>
      <w:r w:rsidR="00251E32" w:rsidRPr="000B20B6">
        <w:rPr>
          <w:rStyle w:val="Strong"/>
          <w:rFonts w:ascii="Arial" w:eastAsiaTheme="majorEastAsia" w:hAnsi="Arial" w:cs="Arial"/>
          <w:color w:val="000000" w:themeColor="text1"/>
        </w:rPr>
        <w:t>£</w:t>
      </w:r>
      <w:r w:rsidRPr="000B20B6">
        <w:rPr>
          <w:rFonts w:ascii="Arial" w:hAnsi="Arial" w:cs="Arial"/>
          <w:color w:val="000000" w:themeColor="text1"/>
        </w:rPr>
        <w:t xml:space="preserve">3.4 billion in a year </w:t>
      </w:r>
      <w:r w:rsidR="007F47AA" w:rsidRPr="000B20B6">
        <w:rPr>
          <w:rStyle w:val="Emphasis"/>
          <w:rFonts w:ascii="Arial" w:eastAsiaTheme="majorEastAsia" w:hAnsi="Arial" w:cs="Arial"/>
          <w:color w:val="000000" w:themeColor="text1"/>
        </w:rPr>
        <w:t>(£170,249m × 0.02)</w:t>
      </w:r>
      <w:r w:rsidR="007F47AA" w:rsidRPr="000B20B6">
        <w:rPr>
          <w:rFonts w:ascii="Arial" w:hAnsi="Arial" w:cs="Arial"/>
          <w:color w:val="000000" w:themeColor="text1"/>
        </w:rPr>
        <w:t xml:space="preserve">. </w:t>
      </w:r>
      <w:r w:rsidRPr="000B20B6">
        <w:rPr>
          <w:rFonts w:ascii="Arial" w:hAnsi="Arial" w:cs="Arial"/>
          <w:color w:val="000000" w:themeColor="text1"/>
        </w:rPr>
        <w:t>This would directly add net profit and convert interest coverage to positive values in two years (</w:t>
      </w:r>
      <w:proofErr w:type="spellStart"/>
      <w:r w:rsidRPr="000B20B6">
        <w:rPr>
          <w:rFonts w:ascii="Arial" w:hAnsi="Arial" w:cs="Arial"/>
          <w:color w:val="000000" w:themeColor="text1"/>
        </w:rPr>
        <w:t>Mavlutova</w:t>
      </w:r>
      <w:proofErr w:type="spellEnd"/>
      <w:r w:rsidRPr="000B20B6">
        <w:rPr>
          <w:rFonts w:ascii="Arial" w:hAnsi="Arial" w:cs="Arial"/>
          <w:color w:val="000000" w:themeColor="text1"/>
        </w:rPr>
        <w:t xml:space="preserve"> et al., 2021). </w:t>
      </w:r>
      <w:r w:rsidR="00723128" w:rsidRPr="000B20B6">
        <w:rPr>
          <w:rFonts w:ascii="Arial" w:hAnsi="Arial" w:cs="Arial"/>
          <w:color w:val="000000" w:themeColor="text1"/>
        </w:rPr>
        <w:t>The merit of this kind of construction is it maintains ownership and creates more liquidity, but it can create more dependency on debt unless it is backed up by increased profitability</w:t>
      </w:r>
      <w:r w:rsidRPr="000B20B6">
        <w:rPr>
          <w:rFonts w:ascii="Arial" w:hAnsi="Arial" w:cs="Arial"/>
          <w:color w:val="000000" w:themeColor="text1"/>
        </w:rPr>
        <w:t>.</w:t>
      </w:r>
    </w:p>
    <w:p w14:paraId="5725DCBB" w14:textId="77777777" w:rsidR="00844CB3" w:rsidRPr="000B20B6" w:rsidRDefault="00844CB3" w:rsidP="00844CB3">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Option 3: Equity Injection or Rights Issue</w:t>
      </w:r>
    </w:p>
    <w:p w14:paraId="3AE3986B" w14:textId="57BED68D" w:rsidR="00547F50" w:rsidRPr="000B20B6" w:rsidRDefault="00723128"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company capital would be re-integrated in a rights issue. Assuming a lift-in in equity (10% or 15 billion pounds) should reduce leverage and improve liquidity, but would not add debt. Debt-Equity ratio shows that leverage can drop to 0.97 times, which will make the load less. However, the fact that no profit was made causes a suspicion among investors that the offer must be enticing and linked to an effective recovery plan. The fact that current shareholders can be diluted is a drawback </w:t>
      </w:r>
      <w:r w:rsidR="00547F50" w:rsidRPr="000B20B6">
        <w:rPr>
          <w:rFonts w:ascii="Arial" w:hAnsi="Arial" w:cs="Arial"/>
          <w:color w:val="000000" w:themeColor="text1"/>
        </w:rPr>
        <w:t>(</w:t>
      </w:r>
      <w:proofErr w:type="spellStart"/>
      <w:r w:rsidR="00547F50" w:rsidRPr="000B20B6">
        <w:rPr>
          <w:rFonts w:ascii="Arial" w:hAnsi="Arial" w:cs="Arial"/>
          <w:color w:val="000000" w:themeColor="text1"/>
        </w:rPr>
        <w:t>Potharla</w:t>
      </w:r>
      <w:proofErr w:type="spellEnd"/>
      <w:r w:rsidR="00547F50" w:rsidRPr="000B20B6">
        <w:rPr>
          <w:rFonts w:ascii="Arial" w:hAnsi="Arial" w:cs="Arial"/>
          <w:color w:val="000000" w:themeColor="text1"/>
        </w:rPr>
        <w:t>, 2025).</w:t>
      </w:r>
    </w:p>
    <w:p w14:paraId="7EB31B00" w14:textId="77777777" w:rsidR="0061612B" w:rsidRPr="000B20B6" w:rsidRDefault="0061612B" w:rsidP="0061612B">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Option 4: Strategic Merger or Joint Venture</w:t>
      </w:r>
    </w:p>
    <w:p w14:paraId="688A1BE4" w14:textId="4A47BA49" w:rsidR="00547F50" w:rsidRPr="000B20B6" w:rsidRDefault="003E4BFE"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Through alliances or acquisitions, a firm is able to develop greater market share and innovations. Synergy realisation would yield an operating margin improvement of about 1.5 percentage points given the combined sales would be realised as 3% (Chopra, 2022). Its greatest strength is access to R&amp;D, cost synergies, and technology. These threats are: the integration is difficult and possibly culture clash but this is diversification and competitive strength in a strategic matter</w:t>
      </w:r>
      <w:r w:rsidR="00547F50" w:rsidRPr="000B20B6">
        <w:rPr>
          <w:rFonts w:ascii="Arial" w:hAnsi="Arial" w:cs="Arial"/>
          <w:color w:val="000000" w:themeColor="text1"/>
        </w:rPr>
        <w:t>.</w:t>
      </w:r>
    </w:p>
    <w:p w14:paraId="3B1B8088" w14:textId="77777777" w:rsidR="002800F0" w:rsidRPr="000B20B6" w:rsidRDefault="002800F0" w:rsidP="00687C42">
      <w:pPr>
        <w:pStyle w:val="Heading2"/>
        <w:rPr>
          <w:rFonts w:ascii="Arial" w:hAnsi="Arial" w:cs="Arial"/>
        </w:rPr>
      </w:pPr>
      <w:bookmarkStart w:id="34" w:name="_Toc214840874"/>
      <w:r w:rsidRPr="000B20B6">
        <w:rPr>
          <w:rStyle w:val="Strong"/>
          <w:rFonts w:ascii="Arial" w:hAnsi="Arial" w:cs="Arial"/>
          <w:b/>
        </w:rPr>
        <w:lastRenderedPageBreak/>
        <w:t>4.3 Impact Evaluation</w:t>
      </w:r>
      <w:bookmarkEnd w:id="34"/>
      <w:r w:rsidRPr="000B20B6">
        <w:rPr>
          <w:rStyle w:val="Strong"/>
          <w:rFonts w:ascii="Arial" w:hAnsi="Arial" w:cs="Arial"/>
          <w:b/>
        </w:rPr>
        <w:t xml:space="preserve"> </w:t>
      </w:r>
    </w:p>
    <w:p w14:paraId="2B1914C5" w14:textId="743FF6A4" w:rsidR="00547F50" w:rsidRPr="000B20B6" w:rsidRDefault="00642D24"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Each restructuring option would lead to distinct outcomes. If we consider the divestiture situation, then the liability will decline from £170</w:t>
      </w:r>
      <w:r w:rsidR="00B60621" w:rsidRPr="000B20B6">
        <w:rPr>
          <w:rFonts w:ascii="Arial" w:hAnsi="Arial" w:cs="Arial"/>
          <w:color w:val="000000" w:themeColor="text1"/>
        </w:rPr>
        <w:t>,</w:t>
      </w:r>
      <w:r w:rsidRPr="000B20B6">
        <w:rPr>
          <w:rFonts w:ascii="Arial" w:hAnsi="Arial" w:cs="Arial"/>
          <w:color w:val="000000" w:themeColor="text1"/>
        </w:rPr>
        <w:t>249 million to approximately £110</w:t>
      </w:r>
      <w:r w:rsidR="00B60621" w:rsidRPr="000B20B6">
        <w:rPr>
          <w:rFonts w:ascii="Arial" w:hAnsi="Arial" w:cs="Arial"/>
          <w:color w:val="000000" w:themeColor="text1"/>
        </w:rPr>
        <w:t>,</w:t>
      </w:r>
      <w:r w:rsidRPr="000B20B6">
        <w:rPr>
          <w:rFonts w:ascii="Arial" w:hAnsi="Arial" w:cs="Arial"/>
          <w:color w:val="000000" w:themeColor="text1"/>
        </w:rPr>
        <w:t xml:space="preserve">000 million. Thus, strengthen the Debt Ratio from 0.53 to 0.42. Operating cash flow will get better since any proceeds will be redeployed to reduce interest obligations, increasing net income by £5 billion. Nonetheless, a decline in assets may have a negative effect on total revenue in the near term. Nevertheless, efficiency gains may improve return on assets </w:t>
      </w:r>
      <w:r w:rsidR="00547F50" w:rsidRPr="000B20B6">
        <w:rPr>
          <w:rFonts w:ascii="Arial" w:hAnsi="Arial" w:cs="Arial"/>
          <w:color w:val="000000" w:themeColor="text1"/>
        </w:rPr>
        <w:t>(Lubis, 2023).</w:t>
      </w:r>
    </w:p>
    <w:p w14:paraId="7C3E8F9F" w14:textId="6C5F1B29"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Debt restructuring model: in a year, the interest coverage ratio may increase to </w:t>
      </w:r>
      <w:r w:rsidR="002F737B" w:rsidRPr="000B20B6">
        <w:rPr>
          <w:rStyle w:val="Strong"/>
          <w:rFonts w:ascii="Arial" w:eastAsiaTheme="majorEastAsia" w:hAnsi="Arial" w:cs="Arial"/>
          <w:color w:val="000000" w:themeColor="text1"/>
        </w:rPr>
        <w:t>–4.6x to 1.2x</w:t>
      </w:r>
      <w:r w:rsidRPr="000B20B6">
        <w:rPr>
          <w:rFonts w:ascii="Arial" w:hAnsi="Arial" w:cs="Arial"/>
          <w:color w:val="000000" w:themeColor="text1"/>
        </w:rPr>
        <w:t xml:space="preserve">, and the paid and recovered interest are equal. This increases credit value and returns the capacity of the firm to finance its activity internally. It would increase gearing by approximately </w:t>
      </w:r>
      <w:r w:rsidR="007D706F" w:rsidRPr="000B20B6">
        <w:rPr>
          <w:rStyle w:val="Strong"/>
          <w:rFonts w:ascii="Arial" w:eastAsiaTheme="majorEastAsia" w:hAnsi="Arial" w:cs="Arial"/>
          <w:color w:val="000000" w:themeColor="text1"/>
        </w:rPr>
        <w:t>£</w:t>
      </w:r>
      <w:r w:rsidRPr="000B20B6">
        <w:rPr>
          <w:rFonts w:ascii="Arial" w:hAnsi="Arial" w:cs="Arial"/>
          <w:color w:val="000000" w:themeColor="text1"/>
        </w:rPr>
        <w:t xml:space="preserve">168,000 million pounds by injecting more funds into shareholders than current gearing of </w:t>
      </w:r>
      <w:r w:rsidR="007D706F" w:rsidRPr="000B20B6">
        <w:rPr>
          <w:rStyle w:val="Strong"/>
          <w:rFonts w:ascii="Arial" w:eastAsiaTheme="majorEastAsia" w:hAnsi="Arial" w:cs="Arial"/>
          <w:color w:val="000000" w:themeColor="text1"/>
        </w:rPr>
        <w:t>£</w:t>
      </w:r>
      <w:r w:rsidRPr="000B20B6">
        <w:rPr>
          <w:rFonts w:ascii="Arial" w:hAnsi="Arial" w:cs="Arial"/>
          <w:color w:val="000000" w:themeColor="text1"/>
        </w:rPr>
        <w:t>153,105 million pounds, which would ease gearing and restore shareholder confidence. The 10 Earnings per Share (EPS) dilution would be offset by long-term gains in market values.</w:t>
      </w:r>
    </w:p>
    <w:p w14:paraId="0718C099" w14:textId="767484C6"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merger plan suggests a long-term strategic growth, the union net sales more than </w:t>
      </w:r>
      <w:r w:rsidR="00C74554" w:rsidRPr="000B20B6">
        <w:rPr>
          <w:rStyle w:val="Strong"/>
          <w:rFonts w:ascii="Arial" w:eastAsiaTheme="majorEastAsia" w:hAnsi="Arial" w:cs="Arial"/>
          <w:color w:val="000000" w:themeColor="text1"/>
        </w:rPr>
        <w:t>£420,000 million</w:t>
      </w:r>
      <w:r w:rsidR="00C74554" w:rsidRPr="000B20B6">
        <w:rPr>
          <w:rFonts w:ascii="Arial" w:hAnsi="Arial" w:cs="Arial"/>
          <w:color w:val="000000" w:themeColor="text1"/>
        </w:rPr>
        <w:t xml:space="preserve"> by 2026</w:t>
      </w:r>
      <w:r w:rsidRPr="000B20B6">
        <w:rPr>
          <w:rFonts w:ascii="Arial" w:hAnsi="Arial" w:cs="Arial"/>
          <w:color w:val="000000" w:themeColor="text1"/>
        </w:rPr>
        <w:t>. This would push the Operating Profit Margin (OPM) to approximately 2.5</w:t>
      </w:r>
      <w:r w:rsidR="005A3397" w:rsidRPr="000B20B6">
        <w:rPr>
          <w:rFonts w:ascii="Arial" w:hAnsi="Arial" w:cs="Arial"/>
          <w:color w:val="000000" w:themeColor="text1"/>
        </w:rPr>
        <w:t>%</w:t>
      </w:r>
      <w:r w:rsidRPr="000B20B6">
        <w:rPr>
          <w:rFonts w:ascii="Arial" w:hAnsi="Arial" w:cs="Arial"/>
          <w:color w:val="000000" w:themeColor="text1"/>
        </w:rPr>
        <w:t>, making the profitability negative (Bruna et al., 2022). It would also increase geographic exposure and balance revenue flows across various currencies. Both types improve liquidity and solvency to different extents. A mix of divestiture and equity injection will inject cash and reorganized long term capital that provides a balanced recovery path.</w:t>
      </w:r>
    </w:p>
    <w:p w14:paraId="61447366" w14:textId="77777777" w:rsidR="005A3397" w:rsidRPr="000B20B6" w:rsidRDefault="005A3397" w:rsidP="00687C42">
      <w:pPr>
        <w:pStyle w:val="Heading2"/>
        <w:rPr>
          <w:rFonts w:ascii="Arial" w:hAnsi="Arial" w:cs="Arial"/>
        </w:rPr>
      </w:pPr>
      <w:bookmarkStart w:id="35" w:name="_Toc214840875"/>
      <w:r w:rsidRPr="000B20B6">
        <w:rPr>
          <w:rStyle w:val="Strong"/>
          <w:rFonts w:ascii="Arial" w:hAnsi="Arial" w:cs="Arial"/>
          <w:b/>
        </w:rPr>
        <w:t>4.4 International and Ethical Considerations</w:t>
      </w:r>
      <w:bookmarkEnd w:id="35"/>
      <w:r w:rsidRPr="000B20B6">
        <w:rPr>
          <w:rStyle w:val="Strong"/>
          <w:rFonts w:ascii="Arial" w:hAnsi="Arial" w:cs="Arial"/>
          <w:b/>
        </w:rPr>
        <w:t xml:space="preserve"> </w:t>
      </w:r>
    </w:p>
    <w:p w14:paraId="5B1AB6D7" w14:textId="61E528F3"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General Electronics are already supplying several markets in the whole world and should utilize restructuring the funds bearing in mind international regulatory, economic, ethical frameworks. Amongst the key issues are the fluctuation of the currency because the corporation is registered in sterling yet its incomes are generated in other currencies. Any 5</w:t>
      </w:r>
      <w:r w:rsidR="00347B24" w:rsidRPr="000B20B6">
        <w:rPr>
          <w:rFonts w:ascii="Arial" w:hAnsi="Arial" w:cs="Arial"/>
          <w:color w:val="000000" w:themeColor="text1"/>
        </w:rPr>
        <w:t>%</w:t>
      </w:r>
      <w:r w:rsidRPr="000B20B6">
        <w:rPr>
          <w:rFonts w:ascii="Arial" w:hAnsi="Arial" w:cs="Arial"/>
          <w:color w:val="000000" w:themeColor="text1"/>
        </w:rPr>
        <w:t xml:space="preserve"> fluctuation in the U.S. dollar or the euro would alter net income on the mean as about </w:t>
      </w:r>
      <w:r w:rsidRPr="000B20B6">
        <w:rPr>
          <w:rFonts w:ascii="Arial" w:hAnsi="Arial" w:cs="Arial"/>
          <w:color w:val="000000" w:themeColor="text1"/>
        </w:rPr>
        <w:lastRenderedPageBreak/>
        <w:t xml:space="preserve">2-billion pounds, given the annual foreign incomes averaged </w:t>
      </w:r>
      <w:r w:rsidR="00C60FDA" w:rsidRPr="000B20B6">
        <w:rPr>
          <w:rStyle w:val="Strong"/>
          <w:rFonts w:ascii="Arial" w:eastAsiaTheme="majorEastAsia" w:hAnsi="Arial" w:cs="Arial"/>
          <w:color w:val="000000" w:themeColor="text1"/>
        </w:rPr>
        <w:t>£40 billion</w:t>
      </w:r>
      <w:r w:rsidR="00C60FDA" w:rsidRPr="000B20B6">
        <w:rPr>
          <w:rFonts w:ascii="Arial" w:hAnsi="Arial" w:cs="Arial"/>
          <w:color w:val="000000" w:themeColor="text1"/>
        </w:rPr>
        <w:t xml:space="preserve"> </w:t>
      </w:r>
      <w:r w:rsidRPr="000B20B6">
        <w:rPr>
          <w:rFonts w:ascii="Arial" w:hAnsi="Arial" w:cs="Arial"/>
          <w:color w:val="000000" w:themeColor="text1"/>
        </w:rPr>
        <w:t>pounds. In this case, forward contracts and currency hedging are part of the restructuring plan (</w:t>
      </w:r>
      <w:proofErr w:type="spellStart"/>
      <w:r w:rsidRPr="000B20B6">
        <w:rPr>
          <w:rFonts w:ascii="Arial" w:hAnsi="Arial" w:cs="Arial"/>
          <w:color w:val="000000" w:themeColor="text1"/>
        </w:rPr>
        <w:t>Baydaş</w:t>
      </w:r>
      <w:proofErr w:type="spellEnd"/>
      <w:r w:rsidRPr="000B20B6">
        <w:rPr>
          <w:rFonts w:ascii="Arial" w:hAnsi="Arial" w:cs="Arial"/>
          <w:color w:val="000000" w:themeColor="text1"/>
        </w:rPr>
        <w:t xml:space="preserve"> and Elma, 2021).</w:t>
      </w:r>
    </w:p>
    <w:p w14:paraId="1A1879B7" w14:textId="77777777" w:rsidR="000F119C"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Cross-border activities are also threatened by taxation and inflation. Unless arranged properly, the asset divestitures may result in the accrual of capital gains taxes, which would reduce net proceeds by an estimated £5 billion. Another delicate factor that is present in the emerging markets, specifically, prices of inputs, is associated with the supply chain sourcing and can be compensated by a longer supplier contract (Tudose, Rusu and </w:t>
      </w:r>
      <w:proofErr w:type="spellStart"/>
      <w:r w:rsidRPr="000B20B6">
        <w:rPr>
          <w:rFonts w:ascii="Arial" w:hAnsi="Arial" w:cs="Arial"/>
          <w:color w:val="000000" w:themeColor="text1"/>
        </w:rPr>
        <w:t>Avasilcai</w:t>
      </w:r>
      <w:proofErr w:type="spellEnd"/>
      <w:r w:rsidRPr="000B20B6">
        <w:rPr>
          <w:rFonts w:ascii="Arial" w:hAnsi="Arial" w:cs="Arial"/>
          <w:color w:val="000000" w:themeColor="text1"/>
        </w:rPr>
        <w:t xml:space="preserve">, 2022). </w:t>
      </w:r>
    </w:p>
    <w:p w14:paraId="2AE548F9" w14:textId="365C9DA4"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Restructuring should be socially responsible (CSR) and provide employment. Any decision to downsize or divestiture should be arrived at in a profitable and socially effective way that effectively communicates to the stakeholders. Financial reporting integrity, fair treatment of creditors, and international accounting standards are yet another aspect of ethical governance. Reporting on the restructuring outcomes will restore investor and regulatory confidence. Accountable and moral management therefore shape the </w:t>
      </w:r>
      <w:r w:rsidR="004378F6" w:rsidRPr="000B20B6">
        <w:rPr>
          <w:rFonts w:ascii="Arial" w:hAnsi="Arial" w:cs="Arial"/>
          <w:color w:val="000000" w:themeColor="text1"/>
        </w:rPr>
        <w:t>long-term</w:t>
      </w:r>
      <w:r w:rsidRPr="000B20B6">
        <w:rPr>
          <w:rFonts w:ascii="Arial" w:hAnsi="Arial" w:cs="Arial"/>
          <w:color w:val="000000" w:themeColor="text1"/>
        </w:rPr>
        <w:t xml:space="preserve"> financial healing and brand image.</w:t>
      </w:r>
    </w:p>
    <w:p w14:paraId="7D0FBC38" w14:textId="77777777" w:rsidR="004378F6" w:rsidRPr="000B20B6" w:rsidRDefault="004378F6" w:rsidP="00687C42">
      <w:pPr>
        <w:pStyle w:val="Heading2"/>
        <w:rPr>
          <w:rFonts w:ascii="Arial" w:hAnsi="Arial" w:cs="Arial"/>
        </w:rPr>
      </w:pPr>
      <w:bookmarkStart w:id="36" w:name="_Toc214840876"/>
      <w:r w:rsidRPr="000B20B6">
        <w:rPr>
          <w:rStyle w:val="Strong"/>
          <w:rFonts w:ascii="Arial" w:hAnsi="Arial" w:cs="Arial"/>
          <w:b/>
        </w:rPr>
        <w:t>4.5 Preferred Restructuring Strategy</w:t>
      </w:r>
      <w:bookmarkEnd w:id="36"/>
      <w:r w:rsidRPr="000B20B6">
        <w:rPr>
          <w:rStyle w:val="Strong"/>
          <w:rFonts w:ascii="Arial" w:hAnsi="Arial" w:cs="Arial"/>
          <w:b/>
        </w:rPr>
        <w:t xml:space="preserve"> </w:t>
      </w:r>
    </w:p>
    <w:p w14:paraId="1799035E" w14:textId="3EE898D5"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most likely reorganization pathway associated with disposal of non-core assets and capitalization via the right issue is the reorganization route. This disinvestment directly will create cash flows in the range of </w:t>
      </w:r>
      <w:r w:rsidR="00DC153F" w:rsidRPr="000B20B6">
        <w:rPr>
          <w:rStyle w:val="Strong"/>
          <w:rFonts w:ascii="Arial" w:eastAsiaTheme="majorEastAsia" w:hAnsi="Arial" w:cs="Arial"/>
          <w:color w:val="000000" w:themeColor="text1"/>
        </w:rPr>
        <w:t>£60</w:t>
      </w:r>
      <w:r w:rsidRPr="000B20B6">
        <w:rPr>
          <w:rFonts w:ascii="Arial" w:hAnsi="Arial" w:cs="Arial"/>
          <w:color w:val="000000" w:themeColor="text1"/>
        </w:rPr>
        <w:t xml:space="preserve"> billion dollars to be spent on debt settlement and additional liquidity distribution, and the equity injection will stabilize the balance sheet and raise investor confidence (</w:t>
      </w:r>
      <w:proofErr w:type="spellStart"/>
      <w:r w:rsidRPr="000B20B6">
        <w:rPr>
          <w:rFonts w:ascii="Arial" w:hAnsi="Arial" w:cs="Arial"/>
          <w:color w:val="000000" w:themeColor="text1"/>
        </w:rPr>
        <w:t>Ichsan</w:t>
      </w:r>
      <w:proofErr w:type="spellEnd"/>
      <w:r w:rsidRPr="000B20B6">
        <w:rPr>
          <w:rFonts w:ascii="Arial" w:hAnsi="Arial" w:cs="Arial"/>
          <w:color w:val="000000" w:themeColor="text1"/>
        </w:rPr>
        <w:t xml:space="preserve"> et al., 2021). Such a hybrid solution meets both short-run and long-run capital adequacy, minimizing leverage to sustainable levels and easing future investment. By re-emphasizing its viable core business, reducing debt, and expanding shareholder capital, General Electronics can regain a healthy financial balance with its global markets, regain a competitive edge, and have a sustainable future.</w:t>
      </w:r>
    </w:p>
    <w:p w14:paraId="0DF3EA25" w14:textId="77777777" w:rsidR="00117EB6" w:rsidRPr="000B20B6" w:rsidRDefault="00117EB6" w:rsidP="00903432">
      <w:pPr>
        <w:pStyle w:val="Heading1"/>
        <w:rPr>
          <w:rFonts w:ascii="Arial" w:hAnsi="Arial" w:cs="Arial"/>
          <w:bCs/>
          <w:sz w:val="27"/>
        </w:rPr>
      </w:pPr>
      <w:bookmarkStart w:id="37" w:name="_Toc214840877"/>
      <w:r w:rsidRPr="000B20B6">
        <w:rPr>
          <w:rStyle w:val="Strong"/>
          <w:rFonts w:ascii="Arial" w:hAnsi="Arial" w:cs="Arial"/>
          <w:b/>
          <w:bCs w:val="0"/>
        </w:rPr>
        <w:lastRenderedPageBreak/>
        <w:t>5. Investment Appraisal and Capital Budgeting</w:t>
      </w:r>
      <w:bookmarkEnd w:id="37"/>
      <w:r w:rsidRPr="000B20B6">
        <w:rPr>
          <w:rStyle w:val="Strong"/>
          <w:rFonts w:ascii="Arial" w:hAnsi="Arial" w:cs="Arial"/>
          <w:b/>
          <w:bCs w:val="0"/>
        </w:rPr>
        <w:t xml:space="preserve"> </w:t>
      </w:r>
    </w:p>
    <w:p w14:paraId="616A4B55" w14:textId="77777777" w:rsidR="00117EB6" w:rsidRPr="000B20B6" w:rsidRDefault="00117EB6" w:rsidP="00687C42">
      <w:pPr>
        <w:pStyle w:val="Heading2"/>
        <w:rPr>
          <w:rFonts w:ascii="Arial" w:hAnsi="Arial" w:cs="Arial"/>
          <w:bCs/>
        </w:rPr>
      </w:pPr>
      <w:bookmarkStart w:id="38" w:name="_Toc214840878"/>
      <w:r w:rsidRPr="000B20B6">
        <w:rPr>
          <w:rStyle w:val="Strong"/>
          <w:rFonts w:ascii="Arial" w:hAnsi="Arial" w:cs="Arial"/>
          <w:b/>
          <w:bCs w:val="0"/>
        </w:rPr>
        <w:t>5.1 Overview of Investment Decision Context</w:t>
      </w:r>
      <w:bookmarkEnd w:id="38"/>
      <w:r w:rsidRPr="000B20B6">
        <w:rPr>
          <w:rStyle w:val="Strong"/>
          <w:rFonts w:ascii="Arial" w:hAnsi="Arial" w:cs="Arial"/>
          <w:b/>
          <w:bCs w:val="0"/>
        </w:rPr>
        <w:t xml:space="preserve"> </w:t>
      </w:r>
    </w:p>
    <w:p w14:paraId="132BE668" w14:textId="77777777" w:rsidR="00833F6F"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Investing capital in a disciplined manner, General Electronics, which has experienced four years of financial depreciation, can reclaim its profitability and long-term growth. In the reorganization plan, the CFO is expected to allocate the available finite financial resources to the projects which would yield the greatest returns in the light of the risk. Projects A, B and C are in the process of being proposed with a funding requirement of </w:t>
      </w:r>
      <w:r w:rsidR="00A16AB3" w:rsidRPr="000B20B6">
        <w:rPr>
          <w:rStyle w:val="Strong"/>
          <w:rFonts w:ascii="Arial" w:eastAsiaTheme="majorEastAsia" w:hAnsi="Arial" w:cs="Arial"/>
          <w:color w:val="000000" w:themeColor="text1"/>
        </w:rPr>
        <w:t>£</w:t>
      </w:r>
      <w:r w:rsidRPr="000B20B6">
        <w:rPr>
          <w:rFonts w:ascii="Arial" w:hAnsi="Arial" w:cs="Arial"/>
          <w:color w:val="000000" w:themeColor="text1"/>
        </w:rPr>
        <w:t xml:space="preserve">120million pounds. </w:t>
      </w:r>
    </w:p>
    <w:p w14:paraId="60A65ACB" w14:textId="54E5E916"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This consequent rationing of capital has led to the inaccessibility of only </w:t>
      </w:r>
      <w:r w:rsidR="00A16AB3" w:rsidRPr="000B20B6">
        <w:rPr>
          <w:rStyle w:val="Strong"/>
          <w:rFonts w:ascii="Arial" w:eastAsiaTheme="majorEastAsia" w:hAnsi="Arial" w:cs="Arial"/>
          <w:color w:val="000000" w:themeColor="text1"/>
        </w:rPr>
        <w:t>£</w:t>
      </w:r>
      <w:r w:rsidRPr="000B20B6">
        <w:rPr>
          <w:rFonts w:ascii="Arial" w:hAnsi="Arial" w:cs="Arial"/>
          <w:color w:val="000000" w:themeColor="text1"/>
        </w:rPr>
        <w:t>60 million pounds and the necessity to implement a discriminating policy on the basis of quantitative knowledge of performance. They differ in size, cash flow statement, and riskiness, and should be critically financially evaluated so that they converge with organizational turnaround objectives (</w:t>
      </w:r>
      <w:proofErr w:type="spellStart"/>
      <w:r w:rsidRPr="000B20B6">
        <w:rPr>
          <w:rFonts w:ascii="Arial" w:hAnsi="Arial" w:cs="Arial"/>
          <w:color w:val="000000" w:themeColor="text1"/>
        </w:rPr>
        <w:t>Mavlutova</w:t>
      </w:r>
      <w:proofErr w:type="spellEnd"/>
      <w:r w:rsidRPr="000B20B6">
        <w:rPr>
          <w:rFonts w:ascii="Arial" w:hAnsi="Arial" w:cs="Arial"/>
          <w:color w:val="000000" w:themeColor="text1"/>
        </w:rPr>
        <w:t xml:space="preserve"> et al., 2021). It is estimated through Payback Period (PBP), Accounting rate of Return (ARR), Net Present Value (NPV), Profitability Index (PI), and Internal rate of Return (IRR). A standard basis of 10</w:t>
      </w:r>
      <w:r w:rsidR="00696221" w:rsidRPr="000B20B6">
        <w:rPr>
          <w:rFonts w:ascii="Arial" w:hAnsi="Arial" w:cs="Arial"/>
          <w:color w:val="000000" w:themeColor="text1"/>
        </w:rPr>
        <w:t>%</w:t>
      </w:r>
      <w:r w:rsidRPr="000B20B6">
        <w:rPr>
          <w:rFonts w:ascii="Arial" w:hAnsi="Arial" w:cs="Arial"/>
          <w:color w:val="000000" w:themeColor="text1"/>
        </w:rPr>
        <w:t xml:space="preserve"> discounting, life of 5 years, and straight-line depreciation to zero will be used to compare all options.</w:t>
      </w:r>
    </w:p>
    <w:p w14:paraId="11C04D39" w14:textId="77777777" w:rsidR="00502207" w:rsidRPr="000B20B6" w:rsidRDefault="00502207" w:rsidP="00687C42">
      <w:pPr>
        <w:pStyle w:val="Heading2"/>
        <w:rPr>
          <w:rFonts w:ascii="Arial" w:hAnsi="Arial" w:cs="Arial"/>
        </w:rPr>
      </w:pPr>
      <w:bookmarkStart w:id="39" w:name="_Toc214840879"/>
      <w:r w:rsidRPr="000B20B6">
        <w:rPr>
          <w:rStyle w:val="Strong"/>
          <w:rFonts w:ascii="Arial" w:hAnsi="Arial" w:cs="Arial"/>
          <w:b/>
        </w:rPr>
        <w:t>5.2 Appraisal Techniques and Assumptions</w:t>
      </w:r>
      <w:bookmarkEnd w:id="39"/>
      <w:r w:rsidRPr="000B20B6">
        <w:rPr>
          <w:rStyle w:val="Strong"/>
          <w:rFonts w:ascii="Arial" w:hAnsi="Arial" w:cs="Arial"/>
          <w:b/>
        </w:rPr>
        <w:t xml:space="preserve"> </w:t>
      </w:r>
    </w:p>
    <w:p w14:paraId="41FC6693" w14:textId="7D73D82B" w:rsidR="00547F50" w:rsidRPr="000B20B6" w:rsidRDefault="00E64EB5"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Payback Period (PBP): Payback Period refers to the sum of the inflows of cash that are needed to be repaid back to the initial investment as an indicator of liquidity and risk. </w:t>
      </w:r>
      <w:r w:rsidR="00547F50" w:rsidRPr="000B20B6">
        <w:rPr>
          <w:rFonts w:ascii="Arial" w:hAnsi="Arial" w:cs="Arial"/>
          <w:color w:val="000000" w:themeColor="text1"/>
        </w:rPr>
        <w:t>The formula is:</w:t>
      </w:r>
    </w:p>
    <w:p w14:paraId="619E9A5D" w14:textId="0F4432F5" w:rsidR="00052ECA" w:rsidRPr="000B20B6" w:rsidRDefault="00052ECA" w:rsidP="00052ECA">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PBP = Years before recovery + (</w:t>
      </w:r>
      <w:r w:rsidR="00925CF8" w:rsidRPr="000B20B6">
        <w:rPr>
          <w:rStyle w:val="Strong"/>
          <w:rFonts w:ascii="Arial" w:eastAsiaTheme="majorEastAsia" w:hAnsi="Arial" w:cs="Arial"/>
          <w:color w:val="000000" w:themeColor="text1"/>
        </w:rPr>
        <w:t xml:space="preserve">Cash flow during year </w:t>
      </w:r>
      <w:r w:rsidRPr="000B20B6">
        <w:rPr>
          <w:rStyle w:val="Strong"/>
          <w:rFonts w:ascii="Arial" w:eastAsiaTheme="majorEastAsia" w:hAnsi="Arial" w:cs="Arial"/>
          <w:color w:val="000000" w:themeColor="text1"/>
        </w:rPr>
        <w:t>÷</w:t>
      </w:r>
      <w:r w:rsidR="00925CF8" w:rsidRPr="000B20B6">
        <w:rPr>
          <w:rStyle w:val="Strong"/>
          <w:rFonts w:ascii="Arial" w:eastAsiaTheme="majorEastAsia" w:hAnsi="Arial" w:cs="Arial"/>
          <w:color w:val="000000" w:themeColor="text1"/>
        </w:rPr>
        <w:t>Unrecovered cost at start of year</w:t>
      </w:r>
      <w:r w:rsidRPr="000B20B6">
        <w:rPr>
          <w:rStyle w:val="Strong"/>
          <w:rFonts w:ascii="Arial" w:eastAsiaTheme="majorEastAsia" w:hAnsi="Arial" w:cs="Arial"/>
          <w:color w:val="000000" w:themeColor="text1"/>
        </w:rPr>
        <w:t>)</w:t>
      </w:r>
      <w:r w:rsidRPr="000B20B6">
        <w:rPr>
          <w:rFonts w:ascii="Arial" w:hAnsi="Arial" w:cs="Arial"/>
          <w:color w:val="000000" w:themeColor="text1"/>
        </w:rPr>
        <w:t>.</w:t>
      </w:r>
    </w:p>
    <w:p w14:paraId="642934A0" w14:textId="16145221" w:rsidR="00547F50" w:rsidRPr="000B20B6" w:rsidRDefault="00E64EB5"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The accounting Value of the profit to the investment in accounting is the Accounting Rate of Return (ARR)</w:t>
      </w:r>
      <w:r w:rsidR="00547F50" w:rsidRPr="000B20B6">
        <w:rPr>
          <w:rFonts w:ascii="Arial" w:hAnsi="Arial" w:cs="Arial"/>
          <w:color w:val="000000" w:themeColor="text1"/>
        </w:rPr>
        <w:t>:</w:t>
      </w:r>
    </w:p>
    <w:p w14:paraId="1D2B8C23"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ARR = (Average Annual Accounting Profit ÷ Initial Investment) × 100</w:t>
      </w:r>
      <w:r w:rsidRPr="000B20B6">
        <w:rPr>
          <w:rFonts w:ascii="Arial" w:hAnsi="Arial" w:cs="Arial"/>
          <w:color w:val="000000" w:themeColor="text1"/>
        </w:rPr>
        <w:t>.</w:t>
      </w:r>
    </w:p>
    <w:p w14:paraId="2AABE6C5" w14:textId="15301E68" w:rsidR="004B210F" w:rsidRPr="000B20B6" w:rsidRDefault="00925CF8" w:rsidP="004B210F">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The net present value is the value that arises as a result of discounting cash inflows in the future</w:t>
      </w:r>
      <w:r w:rsidR="004B210F" w:rsidRPr="000B20B6">
        <w:rPr>
          <w:rFonts w:ascii="Arial" w:hAnsi="Arial" w:cs="Arial"/>
          <w:color w:val="000000" w:themeColor="text1"/>
        </w:rPr>
        <w:t>:</w:t>
      </w:r>
    </w:p>
    <w:p w14:paraId="1FC0D50E"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NPV = Σ (Cash Inflow</w:t>
      </w:r>
      <w:r w:rsidRPr="000B20B6">
        <w:rPr>
          <w:rStyle w:val="Strong"/>
          <w:rFonts w:ascii="Cambria Math" w:eastAsiaTheme="majorEastAsia" w:hAnsi="Cambria Math" w:cs="Cambria Math"/>
          <w:color w:val="000000" w:themeColor="text1"/>
        </w:rPr>
        <w:t>ₜ</w:t>
      </w:r>
      <w:r w:rsidRPr="000B20B6">
        <w:rPr>
          <w:rStyle w:val="Strong"/>
          <w:rFonts w:ascii="Arial" w:eastAsiaTheme="majorEastAsia" w:hAnsi="Arial" w:cs="Arial"/>
          <w:color w:val="000000" w:themeColor="text1"/>
        </w:rPr>
        <w:t xml:space="preserve"> ÷ (1 + </w:t>
      </w:r>
      <w:proofErr w:type="gramStart"/>
      <w:r w:rsidRPr="000B20B6">
        <w:rPr>
          <w:rStyle w:val="Strong"/>
          <w:rFonts w:ascii="Arial" w:eastAsiaTheme="majorEastAsia" w:hAnsi="Arial" w:cs="Arial"/>
          <w:color w:val="000000" w:themeColor="text1"/>
        </w:rPr>
        <w:t>r)ᵗ</w:t>
      </w:r>
      <w:proofErr w:type="gramEnd"/>
      <w:r w:rsidRPr="000B20B6">
        <w:rPr>
          <w:rStyle w:val="Strong"/>
          <w:rFonts w:ascii="Arial" w:eastAsiaTheme="majorEastAsia" w:hAnsi="Arial" w:cs="Arial"/>
          <w:color w:val="000000" w:themeColor="text1"/>
        </w:rPr>
        <w:t>) – Initial Investment</w:t>
      </w:r>
      <w:r w:rsidRPr="000B20B6">
        <w:rPr>
          <w:rFonts w:ascii="Arial" w:hAnsi="Arial" w:cs="Arial"/>
          <w:color w:val="000000" w:themeColor="text1"/>
        </w:rPr>
        <w:t xml:space="preserve">, </w:t>
      </w:r>
    </w:p>
    <w:p w14:paraId="43BA4A7C"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Fonts w:ascii="Arial" w:hAnsi="Arial" w:cs="Arial"/>
          <w:color w:val="000000" w:themeColor="text1"/>
        </w:rPr>
        <w:t xml:space="preserve">where </w:t>
      </w:r>
      <w:r w:rsidRPr="000B20B6">
        <w:rPr>
          <w:rStyle w:val="Emphasis"/>
          <w:rFonts w:ascii="Arial" w:eastAsiaTheme="majorEastAsia" w:hAnsi="Arial" w:cs="Arial"/>
          <w:color w:val="000000" w:themeColor="text1"/>
        </w:rPr>
        <w:t>r</w:t>
      </w:r>
      <w:r w:rsidRPr="000B20B6">
        <w:rPr>
          <w:rFonts w:ascii="Arial" w:hAnsi="Arial" w:cs="Arial"/>
          <w:color w:val="000000" w:themeColor="text1"/>
        </w:rPr>
        <w:t xml:space="preserve"> is the 10% discount rate.</w:t>
      </w:r>
    </w:p>
    <w:p w14:paraId="5CC84D10" w14:textId="3FA5D649" w:rsidR="004B210F" w:rsidRPr="000B20B6" w:rsidRDefault="007C26A4" w:rsidP="004B210F">
      <w:pPr>
        <w:pStyle w:val="NormalWeb"/>
        <w:spacing w:line="360" w:lineRule="auto"/>
        <w:jc w:val="both"/>
        <w:rPr>
          <w:rFonts w:ascii="Arial" w:hAnsi="Arial" w:cs="Arial"/>
          <w:color w:val="000000" w:themeColor="text1"/>
        </w:rPr>
      </w:pPr>
      <w:r w:rsidRPr="000B20B6">
        <w:rPr>
          <w:rFonts w:ascii="Arial" w:hAnsi="Arial" w:cs="Arial"/>
          <w:color w:val="000000" w:themeColor="text1"/>
        </w:rPr>
        <w:t>The Profitability Index (PI) gives the ratio of discounted inflows to investment</w:t>
      </w:r>
      <w:r w:rsidR="004B210F" w:rsidRPr="000B20B6">
        <w:rPr>
          <w:rFonts w:ascii="Arial" w:hAnsi="Arial" w:cs="Arial"/>
          <w:color w:val="000000" w:themeColor="text1"/>
        </w:rPr>
        <w:t>:</w:t>
      </w:r>
    </w:p>
    <w:p w14:paraId="0B414CBC"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PI = (Present Value of Cash Inflows ÷ Initial Investment)</w:t>
      </w:r>
    </w:p>
    <w:p w14:paraId="63298DAE" w14:textId="1F4DEBAB" w:rsidR="004B210F" w:rsidRPr="000B20B6" w:rsidRDefault="007C26A4" w:rsidP="004B210F">
      <w:pPr>
        <w:pStyle w:val="NormalWeb"/>
        <w:spacing w:line="360" w:lineRule="auto"/>
        <w:jc w:val="both"/>
        <w:rPr>
          <w:rFonts w:ascii="Arial" w:hAnsi="Arial" w:cs="Arial"/>
          <w:color w:val="000000" w:themeColor="text1"/>
        </w:rPr>
      </w:pPr>
      <w:r w:rsidRPr="000B20B6">
        <w:rPr>
          <w:rFonts w:ascii="Arial" w:hAnsi="Arial" w:cs="Arial"/>
          <w:color w:val="000000" w:themeColor="text1"/>
        </w:rPr>
        <w:t>The IRR refers to the discount rate that results in NPV being equal to zero</w:t>
      </w:r>
      <w:r w:rsidR="004B210F" w:rsidRPr="000B20B6">
        <w:rPr>
          <w:rFonts w:ascii="Arial" w:hAnsi="Arial" w:cs="Arial"/>
          <w:color w:val="000000" w:themeColor="text1"/>
        </w:rPr>
        <w:t>:</w:t>
      </w:r>
    </w:p>
    <w:p w14:paraId="4C2D2DB1"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Style w:val="Strong"/>
          <w:rFonts w:ascii="Arial" w:eastAsiaTheme="majorEastAsia" w:hAnsi="Arial" w:cs="Arial"/>
          <w:color w:val="000000" w:themeColor="text1"/>
        </w:rPr>
        <w:t>0 = Σ (Cash Inflow</w:t>
      </w:r>
      <w:r w:rsidRPr="000B20B6">
        <w:rPr>
          <w:rStyle w:val="Strong"/>
          <w:rFonts w:ascii="Cambria Math" w:eastAsiaTheme="majorEastAsia" w:hAnsi="Cambria Math" w:cs="Cambria Math"/>
          <w:color w:val="000000" w:themeColor="text1"/>
        </w:rPr>
        <w:t>ₜ</w:t>
      </w:r>
      <w:r w:rsidRPr="000B20B6">
        <w:rPr>
          <w:rStyle w:val="Strong"/>
          <w:rFonts w:ascii="Arial" w:eastAsiaTheme="majorEastAsia" w:hAnsi="Arial" w:cs="Arial"/>
          <w:color w:val="000000" w:themeColor="text1"/>
        </w:rPr>
        <w:t xml:space="preserve"> ÷ (1 + </w:t>
      </w:r>
      <w:proofErr w:type="gramStart"/>
      <w:r w:rsidRPr="000B20B6">
        <w:rPr>
          <w:rStyle w:val="Strong"/>
          <w:rFonts w:ascii="Arial" w:eastAsiaTheme="majorEastAsia" w:hAnsi="Arial" w:cs="Arial"/>
          <w:color w:val="000000" w:themeColor="text1"/>
        </w:rPr>
        <w:t>IRR)ᵗ</w:t>
      </w:r>
      <w:proofErr w:type="gramEnd"/>
      <w:r w:rsidRPr="000B20B6">
        <w:rPr>
          <w:rStyle w:val="Strong"/>
          <w:rFonts w:ascii="Arial" w:eastAsiaTheme="majorEastAsia" w:hAnsi="Arial" w:cs="Arial"/>
          <w:color w:val="000000" w:themeColor="text1"/>
        </w:rPr>
        <w:t>) – Initial Investment</w:t>
      </w:r>
      <w:r w:rsidRPr="000B20B6">
        <w:rPr>
          <w:rFonts w:ascii="Arial" w:hAnsi="Arial" w:cs="Arial"/>
          <w:color w:val="000000" w:themeColor="text1"/>
        </w:rPr>
        <w:t>,</w:t>
      </w:r>
    </w:p>
    <w:p w14:paraId="7C3EC533" w14:textId="77777777" w:rsidR="004B210F" w:rsidRPr="000B20B6" w:rsidRDefault="004B210F" w:rsidP="004B210F">
      <w:pPr>
        <w:pStyle w:val="NormalWeb"/>
        <w:spacing w:line="360" w:lineRule="auto"/>
        <w:jc w:val="center"/>
        <w:rPr>
          <w:rFonts w:ascii="Arial" w:hAnsi="Arial" w:cs="Arial"/>
          <w:color w:val="000000" w:themeColor="text1"/>
        </w:rPr>
      </w:pPr>
      <w:r w:rsidRPr="000B20B6">
        <w:rPr>
          <w:rFonts w:ascii="Arial" w:hAnsi="Arial" w:cs="Arial"/>
          <w:color w:val="000000" w:themeColor="text1"/>
        </w:rPr>
        <w:t>reflecting the project’s intrinsic yield.</w:t>
      </w:r>
    </w:p>
    <w:p w14:paraId="3C26B3E1" w14:textId="61B30ECD"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These indicators signify liquidity, profitability, efficiency, and long-term sustainability. Zero-straight-line depreciation provides consistency; average profit in any project is computed by </w:t>
      </w:r>
      <w:r w:rsidR="00D05392" w:rsidRPr="000B20B6">
        <w:rPr>
          <w:rStyle w:val="Emphasis"/>
          <w:rFonts w:ascii="Arial" w:eastAsiaTheme="majorEastAsia" w:hAnsi="Arial" w:cs="Arial"/>
          <w:color w:val="000000" w:themeColor="text1"/>
        </w:rPr>
        <w:t>(Total Cash Inflows – Initial Investment) ÷ 5</w:t>
      </w:r>
      <w:r w:rsidR="00D05392" w:rsidRPr="000B20B6">
        <w:rPr>
          <w:rFonts w:ascii="Arial" w:hAnsi="Arial" w:cs="Arial"/>
          <w:color w:val="000000" w:themeColor="text1"/>
        </w:rPr>
        <w:t xml:space="preserve">. </w:t>
      </w:r>
      <w:r w:rsidRPr="000B20B6">
        <w:rPr>
          <w:rFonts w:ascii="Arial" w:hAnsi="Arial" w:cs="Arial"/>
          <w:color w:val="000000" w:themeColor="text1"/>
        </w:rPr>
        <w:t>The best capital-constrained project or portfolio will offer the maximum shareholder value without contravening financial discipline (</w:t>
      </w:r>
      <w:proofErr w:type="spellStart"/>
      <w:r w:rsidRPr="000B20B6">
        <w:rPr>
          <w:rFonts w:ascii="Arial" w:hAnsi="Arial" w:cs="Arial"/>
          <w:color w:val="000000" w:themeColor="text1"/>
        </w:rPr>
        <w:t>Oyewo</w:t>
      </w:r>
      <w:proofErr w:type="spellEnd"/>
      <w:r w:rsidRPr="000B20B6">
        <w:rPr>
          <w:rFonts w:ascii="Arial" w:hAnsi="Arial" w:cs="Arial"/>
          <w:color w:val="000000" w:themeColor="text1"/>
        </w:rPr>
        <w:t xml:space="preserve">, Tawiah and </w:t>
      </w:r>
      <w:proofErr w:type="spellStart"/>
      <w:r w:rsidRPr="000B20B6">
        <w:rPr>
          <w:rFonts w:ascii="Arial" w:hAnsi="Arial" w:cs="Arial"/>
          <w:color w:val="000000" w:themeColor="text1"/>
        </w:rPr>
        <w:t>Alta’any</w:t>
      </w:r>
      <w:proofErr w:type="spellEnd"/>
      <w:r w:rsidRPr="000B20B6">
        <w:rPr>
          <w:rFonts w:ascii="Arial" w:hAnsi="Arial" w:cs="Arial"/>
          <w:color w:val="000000" w:themeColor="text1"/>
        </w:rPr>
        <w:t>, 2025).</w:t>
      </w:r>
    </w:p>
    <w:p w14:paraId="026C37E5" w14:textId="77777777" w:rsidR="00822895" w:rsidRPr="000B20B6" w:rsidRDefault="00822895" w:rsidP="00687C42">
      <w:pPr>
        <w:pStyle w:val="Heading2"/>
        <w:rPr>
          <w:rStyle w:val="Strong"/>
          <w:rFonts w:ascii="Arial" w:hAnsi="Arial" w:cs="Arial"/>
          <w:b/>
          <w:bCs w:val="0"/>
        </w:rPr>
      </w:pPr>
      <w:bookmarkStart w:id="40" w:name="_Toc214840880"/>
      <w:r w:rsidRPr="000B20B6">
        <w:rPr>
          <w:rStyle w:val="Strong"/>
          <w:rFonts w:ascii="Arial" w:hAnsi="Arial" w:cs="Arial"/>
          <w:bCs w:val="0"/>
        </w:rPr>
        <w:t xml:space="preserve">5.3 </w:t>
      </w:r>
      <w:r w:rsidRPr="000B20B6">
        <w:rPr>
          <w:rStyle w:val="Strong"/>
          <w:rFonts w:ascii="Arial" w:hAnsi="Arial" w:cs="Arial"/>
          <w:b/>
        </w:rPr>
        <w:t>Computation of Investment Metrics</w:t>
      </w:r>
      <w:bookmarkEnd w:id="40"/>
      <w:r w:rsidRPr="000B20B6">
        <w:rPr>
          <w:rStyle w:val="Strong"/>
          <w:rFonts w:ascii="Arial" w:hAnsi="Arial" w:cs="Arial"/>
          <w:bCs w:val="0"/>
        </w:rPr>
        <w:t xml:space="preserve"> </w:t>
      </w:r>
    </w:p>
    <w:p w14:paraId="0CA90AC3" w14:textId="77777777" w:rsidR="00822895" w:rsidRPr="000B20B6" w:rsidRDefault="00822895" w:rsidP="00822895">
      <w:pPr>
        <w:rPr>
          <w:rFonts w:ascii="Arial" w:hAnsi="Arial" w:cs="Arial"/>
        </w:rPr>
      </w:pPr>
      <w:r w:rsidRPr="000B20B6">
        <w:rPr>
          <w:rStyle w:val="Strong"/>
          <w:rFonts w:ascii="Arial" w:hAnsi="Arial" w:cs="Arial"/>
        </w:rPr>
        <w:t>Project A</w:t>
      </w:r>
    </w:p>
    <w:p w14:paraId="4C0E81A8"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Initial Investment:</w:t>
      </w:r>
      <w:r w:rsidRPr="000B20B6">
        <w:rPr>
          <w:rFonts w:ascii="Arial" w:hAnsi="Arial" w:cs="Arial"/>
          <w:color w:val="000000" w:themeColor="text1"/>
        </w:rPr>
        <w:t xml:space="preserve"> £40 million</w:t>
      </w:r>
    </w:p>
    <w:p w14:paraId="6390D7F2"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Annual Cash Inflows (£m):</w:t>
      </w:r>
      <w:r w:rsidRPr="000B20B6">
        <w:rPr>
          <w:rFonts w:ascii="Arial" w:hAnsi="Arial" w:cs="Arial"/>
          <w:color w:val="000000" w:themeColor="text1"/>
        </w:rPr>
        <w:t xml:space="preserve"> 10, 12, 14, 10, 8</w:t>
      </w:r>
    </w:p>
    <w:p w14:paraId="46B94C3C"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Total Inflows:</w:t>
      </w:r>
      <w:r w:rsidRPr="000B20B6">
        <w:rPr>
          <w:rFonts w:ascii="Arial" w:hAnsi="Arial" w:cs="Arial"/>
          <w:color w:val="000000" w:themeColor="text1"/>
        </w:rPr>
        <w:t xml:space="preserve"> £54 million</w:t>
      </w:r>
    </w:p>
    <w:p w14:paraId="4DAE7429"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Net Cash Flow:</w:t>
      </w:r>
      <w:r w:rsidRPr="000B20B6">
        <w:rPr>
          <w:rFonts w:ascii="Arial" w:hAnsi="Arial" w:cs="Arial"/>
          <w:color w:val="000000" w:themeColor="text1"/>
        </w:rPr>
        <w:t xml:space="preserve"> £14 million</w:t>
      </w:r>
    </w:p>
    <w:p w14:paraId="38AB24FB"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 Payback Period (PBP):</w:t>
      </w:r>
    </w:p>
    <w:p w14:paraId="18B69417"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 xml:space="preserve">After Year 3, cumulative inflows = 10 + 12 + 14 = </w:t>
      </w:r>
      <w:r w:rsidRPr="000B20B6">
        <w:rPr>
          <w:rStyle w:val="Strong"/>
          <w:rFonts w:ascii="Arial" w:eastAsiaTheme="majorEastAsia" w:hAnsi="Arial" w:cs="Arial"/>
          <w:color w:val="000000" w:themeColor="text1"/>
        </w:rPr>
        <w:t>£36m</w:t>
      </w:r>
      <w:r w:rsidRPr="000B20B6">
        <w:rPr>
          <w:rFonts w:ascii="Arial" w:hAnsi="Arial" w:cs="Arial"/>
          <w:color w:val="000000" w:themeColor="text1"/>
        </w:rPr>
        <w:t>.</w:t>
      </w:r>
    </w:p>
    <w:p w14:paraId="2F5C0734"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Unrecovered = 40 – 36 = </w:t>
      </w:r>
      <w:r w:rsidRPr="000B20B6">
        <w:rPr>
          <w:rStyle w:val="Strong"/>
          <w:rFonts w:ascii="Arial" w:eastAsiaTheme="majorEastAsia" w:hAnsi="Arial" w:cs="Arial"/>
          <w:color w:val="000000" w:themeColor="text1"/>
        </w:rPr>
        <w:t>£4m</w:t>
      </w:r>
      <w:r w:rsidRPr="000B20B6">
        <w:rPr>
          <w:rFonts w:ascii="Arial" w:hAnsi="Arial" w:cs="Arial"/>
          <w:color w:val="000000" w:themeColor="text1"/>
        </w:rPr>
        <w:t>.</w:t>
      </w:r>
    </w:p>
    <w:p w14:paraId="788D2F5A"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PBP = 3 + (4 ÷ 10) = </w:t>
      </w:r>
      <w:r w:rsidRPr="000B20B6">
        <w:rPr>
          <w:rStyle w:val="Strong"/>
          <w:rFonts w:ascii="Arial" w:eastAsiaTheme="majorEastAsia" w:hAnsi="Arial" w:cs="Arial"/>
          <w:color w:val="000000" w:themeColor="text1"/>
        </w:rPr>
        <w:t>3.4 years</w:t>
      </w:r>
      <w:r w:rsidRPr="000B20B6">
        <w:rPr>
          <w:rFonts w:ascii="Arial" w:hAnsi="Arial" w:cs="Arial"/>
          <w:color w:val="000000" w:themeColor="text1"/>
        </w:rPr>
        <w:t>.</w:t>
      </w:r>
    </w:p>
    <w:p w14:paraId="5B5E8B40"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(b) ARR:</w:t>
      </w:r>
    </w:p>
    <w:p w14:paraId="55110452"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Average Accounting Profit = (54 – 40) ÷ 5 = </w:t>
      </w:r>
      <w:r w:rsidRPr="000B20B6">
        <w:rPr>
          <w:rStyle w:val="Strong"/>
          <w:rFonts w:ascii="Arial" w:eastAsiaTheme="majorEastAsia" w:hAnsi="Arial" w:cs="Arial"/>
          <w:color w:val="000000" w:themeColor="text1"/>
        </w:rPr>
        <w:t>£2.8m</w:t>
      </w:r>
      <w:r w:rsidRPr="000B20B6">
        <w:rPr>
          <w:rFonts w:ascii="Arial" w:hAnsi="Arial" w:cs="Arial"/>
          <w:color w:val="000000" w:themeColor="text1"/>
        </w:rPr>
        <w:t>.</w:t>
      </w:r>
    </w:p>
    <w:p w14:paraId="08DF911D"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ARR = (2.8 ÷ 40) × 100 = </w:t>
      </w:r>
      <w:r w:rsidRPr="000B20B6">
        <w:rPr>
          <w:rStyle w:val="Strong"/>
          <w:rFonts w:ascii="Arial" w:eastAsiaTheme="majorEastAsia" w:hAnsi="Arial" w:cs="Arial"/>
          <w:color w:val="000000" w:themeColor="text1"/>
        </w:rPr>
        <w:t>7.0%</w:t>
      </w:r>
      <w:r w:rsidRPr="000B20B6">
        <w:rPr>
          <w:rFonts w:ascii="Arial" w:hAnsi="Arial" w:cs="Arial"/>
          <w:color w:val="000000" w:themeColor="text1"/>
        </w:rPr>
        <w:t>.</w:t>
      </w:r>
    </w:p>
    <w:p w14:paraId="03CEB86A"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(c) NPV:</w:t>
      </w:r>
    </w:p>
    <w:p w14:paraId="2C857ACC"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NPV = (10/1.1 + 12/1.1² + 14/1.1³ + 10/1.1⁴ + 8/1.1⁵) – 40</w:t>
      </w:r>
    </w:p>
    <w:p w14:paraId="17C4B81B"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 (9.09 + 9.92 + 10.53 + 6.83 + 4.97) – 40 = </w:t>
      </w:r>
      <w:r w:rsidRPr="000B20B6">
        <w:rPr>
          <w:rStyle w:val="Strong"/>
          <w:rFonts w:ascii="Arial" w:eastAsiaTheme="majorEastAsia" w:hAnsi="Arial" w:cs="Arial"/>
          <w:color w:val="000000" w:themeColor="text1"/>
        </w:rPr>
        <w:t>£1.34m</w:t>
      </w:r>
      <w:r w:rsidRPr="000B20B6">
        <w:rPr>
          <w:rFonts w:ascii="Arial" w:hAnsi="Arial" w:cs="Arial"/>
          <w:color w:val="000000" w:themeColor="text1"/>
        </w:rPr>
        <w:t>.</w:t>
      </w:r>
    </w:p>
    <w:p w14:paraId="70D7AF09"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(d) PI:</w:t>
      </w:r>
    </w:p>
    <w:p w14:paraId="1D62D433"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PI = (40 + 1.34) ÷ 40 = </w:t>
      </w:r>
      <w:r w:rsidRPr="000B20B6">
        <w:rPr>
          <w:rStyle w:val="Strong"/>
          <w:rFonts w:ascii="Arial" w:eastAsiaTheme="majorEastAsia" w:hAnsi="Arial" w:cs="Arial"/>
          <w:color w:val="000000" w:themeColor="text1"/>
        </w:rPr>
        <w:t>1.03</w:t>
      </w:r>
      <w:r w:rsidRPr="000B20B6">
        <w:rPr>
          <w:rFonts w:ascii="Arial" w:hAnsi="Arial" w:cs="Arial"/>
          <w:color w:val="000000" w:themeColor="text1"/>
        </w:rPr>
        <w:t>.</w:t>
      </w:r>
    </w:p>
    <w:p w14:paraId="7373599A"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(e) IRR:</w:t>
      </w:r>
    </w:p>
    <w:p w14:paraId="2B41682D"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IRR ≈ </w:t>
      </w:r>
      <w:r w:rsidRPr="000B20B6">
        <w:rPr>
          <w:rStyle w:val="Strong"/>
          <w:rFonts w:ascii="Arial" w:eastAsiaTheme="majorEastAsia" w:hAnsi="Arial" w:cs="Arial"/>
          <w:color w:val="000000" w:themeColor="text1"/>
        </w:rPr>
        <w:t>11.2%</w:t>
      </w:r>
      <w:r w:rsidRPr="000B20B6">
        <w:rPr>
          <w:rFonts w:ascii="Arial" w:hAnsi="Arial" w:cs="Arial"/>
          <w:color w:val="000000" w:themeColor="text1"/>
        </w:rPr>
        <w:t>, where NPV ≈ 0.</w:t>
      </w:r>
    </w:p>
    <w:p w14:paraId="07464A50" w14:textId="77777777" w:rsidR="00822895" w:rsidRPr="000B20B6" w:rsidRDefault="00822895" w:rsidP="00822895">
      <w:pPr>
        <w:jc w:val="both"/>
        <w:rPr>
          <w:rFonts w:ascii="Arial" w:hAnsi="Arial" w:cs="Arial"/>
        </w:rPr>
      </w:pPr>
      <w:r w:rsidRPr="000B20B6">
        <w:rPr>
          <w:rStyle w:val="Strong"/>
          <w:rFonts w:ascii="Arial" w:hAnsi="Arial" w:cs="Arial"/>
        </w:rPr>
        <w:t>Project B</w:t>
      </w:r>
    </w:p>
    <w:p w14:paraId="2E9D88E0"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Initial Investment:</w:t>
      </w:r>
      <w:r w:rsidRPr="000B20B6">
        <w:rPr>
          <w:rFonts w:ascii="Arial" w:hAnsi="Arial" w:cs="Arial"/>
          <w:color w:val="000000" w:themeColor="text1"/>
        </w:rPr>
        <w:t xml:space="preserve"> £30 million</w:t>
      </w:r>
    </w:p>
    <w:p w14:paraId="6C98BA7C"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Annual Cash Inflows (£m):</w:t>
      </w:r>
      <w:r w:rsidRPr="000B20B6">
        <w:rPr>
          <w:rFonts w:ascii="Arial" w:hAnsi="Arial" w:cs="Arial"/>
          <w:color w:val="000000" w:themeColor="text1"/>
        </w:rPr>
        <w:t xml:space="preserve"> 6, 6, 6, 6, 6</w:t>
      </w:r>
    </w:p>
    <w:p w14:paraId="3A372155"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Total Inflows:</w:t>
      </w:r>
      <w:r w:rsidRPr="000B20B6">
        <w:rPr>
          <w:rFonts w:ascii="Arial" w:hAnsi="Arial" w:cs="Arial"/>
          <w:color w:val="000000" w:themeColor="text1"/>
        </w:rPr>
        <w:t xml:space="preserve"> £30 million</w:t>
      </w:r>
    </w:p>
    <w:p w14:paraId="70067E23"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 PBP:</w:t>
      </w:r>
    </w:p>
    <w:p w14:paraId="4421F0C3"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Cumulative inflows = 30 after Year 5. </w:t>
      </w:r>
    </w:p>
    <w:p w14:paraId="651E3FFB"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 xml:space="preserve">PBP = </w:t>
      </w:r>
      <w:r w:rsidRPr="000B20B6">
        <w:rPr>
          <w:rStyle w:val="Strong"/>
          <w:rFonts w:ascii="Arial" w:eastAsiaTheme="majorEastAsia" w:hAnsi="Arial" w:cs="Arial"/>
          <w:color w:val="000000" w:themeColor="text1"/>
        </w:rPr>
        <w:t>5.0 years</w:t>
      </w:r>
      <w:r w:rsidRPr="000B20B6">
        <w:rPr>
          <w:rFonts w:ascii="Arial" w:hAnsi="Arial" w:cs="Arial"/>
          <w:color w:val="000000" w:themeColor="text1"/>
        </w:rPr>
        <w:t>.</w:t>
      </w:r>
    </w:p>
    <w:p w14:paraId="5489638A"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(b) ARR:</w:t>
      </w:r>
    </w:p>
    <w:p w14:paraId="35BC796E"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Average Profit = (30 – 30) ÷ 5 = 0 → </w:t>
      </w:r>
      <w:r w:rsidRPr="000B20B6">
        <w:rPr>
          <w:rStyle w:val="Strong"/>
          <w:rFonts w:ascii="Arial" w:eastAsiaTheme="majorEastAsia" w:hAnsi="Arial" w:cs="Arial"/>
          <w:color w:val="000000" w:themeColor="text1"/>
        </w:rPr>
        <w:t>0% ARR</w:t>
      </w:r>
      <w:r w:rsidRPr="000B20B6">
        <w:rPr>
          <w:rFonts w:ascii="Arial" w:hAnsi="Arial" w:cs="Arial"/>
          <w:color w:val="000000" w:themeColor="text1"/>
        </w:rPr>
        <w:t>, though cash-positive.</w:t>
      </w:r>
    </w:p>
    <w:p w14:paraId="1A8B31B4"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(c) NPV:</w:t>
      </w:r>
    </w:p>
    <w:p w14:paraId="68FE7777"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NPV = (6 × [1 – (1 + 0.1) </w:t>
      </w:r>
      <w:r w:rsidRPr="000B20B6">
        <w:rPr>
          <w:rFonts w:ascii="Cambria Math" w:hAnsi="Cambria Math" w:cs="Cambria Math"/>
          <w:color w:val="000000" w:themeColor="text1"/>
        </w:rPr>
        <w:t>⁻</w:t>
      </w:r>
      <w:r w:rsidRPr="000B20B6">
        <w:rPr>
          <w:rFonts w:ascii="Arial" w:hAnsi="Arial" w:cs="Arial"/>
          <w:color w:val="000000" w:themeColor="text1"/>
        </w:rPr>
        <w:t>⁵] ÷ 0.1) – 30</w:t>
      </w:r>
    </w:p>
    <w:p w14:paraId="053A0F76"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 (6 × 3.791) – 30 = </w:t>
      </w:r>
      <w:r w:rsidRPr="000B20B6">
        <w:rPr>
          <w:rStyle w:val="Strong"/>
          <w:rFonts w:ascii="Arial" w:eastAsiaTheme="majorEastAsia" w:hAnsi="Arial" w:cs="Arial"/>
          <w:color w:val="000000" w:themeColor="text1"/>
        </w:rPr>
        <w:t>–£7.26m</w:t>
      </w:r>
      <w:r w:rsidRPr="000B20B6">
        <w:rPr>
          <w:rFonts w:ascii="Arial" w:hAnsi="Arial" w:cs="Arial"/>
          <w:color w:val="000000" w:themeColor="text1"/>
        </w:rPr>
        <w:t>.</w:t>
      </w:r>
    </w:p>
    <w:p w14:paraId="1F6FE5AE"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(d) PI:</w:t>
      </w:r>
      <w:r w:rsidRPr="000B20B6">
        <w:rPr>
          <w:rFonts w:ascii="Arial" w:hAnsi="Arial" w:cs="Arial"/>
          <w:color w:val="000000" w:themeColor="text1"/>
        </w:rPr>
        <w:t xml:space="preserve">     </w:t>
      </w:r>
    </w:p>
    <w:p w14:paraId="22CB0673"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 PI = (22.74 ÷ 30) = </w:t>
      </w:r>
      <w:r w:rsidRPr="000B20B6">
        <w:rPr>
          <w:rStyle w:val="Strong"/>
          <w:rFonts w:ascii="Arial" w:eastAsiaTheme="majorEastAsia" w:hAnsi="Arial" w:cs="Arial"/>
          <w:color w:val="000000" w:themeColor="text1"/>
        </w:rPr>
        <w:t>0.76</w:t>
      </w:r>
      <w:r w:rsidRPr="000B20B6">
        <w:rPr>
          <w:rFonts w:ascii="Arial" w:hAnsi="Arial" w:cs="Arial"/>
          <w:color w:val="000000" w:themeColor="text1"/>
        </w:rPr>
        <w:t>.</w:t>
      </w:r>
    </w:p>
    <w:p w14:paraId="61C33321"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(e) IRR:</w:t>
      </w:r>
      <w:r w:rsidRPr="000B20B6">
        <w:rPr>
          <w:rFonts w:ascii="Arial" w:hAnsi="Arial" w:cs="Arial"/>
          <w:color w:val="000000" w:themeColor="text1"/>
        </w:rPr>
        <w:t xml:space="preserve">  </w:t>
      </w:r>
    </w:p>
    <w:p w14:paraId="188D7286"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IRR ≈ </w:t>
      </w:r>
      <w:r w:rsidRPr="000B20B6">
        <w:rPr>
          <w:rStyle w:val="Strong"/>
          <w:rFonts w:ascii="Arial" w:eastAsiaTheme="majorEastAsia" w:hAnsi="Arial" w:cs="Arial"/>
          <w:color w:val="000000" w:themeColor="text1"/>
        </w:rPr>
        <w:t>6.0%</w:t>
      </w:r>
      <w:r w:rsidRPr="000B20B6">
        <w:rPr>
          <w:rFonts w:ascii="Arial" w:hAnsi="Arial" w:cs="Arial"/>
          <w:color w:val="000000" w:themeColor="text1"/>
        </w:rPr>
        <w:t>, below cost of capital.</w:t>
      </w:r>
    </w:p>
    <w:p w14:paraId="056F49FD" w14:textId="77777777" w:rsidR="00822895" w:rsidRPr="000B20B6" w:rsidRDefault="00822895" w:rsidP="00822895">
      <w:pPr>
        <w:jc w:val="both"/>
        <w:rPr>
          <w:rFonts w:ascii="Arial" w:hAnsi="Arial" w:cs="Arial"/>
        </w:rPr>
      </w:pPr>
      <w:r w:rsidRPr="000B20B6">
        <w:rPr>
          <w:rStyle w:val="Strong"/>
          <w:rFonts w:ascii="Arial" w:hAnsi="Arial" w:cs="Arial"/>
        </w:rPr>
        <w:t>Project C</w:t>
      </w:r>
    </w:p>
    <w:p w14:paraId="19761115"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Initial Investment:</w:t>
      </w:r>
      <w:r w:rsidRPr="000B20B6">
        <w:rPr>
          <w:rFonts w:ascii="Arial" w:hAnsi="Arial" w:cs="Arial"/>
          <w:color w:val="000000" w:themeColor="text1"/>
        </w:rPr>
        <w:t xml:space="preserve"> £50 million</w:t>
      </w:r>
    </w:p>
    <w:p w14:paraId="6179FF82"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Annual Cash Inflows (£m):</w:t>
      </w:r>
      <w:r w:rsidRPr="000B20B6">
        <w:rPr>
          <w:rFonts w:ascii="Arial" w:hAnsi="Arial" w:cs="Arial"/>
          <w:color w:val="000000" w:themeColor="text1"/>
        </w:rPr>
        <w:t xml:space="preserve"> 5, 10, 20, 25, 15</w:t>
      </w:r>
    </w:p>
    <w:p w14:paraId="204C16DD" w14:textId="77777777" w:rsidR="00822895" w:rsidRPr="000B20B6" w:rsidRDefault="00822895" w:rsidP="000F119C">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Total Inflows:</w:t>
      </w:r>
      <w:r w:rsidRPr="000B20B6">
        <w:rPr>
          <w:rFonts w:ascii="Arial" w:hAnsi="Arial" w:cs="Arial"/>
          <w:color w:val="000000" w:themeColor="text1"/>
        </w:rPr>
        <w:t xml:space="preserve"> £75 million</w:t>
      </w:r>
    </w:p>
    <w:p w14:paraId="2215E0B2"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(a) PBP:</w:t>
      </w:r>
    </w:p>
    <w:p w14:paraId="3C59E049"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Cumulative inflows after Year 3 = 5 + 10 + 20 = </w:t>
      </w:r>
      <w:r w:rsidRPr="000B20B6">
        <w:rPr>
          <w:rStyle w:val="Strong"/>
          <w:rFonts w:ascii="Arial" w:eastAsiaTheme="majorEastAsia" w:hAnsi="Arial" w:cs="Arial"/>
          <w:color w:val="000000" w:themeColor="text1"/>
        </w:rPr>
        <w:t>£35m</w:t>
      </w:r>
      <w:r w:rsidRPr="000B20B6">
        <w:rPr>
          <w:rFonts w:ascii="Arial" w:hAnsi="Arial" w:cs="Arial"/>
          <w:color w:val="000000" w:themeColor="text1"/>
        </w:rPr>
        <w:t>.</w:t>
      </w:r>
    </w:p>
    <w:p w14:paraId="5EFE1F45"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Unrecovered = 50 – 35 = 15; recovery in Year 4.</w:t>
      </w:r>
    </w:p>
    <w:p w14:paraId="5602703C"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PBP = 3 + (15 ÷ 25) = </w:t>
      </w:r>
      <w:r w:rsidRPr="000B20B6">
        <w:rPr>
          <w:rStyle w:val="Strong"/>
          <w:rFonts w:ascii="Arial" w:eastAsiaTheme="majorEastAsia" w:hAnsi="Arial" w:cs="Arial"/>
          <w:color w:val="000000" w:themeColor="text1"/>
        </w:rPr>
        <w:t>3.6 years</w:t>
      </w:r>
      <w:r w:rsidRPr="000B20B6">
        <w:rPr>
          <w:rFonts w:ascii="Arial" w:hAnsi="Arial" w:cs="Arial"/>
          <w:color w:val="000000" w:themeColor="text1"/>
        </w:rPr>
        <w:t>.</w:t>
      </w:r>
    </w:p>
    <w:p w14:paraId="3698834A"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(b) ARR:</w:t>
      </w:r>
    </w:p>
    <w:p w14:paraId="13F19164"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lastRenderedPageBreak/>
        <w:t xml:space="preserve">Average Profit = (75 – 50) ÷ 5 = </w:t>
      </w:r>
      <w:r w:rsidRPr="000B20B6">
        <w:rPr>
          <w:rStyle w:val="Strong"/>
          <w:rFonts w:ascii="Arial" w:eastAsiaTheme="majorEastAsia" w:hAnsi="Arial" w:cs="Arial"/>
          <w:color w:val="000000" w:themeColor="text1"/>
        </w:rPr>
        <w:t>£5m</w:t>
      </w:r>
      <w:r w:rsidRPr="000B20B6">
        <w:rPr>
          <w:rFonts w:ascii="Arial" w:hAnsi="Arial" w:cs="Arial"/>
          <w:color w:val="000000" w:themeColor="text1"/>
        </w:rPr>
        <w:t>.</w:t>
      </w:r>
    </w:p>
    <w:p w14:paraId="35636532"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ARR = (5 ÷ 50) × 100 = </w:t>
      </w:r>
      <w:r w:rsidRPr="000B20B6">
        <w:rPr>
          <w:rStyle w:val="Strong"/>
          <w:rFonts w:ascii="Arial" w:eastAsiaTheme="majorEastAsia" w:hAnsi="Arial" w:cs="Arial"/>
          <w:color w:val="000000" w:themeColor="text1"/>
        </w:rPr>
        <w:t>10%</w:t>
      </w:r>
      <w:r w:rsidRPr="000B20B6">
        <w:rPr>
          <w:rFonts w:ascii="Arial" w:hAnsi="Arial" w:cs="Arial"/>
          <w:color w:val="000000" w:themeColor="text1"/>
        </w:rPr>
        <w:t>.</w:t>
      </w:r>
    </w:p>
    <w:p w14:paraId="412E0E06"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(c) NPV:</w:t>
      </w:r>
    </w:p>
    <w:p w14:paraId="1EDCD45F"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NPV = (5/1.1 + 10/1.1² + 20/1.1³ + 25/1.1⁴ + 15/1.1⁵) – 50</w:t>
      </w:r>
    </w:p>
    <w:p w14:paraId="18CC1256"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 (4.55 + 8.26 + 15.03 + 17.08 + 9.32) – 50 = </w:t>
      </w:r>
      <w:r w:rsidRPr="000B20B6">
        <w:rPr>
          <w:rStyle w:val="Strong"/>
          <w:rFonts w:ascii="Arial" w:eastAsiaTheme="majorEastAsia" w:hAnsi="Arial" w:cs="Arial"/>
          <w:color w:val="000000" w:themeColor="text1"/>
        </w:rPr>
        <w:t>£4.24m</w:t>
      </w:r>
      <w:r w:rsidRPr="000B20B6">
        <w:rPr>
          <w:rFonts w:ascii="Arial" w:hAnsi="Arial" w:cs="Arial"/>
          <w:color w:val="000000" w:themeColor="text1"/>
        </w:rPr>
        <w:t>.</w:t>
      </w:r>
    </w:p>
    <w:p w14:paraId="67E82E34"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(d) PI:</w:t>
      </w:r>
    </w:p>
    <w:p w14:paraId="51416D3C"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PI = (54.24 ÷ 50) = </w:t>
      </w:r>
      <w:r w:rsidRPr="000B20B6">
        <w:rPr>
          <w:rStyle w:val="Strong"/>
          <w:rFonts w:ascii="Arial" w:eastAsiaTheme="majorEastAsia" w:hAnsi="Arial" w:cs="Arial"/>
          <w:color w:val="000000" w:themeColor="text1"/>
        </w:rPr>
        <w:t>1.08</w:t>
      </w:r>
      <w:r w:rsidRPr="000B20B6">
        <w:rPr>
          <w:rFonts w:ascii="Arial" w:hAnsi="Arial" w:cs="Arial"/>
          <w:color w:val="000000" w:themeColor="text1"/>
        </w:rPr>
        <w:t>.</w:t>
      </w:r>
    </w:p>
    <w:p w14:paraId="560889A9" w14:textId="77777777" w:rsidR="00822895" w:rsidRPr="000B20B6" w:rsidRDefault="00822895" w:rsidP="00822895">
      <w:pPr>
        <w:pStyle w:val="NormalWeb"/>
        <w:spacing w:line="360" w:lineRule="auto"/>
        <w:jc w:val="both"/>
        <w:rPr>
          <w:rFonts w:ascii="Arial" w:hAnsi="Arial" w:cs="Arial"/>
          <w:color w:val="000000" w:themeColor="text1"/>
        </w:rPr>
      </w:pPr>
      <w:r w:rsidRPr="000B20B6">
        <w:rPr>
          <w:rStyle w:val="Strong"/>
          <w:rFonts w:ascii="Arial" w:eastAsiaTheme="majorEastAsia" w:hAnsi="Arial" w:cs="Arial"/>
          <w:color w:val="000000" w:themeColor="text1"/>
        </w:rPr>
        <w:t>(e) IRR:</w:t>
      </w:r>
    </w:p>
    <w:p w14:paraId="209603B2" w14:textId="77777777" w:rsidR="00822895" w:rsidRPr="000B20B6" w:rsidRDefault="00822895" w:rsidP="00822895">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IRR ≈ </w:t>
      </w:r>
      <w:r w:rsidRPr="000B20B6">
        <w:rPr>
          <w:rStyle w:val="Strong"/>
          <w:rFonts w:ascii="Arial" w:eastAsiaTheme="majorEastAsia" w:hAnsi="Arial" w:cs="Arial"/>
          <w:color w:val="000000" w:themeColor="text1"/>
        </w:rPr>
        <w:t>13.5%</w:t>
      </w:r>
      <w:r w:rsidRPr="000B20B6">
        <w:rPr>
          <w:rFonts w:ascii="Arial" w:hAnsi="Arial" w:cs="Arial"/>
          <w:color w:val="000000" w:themeColor="text1"/>
        </w:rPr>
        <w:t>, exceeding the 10% benchmark.</w:t>
      </w:r>
    </w:p>
    <w:p w14:paraId="36187B56" w14:textId="77777777" w:rsidR="00822895" w:rsidRPr="000B20B6" w:rsidRDefault="00822895" w:rsidP="00687C42">
      <w:pPr>
        <w:pStyle w:val="Heading2"/>
        <w:rPr>
          <w:rFonts w:ascii="Arial" w:hAnsi="Arial" w:cs="Arial"/>
        </w:rPr>
      </w:pPr>
      <w:bookmarkStart w:id="41" w:name="_Toc214840881"/>
      <w:r w:rsidRPr="000B20B6">
        <w:rPr>
          <w:rStyle w:val="Strong"/>
          <w:rFonts w:ascii="Arial" w:hAnsi="Arial" w:cs="Arial"/>
          <w:b/>
        </w:rPr>
        <w:t>5.4 Interpretation of Results</w:t>
      </w:r>
      <w:bookmarkEnd w:id="41"/>
      <w:r w:rsidRPr="000B20B6">
        <w:rPr>
          <w:rStyle w:val="Strong"/>
          <w:rFonts w:ascii="Arial" w:hAnsi="Arial" w:cs="Arial"/>
          <w:b/>
        </w:rPr>
        <w:t xml:space="preserve"> </w:t>
      </w:r>
    </w:p>
    <w:p w14:paraId="2479EC9D" w14:textId="77777777" w:rsidR="000F119C"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Investment analysis has several performance profiles. Project C has the best financial performance and produces the highest NPV (£4.24m), PI (1.08) and IRR (13.5%), far greater than the discount rate of 10 percent. Its PBP of 3.6 years is average liquidity, and its ARR is high at 10 percent. Its cash inflows are back-loaded but converge within the </w:t>
      </w:r>
      <w:r w:rsidR="00D666DD" w:rsidRPr="000B20B6">
        <w:rPr>
          <w:rFonts w:ascii="Arial" w:hAnsi="Arial" w:cs="Arial"/>
          <w:color w:val="000000" w:themeColor="text1"/>
        </w:rPr>
        <w:t>long-term</w:t>
      </w:r>
      <w:r w:rsidRPr="000B20B6">
        <w:rPr>
          <w:rFonts w:ascii="Arial" w:hAnsi="Arial" w:cs="Arial"/>
          <w:color w:val="000000" w:themeColor="text1"/>
        </w:rPr>
        <w:t xml:space="preserve"> turnaround strategy of the business that introduces cumulative value creation. Project A has a low payoff and a </w:t>
      </w:r>
      <w:r w:rsidR="00E435B1" w:rsidRPr="000B20B6">
        <w:rPr>
          <w:rStyle w:val="Strong"/>
          <w:rFonts w:ascii="Arial" w:eastAsiaTheme="majorEastAsia" w:hAnsi="Arial" w:cs="Arial"/>
          <w:color w:val="000000" w:themeColor="text1"/>
        </w:rPr>
        <w:t>NPV = £1.34m</w:t>
      </w:r>
      <w:r w:rsidR="00E435B1" w:rsidRPr="000B20B6">
        <w:rPr>
          <w:rFonts w:ascii="Arial" w:hAnsi="Arial" w:cs="Arial"/>
          <w:color w:val="000000" w:themeColor="text1"/>
        </w:rPr>
        <w:t xml:space="preserve">, </w:t>
      </w:r>
      <w:r w:rsidR="00E435B1" w:rsidRPr="000B20B6">
        <w:rPr>
          <w:rStyle w:val="Strong"/>
          <w:rFonts w:ascii="Arial" w:eastAsiaTheme="majorEastAsia" w:hAnsi="Arial" w:cs="Arial"/>
          <w:color w:val="000000" w:themeColor="text1"/>
        </w:rPr>
        <w:t>PI = 1.03</w:t>
      </w:r>
      <w:r w:rsidR="00E435B1" w:rsidRPr="000B20B6">
        <w:rPr>
          <w:rFonts w:ascii="Arial" w:hAnsi="Arial" w:cs="Arial"/>
          <w:color w:val="000000" w:themeColor="text1"/>
        </w:rPr>
        <w:t xml:space="preserve">, and </w:t>
      </w:r>
      <w:r w:rsidR="00E435B1" w:rsidRPr="000B20B6">
        <w:rPr>
          <w:rStyle w:val="Strong"/>
          <w:rFonts w:ascii="Arial" w:eastAsiaTheme="majorEastAsia" w:hAnsi="Arial" w:cs="Arial"/>
          <w:color w:val="000000" w:themeColor="text1"/>
        </w:rPr>
        <w:t>IRR = 11.2%</w:t>
      </w:r>
      <w:r w:rsidR="00E435B1" w:rsidRPr="000B20B6">
        <w:rPr>
          <w:rFonts w:ascii="Arial" w:hAnsi="Arial" w:cs="Arial"/>
          <w:color w:val="000000" w:themeColor="text1"/>
        </w:rPr>
        <w:t xml:space="preserve">, </w:t>
      </w:r>
      <w:r w:rsidRPr="000B20B6">
        <w:rPr>
          <w:rFonts w:ascii="Arial" w:hAnsi="Arial" w:cs="Arial"/>
          <w:color w:val="000000" w:themeColor="text1"/>
        </w:rPr>
        <w:t xml:space="preserve">which is a little above the cost of capital. A 3.4-year PBP suggests that its liquidity is recovered faster than in Project C and, therefore, should be included in the short-term cash generation (Chopra, 2022). </w:t>
      </w:r>
    </w:p>
    <w:p w14:paraId="759C3F99" w14:textId="4765B913"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Project B on the other hand fails to satisfy investment thresholds. Not high financial desirability is that it has </w:t>
      </w:r>
      <w:r w:rsidR="001E4E24" w:rsidRPr="000B20B6">
        <w:rPr>
          <w:rStyle w:val="Strong"/>
          <w:rFonts w:ascii="Arial" w:eastAsiaTheme="majorEastAsia" w:hAnsi="Arial" w:cs="Arial"/>
          <w:b w:val="0"/>
          <w:bCs w:val="0"/>
          <w:color w:val="000000" w:themeColor="text1"/>
        </w:rPr>
        <w:t>(–£7.26m)</w:t>
      </w:r>
      <w:r w:rsidR="001E4E24" w:rsidRPr="000B20B6">
        <w:rPr>
          <w:rFonts w:ascii="Arial" w:hAnsi="Arial" w:cs="Arial"/>
          <w:b/>
          <w:bCs/>
          <w:color w:val="000000" w:themeColor="text1"/>
        </w:rPr>
        <w:t xml:space="preserve">, </w:t>
      </w:r>
      <w:r w:rsidR="001E4E24" w:rsidRPr="000B20B6">
        <w:rPr>
          <w:rStyle w:val="Strong"/>
          <w:rFonts w:ascii="Arial" w:eastAsiaTheme="majorEastAsia" w:hAnsi="Arial" w:cs="Arial"/>
          <w:b w:val="0"/>
          <w:bCs w:val="0"/>
          <w:color w:val="000000" w:themeColor="text1"/>
        </w:rPr>
        <w:t>PI &lt; 1</w:t>
      </w:r>
      <w:r w:rsidR="001E4E24" w:rsidRPr="000B20B6">
        <w:rPr>
          <w:rFonts w:ascii="Arial" w:hAnsi="Arial" w:cs="Arial"/>
          <w:b/>
          <w:bCs/>
          <w:color w:val="000000" w:themeColor="text1"/>
        </w:rPr>
        <w:t xml:space="preserve">, and </w:t>
      </w:r>
      <w:r w:rsidR="001E4E24" w:rsidRPr="000B20B6">
        <w:rPr>
          <w:rStyle w:val="Strong"/>
          <w:rFonts w:ascii="Arial" w:eastAsiaTheme="majorEastAsia" w:hAnsi="Arial" w:cs="Arial"/>
          <w:b w:val="0"/>
          <w:bCs w:val="0"/>
          <w:color w:val="000000" w:themeColor="text1"/>
        </w:rPr>
        <w:t>IRR of 6%</w:t>
      </w:r>
      <w:r w:rsidR="001E4E24" w:rsidRPr="000B20B6">
        <w:rPr>
          <w:rFonts w:ascii="Arial" w:hAnsi="Arial" w:cs="Arial"/>
          <w:color w:val="000000" w:themeColor="text1"/>
        </w:rPr>
        <w:t xml:space="preserve"> </w:t>
      </w:r>
      <w:r w:rsidRPr="000B20B6">
        <w:rPr>
          <w:rFonts w:ascii="Arial" w:hAnsi="Arial" w:cs="Arial"/>
          <w:color w:val="000000" w:themeColor="text1"/>
        </w:rPr>
        <w:t xml:space="preserve">less than the discount rate. These are non-increasable annual inflows, and the profile is low-risk and non-profitable. Both Projects A and C have positive NPVs and is significantly greater than the hurdle rate, showing that there is a viable opportunity subject to the limitations of the </w:t>
      </w:r>
      <w:r w:rsidR="00860A2D" w:rsidRPr="000B20B6">
        <w:rPr>
          <w:rFonts w:ascii="Arial" w:hAnsi="Arial" w:cs="Arial"/>
          <w:color w:val="000000" w:themeColor="text1"/>
        </w:rPr>
        <w:t>firm’s</w:t>
      </w:r>
      <w:r w:rsidRPr="000B20B6">
        <w:rPr>
          <w:rFonts w:ascii="Arial" w:hAnsi="Arial" w:cs="Arial"/>
          <w:color w:val="000000" w:themeColor="text1"/>
        </w:rPr>
        <w:t xml:space="preserve"> </w:t>
      </w:r>
      <w:r w:rsidRPr="000B20B6">
        <w:rPr>
          <w:rFonts w:ascii="Arial" w:hAnsi="Arial" w:cs="Arial"/>
          <w:color w:val="000000" w:themeColor="text1"/>
        </w:rPr>
        <w:lastRenderedPageBreak/>
        <w:t>capital. Project A will have better payback and liquidity relief, but Project C will produce better long-term profitability and shareholder value (Lubis, 2023). The balanced decision should not omit the liquidity urgency and the strategic sustainability.</w:t>
      </w:r>
    </w:p>
    <w:p w14:paraId="2B8D969A" w14:textId="77777777" w:rsidR="007616BF" w:rsidRPr="000B20B6" w:rsidRDefault="007616BF" w:rsidP="00687C42">
      <w:pPr>
        <w:pStyle w:val="Heading2"/>
        <w:rPr>
          <w:rFonts w:ascii="Arial" w:hAnsi="Arial" w:cs="Arial"/>
        </w:rPr>
      </w:pPr>
      <w:bookmarkStart w:id="42" w:name="_Toc214840882"/>
      <w:r w:rsidRPr="000B20B6">
        <w:rPr>
          <w:rStyle w:val="Strong"/>
          <w:rFonts w:ascii="Arial" w:hAnsi="Arial" w:cs="Arial"/>
          <w:bCs w:val="0"/>
        </w:rPr>
        <w:t xml:space="preserve">5.5 </w:t>
      </w:r>
      <w:r w:rsidRPr="000B20B6">
        <w:rPr>
          <w:rStyle w:val="Strong"/>
          <w:rFonts w:ascii="Arial" w:hAnsi="Arial" w:cs="Arial"/>
          <w:b/>
        </w:rPr>
        <w:t>Capital Rationing Decision</w:t>
      </w:r>
      <w:bookmarkEnd w:id="42"/>
      <w:r w:rsidRPr="000B20B6">
        <w:rPr>
          <w:rStyle w:val="Strong"/>
          <w:rFonts w:ascii="Arial" w:hAnsi="Arial" w:cs="Arial"/>
          <w:bCs w:val="0"/>
        </w:rPr>
        <w:t xml:space="preserve"> </w:t>
      </w:r>
    </w:p>
    <w:p w14:paraId="00CA1302" w14:textId="2178B626"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optimal portfolio would be the one with the highest value per unit of investment under an investment constraint of </w:t>
      </w:r>
      <w:r w:rsidR="00046705" w:rsidRPr="000B20B6">
        <w:rPr>
          <w:rStyle w:val="Strong"/>
          <w:rFonts w:ascii="Arial" w:eastAsiaTheme="majorEastAsia" w:hAnsi="Arial" w:cs="Arial"/>
          <w:color w:val="000000" w:themeColor="text1"/>
        </w:rPr>
        <w:t>£60 million</w:t>
      </w:r>
      <w:r w:rsidR="00046705" w:rsidRPr="000B20B6">
        <w:rPr>
          <w:rFonts w:ascii="Arial" w:hAnsi="Arial" w:cs="Arial"/>
          <w:color w:val="000000" w:themeColor="text1"/>
        </w:rPr>
        <w:t xml:space="preserve"> </w:t>
      </w:r>
      <w:r w:rsidRPr="000B20B6">
        <w:rPr>
          <w:rFonts w:ascii="Arial" w:hAnsi="Arial" w:cs="Arial"/>
          <w:color w:val="000000" w:themeColor="text1"/>
        </w:rPr>
        <w:t>pounds. Apply the Profitability Index (PI):</w:t>
      </w:r>
    </w:p>
    <w:p w14:paraId="3478787E" w14:textId="13400846" w:rsidR="00A96B38" w:rsidRPr="000B20B6" w:rsidRDefault="00A96B38" w:rsidP="000F119C">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Project A: </w:t>
      </w:r>
      <w:r w:rsidRPr="000B20B6">
        <w:rPr>
          <w:rStyle w:val="Strong"/>
          <w:rFonts w:ascii="Arial" w:eastAsiaTheme="majorEastAsia" w:hAnsi="Arial" w:cs="Arial"/>
          <w:color w:val="000000" w:themeColor="text1"/>
        </w:rPr>
        <w:t>1.03</w:t>
      </w:r>
      <w:r w:rsidR="000F119C" w:rsidRPr="000B20B6">
        <w:rPr>
          <w:rFonts w:ascii="Arial" w:hAnsi="Arial" w:cs="Arial"/>
          <w:color w:val="000000" w:themeColor="text1"/>
        </w:rPr>
        <w:t xml:space="preserve">, </w:t>
      </w:r>
      <w:r w:rsidRPr="000B20B6">
        <w:rPr>
          <w:rFonts w:ascii="Arial" w:hAnsi="Arial" w:cs="Arial"/>
          <w:color w:val="000000" w:themeColor="text1"/>
        </w:rPr>
        <w:t xml:space="preserve">Project B: </w:t>
      </w:r>
      <w:r w:rsidRPr="000B20B6">
        <w:rPr>
          <w:rStyle w:val="Strong"/>
          <w:rFonts w:ascii="Arial" w:eastAsiaTheme="majorEastAsia" w:hAnsi="Arial" w:cs="Arial"/>
          <w:color w:val="000000" w:themeColor="text1"/>
        </w:rPr>
        <w:t>0.76</w:t>
      </w:r>
      <w:r w:rsidR="000F119C" w:rsidRPr="000B20B6">
        <w:rPr>
          <w:rFonts w:ascii="Arial" w:hAnsi="Arial" w:cs="Arial"/>
          <w:color w:val="000000" w:themeColor="text1"/>
        </w:rPr>
        <w:t xml:space="preserve">, </w:t>
      </w:r>
      <w:r w:rsidRPr="000B20B6">
        <w:rPr>
          <w:rFonts w:ascii="Arial" w:hAnsi="Arial" w:cs="Arial"/>
          <w:color w:val="000000" w:themeColor="text1"/>
        </w:rPr>
        <w:t xml:space="preserve">Project C: </w:t>
      </w:r>
      <w:r w:rsidRPr="000B20B6">
        <w:rPr>
          <w:rStyle w:val="Strong"/>
          <w:rFonts w:ascii="Arial" w:eastAsiaTheme="majorEastAsia" w:hAnsi="Arial" w:cs="Arial"/>
          <w:color w:val="000000" w:themeColor="text1"/>
        </w:rPr>
        <w:t>1.08</w:t>
      </w:r>
    </w:p>
    <w:p w14:paraId="04064D08" w14:textId="2AEAE65E" w:rsidR="00547F50" w:rsidRPr="000B20B6" w:rsidRDefault="005E2A9A"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Ranking by PI gives the order C &gt; A &gt; B. Merging Project A (£40m) and Project B (£30m) would put us over budget. Merging A (£40m) and C (£50m) on the other hand requires £90m also over budget.  So, the firm can go for either Project C only at the cost of £50 million or Project A only at the cost of £40 million while the rest of the funds will be kept aside for working capital </w:t>
      </w:r>
      <w:r w:rsidR="00547F50" w:rsidRPr="000B20B6">
        <w:rPr>
          <w:rFonts w:ascii="Arial" w:hAnsi="Arial" w:cs="Arial"/>
          <w:color w:val="000000" w:themeColor="text1"/>
        </w:rPr>
        <w:t>(Nukala and Prasada Rao, 2021).</w:t>
      </w:r>
    </w:p>
    <w:p w14:paraId="00C5DB7D" w14:textId="17E72A4D" w:rsidR="00547F50" w:rsidRPr="000B20B6" w:rsidRDefault="00A805BD"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The incremental NPV per £1 invested (NPV ÷ Cost) produces Project C = 0.085 as opposed to Project A = 0.034, confirming Project C is the best to invest in</w:t>
      </w:r>
      <w:r w:rsidR="00547F50" w:rsidRPr="000B20B6">
        <w:rPr>
          <w:rFonts w:ascii="Arial" w:hAnsi="Arial" w:cs="Arial"/>
          <w:color w:val="000000" w:themeColor="text1"/>
        </w:rPr>
        <w:t xml:space="preserve">. It places more absolute value and pegged to recovery target of the firm not just to short-term liquidity, but to sustained profitability. The project C would then be constrained to </w:t>
      </w:r>
      <w:r w:rsidR="00DD44CC" w:rsidRPr="000B20B6">
        <w:rPr>
          <w:rFonts w:ascii="Arial" w:hAnsi="Arial" w:cs="Arial"/>
          <w:color w:val="000000" w:themeColor="text1"/>
        </w:rPr>
        <w:t>£60m</w:t>
      </w:r>
      <w:r w:rsidR="00547F50" w:rsidRPr="000B20B6">
        <w:rPr>
          <w:rFonts w:ascii="Arial" w:hAnsi="Arial" w:cs="Arial"/>
          <w:color w:val="000000" w:themeColor="text1"/>
        </w:rPr>
        <w:t xml:space="preserve"> to enable prudent capital investment and strategic </w:t>
      </w:r>
      <w:r w:rsidR="006342DF" w:rsidRPr="000B20B6">
        <w:rPr>
          <w:rFonts w:ascii="Arial" w:hAnsi="Arial" w:cs="Arial"/>
          <w:color w:val="000000" w:themeColor="text1"/>
        </w:rPr>
        <w:t>long-term</w:t>
      </w:r>
      <w:r w:rsidR="00547F50" w:rsidRPr="000B20B6">
        <w:rPr>
          <w:rFonts w:ascii="Arial" w:hAnsi="Arial" w:cs="Arial"/>
          <w:color w:val="000000" w:themeColor="text1"/>
        </w:rPr>
        <w:t xml:space="preserve"> alignment.</w:t>
      </w:r>
    </w:p>
    <w:p w14:paraId="7AE5ED4C" w14:textId="77777777" w:rsidR="006342DF" w:rsidRPr="000B20B6" w:rsidRDefault="006342DF" w:rsidP="00687C42">
      <w:pPr>
        <w:pStyle w:val="Heading2"/>
        <w:rPr>
          <w:rFonts w:ascii="Arial" w:hAnsi="Arial" w:cs="Arial"/>
        </w:rPr>
      </w:pPr>
      <w:bookmarkStart w:id="43" w:name="_Toc214840883"/>
      <w:r w:rsidRPr="000B20B6">
        <w:rPr>
          <w:rStyle w:val="Strong"/>
          <w:rFonts w:ascii="Arial" w:hAnsi="Arial" w:cs="Arial"/>
          <w:b/>
        </w:rPr>
        <w:t>5.6 Risk Analysis and Sensitivity Review</w:t>
      </w:r>
      <w:bookmarkEnd w:id="43"/>
      <w:r w:rsidRPr="000B20B6">
        <w:rPr>
          <w:rStyle w:val="Strong"/>
          <w:rFonts w:ascii="Arial" w:hAnsi="Arial" w:cs="Arial"/>
          <w:b/>
        </w:rPr>
        <w:t xml:space="preserve"> </w:t>
      </w:r>
    </w:p>
    <w:p w14:paraId="34ECC882" w14:textId="0960930B"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Financial variables are delicate and should be managed with discretion in the project. </w:t>
      </w:r>
      <w:r w:rsidR="00BE2B2A" w:rsidRPr="000B20B6">
        <w:rPr>
          <w:rFonts w:ascii="Arial" w:hAnsi="Arial" w:cs="Arial"/>
          <w:color w:val="000000" w:themeColor="text1"/>
        </w:rPr>
        <w:t xml:space="preserve">If the discount rate increases from 10% to 12%, Project C’s NPV changes from £4.24m to about £2.7m. This suggests low sensitivity to cost of capital.  Moving forward, project A has an NPV that drops from £1.34m to £0.2m. This indicates its larger sensitivity to increased costs of financing. Cash flow risk is another factor. The inflows of project C are very uneven since 60% of such inflows is coming at the end of Year 3 only. If the revenues in Years 4-5 were to drop by 20%, the NPV would go to zero. On the other hand, Project A has evenly spread inflows that lower the timing risk. Higher inflation affects the real </w:t>
      </w:r>
      <w:r w:rsidR="00BE2B2A" w:rsidRPr="000B20B6">
        <w:rPr>
          <w:rFonts w:ascii="Arial" w:hAnsi="Arial" w:cs="Arial"/>
          <w:color w:val="000000" w:themeColor="text1"/>
        </w:rPr>
        <w:lastRenderedPageBreak/>
        <w:t xml:space="preserve">return too. </w:t>
      </w:r>
      <w:r w:rsidR="00640A61" w:rsidRPr="000B20B6">
        <w:rPr>
          <w:rFonts w:ascii="Arial" w:hAnsi="Arial" w:cs="Arial"/>
          <w:color w:val="000000" w:themeColor="text1"/>
        </w:rPr>
        <w:t>So,</w:t>
      </w:r>
      <w:r w:rsidR="00BE2B2A" w:rsidRPr="000B20B6">
        <w:rPr>
          <w:rFonts w:ascii="Arial" w:hAnsi="Arial" w:cs="Arial"/>
          <w:color w:val="000000" w:themeColor="text1"/>
        </w:rPr>
        <w:t xml:space="preserve"> if inflation were to spike to 6%, then the real discount rate rises. Therefore, it shrinks all project NPVs by about 15%.</w:t>
      </w:r>
    </w:p>
    <w:p w14:paraId="7AD4E96E" w14:textId="33C745BC"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mitigation tools involve staged investment, cash flow hedging, and contractual performance guarantees of later-stage inflows. To promote decision responsiveness, rolling forecasts and scenario analysis will be introduced (Almeida et al., 2023). Also, setting aside a percentage of the untapped </w:t>
      </w:r>
      <w:r w:rsidR="00687C42" w:rsidRPr="000B20B6">
        <w:rPr>
          <w:rFonts w:ascii="Arial" w:hAnsi="Arial" w:cs="Arial"/>
          <w:color w:val="000000" w:themeColor="text1"/>
        </w:rPr>
        <w:t>£1</w:t>
      </w:r>
      <w:r w:rsidRPr="000B20B6">
        <w:rPr>
          <w:rFonts w:ascii="Arial" w:hAnsi="Arial" w:cs="Arial"/>
          <w:color w:val="000000" w:themeColor="text1"/>
        </w:rPr>
        <w:t xml:space="preserve">0 million buffer as liquidity reserves will offer a buffer against volatility. In such security, the value of the selected project can be maintained even in </w:t>
      </w:r>
      <w:proofErr w:type="spellStart"/>
      <w:r w:rsidRPr="000B20B6">
        <w:rPr>
          <w:rFonts w:ascii="Arial" w:hAnsi="Arial" w:cs="Arial"/>
          <w:color w:val="000000" w:themeColor="text1"/>
        </w:rPr>
        <w:t>unfavorable</w:t>
      </w:r>
      <w:proofErr w:type="spellEnd"/>
      <w:r w:rsidRPr="000B20B6">
        <w:rPr>
          <w:rFonts w:ascii="Arial" w:hAnsi="Arial" w:cs="Arial"/>
          <w:color w:val="000000" w:themeColor="text1"/>
        </w:rPr>
        <w:t xml:space="preserve"> market conditions.</w:t>
      </w:r>
    </w:p>
    <w:p w14:paraId="41B2BF40" w14:textId="77777777" w:rsidR="00640A61" w:rsidRPr="000B20B6" w:rsidRDefault="00640A61" w:rsidP="00687C42">
      <w:pPr>
        <w:pStyle w:val="Heading2"/>
        <w:rPr>
          <w:rFonts w:ascii="Arial" w:hAnsi="Arial" w:cs="Arial"/>
        </w:rPr>
      </w:pPr>
      <w:bookmarkStart w:id="44" w:name="_Toc214840884"/>
      <w:r w:rsidRPr="000B20B6">
        <w:rPr>
          <w:rStyle w:val="Strong"/>
          <w:rFonts w:ascii="Arial" w:hAnsi="Arial" w:cs="Arial"/>
          <w:b/>
        </w:rPr>
        <w:t>5.7 Final Recommendation</w:t>
      </w:r>
      <w:bookmarkEnd w:id="44"/>
      <w:r w:rsidRPr="000B20B6">
        <w:rPr>
          <w:rStyle w:val="Strong"/>
          <w:rFonts w:ascii="Arial" w:hAnsi="Arial" w:cs="Arial"/>
          <w:b/>
        </w:rPr>
        <w:t xml:space="preserve"> </w:t>
      </w:r>
    </w:p>
    <w:p w14:paraId="4E836CDE" w14:textId="6C10683F" w:rsidR="00547F50"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 xml:space="preserve">The quantitative analysis indicates that project C provides the most viable investment in terms of monetary benefit and strategic outcome. It optimizes NPV and IRR, optimizing returns to the capital constraint of </w:t>
      </w:r>
      <w:r w:rsidR="00D5030B" w:rsidRPr="000B20B6">
        <w:rPr>
          <w:rFonts w:ascii="Arial" w:hAnsi="Arial" w:cs="Arial"/>
          <w:color w:val="000000" w:themeColor="text1"/>
        </w:rPr>
        <w:t>£60</w:t>
      </w:r>
      <w:r w:rsidRPr="000B20B6">
        <w:rPr>
          <w:rFonts w:ascii="Arial" w:hAnsi="Arial" w:cs="Arial"/>
          <w:color w:val="000000" w:themeColor="text1"/>
        </w:rPr>
        <w:t xml:space="preserve"> million pounds. Its cash flow inflows are long-term and depend on the post-restructuring profitability of the firm (underlying the growth and recovery strategy), (Tudose, Rusu and </w:t>
      </w:r>
      <w:proofErr w:type="spellStart"/>
      <w:r w:rsidRPr="000B20B6">
        <w:rPr>
          <w:rFonts w:ascii="Arial" w:hAnsi="Arial" w:cs="Arial"/>
          <w:color w:val="000000" w:themeColor="text1"/>
        </w:rPr>
        <w:t>Avasilcai</w:t>
      </w:r>
      <w:proofErr w:type="spellEnd"/>
      <w:r w:rsidRPr="000B20B6">
        <w:rPr>
          <w:rFonts w:ascii="Arial" w:hAnsi="Arial" w:cs="Arial"/>
          <w:color w:val="000000" w:themeColor="text1"/>
        </w:rPr>
        <w:t xml:space="preserve">, 2022). Project A is </w:t>
      </w:r>
      <w:proofErr w:type="spellStart"/>
      <w:r w:rsidRPr="000B20B6">
        <w:rPr>
          <w:rFonts w:ascii="Arial" w:hAnsi="Arial" w:cs="Arial"/>
          <w:color w:val="000000" w:themeColor="text1"/>
        </w:rPr>
        <w:t>backbanked</w:t>
      </w:r>
      <w:proofErr w:type="spellEnd"/>
      <w:r w:rsidRPr="000B20B6">
        <w:rPr>
          <w:rFonts w:ascii="Arial" w:hAnsi="Arial" w:cs="Arial"/>
          <w:color w:val="000000" w:themeColor="text1"/>
        </w:rPr>
        <w:t xml:space="preserve"> in the event liquidity normalises. Project C is a periodically-reviewed and inflation-safe investment, a gradual-checking investment, which will make the firm as capital efficient as possible, restore investor trust, and re-capacitate the firm to financial feasibility and sustainable global performance.</w:t>
      </w:r>
    </w:p>
    <w:p w14:paraId="112DDDBD" w14:textId="77777777" w:rsidR="00A90C1A" w:rsidRPr="000B20B6" w:rsidRDefault="00A90C1A" w:rsidP="00903432">
      <w:pPr>
        <w:pStyle w:val="Heading1"/>
        <w:rPr>
          <w:rFonts w:ascii="Arial" w:hAnsi="Arial" w:cs="Arial"/>
          <w:bCs/>
          <w:sz w:val="27"/>
        </w:rPr>
      </w:pPr>
      <w:bookmarkStart w:id="45" w:name="_Toc214840885"/>
      <w:r w:rsidRPr="000B20B6">
        <w:rPr>
          <w:rStyle w:val="Strong"/>
          <w:rFonts w:ascii="Arial" w:hAnsi="Arial" w:cs="Arial"/>
          <w:b/>
          <w:bCs w:val="0"/>
        </w:rPr>
        <w:t>6. Conclusion</w:t>
      </w:r>
      <w:bookmarkEnd w:id="45"/>
      <w:r w:rsidRPr="000B20B6">
        <w:rPr>
          <w:rStyle w:val="Strong"/>
          <w:rFonts w:ascii="Arial" w:hAnsi="Arial" w:cs="Arial"/>
          <w:b/>
          <w:bCs w:val="0"/>
        </w:rPr>
        <w:t xml:space="preserve"> </w:t>
      </w:r>
    </w:p>
    <w:p w14:paraId="47DCBD77" w14:textId="18EEF4BB" w:rsidR="002C3303" w:rsidRPr="000B20B6" w:rsidRDefault="00547F50" w:rsidP="00547F50">
      <w:pPr>
        <w:pStyle w:val="NormalWeb"/>
        <w:spacing w:line="360" w:lineRule="auto"/>
        <w:jc w:val="both"/>
        <w:rPr>
          <w:rFonts w:ascii="Arial" w:hAnsi="Arial" w:cs="Arial"/>
          <w:color w:val="000000" w:themeColor="text1"/>
        </w:rPr>
      </w:pPr>
      <w:r w:rsidRPr="000B20B6">
        <w:rPr>
          <w:rFonts w:ascii="Arial" w:hAnsi="Arial" w:cs="Arial"/>
          <w:color w:val="000000" w:themeColor="text1"/>
        </w:rPr>
        <w:t>The firm is in poor financial health characterized by falling profitability, low liquidity, low working capital efficiency, and high leverage. The revenue decreases by 36</w:t>
      </w:r>
      <w:r w:rsidR="00903432" w:rsidRPr="000B20B6">
        <w:rPr>
          <w:rFonts w:ascii="Arial" w:hAnsi="Arial" w:cs="Arial"/>
          <w:color w:val="000000" w:themeColor="text1"/>
        </w:rPr>
        <w:t>%</w:t>
      </w:r>
      <w:r w:rsidRPr="000B20B6">
        <w:rPr>
          <w:rFonts w:ascii="Arial" w:hAnsi="Arial" w:cs="Arial"/>
          <w:color w:val="000000" w:themeColor="text1"/>
        </w:rPr>
        <w:t>, equity decreases by 51</w:t>
      </w:r>
      <w:r w:rsidR="00903432" w:rsidRPr="000B20B6">
        <w:rPr>
          <w:rFonts w:ascii="Arial" w:hAnsi="Arial" w:cs="Arial"/>
          <w:color w:val="000000" w:themeColor="text1"/>
        </w:rPr>
        <w:t>%</w:t>
      </w:r>
      <w:r w:rsidRPr="000B20B6">
        <w:rPr>
          <w:rFonts w:ascii="Arial" w:hAnsi="Arial" w:cs="Arial"/>
          <w:color w:val="000000" w:themeColor="text1"/>
        </w:rPr>
        <w:t xml:space="preserve">, and the dependence on debt which underlined systemic functioning and financial deficiencies. The proposed turnaround includes a combination of increased working capital use, disposition of non-core assets, and equity injection to achieve solvency and financial flexibility. </w:t>
      </w:r>
      <w:r w:rsidR="0017001E" w:rsidRPr="000B20B6">
        <w:rPr>
          <w:rFonts w:ascii="Arial" w:hAnsi="Arial" w:cs="Arial"/>
          <w:color w:val="000000" w:themeColor="text1"/>
        </w:rPr>
        <w:t xml:space="preserve">Project C, which has an IRR of 13.5% and a NPV of £4.24 million, is the best investment option within the £60 million budget. </w:t>
      </w:r>
      <w:r w:rsidRPr="000B20B6">
        <w:rPr>
          <w:rFonts w:ascii="Arial" w:hAnsi="Arial" w:cs="Arial"/>
          <w:color w:val="000000" w:themeColor="text1"/>
        </w:rPr>
        <w:t xml:space="preserve">A successful </w:t>
      </w:r>
      <w:r w:rsidRPr="000B20B6">
        <w:rPr>
          <w:rFonts w:ascii="Arial" w:hAnsi="Arial" w:cs="Arial"/>
          <w:color w:val="000000" w:themeColor="text1"/>
        </w:rPr>
        <w:lastRenderedPageBreak/>
        <w:t>implementation will restore investor confidence, improve liquidity, and enable long-term global expansion.</w:t>
      </w:r>
    </w:p>
    <w:p w14:paraId="222F608F" w14:textId="77777777" w:rsidR="002C3303" w:rsidRPr="000B20B6" w:rsidRDefault="002C3303">
      <w:pPr>
        <w:spacing w:line="278" w:lineRule="auto"/>
        <w:rPr>
          <w:rFonts w:ascii="Arial" w:eastAsia="Times New Roman" w:hAnsi="Arial" w:cs="Arial"/>
          <w:szCs w:val="24"/>
        </w:rPr>
      </w:pPr>
      <w:r w:rsidRPr="000B20B6">
        <w:rPr>
          <w:rFonts w:ascii="Arial" w:hAnsi="Arial" w:cs="Arial"/>
        </w:rPr>
        <w:br w:type="page"/>
      </w:r>
    </w:p>
    <w:p w14:paraId="0E981163" w14:textId="77777777" w:rsidR="002C3303" w:rsidRPr="000B20B6" w:rsidRDefault="002C3303" w:rsidP="002C3303">
      <w:pPr>
        <w:pStyle w:val="Heading1"/>
        <w:rPr>
          <w:rFonts w:ascii="Arial" w:hAnsi="Arial" w:cs="Arial"/>
        </w:rPr>
      </w:pPr>
      <w:bookmarkStart w:id="46" w:name="_Toc214840886"/>
      <w:r w:rsidRPr="000B20B6">
        <w:rPr>
          <w:rFonts w:ascii="Arial" w:hAnsi="Arial" w:cs="Arial"/>
        </w:rPr>
        <w:lastRenderedPageBreak/>
        <w:t>7. References</w:t>
      </w:r>
      <w:bookmarkEnd w:id="46"/>
      <w:r w:rsidRPr="000B20B6">
        <w:rPr>
          <w:rFonts w:ascii="Arial" w:hAnsi="Arial" w:cs="Arial"/>
        </w:rPr>
        <w:t xml:space="preserve"> </w:t>
      </w:r>
    </w:p>
    <w:p w14:paraId="7ADFC8B8" w14:textId="41A792F0" w:rsidR="002C3303" w:rsidRPr="000B20B6" w:rsidRDefault="002C3303" w:rsidP="002C3303">
      <w:pPr>
        <w:jc w:val="both"/>
        <w:rPr>
          <w:rFonts w:ascii="Arial" w:hAnsi="Arial" w:cs="Arial"/>
        </w:rPr>
      </w:pPr>
      <w:r w:rsidRPr="000B20B6">
        <w:rPr>
          <w:rFonts w:ascii="Arial" w:hAnsi="Arial" w:cs="Arial"/>
        </w:rPr>
        <w:t xml:space="preserve">Akbar, A., Jiang, X. and Akbar, M., 2022. Do working capital management practices influence investment and financing patterns of </w:t>
      </w:r>
      <w:proofErr w:type="gramStart"/>
      <w:r w:rsidRPr="000B20B6">
        <w:rPr>
          <w:rFonts w:ascii="Arial" w:hAnsi="Arial" w:cs="Arial"/>
        </w:rPr>
        <w:t>firms?.</w:t>
      </w:r>
      <w:proofErr w:type="gramEnd"/>
      <w:r w:rsidRPr="000B20B6">
        <w:rPr>
          <w:rFonts w:ascii="Arial" w:hAnsi="Arial" w:cs="Arial"/>
        </w:rPr>
        <w:t xml:space="preserve"> Journal of Economic and Administrative Sciences, 38(1), pp.91-109.</w:t>
      </w:r>
      <w:r w:rsidR="009D45EF" w:rsidRPr="000B20B6">
        <w:rPr>
          <w:rFonts w:ascii="Arial" w:hAnsi="Arial" w:cs="Arial"/>
        </w:rPr>
        <w:t xml:space="preserve"> </w:t>
      </w:r>
      <w:hyperlink r:id="rId8" w:history="1">
        <w:r w:rsidR="009D45EF" w:rsidRPr="000B20B6">
          <w:rPr>
            <w:rStyle w:val="Hyperlink"/>
            <w:rFonts w:ascii="Arial" w:hAnsi="Arial" w:cs="Arial"/>
          </w:rPr>
          <w:t>https://www.academia.edu/download/95828883/JEAS-07-2019-007420221215-1-txauou.pdf</w:t>
        </w:r>
      </w:hyperlink>
      <w:r w:rsidR="009D45EF" w:rsidRPr="000B20B6">
        <w:rPr>
          <w:rFonts w:ascii="Arial" w:hAnsi="Arial" w:cs="Arial"/>
        </w:rPr>
        <w:t xml:space="preserve"> </w:t>
      </w:r>
    </w:p>
    <w:p w14:paraId="76243F2A" w14:textId="49B7FCD8" w:rsidR="002C3303" w:rsidRPr="000B20B6" w:rsidRDefault="002C3303" w:rsidP="002C3303">
      <w:pPr>
        <w:jc w:val="both"/>
        <w:rPr>
          <w:rFonts w:ascii="Arial" w:hAnsi="Arial" w:cs="Arial"/>
        </w:rPr>
      </w:pPr>
      <w:r w:rsidRPr="000B20B6">
        <w:rPr>
          <w:rFonts w:ascii="Arial" w:hAnsi="Arial" w:cs="Arial"/>
        </w:rPr>
        <w:t>Akgün, A.I. and Memiş Karataş, A., 2021. Investigating the relationship between working capital management and business performance: Evidence from the 2008 financial crisis of EU-28. International Journal of Managerial Finance, 17(4), pp.545-567.</w:t>
      </w:r>
      <w:r w:rsidR="009D45EF" w:rsidRPr="000B20B6">
        <w:rPr>
          <w:rFonts w:ascii="Arial" w:hAnsi="Arial" w:cs="Arial"/>
        </w:rPr>
        <w:t xml:space="preserve"> </w:t>
      </w:r>
      <w:hyperlink r:id="rId9" w:history="1">
        <w:r w:rsidR="009D45EF" w:rsidRPr="000B20B6">
          <w:rPr>
            <w:rStyle w:val="Hyperlink"/>
            <w:rFonts w:ascii="Arial" w:hAnsi="Arial" w:cs="Arial"/>
          </w:rPr>
          <w:t>https://www.emerald.com/insight/content/doi/10.1108/ijmf-08-2019-0294/full/html</w:t>
        </w:r>
      </w:hyperlink>
      <w:r w:rsidR="009D45EF" w:rsidRPr="000B20B6">
        <w:rPr>
          <w:rFonts w:ascii="Arial" w:hAnsi="Arial" w:cs="Arial"/>
        </w:rPr>
        <w:t xml:space="preserve"> </w:t>
      </w:r>
    </w:p>
    <w:p w14:paraId="67982611" w14:textId="3EF7026A" w:rsidR="002C3303" w:rsidRPr="000B20B6" w:rsidRDefault="002C3303" w:rsidP="002C3303">
      <w:pPr>
        <w:jc w:val="both"/>
        <w:rPr>
          <w:rFonts w:ascii="Arial" w:hAnsi="Arial" w:cs="Arial"/>
        </w:rPr>
      </w:pPr>
      <w:r w:rsidRPr="000B20B6">
        <w:rPr>
          <w:rFonts w:ascii="Arial" w:hAnsi="Arial" w:cs="Arial"/>
        </w:rPr>
        <w:t>Almeida, R.P., Ayala, N.F., Benitez, G.B., Kliemann Neto, F.J. and Frank, A.G., 2023. How to assess investments in industry 4.0 technologies? A multiple-criteria framework for economic, financial, and sociotechnical factors. Production Planning &amp; Control, 34(16), pp.1583-1602.</w:t>
      </w:r>
      <w:r w:rsidR="009D45EF" w:rsidRPr="000B20B6">
        <w:rPr>
          <w:rFonts w:ascii="Arial" w:hAnsi="Arial" w:cs="Arial"/>
        </w:rPr>
        <w:t xml:space="preserve"> </w:t>
      </w:r>
      <w:hyperlink r:id="rId10" w:history="1">
        <w:r w:rsidR="009D45EF" w:rsidRPr="000B20B6">
          <w:rPr>
            <w:rStyle w:val="Hyperlink"/>
            <w:rFonts w:ascii="Arial" w:hAnsi="Arial" w:cs="Arial"/>
          </w:rPr>
          <w:t>https://www.tandfonline.com/doi/abs/10.1080/09537287.2022.2035445</w:t>
        </w:r>
      </w:hyperlink>
      <w:r w:rsidR="009D45EF" w:rsidRPr="000B20B6">
        <w:rPr>
          <w:rFonts w:ascii="Arial" w:hAnsi="Arial" w:cs="Arial"/>
        </w:rPr>
        <w:t xml:space="preserve"> </w:t>
      </w:r>
    </w:p>
    <w:p w14:paraId="52F94519" w14:textId="2E8EEB99" w:rsidR="002C3303" w:rsidRPr="000B20B6" w:rsidRDefault="002C3303" w:rsidP="002C3303">
      <w:pPr>
        <w:jc w:val="both"/>
        <w:rPr>
          <w:rFonts w:ascii="Arial" w:hAnsi="Arial" w:cs="Arial"/>
        </w:rPr>
      </w:pPr>
      <w:r w:rsidRPr="000B20B6">
        <w:rPr>
          <w:rFonts w:ascii="Arial" w:hAnsi="Arial" w:cs="Arial"/>
        </w:rPr>
        <w:t>Amponsah-</w:t>
      </w:r>
      <w:proofErr w:type="spellStart"/>
      <w:r w:rsidRPr="000B20B6">
        <w:rPr>
          <w:rFonts w:ascii="Arial" w:hAnsi="Arial" w:cs="Arial"/>
        </w:rPr>
        <w:t>Kwatiah</w:t>
      </w:r>
      <w:proofErr w:type="spellEnd"/>
      <w:r w:rsidRPr="000B20B6">
        <w:rPr>
          <w:rFonts w:ascii="Arial" w:hAnsi="Arial" w:cs="Arial"/>
        </w:rPr>
        <w:t>, K. and Asiamah, M., 2021. Working capital management and profitability of listed manufacturing firms in Ghana. International journal of productivity and performance management, 70(7), pp.1751-1771.</w:t>
      </w:r>
      <w:r w:rsidR="009D45EF" w:rsidRPr="000B20B6">
        <w:rPr>
          <w:rFonts w:ascii="Arial" w:hAnsi="Arial" w:cs="Arial"/>
        </w:rPr>
        <w:t xml:space="preserve"> </w:t>
      </w:r>
      <w:hyperlink r:id="rId11" w:history="1">
        <w:r w:rsidR="009D45EF" w:rsidRPr="000B20B6">
          <w:rPr>
            <w:rStyle w:val="Hyperlink"/>
            <w:rFonts w:ascii="Arial" w:hAnsi="Arial" w:cs="Arial"/>
          </w:rPr>
          <w:t>https://2024.sci-hub.box/8304/aa1877107d10cd138fa1d401935c747e/amponsah-kwatiah2020.pdf</w:t>
        </w:r>
      </w:hyperlink>
      <w:r w:rsidR="009D45EF" w:rsidRPr="000B20B6">
        <w:rPr>
          <w:rFonts w:ascii="Arial" w:hAnsi="Arial" w:cs="Arial"/>
        </w:rPr>
        <w:t xml:space="preserve"> </w:t>
      </w:r>
    </w:p>
    <w:p w14:paraId="3FDCB1A4" w14:textId="1758EFAB" w:rsidR="002C3303" w:rsidRPr="000B20B6" w:rsidRDefault="002C3303" w:rsidP="002C3303">
      <w:pPr>
        <w:jc w:val="both"/>
        <w:rPr>
          <w:rFonts w:ascii="Arial" w:hAnsi="Arial" w:cs="Arial"/>
        </w:rPr>
      </w:pPr>
      <w:proofErr w:type="spellStart"/>
      <w:r w:rsidRPr="000B20B6">
        <w:rPr>
          <w:rFonts w:ascii="Arial" w:hAnsi="Arial" w:cs="Arial"/>
        </w:rPr>
        <w:t>Baliouskas</w:t>
      </w:r>
      <w:proofErr w:type="spellEnd"/>
      <w:r w:rsidRPr="000B20B6">
        <w:rPr>
          <w:rFonts w:ascii="Arial" w:hAnsi="Arial" w:cs="Arial"/>
        </w:rPr>
        <w:t>, P., Llopis, J., Gasco, J. and Gonzalez, R., 2023. Implementing turnaround strategies as an entrepreneurial process. International Entrepreneurship and Management Journal, 19(4), pp.2037-2063.</w:t>
      </w:r>
      <w:r w:rsidR="009D45EF" w:rsidRPr="000B20B6">
        <w:rPr>
          <w:rFonts w:ascii="Arial" w:hAnsi="Arial" w:cs="Arial"/>
        </w:rPr>
        <w:t xml:space="preserve"> </w:t>
      </w:r>
      <w:hyperlink r:id="rId12" w:history="1">
        <w:r w:rsidR="009D45EF" w:rsidRPr="000B20B6">
          <w:rPr>
            <w:rStyle w:val="Hyperlink"/>
            <w:rFonts w:ascii="Arial" w:hAnsi="Arial" w:cs="Arial"/>
          </w:rPr>
          <w:t>https://link.springer.com/content/pdf/10.1007/s11365-022-00810-9.pdf</w:t>
        </w:r>
      </w:hyperlink>
      <w:r w:rsidR="009D45EF" w:rsidRPr="000B20B6">
        <w:rPr>
          <w:rFonts w:ascii="Arial" w:hAnsi="Arial" w:cs="Arial"/>
        </w:rPr>
        <w:t xml:space="preserve"> </w:t>
      </w:r>
    </w:p>
    <w:p w14:paraId="1097A717" w14:textId="35DA597B" w:rsidR="002C3303" w:rsidRPr="000B20B6" w:rsidRDefault="002C3303" w:rsidP="002C3303">
      <w:pPr>
        <w:jc w:val="both"/>
        <w:rPr>
          <w:rFonts w:ascii="Arial" w:hAnsi="Arial" w:cs="Arial"/>
        </w:rPr>
      </w:pPr>
      <w:proofErr w:type="spellStart"/>
      <w:r w:rsidRPr="000B20B6">
        <w:rPr>
          <w:rFonts w:ascii="Arial" w:hAnsi="Arial" w:cs="Arial"/>
        </w:rPr>
        <w:t>Baydaş</w:t>
      </w:r>
      <w:proofErr w:type="spellEnd"/>
      <w:r w:rsidRPr="000B20B6">
        <w:rPr>
          <w:rFonts w:ascii="Arial" w:hAnsi="Arial" w:cs="Arial"/>
        </w:rPr>
        <w:t xml:space="preserve">, M. and Elma, O.E., 2021. An </w:t>
      </w:r>
      <w:proofErr w:type="spellStart"/>
      <w:r w:rsidRPr="000B20B6">
        <w:rPr>
          <w:rFonts w:ascii="Arial" w:hAnsi="Arial" w:cs="Arial"/>
        </w:rPr>
        <w:t>objectıve</w:t>
      </w:r>
      <w:proofErr w:type="spellEnd"/>
      <w:r w:rsidRPr="000B20B6">
        <w:rPr>
          <w:rFonts w:ascii="Arial" w:hAnsi="Arial" w:cs="Arial"/>
        </w:rPr>
        <w:t xml:space="preserve"> criteria proposal for the comparison of MCDM and weighting methods in financial performance measurement: An application in Borsa Istanbul. Decision Making: Applications in Management and Engineering, 4(2), pp.257-279.</w:t>
      </w:r>
      <w:r w:rsidR="00A102E1" w:rsidRPr="000B20B6">
        <w:rPr>
          <w:rFonts w:ascii="Arial" w:hAnsi="Arial" w:cs="Arial"/>
        </w:rPr>
        <w:t xml:space="preserve"> </w:t>
      </w:r>
      <w:hyperlink r:id="rId13" w:history="1">
        <w:r w:rsidR="00A102E1" w:rsidRPr="000B20B6">
          <w:rPr>
            <w:rStyle w:val="Hyperlink"/>
            <w:rFonts w:ascii="Arial" w:hAnsi="Arial" w:cs="Arial"/>
          </w:rPr>
          <w:t>http://dmame-journal.org/index.php/dmame/article/download/219/84</w:t>
        </w:r>
      </w:hyperlink>
      <w:r w:rsidR="00A102E1" w:rsidRPr="000B20B6">
        <w:rPr>
          <w:rFonts w:ascii="Arial" w:hAnsi="Arial" w:cs="Arial"/>
        </w:rPr>
        <w:t xml:space="preserve"> </w:t>
      </w:r>
    </w:p>
    <w:p w14:paraId="24F1CDE9" w14:textId="062E83C6" w:rsidR="002C3303" w:rsidRPr="000B20B6" w:rsidRDefault="002C3303" w:rsidP="002C3303">
      <w:pPr>
        <w:jc w:val="both"/>
        <w:rPr>
          <w:rFonts w:ascii="Arial" w:hAnsi="Arial" w:cs="Arial"/>
        </w:rPr>
      </w:pPr>
      <w:r w:rsidRPr="000B20B6">
        <w:rPr>
          <w:rFonts w:ascii="Arial" w:hAnsi="Arial" w:cs="Arial"/>
        </w:rPr>
        <w:t xml:space="preserve">Bruna, M.G., </w:t>
      </w:r>
      <w:proofErr w:type="spellStart"/>
      <w:r w:rsidRPr="000B20B6">
        <w:rPr>
          <w:rFonts w:ascii="Arial" w:hAnsi="Arial" w:cs="Arial"/>
        </w:rPr>
        <w:t>Loprevite</w:t>
      </w:r>
      <w:proofErr w:type="spellEnd"/>
      <w:r w:rsidRPr="000B20B6">
        <w:rPr>
          <w:rFonts w:ascii="Arial" w:hAnsi="Arial" w:cs="Arial"/>
        </w:rPr>
        <w:t xml:space="preserve">, S., Raucci, D., Ricca, B. and </w:t>
      </w:r>
      <w:proofErr w:type="spellStart"/>
      <w:r w:rsidRPr="000B20B6">
        <w:rPr>
          <w:rFonts w:ascii="Arial" w:hAnsi="Arial" w:cs="Arial"/>
        </w:rPr>
        <w:t>Rupo</w:t>
      </w:r>
      <w:proofErr w:type="spellEnd"/>
      <w:r w:rsidRPr="000B20B6">
        <w:rPr>
          <w:rFonts w:ascii="Arial" w:hAnsi="Arial" w:cs="Arial"/>
        </w:rPr>
        <w:t xml:space="preserve">, D., 2022. Investigating the marginal impact of ESG results on corporate financial performance. Finance Research </w:t>
      </w:r>
      <w:r w:rsidRPr="000B20B6">
        <w:rPr>
          <w:rFonts w:ascii="Arial" w:hAnsi="Arial" w:cs="Arial"/>
        </w:rPr>
        <w:lastRenderedPageBreak/>
        <w:t>Letters, 47, p.102828.</w:t>
      </w:r>
      <w:r w:rsidR="00A102E1" w:rsidRPr="000B20B6">
        <w:rPr>
          <w:rFonts w:ascii="Arial" w:hAnsi="Arial" w:cs="Arial"/>
        </w:rPr>
        <w:t xml:space="preserve"> </w:t>
      </w:r>
      <w:hyperlink r:id="rId14" w:history="1">
        <w:r w:rsidR="00A102E1" w:rsidRPr="000B20B6">
          <w:rPr>
            <w:rStyle w:val="Hyperlink"/>
            <w:rFonts w:ascii="Arial" w:hAnsi="Arial" w:cs="Arial"/>
          </w:rPr>
          <w:t>https://www.sciencedirect.com/science/article/pii/S1544612322001283</w:t>
        </w:r>
      </w:hyperlink>
      <w:r w:rsidR="00A102E1" w:rsidRPr="000B20B6">
        <w:rPr>
          <w:rFonts w:ascii="Arial" w:hAnsi="Arial" w:cs="Arial"/>
        </w:rPr>
        <w:t xml:space="preserve"> </w:t>
      </w:r>
    </w:p>
    <w:p w14:paraId="6B753218" w14:textId="2E16BBF4" w:rsidR="002C3303" w:rsidRPr="000B20B6" w:rsidRDefault="002C3303" w:rsidP="002C3303">
      <w:pPr>
        <w:jc w:val="both"/>
        <w:rPr>
          <w:rFonts w:ascii="Arial" w:hAnsi="Arial" w:cs="Arial"/>
        </w:rPr>
      </w:pPr>
      <w:r w:rsidRPr="000B20B6">
        <w:rPr>
          <w:rFonts w:ascii="Arial" w:hAnsi="Arial" w:cs="Arial"/>
        </w:rPr>
        <w:t>Chopra, S., 2022. Corporate Restructuring: In India and Its Impact on the Economy. Issue 2 Int'l JL Mgmt. &amp; Human., 5, p.174.</w:t>
      </w:r>
      <w:r w:rsidR="00A102E1" w:rsidRPr="000B20B6">
        <w:rPr>
          <w:rFonts w:ascii="Arial" w:hAnsi="Arial" w:cs="Arial"/>
        </w:rPr>
        <w:t xml:space="preserve"> </w:t>
      </w:r>
      <w:hyperlink r:id="rId15" w:history="1">
        <w:r w:rsidR="00A102E1" w:rsidRPr="000B20B6">
          <w:rPr>
            <w:rStyle w:val="Hyperlink"/>
            <w:rFonts w:ascii="Arial" w:hAnsi="Arial" w:cs="Arial"/>
          </w:rPr>
          <w:t>https://heinonline.org/hol-cgi-bin/get_pdf.cgi?handle=hein.journals/ijlmhs16&amp;section=20</w:t>
        </w:r>
      </w:hyperlink>
      <w:r w:rsidR="00A102E1" w:rsidRPr="000B20B6">
        <w:rPr>
          <w:rFonts w:ascii="Arial" w:hAnsi="Arial" w:cs="Arial"/>
        </w:rPr>
        <w:t xml:space="preserve"> </w:t>
      </w:r>
    </w:p>
    <w:p w14:paraId="0A0FA361" w14:textId="6F37868A" w:rsidR="002C3303" w:rsidRPr="000B20B6" w:rsidRDefault="002C3303" w:rsidP="002C3303">
      <w:pPr>
        <w:jc w:val="both"/>
        <w:rPr>
          <w:rFonts w:ascii="Arial" w:hAnsi="Arial" w:cs="Arial"/>
        </w:rPr>
      </w:pPr>
      <w:r w:rsidRPr="000B20B6">
        <w:rPr>
          <w:rFonts w:ascii="Arial" w:hAnsi="Arial" w:cs="Arial"/>
        </w:rPr>
        <w:t>Harrigan, K.R. and Wing, B.M., 2021. Corporate renewal and turnaround of troubled businesses: The private equity advantage. Strategic Management Review, 2(2), pp.363-90.</w:t>
      </w:r>
      <w:r w:rsidR="00A102E1" w:rsidRPr="000B20B6">
        <w:rPr>
          <w:rFonts w:ascii="Arial" w:hAnsi="Arial" w:cs="Arial"/>
        </w:rPr>
        <w:t xml:space="preserve"> </w:t>
      </w:r>
      <w:hyperlink r:id="rId16" w:history="1">
        <w:r w:rsidR="00A102E1" w:rsidRPr="000B20B6">
          <w:rPr>
            <w:rStyle w:val="Hyperlink"/>
            <w:rFonts w:ascii="Arial" w:hAnsi="Arial" w:cs="Arial"/>
          </w:rPr>
          <w:t>https://www.strategicmanagementreview.net/assets/articles/Harrigan%20and%20Wing%20Corporate%20Renewal%20SI.pdf</w:t>
        </w:r>
      </w:hyperlink>
      <w:r w:rsidR="00A102E1" w:rsidRPr="000B20B6">
        <w:rPr>
          <w:rFonts w:ascii="Arial" w:hAnsi="Arial" w:cs="Arial"/>
        </w:rPr>
        <w:t xml:space="preserve"> </w:t>
      </w:r>
    </w:p>
    <w:p w14:paraId="14FB8001" w14:textId="1433D032" w:rsidR="002C3303" w:rsidRPr="000B20B6" w:rsidRDefault="002C3303" w:rsidP="002C3303">
      <w:pPr>
        <w:jc w:val="both"/>
        <w:rPr>
          <w:rFonts w:ascii="Arial" w:hAnsi="Arial" w:cs="Arial"/>
        </w:rPr>
      </w:pPr>
      <w:proofErr w:type="spellStart"/>
      <w:r w:rsidRPr="000B20B6">
        <w:rPr>
          <w:rFonts w:ascii="Arial" w:hAnsi="Arial" w:cs="Arial"/>
        </w:rPr>
        <w:t>Ichsan</w:t>
      </w:r>
      <w:proofErr w:type="spellEnd"/>
      <w:r w:rsidRPr="000B20B6">
        <w:rPr>
          <w:rFonts w:ascii="Arial" w:hAnsi="Arial" w:cs="Arial"/>
        </w:rPr>
        <w:t xml:space="preserve">, R., </w:t>
      </w:r>
      <w:proofErr w:type="spellStart"/>
      <w:r w:rsidRPr="000B20B6">
        <w:rPr>
          <w:rFonts w:ascii="Arial" w:hAnsi="Arial" w:cs="Arial"/>
        </w:rPr>
        <w:t>Suparmin</w:t>
      </w:r>
      <w:proofErr w:type="spellEnd"/>
      <w:r w:rsidRPr="000B20B6">
        <w:rPr>
          <w:rFonts w:ascii="Arial" w:hAnsi="Arial" w:cs="Arial"/>
        </w:rPr>
        <w:t xml:space="preserve">, S., Yusuf, M., Ismal, R. and </w:t>
      </w:r>
      <w:proofErr w:type="spellStart"/>
      <w:r w:rsidRPr="000B20B6">
        <w:rPr>
          <w:rFonts w:ascii="Arial" w:hAnsi="Arial" w:cs="Arial"/>
        </w:rPr>
        <w:t>Sitompul</w:t>
      </w:r>
      <w:proofErr w:type="spellEnd"/>
      <w:r w:rsidRPr="000B20B6">
        <w:rPr>
          <w:rFonts w:ascii="Arial" w:hAnsi="Arial" w:cs="Arial"/>
        </w:rPr>
        <w:t>, S., 2021. Determinant of sharia bank's financial performance during the covid-19 pandemic. Budapest International Research and Critics Institute-Journal (BIRCI-Journal), 4(1), pp.298-309.</w:t>
      </w:r>
      <w:r w:rsidR="00A102E1" w:rsidRPr="000B20B6">
        <w:rPr>
          <w:rFonts w:ascii="Arial" w:hAnsi="Arial" w:cs="Arial"/>
        </w:rPr>
        <w:t xml:space="preserve"> </w:t>
      </w:r>
      <w:hyperlink r:id="rId17" w:history="1">
        <w:r w:rsidR="00A102E1" w:rsidRPr="000B20B6">
          <w:rPr>
            <w:rStyle w:val="Hyperlink"/>
            <w:rFonts w:ascii="Arial" w:hAnsi="Arial" w:cs="Arial"/>
          </w:rPr>
          <w:t>https://www.academia.edu/download/91766493/pdf.pdf</w:t>
        </w:r>
      </w:hyperlink>
      <w:r w:rsidR="00A102E1" w:rsidRPr="000B20B6">
        <w:rPr>
          <w:rFonts w:ascii="Arial" w:hAnsi="Arial" w:cs="Arial"/>
        </w:rPr>
        <w:t xml:space="preserve"> </w:t>
      </w:r>
    </w:p>
    <w:p w14:paraId="0F6A6FF2" w14:textId="248F59E6" w:rsidR="002C3303" w:rsidRPr="000B20B6" w:rsidRDefault="002C3303" w:rsidP="002C3303">
      <w:pPr>
        <w:jc w:val="both"/>
        <w:rPr>
          <w:rFonts w:ascii="Arial" w:hAnsi="Arial" w:cs="Arial"/>
        </w:rPr>
      </w:pPr>
      <w:r w:rsidRPr="000B20B6">
        <w:rPr>
          <w:rFonts w:ascii="Arial" w:hAnsi="Arial" w:cs="Arial"/>
        </w:rPr>
        <w:t>Kamal, S.S. and Awan, S.H., 2025. Engineering Financial Resilience: Structuring Turnaround and Maintenance Financing Using Derivatives and Structured Instruments. Advance Journal of Econometrics and Finance, 3(3), pp.143-153.</w:t>
      </w:r>
      <w:r w:rsidR="00A102E1" w:rsidRPr="000B20B6">
        <w:rPr>
          <w:rFonts w:ascii="Arial" w:hAnsi="Arial" w:cs="Arial"/>
        </w:rPr>
        <w:t xml:space="preserve"> </w:t>
      </w:r>
      <w:hyperlink r:id="rId18" w:history="1">
        <w:r w:rsidR="00A102E1" w:rsidRPr="000B20B6">
          <w:rPr>
            <w:rStyle w:val="Hyperlink"/>
            <w:rFonts w:ascii="Arial" w:hAnsi="Arial" w:cs="Arial"/>
          </w:rPr>
          <w:t>https://ajeaf.com/index.php/Journal/article/download/106/116</w:t>
        </w:r>
      </w:hyperlink>
      <w:r w:rsidR="00A102E1" w:rsidRPr="000B20B6">
        <w:rPr>
          <w:rFonts w:ascii="Arial" w:hAnsi="Arial" w:cs="Arial"/>
        </w:rPr>
        <w:t xml:space="preserve"> </w:t>
      </w:r>
    </w:p>
    <w:p w14:paraId="015558A1" w14:textId="5BB66F05" w:rsidR="002C3303" w:rsidRPr="000B20B6" w:rsidRDefault="002C3303" w:rsidP="002C3303">
      <w:pPr>
        <w:jc w:val="both"/>
        <w:rPr>
          <w:rFonts w:ascii="Arial" w:hAnsi="Arial" w:cs="Arial"/>
        </w:rPr>
      </w:pPr>
      <w:r w:rsidRPr="000B20B6">
        <w:rPr>
          <w:rFonts w:ascii="Arial" w:hAnsi="Arial" w:cs="Arial"/>
        </w:rPr>
        <w:t xml:space="preserve">Lubis, S.S., 2023. Identify Financial Ratios to Measure </w:t>
      </w:r>
      <w:proofErr w:type="gramStart"/>
      <w:r w:rsidRPr="000B20B6">
        <w:rPr>
          <w:rFonts w:ascii="Arial" w:hAnsi="Arial" w:cs="Arial"/>
        </w:rPr>
        <w:t>The</w:t>
      </w:r>
      <w:proofErr w:type="gramEnd"/>
      <w:r w:rsidRPr="000B20B6">
        <w:rPr>
          <w:rFonts w:ascii="Arial" w:hAnsi="Arial" w:cs="Arial"/>
        </w:rPr>
        <w:t xml:space="preserve"> Company's Financial Performance. Journal of Economics Business Industry, 1(1), pp.1-9.</w:t>
      </w:r>
      <w:r w:rsidR="00A102E1" w:rsidRPr="000B20B6">
        <w:rPr>
          <w:rFonts w:ascii="Arial" w:hAnsi="Arial" w:cs="Arial"/>
        </w:rPr>
        <w:t xml:space="preserve"> </w:t>
      </w:r>
      <w:hyperlink r:id="rId19" w:history="1">
        <w:r w:rsidR="00A102E1" w:rsidRPr="000B20B6">
          <w:rPr>
            <w:rStyle w:val="Hyperlink"/>
            <w:rFonts w:ascii="Arial" w:hAnsi="Arial" w:cs="Arial"/>
          </w:rPr>
          <w:t>http://jurnaljepip.com/index.php/Jebin/article/download/7/6</w:t>
        </w:r>
      </w:hyperlink>
      <w:r w:rsidR="00A102E1" w:rsidRPr="000B20B6">
        <w:rPr>
          <w:rFonts w:ascii="Arial" w:hAnsi="Arial" w:cs="Arial"/>
        </w:rPr>
        <w:t xml:space="preserve"> </w:t>
      </w:r>
    </w:p>
    <w:p w14:paraId="4235D76E" w14:textId="1D2D6BA1" w:rsidR="002C3303" w:rsidRPr="000B20B6" w:rsidRDefault="002C3303" w:rsidP="002C3303">
      <w:pPr>
        <w:jc w:val="both"/>
        <w:rPr>
          <w:rFonts w:ascii="Arial" w:hAnsi="Arial" w:cs="Arial"/>
        </w:rPr>
      </w:pPr>
      <w:proofErr w:type="spellStart"/>
      <w:r w:rsidRPr="000B20B6">
        <w:rPr>
          <w:rFonts w:ascii="Arial" w:hAnsi="Arial" w:cs="Arial"/>
        </w:rPr>
        <w:t>Mavlutova</w:t>
      </w:r>
      <w:proofErr w:type="spellEnd"/>
      <w:r w:rsidRPr="000B20B6">
        <w:rPr>
          <w:rFonts w:ascii="Arial" w:hAnsi="Arial" w:cs="Arial"/>
        </w:rPr>
        <w:t xml:space="preserve">, I., Babenko, V., Dykan, V., Prokopenko, N., </w:t>
      </w:r>
      <w:proofErr w:type="spellStart"/>
      <w:r w:rsidRPr="000B20B6">
        <w:rPr>
          <w:rFonts w:ascii="Arial" w:hAnsi="Arial" w:cs="Arial"/>
        </w:rPr>
        <w:t>Kalinichenko</w:t>
      </w:r>
      <w:proofErr w:type="spellEnd"/>
      <w:r w:rsidRPr="000B20B6">
        <w:rPr>
          <w:rFonts w:ascii="Arial" w:hAnsi="Arial" w:cs="Arial"/>
        </w:rPr>
        <w:t xml:space="preserve">, S. and </w:t>
      </w:r>
      <w:proofErr w:type="spellStart"/>
      <w:r w:rsidRPr="000B20B6">
        <w:rPr>
          <w:rFonts w:ascii="Arial" w:hAnsi="Arial" w:cs="Arial"/>
        </w:rPr>
        <w:t>Tokmakova</w:t>
      </w:r>
      <w:proofErr w:type="spellEnd"/>
      <w:r w:rsidRPr="000B20B6">
        <w:rPr>
          <w:rFonts w:ascii="Arial" w:hAnsi="Arial" w:cs="Arial"/>
        </w:rPr>
        <w:t xml:space="preserve">, I., 2021. Business restructuring as a method of </w:t>
      </w:r>
      <w:proofErr w:type="spellStart"/>
      <w:r w:rsidRPr="000B20B6">
        <w:rPr>
          <w:rFonts w:ascii="Arial" w:hAnsi="Arial" w:cs="Arial"/>
        </w:rPr>
        <w:t>strengtening</w:t>
      </w:r>
      <w:proofErr w:type="spellEnd"/>
      <w:r w:rsidRPr="000B20B6">
        <w:rPr>
          <w:rFonts w:ascii="Arial" w:hAnsi="Arial" w:cs="Arial"/>
        </w:rPr>
        <w:t xml:space="preserve"> company’s financial position. Journal of Optimization in Industrial Engineering, 14(1), pp.129-139.</w:t>
      </w:r>
      <w:r w:rsidRPr="000B20B6">
        <w:rPr>
          <w:rFonts w:ascii="Arial" w:hAnsi="Arial" w:cs="Arial"/>
        </w:rPr>
        <w:tab/>
      </w:r>
      <w:hyperlink r:id="rId20" w:history="1">
        <w:r w:rsidR="00420C3A" w:rsidRPr="000B20B6">
          <w:rPr>
            <w:rStyle w:val="Hyperlink"/>
            <w:rFonts w:ascii="Arial" w:hAnsi="Arial" w:cs="Arial"/>
          </w:rPr>
          <w:t>https://www.academia.edu/download/81063588/article_677839_cd06f5c50b09f28acf4802268302e8ba.pdf</w:t>
        </w:r>
      </w:hyperlink>
      <w:r w:rsidR="00420C3A" w:rsidRPr="000B20B6">
        <w:rPr>
          <w:rFonts w:ascii="Arial" w:hAnsi="Arial" w:cs="Arial"/>
        </w:rPr>
        <w:t xml:space="preserve"> </w:t>
      </w:r>
    </w:p>
    <w:p w14:paraId="2696609E" w14:textId="390A6CDC" w:rsidR="002C3303" w:rsidRPr="000B20B6" w:rsidRDefault="002C3303" w:rsidP="002C3303">
      <w:pPr>
        <w:jc w:val="both"/>
        <w:rPr>
          <w:rFonts w:ascii="Arial" w:hAnsi="Arial" w:cs="Arial"/>
        </w:rPr>
      </w:pPr>
      <w:r w:rsidRPr="000B20B6">
        <w:rPr>
          <w:rFonts w:ascii="Arial" w:hAnsi="Arial" w:cs="Arial"/>
        </w:rPr>
        <w:lastRenderedPageBreak/>
        <w:t>McGrath, P.J., 2025. Human resource management practices in corporate restructuring: a review and agenda for future research. Personnel Review, 54(5), pp.1316-1337.</w:t>
      </w:r>
      <w:r w:rsidR="00420C3A" w:rsidRPr="000B20B6">
        <w:rPr>
          <w:rFonts w:ascii="Arial" w:hAnsi="Arial" w:cs="Arial"/>
        </w:rPr>
        <w:t xml:space="preserve"> </w:t>
      </w:r>
      <w:hyperlink r:id="rId21" w:history="1">
        <w:r w:rsidR="00420C3A" w:rsidRPr="000B20B6">
          <w:rPr>
            <w:rStyle w:val="Hyperlink"/>
            <w:rFonts w:ascii="Arial" w:hAnsi="Arial" w:cs="Arial"/>
          </w:rPr>
          <w:t>https://www.emerald.com/insight/content/doi/10.1108/PR-02-2024-0159/full/pdf</w:t>
        </w:r>
      </w:hyperlink>
      <w:r w:rsidR="00420C3A" w:rsidRPr="000B20B6">
        <w:rPr>
          <w:rFonts w:ascii="Arial" w:hAnsi="Arial" w:cs="Arial"/>
        </w:rPr>
        <w:t xml:space="preserve"> </w:t>
      </w:r>
    </w:p>
    <w:p w14:paraId="7205618A" w14:textId="54DA8CA1" w:rsidR="002C3303" w:rsidRPr="000B20B6" w:rsidRDefault="002C3303" w:rsidP="002C3303">
      <w:pPr>
        <w:jc w:val="both"/>
        <w:rPr>
          <w:rFonts w:ascii="Arial" w:hAnsi="Arial" w:cs="Arial"/>
        </w:rPr>
      </w:pPr>
      <w:r w:rsidRPr="000B20B6">
        <w:rPr>
          <w:rFonts w:ascii="Arial" w:hAnsi="Arial" w:cs="Arial"/>
        </w:rPr>
        <w:t>Nukala, V.B. and Prasada Rao, S.S., 2021. Role of debt-to-equity ratio in project investment valuation, assessing risk and return in capital markets. Future Business Journal, 7(1), p.13.</w:t>
      </w:r>
      <w:r w:rsidR="00420C3A" w:rsidRPr="000B20B6">
        <w:rPr>
          <w:rFonts w:ascii="Arial" w:hAnsi="Arial" w:cs="Arial"/>
        </w:rPr>
        <w:t xml:space="preserve"> </w:t>
      </w:r>
      <w:hyperlink r:id="rId22" w:history="1">
        <w:r w:rsidR="00420C3A" w:rsidRPr="000B20B6">
          <w:rPr>
            <w:rStyle w:val="Hyperlink"/>
            <w:rFonts w:ascii="Arial" w:hAnsi="Arial" w:cs="Arial"/>
          </w:rPr>
          <w:t>https://link.springer.com/content/pdf/10.1186/s43093-021-00058-9.pdf</w:t>
        </w:r>
      </w:hyperlink>
      <w:r w:rsidR="00420C3A" w:rsidRPr="000B20B6">
        <w:rPr>
          <w:rFonts w:ascii="Arial" w:hAnsi="Arial" w:cs="Arial"/>
        </w:rPr>
        <w:t xml:space="preserve"> </w:t>
      </w:r>
    </w:p>
    <w:p w14:paraId="537BEAA9" w14:textId="0E4AB64C" w:rsidR="002C3303" w:rsidRPr="000B20B6" w:rsidRDefault="002C3303" w:rsidP="002C3303">
      <w:pPr>
        <w:jc w:val="both"/>
        <w:rPr>
          <w:rFonts w:ascii="Arial" w:hAnsi="Arial" w:cs="Arial"/>
        </w:rPr>
      </w:pPr>
      <w:proofErr w:type="spellStart"/>
      <w:r w:rsidRPr="000B20B6">
        <w:rPr>
          <w:rFonts w:ascii="Arial" w:hAnsi="Arial" w:cs="Arial"/>
        </w:rPr>
        <w:t>Oyewo</w:t>
      </w:r>
      <w:proofErr w:type="spellEnd"/>
      <w:r w:rsidRPr="000B20B6">
        <w:rPr>
          <w:rFonts w:ascii="Arial" w:hAnsi="Arial" w:cs="Arial"/>
        </w:rPr>
        <w:t xml:space="preserve">, B., Tawiah, V. and </w:t>
      </w:r>
      <w:proofErr w:type="spellStart"/>
      <w:r w:rsidRPr="000B20B6">
        <w:rPr>
          <w:rFonts w:ascii="Arial" w:hAnsi="Arial" w:cs="Arial"/>
        </w:rPr>
        <w:t>Alta’any</w:t>
      </w:r>
      <w:proofErr w:type="spellEnd"/>
      <w:r w:rsidRPr="000B20B6">
        <w:rPr>
          <w:rFonts w:ascii="Arial" w:hAnsi="Arial" w:cs="Arial"/>
        </w:rPr>
        <w:t>, M., 2025. Determinants and impact of strategy-driven manufacturing accounting techniques on organisational competitiveness: a structural equation modelling approach. Journal of Accounting &amp; Organizational Change, 21(1), pp.114-142.</w:t>
      </w:r>
      <w:r w:rsidR="00420C3A" w:rsidRPr="000B20B6">
        <w:rPr>
          <w:rFonts w:ascii="Arial" w:hAnsi="Arial" w:cs="Arial"/>
        </w:rPr>
        <w:t xml:space="preserve"> </w:t>
      </w:r>
      <w:hyperlink r:id="rId23" w:history="1">
        <w:r w:rsidR="00420C3A" w:rsidRPr="000B20B6">
          <w:rPr>
            <w:rStyle w:val="Hyperlink"/>
            <w:rFonts w:ascii="Arial" w:hAnsi="Arial" w:cs="Arial"/>
          </w:rPr>
          <w:t>https://www.emerald.com/insight/content/doi/10.1108/JAOC-10-2022-0165</w:t>
        </w:r>
      </w:hyperlink>
      <w:r w:rsidR="00420C3A" w:rsidRPr="000B20B6">
        <w:rPr>
          <w:rFonts w:ascii="Arial" w:hAnsi="Arial" w:cs="Arial"/>
        </w:rPr>
        <w:t xml:space="preserve"> </w:t>
      </w:r>
    </w:p>
    <w:p w14:paraId="53E6353A" w14:textId="557CA8B0" w:rsidR="002C3303" w:rsidRPr="000B20B6" w:rsidRDefault="002C3303" w:rsidP="002C3303">
      <w:pPr>
        <w:jc w:val="both"/>
        <w:rPr>
          <w:rFonts w:ascii="Arial" w:hAnsi="Arial" w:cs="Arial"/>
        </w:rPr>
      </w:pPr>
      <w:proofErr w:type="spellStart"/>
      <w:r w:rsidRPr="000B20B6">
        <w:rPr>
          <w:rFonts w:ascii="Arial" w:hAnsi="Arial" w:cs="Arial"/>
        </w:rPr>
        <w:t>Potharla</w:t>
      </w:r>
      <w:proofErr w:type="spellEnd"/>
      <w:r w:rsidRPr="000B20B6">
        <w:rPr>
          <w:rFonts w:ascii="Arial" w:hAnsi="Arial" w:cs="Arial"/>
        </w:rPr>
        <w:t>, S., 2025. From Debt to Divestiture: How Indian and Global Firms Reshaped through Corporate Restructuring. Available at SSRN 5348941.</w:t>
      </w:r>
      <w:r w:rsidR="00420C3A" w:rsidRPr="000B20B6">
        <w:rPr>
          <w:rFonts w:ascii="Arial" w:hAnsi="Arial" w:cs="Arial"/>
        </w:rPr>
        <w:t xml:space="preserve"> </w:t>
      </w:r>
      <w:hyperlink r:id="rId24" w:history="1">
        <w:r w:rsidR="00420C3A" w:rsidRPr="000B20B6">
          <w:rPr>
            <w:rStyle w:val="Hyperlink"/>
            <w:rFonts w:ascii="Arial" w:hAnsi="Arial" w:cs="Arial"/>
          </w:rPr>
          <w:t>https://papers.ssrn.com/sol3/Delivery.cfm?abstractid=5348941</w:t>
        </w:r>
      </w:hyperlink>
      <w:r w:rsidR="00420C3A" w:rsidRPr="000B20B6">
        <w:rPr>
          <w:rFonts w:ascii="Arial" w:hAnsi="Arial" w:cs="Arial"/>
        </w:rPr>
        <w:t xml:space="preserve"> </w:t>
      </w:r>
    </w:p>
    <w:p w14:paraId="4194D81F" w14:textId="0D8ADDEA" w:rsidR="002C3303" w:rsidRPr="000B20B6" w:rsidRDefault="002C3303" w:rsidP="002C3303">
      <w:pPr>
        <w:jc w:val="both"/>
        <w:rPr>
          <w:rFonts w:ascii="Arial" w:hAnsi="Arial" w:cs="Arial"/>
        </w:rPr>
      </w:pPr>
      <w:r w:rsidRPr="000B20B6">
        <w:rPr>
          <w:rFonts w:ascii="Arial" w:hAnsi="Arial" w:cs="Arial"/>
        </w:rPr>
        <w:t>Seymour, J.M. and Schwarcz, S.L., 2021. Corporate restructuring under relative and absolute priority default rules: a comparative assessment. U. Ill. L. Rev., p.1.</w:t>
      </w:r>
      <w:r w:rsidR="00420C3A" w:rsidRPr="000B20B6">
        <w:rPr>
          <w:rFonts w:ascii="Arial" w:hAnsi="Arial" w:cs="Arial"/>
        </w:rPr>
        <w:t xml:space="preserve"> </w:t>
      </w:r>
      <w:hyperlink r:id="rId25" w:history="1">
        <w:r w:rsidR="00420C3A" w:rsidRPr="000B20B6">
          <w:rPr>
            <w:rStyle w:val="Hyperlink"/>
            <w:rFonts w:ascii="Arial" w:hAnsi="Arial" w:cs="Arial"/>
          </w:rPr>
          <w:t>https://scholarship.law.duke.edu/cgi/viewcontent.cgi?article=6817&amp;context=faculty_scholarship</w:t>
        </w:r>
      </w:hyperlink>
      <w:r w:rsidR="00420C3A" w:rsidRPr="000B20B6">
        <w:rPr>
          <w:rFonts w:ascii="Arial" w:hAnsi="Arial" w:cs="Arial"/>
        </w:rPr>
        <w:t xml:space="preserve"> </w:t>
      </w:r>
    </w:p>
    <w:p w14:paraId="0634063D" w14:textId="2C6F1EA7" w:rsidR="002C3303" w:rsidRPr="000B20B6" w:rsidRDefault="002C3303" w:rsidP="002C3303">
      <w:pPr>
        <w:jc w:val="both"/>
        <w:rPr>
          <w:rFonts w:ascii="Arial" w:hAnsi="Arial" w:cs="Arial"/>
        </w:rPr>
      </w:pPr>
      <w:r w:rsidRPr="000B20B6">
        <w:rPr>
          <w:rFonts w:ascii="Arial" w:hAnsi="Arial" w:cs="Arial"/>
        </w:rPr>
        <w:t xml:space="preserve">Shurie, J.B. and </w:t>
      </w:r>
      <w:proofErr w:type="spellStart"/>
      <w:r w:rsidRPr="000B20B6">
        <w:rPr>
          <w:rFonts w:ascii="Arial" w:hAnsi="Arial" w:cs="Arial"/>
        </w:rPr>
        <w:t>Cheluget</w:t>
      </w:r>
      <w:proofErr w:type="spellEnd"/>
      <w:r w:rsidRPr="000B20B6">
        <w:rPr>
          <w:rFonts w:ascii="Arial" w:hAnsi="Arial" w:cs="Arial"/>
        </w:rPr>
        <w:t>, J., 2022. Working capital management and financial performance of medical insurance companies in Kenya. International Academic Journal of Economics and Finance, 3 (7), 437, 452(2).</w:t>
      </w:r>
      <w:r w:rsidR="00420C3A" w:rsidRPr="000B20B6">
        <w:rPr>
          <w:rFonts w:ascii="Arial" w:hAnsi="Arial" w:cs="Arial"/>
        </w:rPr>
        <w:t xml:space="preserve"> </w:t>
      </w:r>
      <w:hyperlink r:id="rId26" w:history="1">
        <w:r w:rsidR="00420C3A" w:rsidRPr="000B20B6">
          <w:rPr>
            <w:rStyle w:val="Hyperlink"/>
            <w:rFonts w:ascii="Arial" w:hAnsi="Arial" w:cs="Arial"/>
          </w:rPr>
          <w:t>https://mail.iajournals.org/articles/iajef_v3_i7_437_452.pdf</w:t>
        </w:r>
      </w:hyperlink>
      <w:r w:rsidR="00420C3A" w:rsidRPr="000B20B6">
        <w:rPr>
          <w:rFonts w:ascii="Arial" w:hAnsi="Arial" w:cs="Arial"/>
        </w:rPr>
        <w:t xml:space="preserve"> </w:t>
      </w:r>
    </w:p>
    <w:p w14:paraId="14E017FF" w14:textId="696EB2E9" w:rsidR="002C3303" w:rsidRPr="000B20B6" w:rsidRDefault="002C3303" w:rsidP="002C3303">
      <w:pPr>
        <w:jc w:val="both"/>
        <w:rPr>
          <w:rFonts w:ascii="Arial" w:hAnsi="Arial" w:cs="Arial"/>
        </w:rPr>
      </w:pPr>
      <w:r w:rsidRPr="000B20B6">
        <w:rPr>
          <w:rFonts w:ascii="Arial" w:hAnsi="Arial" w:cs="Arial"/>
        </w:rPr>
        <w:t xml:space="preserve">Stoiber, K., </w:t>
      </w:r>
      <w:proofErr w:type="spellStart"/>
      <w:r w:rsidRPr="000B20B6">
        <w:rPr>
          <w:rFonts w:ascii="Arial" w:hAnsi="Arial" w:cs="Arial"/>
        </w:rPr>
        <w:t>Degischer</w:t>
      </w:r>
      <w:proofErr w:type="spellEnd"/>
      <w:r w:rsidRPr="000B20B6">
        <w:rPr>
          <w:rFonts w:ascii="Arial" w:hAnsi="Arial" w:cs="Arial"/>
        </w:rPr>
        <w:t xml:space="preserve">, D., Hautz, J. and </w:t>
      </w:r>
      <w:proofErr w:type="spellStart"/>
      <w:r w:rsidRPr="000B20B6">
        <w:rPr>
          <w:rFonts w:ascii="Arial" w:hAnsi="Arial" w:cs="Arial"/>
        </w:rPr>
        <w:t>Matzler</w:t>
      </w:r>
      <w:proofErr w:type="spellEnd"/>
      <w:r w:rsidRPr="000B20B6">
        <w:rPr>
          <w:rFonts w:ascii="Arial" w:hAnsi="Arial" w:cs="Arial"/>
        </w:rPr>
        <w:t>, K., 2025. Open Strategy as Turnaround: The Impact of Openness in Restructuring Under Financial Distress. Academy of Management Perspectives, 39(2), pp.250-273.</w:t>
      </w:r>
      <w:r w:rsidR="00420C3A" w:rsidRPr="000B20B6">
        <w:rPr>
          <w:rFonts w:ascii="Arial" w:hAnsi="Arial" w:cs="Arial"/>
        </w:rPr>
        <w:t xml:space="preserve"> </w:t>
      </w:r>
      <w:hyperlink r:id="rId27" w:history="1">
        <w:r w:rsidR="00420C3A" w:rsidRPr="000B20B6">
          <w:rPr>
            <w:rStyle w:val="Hyperlink"/>
            <w:rFonts w:ascii="Arial" w:hAnsi="Arial" w:cs="Arial"/>
          </w:rPr>
          <w:t>https://journals.aom.org/doi/abs/10.5465/amp.2023.0363</w:t>
        </w:r>
      </w:hyperlink>
      <w:r w:rsidR="00420C3A" w:rsidRPr="000B20B6">
        <w:rPr>
          <w:rFonts w:ascii="Arial" w:hAnsi="Arial" w:cs="Arial"/>
        </w:rPr>
        <w:t xml:space="preserve"> </w:t>
      </w:r>
    </w:p>
    <w:p w14:paraId="74055033" w14:textId="191B6986" w:rsidR="002C3303" w:rsidRPr="000B20B6" w:rsidRDefault="002C3303" w:rsidP="002C3303">
      <w:pPr>
        <w:jc w:val="both"/>
        <w:rPr>
          <w:rFonts w:ascii="Arial" w:hAnsi="Arial" w:cs="Arial"/>
        </w:rPr>
      </w:pPr>
      <w:r w:rsidRPr="000B20B6">
        <w:rPr>
          <w:rFonts w:ascii="Arial" w:hAnsi="Arial" w:cs="Arial"/>
        </w:rPr>
        <w:t xml:space="preserve">Tudose, M.B., Rusu, V.D. and Avasilcai, S., 2022. Financial performance–determinants and interdependencies between measurement indicators. Business, Management and </w:t>
      </w:r>
      <w:r w:rsidRPr="000B20B6">
        <w:rPr>
          <w:rFonts w:ascii="Arial" w:hAnsi="Arial" w:cs="Arial"/>
        </w:rPr>
        <w:lastRenderedPageBreak/>
        <w:t>Economics Engineering, 20(1), pp.119-138.</w:t>
      </w:r>
      <w:r w:rsidR="00DB781F" w:rsidRPr="000B20B6">
        <w:rPr>
          <w:rFonts w:ascii="Arial" w:hAnsi="Arial" w:cs="Arial"/>
        </w:rPr>
        <w:t xml:space="preserve"> </w:t>
      </w:r>
      <w:hyperlink r:id="rId28" w:history="1">
        <w:r w:rsidR="00DB781F" w:rsidRPr="000B20B6">
          <w:rPr>
            <w:rStyle w:val="Hyperlink"/>
            <w:rFonts w:ascii="Arial" w:hAnsi="Arial" w:cs="Arial"/>
          </w:rPr>
          <w:t>https://journals.vilniustech.lt/index.php/BMEE/article/download/16732/11154</w:t>
        </w:r>
      </w:hyperlink>
      <w:r w:rsidR="00DB781F" w:rsidRPr="000B20B6">
        <w:rPr>
          <w:rFonts w:ascii="Arial" w:hAnsi="Arial" w:cs="Arial"/>
        </w:rPr>
        <w:t xml:space="preserve"> </w:t>
      </w:r>
    </w:p>
    <w:p w14:paraId="0AE2A812" w14:textId="571B7477" w:rsidR="002C3303" w:rsidRPr="000B20B6" w:rsidRDefault="002C3303" w:rsidP="002C3303">
      <w:pPr>
        <w:jc w:val="both"/>
        <w:rPr>
          <w:rFonts w:ascii="Arial" w:hAnsi="Arial" w:cs="Arial"/>
        </w:rPr>
      </w:pPr>
      <w:proofErr w:type="spellStart"/>
      <w:r w:rsidRPr="000B20B6">
        <w:rPr>
          <w:rFonts w:ascii="Arial" w:hAnsi="Arial" w:cs="Arial"/>
        </w:rPr>
        <w:t>Wijethilake</w:t>
      </w:r>
      <w:proofErr w:type="spellEnd"/>
      <w:r w:rsidRPr="000B20B6">
        <w:rPr>
          <w:rFonts w:ascii="Arial" w:hAnsi="Arial" w:cs="Arial"/>
        </w:rPr>
        <w:t xml:space="preserve">, C., </w:t>
      </w:r>
      <w:proofErr w:type="spellStart"/>
      <w:r w:rsidRPr="000B20B6">
        <w:rPr>
          <w:rFonts w:ascii="Arial" w:hAnsi="Arial" w:cs="Arial"/>
        </w:rPr>
        <w:t>Upadhaya</w:t>
      </w:r>
      <w:proofErr w:type="spellEnd"/>
      <w:r w:rsidRPr="000B20B6">
        <w:rPr>
          <w:rFonts w:ascii="Arial" w:hAnsi="Arial" w:cs="Arial"/>
        </w:rPr>
        <w:t>, B. and Lama, T., 2023. The role of organisational culture in organisational change towards sustainability: evidence from the garment manufacturing industry. Production Planning &amp; Control, 34(3), pp.275-294.</w:t>
      </w:r>
      <w:r w:rsidR="00DB781F" w:rsidRPr="000B20B6">
        <w:rPr>
          <w:rFonts w:ascii="Arial" w:hAnsi="Arial" w:cs="Arial"/>
        </w:rPr>
        <w:t xml:space="preserve"> </w:t>
      </w:r>
      <w:hyperlink r:id="rId29" w:history="1">
        <w:r w:rsidR="00DB781F" w:rsidRPr="000B20B6">
          <w:rPr>
            <w:rStyle w:val="Hyperlink"/>
            <w:rFonts w:ascii="Arial" w:hAnsi="Arial" w:cs="Arial"/>
          </w:rPr>
          <w:t>https://www.tandfonline.com/doi/pdf/10.1080/09537287.2021.1913524</w:t>
        </w:r>
      </w:hyperlink>
      <w:r w:rsidR="00DB781F" w:rsidRPr="000B20B6">
        <w:rPr>
          <w:rFonts w:ascii="Arial" w:hAnsi="Arial" w:cs="Arial"/>
        </w:rPr>
        <w:t xml:space="preserve"> </w:t>
      </w:r>
    </w:p>
    <w:p w14:paraId="3456719D" w14:textId="6802B930" w:rsidR="002C3303" w:rsidRPr="000B20B6" w:rsidRDefault="002C3303" w:rsidP="002C3303">
      <w:pPr>
        <w:jc w:val="both"/>
        <w:rPr>
          <w:rFonts w:ascii="Arial" w:hAnsi="Arial" w:cs="Arial"/>
        </w:rPr>
      </w:pPr>
      <w:r w:rsidRPr="000B20B6">
        <w:rPr>
          <w:rFonts w:ascii="Arial" w:hAnsi="Arial" w:cs="Arial"/>
        </w:rPr>
        <w:t xml:space="preserve">Xu, G., Dong, W. and Hu, S., 2022. Is political connection a panacea for corporate </w:t>
      </w:r>
      <w:proofErr w:type="gramStart"/>
      <w:r w:rsidRPr="000B20B6">
        <w:rPr>
          <w:rFonts w:ascii="Arial" w:hAnsi="Arial" w:cs="Arial"/>
        </w:rPr>
        <w:t>turnaround?—</w:t>
      </w:r>
      <w:proofErr w:type="gramEnd"/>
      <w:r w:rsidRPr="000B20B6">
        <w:rPr>
          <w:rFonts w:ascii="Arial" w:hAnsi="Arial" w:cs="Arial"/>
        </w:rPr>
        <w:t>An analysis based on the resource-based view during the global financial crisis. Asia-Pacific Journal of Accounting &amp; Economics, 29(3), pp.743-760.</w:t>
      </w:r>
      <w:r w:rsidR="00DB781F" w:rsidRPr="000B20B6">
        <w:rPr>
          <w:rFonts w:ascii="Arial" w:hAnsi="Arial" w:cs="Arial"/>
        </w:rPr>
        <w:t xml:space="preserve"> </w:t>
      </w:r>
      <w:hyperlink r:id="rId30" w:history="1">
        <w:r w:rsidR="00DB781F" w:rsidRPr="000B20B6">
          <w:rPr>
            <w:rStyle w:val="Hyperlink"/>
            <w:rFonts w:ascii="Arial" w:hAnsi="Arial" w:cs="Arial"/>
          </w:rPr>
          <w:t>https://www.tandfonline.com/doi/pdf/10.1080/16081625.2020.1789480</w:t>
        </w:r>
      </w:hyperlink>
      <w:r w:rsidR="00DB781F" w:rsidRPr="000B20B6">
        <w:rPr>
          <w:rFonts w:ascii="Arial" w:hAnsi="Arial" w:cs="Arial"/>
        </w:rPr>
        <w:t xml:space="preserve"> </w:t>
      </w:r>
    </w:p>
    <w:p w14:paraId="73515AEA" w14:textId="534319EB" w:rsidR="002C3303" w:rsidRPr="000B20B6" w:rsidRDefault="002C3303" w:rsidP="002C3303">
      <w:pPr>
        <w:jc w:val="both"/>
        <w:rPr>
          <w:rFonts w:ascii="Arial" w:hAnsi="Arial" w:cs="Arial"/>
        </w:rPr>
      </w:pPr>
      <w:proofErr w:type="spellStart"/>
      <w:r w:rsidRPr="000B20B6">
        <w:rPr>
          <w:rFonts w:ascii="Arial" w:hAnsi="Arial" w:cs="Arial"/>
        </w:rPr>
        <w:t>Ylä</w:t>
      </w:r>
      <w:proofErr w:type="spellEnd"/>
      <w:r w:rsidRPr="000B20B6">
        <w:rPr>
          <w:rFonts w:ascii="Arial" w:hAnsi="Arial" w:cs="Arial"/>
        </w:rPr>
        <w:t xml:space="preserve">-Kujala, A., Kedziora, D., Metso, L., </w:t>
      </w:r>
      <w:proofErr w:type="spellStart"/>
      <w:r w:rsidRPr="000B20B6">
        <w:rPr>
          <w:rFonts w:ascii="Arial" w:hAnsi="Arial" w:cs="Arial"/>
        </w:rPr>
        <w:t>Kärri</w:t>
      </w:r>
      <w:proofErr w:type="spellEnd"/>
      <w:r w:rsidRPr="000B20B6">
        <w:rPr>
          <w:rFonts w:ascii="Arial" w:hAnsi="Arial" w:cs="Arial"/>
        </w:rPr>
        <w:t>, T., Happonen, A. and Piotrowicz, W., 2023. Robotic process automation deployments: a step-by-step method to investment appraisal. Business Process Management Journal, 29(8), pp.163-187.</w:t>
      </w:r>
      <w:r w:rsidR="00DB781F" w:rsidRPr="000B20B6">
        <w:rPr>
          <w:rFonts w:ascii="Arial" w:hAnsi="Arial" w:cs="Arial"/>
        </w:rPr>
        <w:t xml:space="preserve"> </w:t>
      </w:r>
      <w:hyperlink r:id="rId31" w:history="1">
        <w:r w:rsidR="00DB781F" w:rsidRPr="000B20B6">
          <w:rPr>
            <w:rStyle w:val="Hyperlink"/>
            <w:rFonts w:ascii="Arial" w:hAnsi="Arial" w:cs="Arial"/>
          </w:rPr>
          <w:t>https://www.emerald.com/insight/content/doi/10.1108/bpmj-08-2022-0418/full/pdf</w:t>
        </w:r>
      </w:hyperlink>
      <w:r w:rsidR="00DB781F" w:rsidRPr="000B20B6">
        <w:rPr>
          <w:rFonts w:ascii="Arial" w:hAnsi="Arial" w:cs="Arial"/>
        </w:rPr>
        <w:t xml:space="preserve"> </w:t>
      </w:r>
    </w:p>
    <w:p w14:paraId="1319BCC5" w14:textId="1B18257D" w:rsidR="002C3303" w:rsidRPr="000B20B6" w:rsidRDefault="002C3303" w:rsidP="002C3303">
      <w:pPr>
        <w:jc w:val="both"/>
        <w:rPr>
          <w:rFonts w:ascii="Arial" w:hAnsi="Arial" w:cs="Arial"/>
        </w:rPr>
      </w:pPr>
      <w:r w:rsidRPr="000B20B6">
        <w:rPr>
          <w:rFonts w:ascii="Arial" w:hAnsi="Arial" w:cs="Arial"/>
        </w:rPr>
        <w:t xml:space="preserve">Zheng, X., Zhou, Y. and Iqbal, S., 2022. Working capital management of SMEs in COVID-19: role of managerial personality traits and overconfidence </w:t>
      </w:r>
      <w:proofErr w:type="spellStart"/>
      <w:r w:rsidRPr="000B20B6">
        <w:rPr>
          <w:rFonts w:ascii="Arial" w:hAnsi="Arial" w:cs="Arial"/>
        </w:rPr>
        <w:t>behavior</w:t>
      </w:r>
      <w:proofErr w:type="spellEnd"/>
      <w:r w:rsidRPr="000B20B6">
        <w:rPr>
          <w:rFonts w:ascii="Arial" w:hAnsi="Arial" w:cs="Arial"/>
        </w:rPr>
        <w:t>. Economic Analysis and Policy, 76, pp.439-451.</w:t>
      </w:r>
      <w:r w:rsidR="00DB781F" w:rsidRPr="000B20B6">
        <w:rPr>
          <w:rFonts w:ascii="Arial" w:hAnsi="Arial" w:cs="Arial"/>
        </w:rPr>
        <w:t xml:space="preserve"> </w:t>
      </w:r>
      <w:hyperlink r:id="rId32" w:history="1">
        <w:r w:rsidR="00DB781F" w:rsidRPr="000B20B6">
          <w:rPr>
            <w:rStyle w:val="Hyperlink"/>
            <w:rFonts w:ascii="Arial" w:hAnsi="Arial" w:cs="Arial"/>
          </w:rPr>
          <w:t>https://pmc.ncbi.nlm.nih.gov/articles/PMC9381944/pdf/main.pdf</w:t>
        </w:r>
      </w:hyperlink>
      <w:r w:rsidR="00DB781F" w:rsidRPr="000B20B6">
        <w:rPr>
          <w:rFonts w:ascii="Arial" w:hAnsi="Arial" w:cs="Arial"/>
        </w:rPr>
        <w:t xml:space="preserve"> </w:t>
      </w:r>
    </w:p>
    <w:p w14:paraId="5D6B8B7C" w14:textId="77777777" w:rsidR="002C3303" w:rsidRPr="000B20B6" w:rsidRDefault="002C3303" w:rsidP="002C3303">
      <w:pPr>
        <w:spacing w:line="259" w:lineRule="auto"/>
        <w:rPr>
          <w:rFonts w:ascii="Arial" w:hAnsi="Arial" w:cs="Arial"/>
        </w:rPr>
      </w:pPr>
      <w:r w:rsidRPr="000B20B6">
        <w:rPr>
          <w:rFonts w:ascii="Arial" w:hAnsi="Arial" w:cs="Arial"/>
        </w:rPr>
        <w:br w:type="page"/>
      </w:r>
    </w:p>
    <w:p w14:paraId="01D2FD8D" w14:textId="77777777" w:rsidR="002C3303" w:rsidRPr="000B20B6" w:rsidRDefault="002C3303" w:rsidP="002C3303">
      <w:pPr>
        <w:pStyle w:val="Heading1"/>
        <w:rPr>
          <w:rFonts w:ascii="Arial" w:hAnsi="Arial" w:cs="Arial"/>
        </w:rPr>
      </w:pPr>
      <w:bookmarkStart w:id="47" w:name="_Toc214840887"/>
      <w:r w:rsidRPr="000B20B6">
        <w:rPr>
          <w:rFonts w:ascii="Arial" w:hAnsi="Arial" w:cs="Arial"/>
        </w:rPr>
        <w:lastRenderedPageBreak/>
        <w:t>8. Appendix</w:t>
      </w:r>
      <w:bookmarkEnd w:id="47"/>
    </w:p>
    <w:p w14:paraId="1655B41C" w14:textId="77777777" w:rsidR="002C3303" w:rsidRPr="000B20B6" w:rsidRDefault="002C3303" w:rsidP="002C3303">
      <w:pPr>
        <w:jc w:val="center"/>
        <w:rPr>
          <w:rFonts w:ascii="Arial" w:hAnsi="Arial" w:cs="Arial"/>
        </w:rPr>
      </w:pPr>
      <w:r w:rsidRPr="000B20B6">
        <w:rPr>
          <w:rFonts w:ascii="Arial" w:hAnsi="Arial" w:cs="Arial"/>
          <w:noProof/>
        </w:rPr>
        <w:drawing>
          <wp:inline distT="0" distB="0" distL="0" distR="0" wp14:anchorId="73CEC035" wp14:editId="5DB0A34B">
            <wp:extent cx="5010150" cy="2905459"/>
            <wp:effectExtent l="76200" t="76200" r="133350"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16872" cy="29093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EB5E41" w14:textId="77777777" w:rsidR="002C3303" w:rsidRPr="000B20B6" w:rsidRDefault="002C3303" w:rsidP="002C3303">
      <w:pPr>
        <w:jc w:val="center"/>
        <w:rPr>
          <w:rFonts w:ascii="Arial" w:hAnsi="Arial" w:cs="Arial"/>
          <w:b/>
          <w:bCs/>
        </w:rPr>
      </w:pPr>
      <w:r w:rsidRPr="000B20B6">
        <w:rPr>
          <w:rFonts w:ascii="Arial" w:hAnsi="Arial" w:cs="Arial"/>
          <w:b/>
          <w:bCs/>
        </w:rPr>
        <w:t>Figure 1: Investment Appraisal</w:t>
      </w:r>
    </w:p>
    <w:p w14:paraId="05255370" w14:textId="57FA9421" w:rsidR="00CB5668" w:rsidRPr="000B20B6" w:rsidRDefault="00CB5668" w:rsidP="00CB5668">
      <w:pPr>
        <w:jc w:val="center"/>
        <w:rPr>
          <w:rFonts w:ascii="Arial" w:hAnsi="Arial" w:cs="Arial"/>
        </w:rPr>
      </w:pPr>
      <w:r w:rsidRPr="000B20B6">
        <w:rPr>
          <w:rFonts w:ascii="Arial" w:hAnsi="Arial" w:cs="Arial"/>
        </w:rPr>
        <w:t>(Source: Excel)</w:t>
      </w:r>
    </w:p>
    <w:p w14:paraId="108BCA6B" w14:textId="77777777" w:rsidR="002C3303" w:rsidRPr="000B20B6" w:rsidRDefault="002C3303" w:rsidP="002C3303">
      <w:pPr>
        <w:jc w:val="center"/>
        <w:rPr>
          <w:rFonts w:ascii="Arial" w:hAnsi="Arial" w:cs="Arial"/>
        </w:rPr>
      </w:pPr>
      <w:r w:rsidRPr="000B20B6">
        <w:rPr>
          <w:rFonts w:ascii="Arial" w:hAnsi="Arial" w:cs="Arial"/>
          <w:noProof/>
        </w:rPr>
        <w:drawing>
          <wp:inline distT="0" distB="0" distL="0" distR="0" wp14:anchorId="5C755FC4" wp14:editId="1DE7D525">
            <wp:extent cx="5019675" cy="1548269"/>
            <wp:effectExtent l="76200" t="76200" r="123825" b="128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30268" cy="15515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E12670" w14:textId="77777777" w:rsidR="002C3303" w:rsidRPr="000B20B6" w:rsidRDefault="002C3303" w:rsidP="002C3303">
      <w:pPr>
        <w:jc w:val="center"/>
        <w:rPr>
          <w:rFonts w:ascii="Arial" w:hAnsi="Arial" w:cs="Arial"/>
          <w:b/>
          <w:bCs/>
        </w:rPr>
      </w:pPr>
      <w:r w:rsidRPr="000B20B6">
        <w:rPr>
          <w:rFonts w:ascii="Arial" w:hAnsi="Arial" w:cs="Arial"/>
          <w:b/>
          <w:bCs/>
        </w:rPr>
        <w:t>Figure 2: Altman Z</w:t>
      </w:r>
    </w:p>
    <w:p w14:paraId="3331BC2D" w14:textId="77777777" w:rsidR="00CB5668" w:rsidRPr="000B20B6" w:rsidRDefault="00CB5668" w:rsidP="00CB5668">
      <w:pPr>
        <w:jc w:val="center"/>
        <w:rPr>
          <w:rFonts w:ascii="Arial" w:hAnsi="Arial" w:cs="Arial"/>
        </w:rPr>
      </w:pPr>
      <w:r w:rsidRPr="000B20B6">
        <w:rPr>
          <w:rFonts w:ascii="Arial" w:hAnsi="Arial" w:cs="Arial"/>
        </w:rPr>
        <w:t>(Source: Excel)</w:t>
      </w:r>
    </w:p>
    <w:p w14:paraId="70CC0F5D" w14:textId="175650C9" w:rsidR="00CB5668" w:rsidRPr="000B20B6" w:rsidRDefault="00F20B09" w:rsidP="00F20B09">
      <w:pPr>
        <w:jc w:val="center"/>
        <w:rPr>
          <w:rFonts w:ascii="Arial" w:hAnsi="Arial" w:cs="Arial"/>
          <w:b/>
          <w:bCs/>
        </w:rPr>
      </w:pPr>
      <w:r w:rsidRPr="000B20B6">
        <w:rPr>
          <w:rFonts w:ascii="Arial" w:hAnsi="Arial" w:cs="Arial"/>
          <w:b/>
          <w:bCs/>
          <w:noProof/>
        </w:rPr>
        <w:lastRenderedPageBreak/>
        <w:drawing>
          <wp:inline distT="0" distB="0" distL="0" distR="0" wp14:anchorId="735CDE4C" wp14:editId="2C45AAE9">
            <wp:extent cx="4889500" cy="2981325"/>
            <wp:effectExtent l="76200" t="76200" r="139700" b="142875"/>
            <wp:docPr id="11328360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89500" cy="2981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0AC65C" w14:textId="115148E6" w:rsidR="00CB5668" w:rsidRPr="007D7B64" w:rsidRDefault="00CB5668" w:rsidP="002C3303">
      <w:pPr>
        <w:jc w:val="center"/>
        <w:rPr>
          <w:rFonts w:ascii="Arial" w:hAnsi="Arial" w:cs="Arial"/>
          <w:b/>
          <w:bCs/>
          <w:color w:val="auto"/>
        </w:rPr>
      </w:pPr>
      <w:r w:rsidRPr="007D7B64">
        <w:rPr>
          <w:rFonts w:ascii="Arial" w:hAnsi="Arial" w:cs="Arial"/>
          <w:b/>
          <w:bCs/>
          <w:color w:val="auto"/>
        </w:rPr>
        <w:t xml:space="preserve">Figure 3: </w:t>
      </w:r>
      <w:r w:rsidR="00F20B09" w:rsidRPr="007D7B64">
        <w:rPr>
          <w:rFonts w:ascii="Arial" w:hAnsi="Arial" w:cs="Arial"/>
          <w:b/>
          <w:bCs/>
          <w:color w:val="auto"/>
        </w:rPr>
        <w:t>Profitability Ratio</w:t>
      </w:r>
    </w:p>
    <w:p w14:paraId="50F03523" w14:textId="6C68B1A7" w:rsidR="00CB5668" w:rsidRPr="007D7B64" w:rsidRDefault="00CB5668" w:rsidP="002C3303">
      <w:pPr>
        <w:jc w:val="center"/>
        <w:rPr>
          <w:rFonts w:ascii="Arial" w:hAnsi="Arial" w:cs="Arial"/>
          <w:color w:val="auto"/>
        </w:rPr>
      </w:pPr>
      <w:r w:rsidRPr="007D7B64">
        <w:rPr>
          <w:rFonts w:ascii="Arial" w:hAnsi="Arial" w:cs="Arial"/>
          <w:color w:val="auto"/>
        </w:rPr>
        <w:t>(Source: Excel)</w:t>
      </w:r>
    </w:p>
    <w:p w14:paraId="180338EF" w14:textId="589C37D1" w:rsidR="00CB5668" w:rsidRPr="000B20B6" w:rsidRDefault="007D5D4E" w:rsidP="002C3303">
      <w:pPr>
        <w:jc w:val="center"/>
        <w:rPr>
          <w:rFonts w:ascii="Arial" w:hAnsi="Arial" w:cs="Arial"/>
        </w:rPr>
      </w:pPr>
      <w:r w:rsidRPr="000B20B6">
        <w:rPr>
          <w:rFonts w:ascii="Arial" w:hAnsi="Arial" w:cs="Arial"/>
          <w:noProof/>
        </w:rPr>
        <w:drawing>
          <wp:inline distT="0" distB="0" distL="0" distR="0" wp14:anchorId="226C07E8" wp14:editId="2E416031">
            <wp:extent cx="4737100" cy="3017520"/>
            <wp:effectExtent l="76200" t="76200" r="139700" b="125730"/>
            <wp:docPr id="206995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37100" cy="3017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DE8B0B" w14:textId="761941C3" w:rsidR="007D5D4E" w:rsidRPr="007D7B64" w:rsidRDefault="007D5D4E" w:rsidP="007D5D4E">
      <w:pPr>
        <w:jc w:val="center"/>
        <w:rPr>
          <w:rFonts w:ascii="Arial" w:hAnsi="Arial" w:cs="Arial"/>
          <w:b/>
          <w:bCs/>
          <w:color w:val="auto"/>
        </w:rPr>
      </w:pPr>
      <w:r w:rsidRPr="007D7B64">
        <w:rPr>
          <w:rFonts w:ascii="Arial" w:hAnsi="Arial" w:cs="Arial"/>
          <w:b/>
          <w:bCs/>
          <w:color w:val="auto"/>
        </w:rPr>
        <w:t>Figure 4: Liquidity Ratio</w:t>
      </w:r>
    </w:p>
    <w:p w14:paraId="46FFD46B" w14:textId="6966D591" w:rsidR="00237F7B" w:rsidRPr="007D7B64" w:rsidRDefault="007D5D4E" w:rsidP="007D7B64">
      <w:pPr>
        <w:jc w:val="center"/>
        <w:rPr>
          <w:rFonts w:ascii="Arial" w:hAnsi="Arial" w:cs="Arial"/>
          <w:color w:val="auto"/>
        </w:rPr>
      </w:pPr>
      <w:r w:rsidRPr="007D7B64">
        <w:rPr>
          <w:rFonts w:ascii="Arial" w:hAnsi="Arial" w:cs="Arial"/>
          <w:color w:val="auto"/>
        </w:rPr>
        <w:t>(Source: Excel)</w:t>
      </w:r>
    </w:p>
    <w:sectPr w:rsidR="00237F7B" w:rsidRPr="007D7B64" w:rsidSect="00342D2B">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D1E5C" w14:textId="77777777" w:rsidR="00C21803" w:rsidRPr="00833F6F" w:rsidRDefault="00C21803">
      <w:pPr>
        <w:spacing w:after="0" w:line="240" w:lineRule="auto"/>
      </w:pPr>
      <w:r w:rsidRPr="00833F6F">
        <w:separator/>
      </w:r>
    </w:p>
  </w:endnote>
  <w:endnote w:type="continuationSeparator" w:id="0">
    <w:p w14:paraId="2624F839" w14:textId="77777777" w:rsidR="00C21803" w:rsidRPr="00833F6F" w:rsidRDefault="00C21803">
      <w:pPr>
        <w:spacing w:after="0" w:line="240" w:lineRule="auto"/>
      </w:pPr>
      <w:r w:rsidRPr="00833F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725884"/>
      <w:docPartObj>
        <w:docPartGallery w:val="Page Numbers (Bottom of Page)"/>
        <w:docPartUnique/>
      </w:docPartObj>
    </w:sdtPr>
    <w:sdtEndPr>
      <w:rPr>
        <w:sz w:val="20"/>
        <w:szCs w:val="18"/>
      </w:rPr>
    </w:sdtEndPr>
    <w:sdtContent>
      <w:p w14:paraId="1FDE3374" w14:textId="77777777" w:rsidR="00342D2B" w:rsidRPr="00833F6F" w:rsidRDefault="00342D2B">
        <w:pPr>
          <w:pStyle w:val="Footer"/>
          <w:jc w:val="right"/>
          <w:rPr>
            <w:sz w:val="20"/>
            <w:szCs w:val="18"/>
          </w:rPr>
        </w:pPr>
        <w:r w:rsidRPr="00833F6F">
          <w:rPr>
            <w:sz w:val="20"/>
            <w:szCs w:val="18"/>
          </w:rPr>
          <w:fldChar w:fldCharType="begin"/>
        </w:r>
        <w:r w:rsidRPr="00833F6F">
          <w:rPr>
            <w:sz w:val="20"/>
            <w:szCs w:val="18"/>
          </w:rPr>
          <w:instrText xml:space="preserve"> PAGE   \* MERGEFORMAT </w:instrText>
        </w:r>
        <w:r w:rsidRPr="00833F6F">
          <w:rPr>
            <w:sz w:val="20"/>
            <w:szCs w:val="18"/>
          </w:rPr>
          <w:fldChar w:fldCharType="separate"/>
        </w:r>
        <w:r w:rsidRPr="00833F6F">
          <w:rPr>
            <w:sz w:val="20"/>
            <w:szCs w:val="18"/>
          </w:rPr>
          <w:t>2</w:t>
        </w:r>
        <w:r w:rsidRPr="00833F6F">
          <w:rPr>
            <w:sz w:val="20"/>
            <w:szCs w:val="18"/>
          </w:rPr>
          <w:fldChar w:fldCharType="end"/>
        </w:r>
      </w:p>
    </w:sdtContent>
  </w:sdt>
  <w:p w14:paraId="2A68ADC7" w14:textId="77777777" w:rsidR="00342D2B" w:rsidRPr="00833F6F" w:rsidRDefault="00342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969D5" w14:textId="77777777" w:rsidR="00C21803" w:rsidRPr="00833F6F" w:rsidRDefault="00C21803">
      <w:pPr>
        <w:spacing w:after="0" w:line="240" w:lineRule="auto"/>
      </w:pPr>
      <w:r w:rsidRPr="00833F6F">
        <w:separator/>
      </w:r>
    </w:p>
  </w:footnote>
  <w:footnote w:type="continuationSeparator" w:id="0">
    <w:p w14:paraId="4CCC5825" w14:textId="77777777" w:rsidR="00C21803" w:rsidRPr="00833F6F" w:rsidRDefault="00C21803">
      <w:pPr>
        <w:spacing w:after="0" w:line="240" w:lineRule="auto"/>
      </w:pPr>
      <w:r w:rsidRPr="00833F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838C5"/>
    <w:multiLevelType w:val="multilevel"/>
    <w:tmpl w:val="17CC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AF2C3E"/>
    <w:multiLevelType w:val="multilevel"/>
    <w:tmpl w:val="E3AE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5680D"/>
    <w:multiLevelType w:val="multilevel"/>
    <w:tmpl w:val="FE22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291442"/>
    <w:multiLevelType w:val="multilevel"/>
    <w:tmpl w:val="C0AE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221992">
    <w:abstractNumId w:val="2"/>
  </w:num>
  <w:num w:numId="2" w16cid:durableId="1799907006">
    <w:abstractNumId w:val="3"/>
  </w:num>
  <w:num w:numId="3" w16cid:durableId="1590769818">
    <w:abstractNumId w:val="0"/>
  </w:num>
  <w:num w:numId="4" w16cid:durableId="1126895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D2B"/>
    <w:rsid w:val="000114D8"/>
    <w:rsid w:val="0002730D"/>
    <w:rsid w:val="00033C32"/>
    <w:rsid w:val="00046705"/>
    <w:rsid w:val="00047FFE"/>
    <w:rsid w:val="00052ECA"/>
    <w:rsid w:val="00070706"/>
    <w:rsid w:val="00091289"/>
    <w:rsid w:val="0009279C"/>
    <w:rsid w:val="000B0BD1"/>
    <w:rsid w:val="000B20B6"/>
    <w:rsid w:val="000B3734"/>
    <w:rsid w:val="000B78AD"/>
    <w:rsid w:val="000D2ADB"/>
    <w:rsid w:val="000F119C"/>
    <w:rsid w:val="00101981"/>
    <w:rsid w:val="00117EB6"/>
    <w:rsid w:val="00120E9E"/>
    <w:rsid w:val="001251AC"/>
    <w:rsid w:val="00160202"/>
    <w:rsid w:val="001637F6"/>
    <w:rsid w:val="0017001E"/>
    <w:rsid w:val="00171DCB"/>
    <w:rsid w:val="00180171"/>
    <w:rsid w:val="001B531E"/>
    <w:rsid w:val="001E383A"/>
    <w:rsid w:val="001E4E24"/>
    <w:rsid w:val="001F62A8"/>
    <w:rsid w:val="00211F75"/>
    <w:rsid w:val="00223B6F"/>
    <w:rsid w:val="00237F7B"/>
    <w:rsid w:val="0024700D"/>
    <w:rsid w:val="00250D0F"/>
    <w:rsid w:val="00251E32"/>
    <w:rsid w:val="00265957"/>
    <w:rsid w:val="002767BF"/>
    <w:rsid w:val="002800F0"/>
    <w:rsid w:val="00286E10"/>
    <w:rsid w:val="002A62D4"/>
    <w:rsid w:val="002B66D2"/>
    <w:rsid w:val="002B7E2B"/>
    <w:rsid w:val="002C3303"/>
    <w:rsid w:val="002C7EA8"/>
    <w:rsid w:val="002D4872"/>
    <w:rsid w:val="002E7C03"/>
    <w:rsid w:val="002F737B"/>
    <w:rsid w:val="00310967"/>
    <w:rsid w:val="003131BA"/>
    <w:rsid w:val="00316328"/>
    <w:rsid w:val="003249F2"/>
    <w:rsid w:val="00325321"/>
    <w:rsid w:val="0033317B"/>
    <w:rsid w:val="0034164A"/>
    <w:rsid w:val="00342D2B"/>
    <w:rsid w:val="00347B24"/>
    <w:rsid w:val="00374F62"/>
    <w:rsid w:val="003C641B"/>
    <w:rsid w:val="003D6B24"/>
    <w:rsid w:val="003E4BFE"/>
    <w:rsid w:val="00420C3A"/>
    <w:rsid w:val="0043080E"/>
    <w:rsid w:val="0043706D"/>
    <w:rsid w:val="004378F6"/>
    <w:rsid w:val="004406F7"/>
    <w:rsid w:val="00453F4C"/>
    <w:rsid w:val="004565B5"/>
    <w:rsid w:val="00477BAE"/>
    <w:rsid w:val="00477CD1"/>
    <w:rsid w:val="004A30A1"/>
    <w:rsid w:val="004B210F"/>
    <w:rsid w:val="004C085A"/>
    <w:rsid w:val="004C4248"/>
    <w:rsid w:val="004C4F95"/>
    <w:rsid w:val="004E6E0E"/>
    <w:rsid w:val="004E70EA"/>
    <w:rsid w:val="004F68FF"/>
    <w:rsid w:val="00501852"/>
    <w:rsid w:val="00502207"/>
    <w:rsid w:val="0052209C"/>
    <w:rsid w:val="00540E50"/>
    <w:rsid w:val="00547F50"/>
    <w:rsid w:val="00553D4E"/>
    <w:rsid w:val="005A3397"/>
    <w:rsid w:val="005A54F3"/>
    <w:rsid w:val="005E2A9A"/>
    <w:rsid w:val="005E7784"/>
    <w:rsid w:val="00603436"/>
    <w:rsid w:val="00610FAC"/>
    <w:rsid w:val="0061612B"/>
    <w:rsid w:val="006342DF"/>
    <w:rsid w:val="00640A61"/>
    <w:rsid w:val="00642D24"/>
    <w:rsid w:val="00687C42"/>
    <w:rsid w:val="00696221"/>
    <w:rsid w:val="006B3A13"/>
    <w:rsid w:val="006C3FFA"/>
    <w:rsid w:val="006E011B"/>
    <w:rsid w:val="006E2382"/>
    <w:rsid w:val="006E38AA"/>
    <w:rsid w:val="006F12D3"/>
    <w:rsid w:val="006F1F3D"/>
    <w:rsid w:val="006F4FA8"/>
    <w:rsid w:val="0070012A"/>
    <w:rsid w:val="0071261B"/>
    <w:rsid w:val="007152C8"/>
    <w:rsid w:val="007179AD"/>
    <w:rsid w:val="00723128"/>
    <w:rsid w:val="00730FB1"/>
    <w:rsid w:val="00753E31"/>
    <w:rsid w:val="007574FF"/>
    <w:rsid w:val="007616BF"/>
    <w:rsid w:val="0076280C"/>
    <w:rsid w:val="00770E4E"/>
    <w:rsid w:val="00781B60"/>
    <w:rsid w:val="00796DC2"/>
    <w:rsid w:val="007A241E"/>
    <w:rsid w:val="007C26A4"/>
    <w:rsid w:val="007D5D4E"/>
    <w:rsid w:val="007D706F"/>
    <w:rsid w:val="007D7B64"/>
    <w:rsid w:val="007E3F0A"/>
    <w:rsid w:val="007F47AA"/>
    <w:rsid w:val="0080128D"/>
    <w:rsid w:val="00822895"/>
    <w:rsid w:val="00833F6F"/>
    <w:rsid w:val="00834584"/>
    <w:rsid w:val="00837D00"/>
    <w:rsid w:val="00844CB3"/>
    <w:rsid w:val="00854AAE"/>
    <w:rsid w:val="00860A2D"/>
    <w:rsid w:val="00871EEE"/>
    <w:rsid w:val="008B3256"/>
    <w:rsid w:val="008C2C96"/>
    <w:rsid w:val="008D7F68"/>
    <w:rsid w:val="008E26E6"/>
    <w:rsid w:val="00901C73"/>
    <w:rsid w:val="00903432"/>
    <w:rsid w:val="00904E80"/>
    <w:rsid w:val="00917436"/>
    <w:rsid w:val="00925CF8"/>
    <w:rsid w:val="0094569D"/>
    <w:rsid w:val="00954D36"/>
    <w:rsid w:val="00960725"/>
    <w:rsid w:val="009A0EF9"/>
    <w:rsid w:val="009A3A7B"/>
    <w:rsid w:val="009A621E"/>
    <w:rsid w:val="009D0A5C"/>
    <w:rsid w:val="009D29A6"/>
    <w:rsid w:val="009D45EF"/>
    <w:rsid w:val="00A102E1"/>
    <w:rsid w:val="00A16AB3"/>
    <w:rsid w:val="00A5625A"/>
    <w:rsid w:val="00A72AB8"/>
    <w:rsid w:val="00A805BD"/>
    <w:rsid w:val="00A81C59"/>
    <w:rsid w:val="00A85C58"/>
    <w:rsid w:val="00A90C1A"/>
    <w:rsid w:val="00A941A4"/>
    <w:rsid w:val="00A96B38"/>
    <w:rsid w:val="00AA058D"/>
    <w:rsid w:val="00AC6FEE"/>
    <w:rsid w:val="00AE1ED7"/>
    <w:rsid w:val="00AE2247"/>
    <w:rsid w:val="00B12963"/>
    <w:rsid w:val="00B20FD2"/>
    <w:rsid w:val="00B25377"/>
    <w:rsid w:val="00B348D1"/>
    <w:rsid w:val="00B40240"/>
    <w:rsid w:val="00B42D21"/>
    <w:rsid w:val="00B4486E"/>
    <w:rsid w:val="00B54EFA"/>
    <w:rsid w:val="00B60621"/>
    <w:rsid w:val="00B731C9"/>
    <w:rsid w:val="00B763FD"/>
    <w:rsid w:val="00BC4F87"/>
    <w:rsid w:val="00BE27E1"/>
    <w:rsid w:val="00BE2B2A"/>
    <w:rsid w:val="00C01687"/>
    <w:rsid w:val="00C21803"/>
    <w:rsid w:val="00C23C80"/>
    <w:rsid w:val="00C345EF"/>
    <w:rsid w:val="00C60FDA"/>
    <w:rsid w:val="00C74554"/>
    <w:rsid w:val="00CB5668"/>
    <w:rsid w:val="00CC64BE"/>
    <w:rsid w:val="00CD094C"/>
    <w:rsid w:val="00CD2152"/>
    <w:rsid w:val="00CD2681"/>
    <w:rsid w:val="00D00B2F"/>
    <w:rsid w:val="00D05392"/>
    <w:rsid w:val="00D20A2F"/>
    <w:rsid w:val="00D40CAE"/>
    <w:rsid w:val="00D41939"/>
    <w:rsid w:val="00D5030B"/>
    <w:rsid w:val="00D666DD"/>
    <w:rsid w:val="00D87934"/>
    <w:rsid w:val="00DA292C"/>
    <w:rsid w:val="00DB781F"/>
    <w:rsid w:val="00DC153F"/>
    <w:rsid w:val="00DD433E"/>
    <w:rsid w:val="00DD44CC"/>
    <w:rsid w:val="00E06EF3"/>
    <w:rsid w:val="00E148D7"/>
    <w:rsid w:val="00E2048D"/>
    <w:rsid w:val="00E30BC5"/>
    <w:rsid w:val="00E310B1"/>
    <w:rsid w:val="00E435B1"/>
    <w:rsid w:val="00E53F57"/>
    <w:rsid w:val="00E57F8F"/>
    <w:rsid w:val="00E64EB5"/>
    <w:rsid w:val="00E95AFB"/>
    <w:rsid w:val="00EA75BD"/>
    <w:rsid w:val="00EB58A4"/>
    <w:rsid w:val="00EC2174"/>
    <w:rsid w:val="00F20B09"/>
    <w:rsid w:val="00F56F8F"/>
    <w:rsid w:val="00F65E17"/>
    <w:rsid w:val="00F764F6"/>
    <w:rsid w:val="00F91F25"/>
    <w:rsid w:val="00FA35D8"/>
    <w:rsid w:val="00FB1449"/>
    <w:rsid w:val="00FD0A3F"/>
    <w:rsid w:val="00FD15E8"/>
    <w:rsid w:val="00FE7C98"/>
    <w:rsid w:val="00FF5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C567B"/>
  <w15:chartTrackingRefBased/>
  <w15:docId w15:val="{3F335074-D732-4945-9136-9353DFCD2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D2B"/>
    <w:pPr>
      <w:spacing w:line="360" w:lineRule="auto"/>
    </w:pPr>
    <w:rPr>
      <w:rFonts w:ascii="Times New Roman" w:hAnsi="Times New Roman"/>
      <w:color w:val="000000" w:themeColor="text1"/>
      <w:kern w:val="0"/>
      <w:szCs w:val="22"/>
      <w:lang w:val="en-GB"/>
      <w14:ligatures w14:val="none"/>
    </w:rPr>
  </w:style>
  <w:style w:type="paragraph" w:styleId="Heading1">
    <w:name w:val="heading 1"/>
    <w:basedOn w:val="Normal"/>
    <w:next w:val="Normal"/>
    <w:link w:val="Heading1Char"/>
    <w:autoRedefine/>
    <w:uiPriority w:val="9"/>
    <w:qFormat/>
    <w:rsid w:val="00903432"/>
    <w:pPr>
      <w:keepNext/>
      <w:keepLines/>
      <w:spacing w:before="360" w:after="80"/>
      <w:jc w:val="both"/>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687C42"/>
    <w:pPr>
      <w:keepNext/>
      <w:keepLines/>
      <w:spacing w:before="160" w:after="80"/>
      <w:jc w:val="both"/>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540E50"/>
    <w:pPr>
      <w:keepNext/>
      <w:keepLines/>
      <w:spacing w:before="160" w:after="80"/>
      <w:jc w:val="both"/>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540E50"/>
    <w:pPr>
      <w:keepNext/>
      <w:keepLines/>
      <w:spacing w:before="80" w:after="40"/>
      <w:jc w:val="center"/>
      <w:outlineLvl w:val="3"/>
    </w:pPr>
    <w:rPr>
      <w:rFonts w:eastAsiaTheme="majorEastAsia" w:cstheme="majorBidi"/>
      <w:b/>
      <w:iCs/>
    </w:rPr>
  </w:style>
  <w:style w:type="paragraph" w:styleId="Heading5">
    <w:name w:val="heading 5"/>
    <w:basedOn w:val="Normal"/>
    <w:next w:val="Normal"/>
    <w:link w:val="Heading5Char"/>
    <w:autoRedefine/>
    <w:uiPriority w:val="9"/>
    <w:semiHidden/>
    <w:unhideWhenUsed/>
    <w:qFormat/>
    <w:rsid w:val="00540E50"/>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342D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2D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2D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2D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432"/>
    <w:rPr>
      <w:rFonts w:ascii="Times New Roman" w:eastAsiaTheme="majorEastAsia" w:hAnsi="Times New Roman" w:cstheme="majorBidi"/>
      <w:b/>
      <w:color w:val="000000" w:themeColor="text1"/>
      <w:kern w:val="0"/>
      <w:sz w:val="28"/>
      <w:szCs w:val="40"/>
      <w14:ligatures w14:val="none"/>
    </w:rPr>
  </w:style>
  <w:style w:type="character" w:customStyle="1" w:styleId="Heading2Char">
    <w:name w:val="Heading 2 Char"/>
    <w:basedOn w:val="DefaultParagraphFont"/>
    <w:link w:val="Heading2"/>
    <w:uiPriority w:val="9"/>
    <w:rsid w:val="00687C42"/>
    <w:rPr>
      <w:rFonts w:ascii="Times New Roman" w:eastAsiaTheme="majorEastAsia" w:hAnsi="Times New Roman" w:cstheme="majorBidi"/>
      <w:b/>
      <w:color w:val="000000" w:themeColor="text1"/>
      <w:kern w:val="0"/>
      <w:szCs w:val="32"/>
      <w14:ligatures w14:val="none"/>
    </w:rPr>
  </w:style>
  <w:style w:type="character" w:customStyle="1" w:styleId="Heading3Char">
    <w:name w:val="Heading 3 Char"/>
    <w:basedOn w:val="DefaultParagraphFont"/>
    <w:link w:val="Heading3"/>
    <w:uiPriority w:val="9"/>
    <w:rsid w:val="00540E50"/>
    <w:rPr>
      <w:rFonts w:ascii="Times New Roman" w:eastAsiaTheme="majorEastAsia" w:hAnsi="Times New Roman" w:cstheme="majorBidi"/>
      <w:b/>
      <w:kern w:val="0"/>
      <w:szCs w:val="28"/>
      <w14:ligatures w14:val="none"/>
    </w:rPr>
  </w:style>
  <w:style w:type="character" w:customStyle="1" w:styleId="Heading4Char">
    <w:name w:val="Heading 4 Char"/>
    <w:basedOn w:val="DefaultParagraphFont"/>
    <w:link w:val="Heading4"/>
    <w:uiPriority w:val="9"/>
    <w:rsid w:val="00540E50"/>
    <w:rPr>
      <w:rFonts w:ascii="Times New Roman" w:eastAsiaTheme="majorEastAsia" w:hAnsi="Times New Roman" w:cstheme="majorBidi"/>
      <w:b/>
      <w:iCs/>
      <w:kern w:val="0"/>
      <w:szCs w:val="22"/>
      <w14:ligatures w14:val="none"/>
    </w:rPr>
  </w:style>
  <w:style w:type="character" w:customStyle="1" w:styleId="Heading5Char">
    <w:name w:val="Heading 5 Char"/>
    <w:basedOn w:val="DefaultParagraphFont"/>
    <w:link w:val="Heading5"/>
    <w:uiPriority w:val="9"/>
    <w:semiHidden/>
    <w:rsid w:val="00540E50"/>
    <w:rPr>
      <w:rFonts w:ascii="Times New Roman" w:eastAsiaTheme="majorEastAsia" w:hAnsi="Times New Roman" w:cstheme="majorBidi"/>
      <w:b/>
      <w:kern w:val="0"/>
      <w:szCs w:val="22"/>
      <w14:ligatures w14:val="none"/>
    </w:rPr>
  </w:style>
  <w:style w:type="character" w:customStyle="1" w:styleId="Heading6Char">
    <w:name w:val="Heading 6 Char"/>
    <w:basedOn w:val="DefaultParagraphFont"/>
    <w:link w:val="Heading6"/>
    <w:uiPriority w:val="9"/>
    <w:semiHidden/>
    <w:rsid w:val="00342D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2D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2D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2D2B"/>
    <w:rPr>
      <w:rFonts w:eastAsiaTheme="majorEastAsia" w:cstheme="majorBidi"/>
      <w:color w:val="272727" w:themeColor="text1" w:themeTint="D8"/>
    </w:rPr>
  </w:style>
  <w:style w:type="paragraph" w:styleId="Title">
    <w:name w:val="Title"/>
    <w:basedOn w:val="Normal"/>
    <w:next w:val="Normal"/>
    <w:link w:val="TitleChar"/>
    <w:uiPriority w:val="10"/>
    <w:qFormat/>
    <w:rsid w:val="00342D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D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2D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2D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2D2B"/>
    <w:pPr>
      <w:spacing w:before="160"/>
      <w:jc w:val="center"/>
    </w:pPr>
    <w:rPr>
      <w:i/>
      <w:iCs/>
      <w:color w:val="404040" w:themeColor="text1" w:themeTint="BF"/>
    </w:rPr>
  </w:style>
  <w:style w:type="character" w:customStyle="1" w:styleId="QuoteChar">
    <w:name w:val="Quote Char"/>
    <w:basedOn w:val="DefaultParagraphFont"/>
    <w:link w:val="Quote"/>
    <w:uiPriority w:val="29"/>
    <w:rsid w:val="00342D2B"/>
    <w:rPr>
      <w:i/>
      <w:iCs/>
      <w:color w:val="404040" w:themeColor="text1" w:themeTint="BF"/>
    </w:rPr>
  </w:style>
  <w:style w:type="paragraph" w:styleId="ListParagraph">
    <w:name w:val="List Paragraph"/>
    <w:basedOn w:val="Normal"/>
    <w:uiPriority w:val="34"/>
    <w:qFormat/>
    <w:rsid w:val="00342D2B"/>
    <w:pPr>
      <w:ind w:left="720"/>
      <w:contextualSpacing/>
    </w:pPr>
  </w:style>
  <w:style w:type="character" w:styleId="IntenseEmphasis">
    <w:name w:val="Intense Emphasis"/>
    <w:basedOn w:val="DefaultParagraphFont"/>
    <w:uiPriority w:val="21"/>
    <w:qFormat/>
    <w:rsid w:val="00342D2B"/>
    <w:rPr>
      <w:i/>
      <w:iCs/>
      <w:color w:val="2F5496" w:themeColor="accent1" w:themeShade="BF"/>
    </w:rPr>
  </w:style>
  <w:style w:type="paragraph" w:styleId="IntenseQuote">
    <w:name w:val="Intense Quote"/>
    <w:basedOn w:val="Normal"/>
    <w:next w:val="Normal"/>
    <w:link w:val="IntenseQuoteChar"/>
    <w:uiPriority w:val="30"/>
    <w:qFormat/>
    <w:rsid w:val="00342D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42D2B"/>
    <w:rPr>
      <w:i/>
      <w:iCs/>
      <w:color w:val="2F5496" w:themeColor="accent1" w:themeShade="BF"/>
    </w:rPr>
  </w:style>
  <w:style w:type="character" w:styleId="IntenseReference">
    <w:name w:val="Intense Reference"/>
    <w:basedOn w:val="DefaultParagraphFont"/>
    <w:uiPriority w:val="32"/>
    <w:qFormat/>
    <w:rsid w:val="00342D2B"/>
    <w:rPr>
      <w:b/>
      <w:bCs/>
      <w:smallCaps/>
      <w:color w:val="2F5496" w:themeColor="accent1" w:themeShade="BF"/>
      <w:spacing w:val="5"/>
    </w:rPr>
  </w:style>
  <w:style w:type="paragraph" w:styleId="Footer">
    <w:name w:val="footer"/>
    <w:basedOn w:val="Normal"/>
    <w:link w:val="FooterChar"/>
    <w:uiPriority w:val="99"/>
    <w:unhideWhenUsed/>
    <w:rsid w:val="00342D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D2B"/>
    <w:rPr>
      <w:rFonts w:ascii="Times New Roman" w:hAnsi="Times New Roman"/>
      <w:color w:val="000000" w:themeColor="text1"/>
      <w:kern w:val="0"/>
      <w:szCs w:val="22"/>
      <w14:ligatures w14:val="none"/>
    </w:rPr>
  </w:style>
  <w:style w:type="character" w:styleId="Strong">
    <w:name w:val="Strong"/>
    <w:basedOn w:val="DefaultParagraphFont"/>
    <w:uiPriority w:val="22"/>
    <w:qFormat/>
    <w:rsid w:val="00342D2B"/>
    <w:rPr>
      <w:b/>
      <w:bCs/>
    </w:rPr>
  </w:style>
  <w:style w:type="paragraph" w:styleId="NormalWeb">
    <w:name w:val="Normal (Web)"/>
    <w:basedOn w:val="Normal"/>
    <w:uiPriority w:val="99"/>
    <w:unhideWhenUsed/>
    <w:rsid w:val="00342D2B"/>
    <w:pPr>
      <w:spacing w:before="100" w:beforeAutospacing="1" w:after="100" w:afterAutospacing="1" w:line="240" w:lineRule="auto"/>
    </w:pPr>
    <w:rPr>
      <w:rFonts w:eastAsia="Times New Roman" w:cs="Times New Roman"/>
      <w:color w:val="auto"/>
      <w:szCs w:val="24"/>
    </w:rPr>
  </w:style>
  <w:style w:type="character" w:styleId="Emphasis">
    <w:name w:val="Emphasis"/>
    <w:basedOn w:val="DefaultParagraphFont"/>
    <w:uiPriority w:val="20"/>
    <w:qFormat/>
    <w:rsid w:val="00342D2B"/>
    <w:rPr>
      <w:i/>
      <w:iCs/>
    </w:rPr>
  </w:style>
  <w:style w:type="paragraph" w:styleId="TOCHeading">
    <w:name w:val="TOC Heading"/>
    <w:basedOn w:val="Heading1"/>
    <w:next w:val="Normal"/>
    <w:uiPriority w:val="39"/>
    <w:unhideWhenUsed/>
    <w:qFormat/>
    <w:rsid w:val="00342D2B"/>
    <w:pPr>
      <w:spacing w:before="240" w:after="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342D2B"/>
    <w:pPr>
      <w:spacing w:after="100"/>
    </w:pPr>
  </w:style>
  <w:style w:type="paragraph" w:styleId="TOC2">
    <w:name w:val="toc 2"/>
    <w:basedOn w:val="Normal"/>
    <w:next w:val="Normal"/>
    <w:autoRedefine/>
    <w:uiPriority w:val="39"/>
    <w:unhideWhenUsed/>
    <w:rsid w:val="00342D2B"/>
    <w:pPr>
      <w:spacing w:after="100"/>
      <w:ind w:left="240"/>
    </w:pPr>
  </w:style>
  <w:style w:type="character" w:styleId="Hyperlink">
    <w:name w:val="Hyperlink"/>
    <w:basedOn w:val="DefaultParagraphFont"/>
    <w:uiPriority w:val="99"/>
    <w:unhideWhenUsed/>
    <w:rsid w:val="00342D2B"/>
    <w:rPr>
      <w:color w:val="0563C1" w:themeColor="hyperlink"/>
      <w:u w:val="single"/>
    </w:rPr>
  </w:style>
  <w:style w:type="table" w:styleId="PlainTable2">
    <w:name w:val="Plain Table 2"/>
    <w:basedOn w:val="TableNormal"/>
    <w:uiPriority w:val="42"/>
    <w:rsid w:val="00374F6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D0A3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E30BC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9D45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mame-journal.org/index.php/dmame/article/download/219/84" TargetMode="External"/><Relationship Id="rId18" Type="http://schemas.openxmlformats.org/officeDocument/2006/relationships/hyperlink" Target="https://ajeaf.com/index.php/Journal/article/download/106/116" TargetMode="External"/><Relationship Id="rId26" Type="http://schemas.openxmlformats.org/officeDocument/2006/relationships/hyperlink" Target="https://mail.iajournals.org/articles/iajef_v3_i7_437_452.pdf" TargetMode="External"/><Relationship Id="rId39" Type="http://schemas.openxmlformats.org/officeDocument/2006/relationships/theme" Target="theme/theme1.xml"/><Relationship Id="rId21" Type="http://schemas.openxmlformats.org/officeDocument/2006/relationships/hyperlink" Target="https://www.emerald.com/insight/content/doi/10.1108/PR-02-2024-0159/full/pdf" TargetMode="External"/><Relationship Id="rId34"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link.springer.com/content/pdf/10.1007/s11365-022-00810-9.pdf" TargetMode="External"/><Relationship Id="rId17" Type="http://schemas.openxmlformats.org/officeDocument/2006/relationships/hyperlink" Target="https://www.academia.edu/download/91766493/pdf.pdf" TargetMode="External"/><Relationship Id="rId25" Type="http://schemas.openxmlformats.org/officeDocument/2006/relationships/hyperlink" Target="https://scholarship.law.duke.edu/cgi/viewcontent.cgi?article=6817&amp;context=faculty_scholarship" TargetMode="Externa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trategicmanagementreview.net/assets/articles/Harrigan%20and%20Wing%20Corporate%20Renewal%20SI.pdf" TargetMode="External"/><Relationship Id="rId20" Type="http://schemas.openxmlformats.org/officeDocument/2006/relationships/hyperlink" Target="https://www.academia.edu/download/81063588/article_677839_cd06f5c50b09f28acf4802268302e8ba.pdf" TargetMode="External"/><Relationship Id="rId29" Type="http://schemas.openxmlformats.org/officeDocument/2006/relationships/hyperlink" Target="https://www.tandfonline.com/doi/pdf/10.1080/09537287.2021.191352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2024.sci-hub.box/8304/aa1877107d10cd138fa1d401935c747e/amponsah-kwatiah2020.pdf" TargetMode="External"/><Relationship Id="rId24" Type="http://schemas.openxmlformats.org/officeDocument/2006/relationships/hyperlink" Target="https://papers.ssrn.com/sol3/Delivery.cfm?abstractid=5348941" TargetMode="External"/><Relationship Id="rId32" Type="http://schemas.openxmlformats.org/officeDocument/2006/relationships/hyperlink" Target="https://pmc.ncbi.nlm.nih.gov/articles/PMC9381944/pdf/main.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einonline.org/hol-cgi-bin/get_pdf.cgi?handle=hein.journals/ijlmhs16&amp;section=20" TargetMode="External"/><Relationship Id="rId23" Type="http://schemas.openxmlformats.org/officeDocument/2006/relationships/hyperlink" Target="https://www.emerald.com/insight/content/doi/10.1108/JAOC-10-2022-0165" TargetMode="External"/><Relationship Id="rId28" Type="http://schemas.openxmlformats.org/officeDocument/2006/relationships/hyperlink" Target="https://journals.vilniustech.lt/index.php/BMEE/article/download/16732/11154" TargetMode="External"/><Relationship Id="rId36" Type="http://schemas.openxmlformats.org/officeDocument/2006/relationships/image" Target="media/image5.png"/><Relationship Id="rId10" Type="http://schemas.openxmlformats.org/officeDocument/2006/relationships/hyperlink" Target="https://www.tandfonline.com/doi/abs/10.1080/09537287.2022.2035445" TargetMode="External"/><Relationship Id="rId19" Type="http://schemas.openxmlformats.org/officeDocument/2006/relationships/hyperlink" Target="http://jurnaljepip.com/index.php/Jebin/article/download/7/6" TargetMode="External"/><Relationship Id="rId31" Type="http://schemas.openxmlformats.org/officeDocument/2006/relationships/hyperlink" Target="https://www.emerald.com/insight/content/doi/10.1108/bpmj-08-2022-0418/full/pdf" TargetMode="External"/><Relationship Id="rId4" Type="http://schemas.openxmlformats.org/officeDocument/2006/relationships/webSettings" Target="webSettings.xml"/><Relationship Id="rId9" Type="http://schemas.openxmlformats.org/officeDocument/2006/relationships/hyperlink" Target="https://www.emerald.com/insight/content/doi/10.1108/ijmf-08-2019-0294/full/html" TargetMode="External"/><Relationship Id="rId14" Type="http://schemas.openxmlformats.org/officeDocument/2006/relationships/hyperlink" Target="https://www.sciencedirect.com/science/article/pii/S1544612322001283" TargetMode="External"/><Relationship Id="rId22" Type="http://schemas.openxmlformats.org/officeDocument/2006/relationships/hyperlink" Target="https://link.springer.com/content/pdf/10.1186/s43093-021-00058-9.pdf" TargetMode="External"/><Relationship Id="rId27" Type="http://schemas.openxmlformats.org/officeDocument/2006/relationships/hyperlink" Target="https://journals.aom.org/doi/abs/10.5465/amp.2023.0363" TargetMode="External"/><Relationship Id="rId30" Type="http://schemas.openxmlformats.org/officeDocument/2006/relationships/hyperlink" Target="https://www.tandfonline.com/doi/pdf/10.1080/16081625.2020.1789480" TargetMode="External"/><Relationship Id="rId35" Type="http://schemas.openxmlformats.org/officeDocument/2006/relationships/image" Target="media/image4.png"/><Relationship Id="rId8" Type="http://schemas.openxmlformats.org/officeDocument/2006/relationships/hyperlink" Target="https://www.academia.edu/download/95828883/JEAS-07-2019-007420221215-1-txauou.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34</Pages>
  <Words>6824</Words>
  <Characters>39289</Characters>
  <Application>Microsoft Office Word</Application>
  <DocSecurity>0</DocSecurity>
  <Lines>960</Lines>
  <Paragraphs>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Yashraj Gadhavi</cp:lastModifiedBy>
  <cp:revision>257</cp:revision>
  <dcterms:created xsi:type="dcterms:W3CDTF">2025-11-10T09:59:00Z</dcterms:created>
  <dcterms:modified xsi:type="dcterms:W3CDTF">2025-11-23T20:10:00Z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923da5a7-e94f-4ac0-89d7-710614cbe4d9</vt:lpwstr>
  </property>
</Properties>
</file>