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5050E" w14:textId="77777777" w:rsidR="00791A10" w:rsidRDefault="00791A10" w:rsidP="00791A10">
      <w:pPr>
        <w:spacing w:line="600" w:lineRule="auto"/>
        <w:jc w:val="center"/>
        <w:rPr>
          <w:sz w:val="32"/>
          <w:szCs w:val="32"/>
        </w:rPr>
      </w:pPr>
      <w:r w:rsidRPr="00A406E5">
        <w:rPr>
          <w:rFonts w:ascii="Arial" w:hAnsi="Arial" w:cs="Arial"/>
          <w:noProof/>
        </w:rPr>
        <w:drawing>
          <wp:anchor distT="0" distB="0" distL="114300" distR="114300" simplePos="0" relativeHeight="251659264" behindDoc="0" locked="0" layoutInCell="1" allowOverlap="1" wp14:anchorId="57BD769A" wp14:editId="1A7BD561">
            <wp:simplePos x="0" y="0"/>
            <wp:positionH relativeFrom="column">
              <wp:posOffset>-347472</wp:posOffset>
            </wp:positionH>
            <wp:positionV relativeFrom="paragraph">
              <wp:posOffset>381</wp:posOffset>
            </wp:positionV>
            <wp:extent cx="2267712" cy="870204"/>
            <wp:effectExtent l="0" t="0" r="571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279984" cy="87491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5F92EC" w14:textId="77777777" w:rsidR="00791A10" w:rsidRDefault="00791A10" w:rsidP="00791A10">
      <w:pPr>
        <w:spacing w:line="600" w:lineRule="auto"/>
        <w:jc w:val="center"/>
        <w:rPr>
          <w:sz w:val="32"/>
          <w:szCs w:val="32"/>
        </w:rPr>
      </w:pPr>
    </w:p>
    <w:p w14:paraId="68944159" w14:textId="77777777" w:rsidR="00791A10" w:rsidRDefault="00791A10" w:rsidP="00791A10">
      <w:pPr>
        <w:spacing w:line="600" w:lineRule="auto"/>
        <w:jc w:val="center"/>
        <w:rPr>
          <w:sz w:val="32"/>
          <w:szCs w:val="32"/>
        </w:rPr>
      </w:pPr>
    </w:p>
    <w:p w14:paraId="1A9BD677" w14:textId="77777777" w:rsidR="00791A10" w:rsidRDefault="00791A10" w:rsidP="00791A10">
      <w:pPr>
        <w:spacing w:line="600" w:lineRule="auto"/>
        <w:jc w:val="center"/>
        <w:rPr>
          <w:b/>
          <w:bCs/>
          <w:sz w:val="32"/>
          <w:szCs w:val="32"/>
        </w:rPr>
      </w:pPr>
    </w:p>
    <w:p w14:paraId="677F529E" w14:textId="77777777" w:rsidR="00791A10" w:rsidRDefault="00791A10" w:rsidP="00791A10">
      <w:pPr>
        <w:spacing w:line="600" w:lineRule="auto"/>
        <w:jc w:val="center"/>
        <w:rPr>
          <w:sz w:val="32"/>
          <w:szCs w:val="32"/>
        </w:rPr>
      </w:pPr>
      <w:r w:rsidRPr="00CE6708">
        <w:rPr>
          <w:b/>
          <w:bCs/>
          <w:sz w:val="32"/>
          <w:szCs w:val="32"/>
        </w:rPr>
        <w:t>Student</w:t>
      </w:r>
      <w:r w:rsidRPr="00CE6708">
        <w:rPr>
          <w:sz w:val="32"/>
          <w:szCs w:val="32"/>
        </w:rPr>
        <w:t xml:space="preserve"> </w:t>
      </w:r>
      <w:r w:rsidRPr="00CE6708">
        <w:rPr>
          <w:b/>
          <w:bCs/>
          <w:sz w:val="32"/>
          <w:szCs w:val="32"/>
        </w:rPr>
        <w:t>Name</w:t>
      </w:r>
      <w:r w:rsidRPr="00CE6708">
        <w:rPr>
          <w:sz w:val="32"/>
          <w:szCs w:val="32"/>
        </w:rPr>
        <w:t>: Daniel Petcu</w:t>
      </w:r>
    </w:p>
    <w:p w14:paraId="1C5B3B75" w14:textId="6639A574" w:rsidR="00791A10" w:rsidRPr="00791A10" w:rsidRDefault="00791A10" w:rsidP="00791A10">
      <w:pPr>
        <w:spacing w:line="600" w:lineRule="auto"/>
        <w:jc w:val="center"/>
        <w:rPr>
          <w:sz w:val="32"/>
          <w:szCs w:val="32"/>
        </w:rPr>
      </w:pPr>
      <w:r>
        <w:rPr>
          <w:sz w:val="32"/>
          <w:szCs w:val="32"/>
        </w:rPr>
        <w:t xml:space="preserve">LCLM6001 STRATEGIC MANAGEMENT FOR BUSINESS </w:t>
      </w:r>
    </w:p>
    <w:p w14:paraId="16EC1C2B" w14:textId="77777777" w:rsidR="00791A10" w:rsidRDefault="00791A10" w:rsidP="00791A10">
      <w:pPr>
        <w:spacing w:line="360" w:lineRule="auto"/>
        <w:jc w:val="center"/>
      </w:pPr>
    </w:p>
    <w:p w14:paraId="453BD8D1" w14:textId="5174C8F2" w:rsidR="00791A10" w:rsidRPr="00791A10" w:rsidRDefault="00791A10" w:rsidP="00791A10">
      <w:pPr>
        <w:spacing w:line="360" w:lineRule="auto"/>
        <w:jc w:val="center"/>
        <w:rPr>
          <w:sz w:val="32"/>
          <w:szCs w:val="32"/>
          <w:u w:val="single"/>
          <w:lang w:eastAsia="en-GB"/>
        </w:rPr>
      </w:pPr>
      <w:r w:rsidRPr="00791A10">
        <w:rPr>
          <w:sz w:val="32"/>
          <w:szCs w:val="32"/>
          <w:u w:val="single"/>
          <w:lang w:eastAsia="en-GB"/>
        </w:rPr>
        <w:t>Strategic Growth Report for Vodafone UK and VodafoneThree</w:t>
      </w:r>
    </w:p>
    <w:p w14:paraId="084DD5DE" w14:textId="2D1252FB" w:rsidR="00791A10" w:rsidRDefault="00791A10" w:rsidP="00791A10">
      <w:pPr>
        <w:spacing w:line="360" w:lineRule="auto"/>
        <w:jc w:val="center"/>
        <w:rPr>
          <w:lang w:eastAsia="en-GB"/>
        </w:rPr>
      </w:pPr>
    </w:p>
    <w:p w14:paraId="33063CE7" w14:textId="115B3BF8" w:rsidR="00791A10" w:rsidRDefault="00791A10" w:rsidP="00791A10">
      <w:pPr>
        <w:spacing w:line="360" w:lineRule="auto"/>
        <w:jc w:val="center"/>
        <w:rPr>
          <w:lang w:eastAsia="en-GB"/>
        </w:rPr>
      </w:pPr>
    </w:p>
    <w:p w14:paraId="74184898" w14:textId="62A5F590" w:rsidR="00791A10" w:rsidRDefault="00791A10" w:rsidP="00791A10">
      <w:pPr>
        <w:spacing w:line="360" w:lineRule="auto"/>
        <w:jc w:val="center"/>
        <w:rPr>
          <w:lang w:eastAsia="en-GB"/>
        </w:rPr>
      </w:pPr>
    </w:p>
    <w:p w14:paraId="13CA8961" w14:textId="5C050F93" w:rsidR="00791A10" w:rsidRDefault="00791A10" w:rsidP="00791A10">
      <w:pPr>
        <w:spacing w:line="360" w:lineRule="auto"/>
        <w:jc w:val="center"/>
        <w:rPr>
          <w:lang w:eastAsia="en-GB"/>
        </w:rPr>
      </w:pPr>
    </w:p>
    <w:p w14:paraId="4933633A" w14:textId="53728654" w:rsidR="00791A10" w:rsidRDefault="00791A10" w:rsidP="00791A10">
      <w:pPr>
        <w:spacing w:line="360" w:lineRule="auto"/>
        <w:jc w:val="center"/>
        <w:rPr>
          <w:lang w:eastAsia="en-GB"/>
        </w:rPr>
      </w:pPr>
    </w:p>
    <w:p w14:paraId="6B9831AF" w14:textId="48B6F95D" w:rsidR="00791A10" w:rsidRDefault="00791A10" w:rsidP="00791A10">
      <w:pPr>
        <w:spacing w:line="360" w:lineRule="auto"/>
        <w:jc w:val="center"/>
        <w:rPr>
          <w:lang w:eastAsia="en-GB"/>
        </w:rPr>
      </w:pPr>
    </w:p>
    <w:p w14:paraId="2E89491E" w14:textId="63C6BFB0" w:rsidR="00791A10" w:rsidRDefault="00791A10" w:rsidP="00791A10">
      <w:pPr>
        <w:spacing w:line="360" w:lineRule="auto"/>
        <w:jc w:val="center"/>
        <w:rPr>
          <w:lang w:eastAsia="en-GB"/>
        </w:rPr>
      </w:pPr>
    </w:p>
    <w:p w14:paraId="5AB4C131" w14:textId="6364511C" w:rsidR="00791A10" w:rsidRDefault="00791A10" w:rsidP="00791A10">
      <w:pPr>
        <w:spacing w:line="360" w:lineRule="auto"/>
        <w:jc w:val="center"/>
        <w:rPr>
          <w:lang w:eastAsia="en-GB"/>
        </w:rPr>
      </w:pPr>
    </w:p>
    <w:p w14:paraId="1A8896FC" w14:textId="05150609" w:rsidR="00791A10" w:rsidRDefault="00791A10" w:rsidP="00791A10">
      <w:pPr>
        <w:spacing w:line="360" w:lineRule="auto"/>
        <w:jc w:val="center"/>
        <w:rPr>
          <w:lang w:eastAsia="en-GB"/>
        </w:rPr>
      </w:pPr>
    </w:p>
    <w:p w14:paraId="12953B7F" w14:textId="021841C5" w:rsidR="00791A10" w:rsidRDefault="00791A10" w:rsidP="00791A10">
      <w:pPr>
        <w:spacing w:line="360" w:lineRule="auto"/>
        <w:jc w:val="center"/>
        <w:rPr>
          <w:lang w:eastAsia="en-GB"/>
        </w:rPr>
      </w:pPr>
    </w:p>
    <w:p w14:paraId="779FD2BE" w14:textId="4964BB5C" w:rsidR="00791A10" w:rsidRDefault="00791A10" w:rsidP="00791A10">
      <w:pPr>
        <w:spacing w:line="360" w:lineRule="auto"/>
        <w:jc w:val="center"/>
        <w:rPr>
          <w:lang w:eastAsia="en-GB"/>
        </w:rPr>
      </w:pPr>
    </w:p>
    <w:p w14:paraId="38749E66" w14:textId="6CED910F" w:rsidR="00791A10" w:rsidRDefault="00791A10" w:rsidP="00791A10">
      <w:pPr>
        <w:spacing w:line="360" w:lineRule="auto"/>
        <w:jc w:val="center"/>
        <w:rPr>
          <w:lang w:eastAsia="en-GB"/>
        </w:rPr>
      </w:pPr>
    </w:p>
    <w:p w14:paraId="70E2DCC4" w14:textId="4A3C2FD5" w:rsidR="00791A10" w:rsidRDefault="00791A10" w:rsidP="00791A10">
      <w:pPr>
        <w:spacing w:line="360" w:lineRule="auto"/>
        <w:jc w:val="center"/>
        <w:rPr>
          <w:lang w:eastAsia="en-GB"/>
        </w:rPr>
      </w:pPr>
    </w:p>
    <w:p w14:paraId="7B1C8378" w14:textId="0FEC8A55" w:rsidR="00791A10" w:rsidRDefault="00791A10" w:rsidP="00791A10">
      <w:pPr>
        <w:spacing w:line="360" w:lineRule="auto"/>
        <w:rPr>
          <w:lang w:eastAsia="en-GB"/>
        </w:rPr>
      </w:pPr>
    </w:p>
    <w:p w14:paraId="00839C8D" w14:textId="77777777" w:rsidR="00791A10" w:rsidRPr="00791A10" w:rsidRDefault="00791A10" w:rsidP="00791A10">
      <w:pPr>
        <w:spacing w:line="360" w:lineRule="auto"/>
        <w:jc w:val="center"/>
        <w:rPr>
          <w:lang w:eastAsia="en-GB"/>
        </w:rPr>
      </w:pPr>
    </w:p>
    <w:p w14:paraId="23F997C7" w14:textId="77777777" w:rsidR="00791A10" w:rsidRPr="00791A10" w:rsidRDefault="00791A10" w:rsidP="00791A10">
      <w:pPr>
        <w:pStyle w:val="Heading1"/>
        <w:spacing w:line="360" w:lineRule="auto"/>
        <w:jc w:val="both"/>
      </w:pPr>
      <w:r w:rsidRPr="00791A10">
        <w:lastRenderedPageBreak/>
        <w:t>1. Executive Summary</w:t>
      </w:r>
    </w:p>
    <w:p w14:paraId="79F7A741"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The analysis identifies important strengths, including VodafoneThree’s spectrum holdings, customer scale, multi-brand portfolio, global Internet of Things capabilities and regulated 5G Standalone investment programme. However, integration complexity, substantial investment requirements, regulatory obligations and comparatively modest UK revenue growth remain significant weaknesses. Competitive rivalry is high, while customers and mobile virtual network operators retain considerable bargaining power.</w:t>
      </w:r>
    </w:p>
    <w:p w14:paraId="2CD86DFD"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 xml:space="preserve">The recommended strategy is an </w:t>
      </w:r>
      <w:r w:rsidRPr="00791A10">
        <w:rPr>
          <w:rFonts w:ascii="Times New Roman" w:eastAsia="Times New Roman" w:hAnsi="Times New Roman" w:cs="Times New Roman"/>
          <w:b/>
          <w:bCs/>
          <w:lang w:eastAsia="en-GB"/>
        </w:rPr>
        <w:t>enterprise-focused digital ecosystem growth strategy</w:t>
      </w:r>
      <w:r w:rsidRPr="00791A10">
        <w:rPr>
          <w:rFonts w:ascii="Times New Roman" w:eastAsia="Times New Roman" w:hAnsi="Times New Roman" w:cs="Times New Roman"/>
          <w:lang w:eastAsia="en-GB"/>
        </w:rPr>
        <w:t xml:space="preserve"> based on differentiated 5G services. VodafoneThree should combine 5G Standalone connectivity, private networks, network slicing, Internet of Things services, cybersecurity, cloud services and data analytics into outcome-based solutions for SMEs, public-sector bodies, healthcare, transport, logistics, manufacturing and energy organisations.</w:t>
      </w:r>
    </w:p>
    <w:p w14:paraId="060042AE"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The strategy is suitable because it monetises VodafoneThree’s network investment, feasible because Vodafone already possesses many of the required capabilities, and acceptable because it provides recurring higher-margin revenue while supporting Vodafone’s mission to connect people and businesses. Implementation should be phased over three years, beginning with industry pilots before commercial expansion and national scaling.</w:t>
      </w:r>
    </w:p>
    <w:p w14:paraId="530AB06D" w14:textId="54196D24" w:rsidR="00791A10" w:rsidRDefault="00791A10" w:rsidP="00791A10">
      <w:pPr>
        <w:spacing w:line="360" w:lineRule="auto"/>
        <w:jc w:val="both"/>
        <w:rPr>
          <w:rFonts w:ascii="Times New Roman" w:eastAsia="Times New Roman" w:hAnsi="Times New Roman" w:cs="Times New Roman"/>
          <w:lang w:eastAsia="en-GB"/>
        </w:rPr>
      </w:pPr>
    </w:p>
    <w:p w14:paraId="6E7CE674" w14:textId="48A1D66B" w:rsidR="00791A10" w:rsidRDefault="00791A10" w:rsidP="00791A10">
      <w:pPr>
        <w:spacing w:line="360" w:lineRule="auto"/>
        <w:jc w:val="both"/>
        <w:rPr>
          <w:rFonts w:ascii="Times New Roman" w:eastAsia="Times New Roman" w:hAnsi="Times New Roman" w:cs="Times New Roman"/>
          <w:lang w:eastAsia="en-GB"/>
        </w:rPr>
      </w:pPr>
    </w:p>
    <w:p w14:paraId="03AB9E77" w14:textId="69EAFBAB" w:rsidR="00791A10" w:rsidRDefault="00791A10" w:rsidP="00791A10">
      <w:pPr>
        <w:spacing w:line="360" w:lineRule="auto"/>
        <w:jc w:val="both"/>
        <w:rPr>
          <w:rFonts w:ascii="Times New Roman" w:eastAsia="Times New Roman" w:hAnsi="Times New Roman" w:cs="Times New Roman"/>
          <w:lang w:eastAsia="en-GB"/>
        </w:rPr>
      </w:pPr>
    </w:p>
    <w:p w14:paraId="76C5B10D" w14:textId="19262913" w:rsidR="00791A10" w:rsidRDefault="00791A10" w:rsidP="00791A10">
      <w:pPr>
        <w:spacing w:line="360" w:lineRule="auto"/>
        <w:jc w:val="both"/>
        <w:rPr>
          <w:rFonts w:ascii="Times New Roman" w:eastAsia="Times New Roman" w:hAnsi="Times New Roman" w:cs="Times New Roman"/>
          <w:lang w:eastAsia="en-GB"/>
        </w:rPr>
      </w:pPr>
    </w:p>
    <w:p w14:paraId="6802805D" w14:textId="43034E0C" w:rsidR="00791A10" w:rsidRDefault="00791A10" w:rsidP="00791A10">
      <w:pPr>
        <w:spacing w:line="360" w:lineRule="auto"/>
        <w:jc w:val="both"/>
        <w:rPr>
          <w:rFonts w:ascii="Times New Roman" w:eastAsia="Times New Roman" w:hAnsi="Times New Roman" w:cs="Times New Roman"/>
          <w:lang w:eastAsia="en-GB"/>
        </w:rPr>
      </w:pPr>
    </w:p>
    <w:p w14:paraId="70D5E92A" w14:textId="595EE30C" w:rsidR="00791A10" w:rsidRDefault="00791A10" w:rsidP="00791A10">
      <w:pPr>
        <w:spacing w:line="360" w:lineRule="auto"/>
        <w:jc w:val="both"/>
        <w:rPr>
          <w:rFonts w:ascii="Times New Roman" w:eastAsia="Times New Roman" w:hAnsi="Times New Roman" w:cs="Times New Roman"/>
          <w:lang w:eastAsia="en-GB"/>
        </w:rPr>
      </w:pPr>
    </w:p>
    <w:p w14:paraId="283927B1" w14:textId="33B46D18" w:rsidR="00791A10" w:rsidRDefault="00791A10" w:rsidP="00791A10">
      <w:pPr>
        <w:spacing w:line="360" w:lineRule="auto"/>
        <w:jc w:val="both"/>
        <w:rPr>
          <w:rFonts w:ascii="Times New Roman" w:eastAsia="Times New Roman" w:hAnsi="Times New Roman" w:cs="Times New Roman"/>
          <w:lang w:eastAsia="en-GB"/>
        </w:rPr>
      </w:pPr>
    </w:p>
    <w:p w14:paraId="2BCA099C" w14:textId="00DF81FD" w:rsidR="00791A10" w:rsidRDefault="00791A10" w:rsidP="00791A10">
      <w:pPr>
        <w:spacing w:line="360" w:lineRule="auto"/>
        <w:jc w:val="both"/>
        <w:rPr>
          <w:rFonts w:ascii="Times New Roman" w:eastAsia="Times New Roman" w:hAnsi="Times New Roman" w:cs="Times New Roman"/>
          <w:lang w:eastAsia="en-GB"/>
        </w:rPr>
      </w:pPr>
    </w:p>
    <w:p w14:paraId="198A71FF" w14:textId="6F44081F" w:rsidR="00791A10" w:rsidRDefault="00791A10" w:rsidP="00791A10">
      <w:pPr>
        <w:spacing w:line="360" w:lineRule="auto"/>
        <w:jc w:val="both"/>
        <w:rPr>
          <w:rFonts w:ascii="Times New Roman" w:eastAsia="Times New Roman" w:hAnsi="Times New Roman" w:cs="Times New Roman"/>
          <w:lang w:eastAsia="en-GB"/>
        </w:rPr>
      </w:pPr>
    </w:p>
    <w:p w14:paraId="1FF8735B" w14:textId="196E1D16" w:rsidR="00791A10" w:rsidRDefault="00791A10" w:rsidP="00791A10">
      <w:pPr>
        <w:spacing w:line="360" w:lineRule="auto"/>
        <w:jc w:val="both"/>
        <w:rPr>
          <w:rFonts w:ascii="Times New Roman" w:eastAsia="Times New Roman" w:hAnsi="Times New Roman" w:cs="Times New Roman"/>
          <w:lang w:eastAsia="en-GB"/>
        </w:rPr>
      </w:pPr>
    </w:p>
    <w:p w14:paraId="305EA338" w14:textId="39A86719" w:rsidR="00791A10" w:rsidRDefault="00791A10" w:rsidP="00791A10">
      <w:pPr>
        <w:spacing w:line="360" w:lineRule="auto"/>
        <w:jc w:val="both"/>
        <w:rPr>
          <w:rFonts w:ascii="Times New Roman" w:eastAsia="Times New Roman" w:hAnsi="Times New Roman" w:cs="Times New Roman"/>
          <w:lang w:eastAsia="en-GB"/>
        </w:rPr>
      </w:pPr>
    </w:p>
    <w:p w14:paraId="0C87F610" w14:textId="56F77E55" w:rsidR="00791A10" w:rsidRDefault="00791A10" w:rsidP="00791A10">
      <w:pPr>
        <w:spacing w:line="360" w:lineRule="auto"/>
        <w:jc w:val="both"/>
        <w:rPr>
          <w:rFonts w:ascii="Times New Roman" w:eastAsia="Times New Roman" w:hAnsi="Times New Roman" w:cs="Times New Roman"/>
          <w:lang w:eastAsia="en-GB"/>
        </w:rPr>
      </w:pPr>
    </w:p>
    <w:p w14:paraId="6FB65765" w14:textId="77777777" w:rsidR="00791A10" w:rsidRPr="00791A10" w:rsidRDefault="00791A10" w:rsidP="00791A10">
      <w:pPr>
        <w:spacing w:line="360" w:lineRule="auto"/>
        <w:jc w:val="both"/>
        <w:rPr>
          <w:rFonts w:ascii="Times New Roman" w:eastAsia="Times New Roman" w:hAnsi="Times New Roman" w:cs="Times New Roman"/>
          <w:lang w:eastAsia="en-GB"/>
        </w:rPr>
      </w:pPr>
    </w:p>
    <w:p w14:paraId="5C1F2DAC" w14:textId="4143B9B3" w:rsidR="00791A10" w:rsidRPr="00791A10" w:rsidRDefault="00791A10" w:rsidP="00791A10">
      <w:pPr>
        <w:pStyle w:val="Heading1"/>
        <w:spacing w:line="360" w:lineRule="auto"/>
        <w:jc w:val="both"/>
      </w:pPr>
      <w:r w:rsidRPr="00791A10">
        <w:lastRenderedPageBreak/>
        <w:t xml:space="preserve">2. Introduction </w:t>
      </w:r>
    </w:p>
    <w:p w14:paraId="1E78D649" w14:textId="17F2FDDB" w:rsid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Th</w:t>
      </w:r>
      <w:r>
        <w:rPr>
          <w:rFonts w:ascii="Times New Roman" w:eastAsia="Times New Roman" w:hAnsi="Times New Roman" w:cs="Times New Roman"/>
          <w:lang w:eastAsia="en-GB"/>
        </w:rPr>
        <w:t>e following</w:t>
      </w:r>
      <w:r w:rsidRPr="00791A10">
        <w:rPr>
          <w:rFonts w:ascii="Times New Roman" w:eastAsia="Times New Roman" w:hAnsi="Times New Roman" w:cs="Times New Roman"/>
          <w:lang w:eastAsia="en-GB"/>
        </w:rPr>
        <w:t xml:space="preserve"> report </w:t>
      </w:r>
      <w:r>
        <w:rPr>
          <w:rFonts w:ascii="Times New Roman" w:eastAsia="Times New Roman" w:hAnsi="Times New Roman" w:cs="Times New Roman"/>
          <w:lang w:eastAsia="en-GB"/>
        </w:rPr>
        <w:t xml:space="preserve">is looking into the </w:t>
      </w:r>
      <w:r w:rsidRPr="00791A10">
        <w:rPr>
          <w:rFonts w:ascii="Times New Roman" w:eastAsia="Times New Roman" w:hAnsi="Times New Roman" w:cs="Times New Roman"/>
          <w:lang w:eastAsia="en-GB"/>
        </w:rPr>
        <w:t>Vodafone</w:t>
      </w:r>
      <w:r>
        <w:rPr>
          <w:rFonts w:ascii="Times New Roman" w:eastAsia="Times New Roman" w:hAnsi="Times New Roman" w:cs="Times New Roman"/>
          <w:lang w:eastAsia="en-GB"/>
        </w:rPr>
        <w:t xml:space="preserve"> company </w:t>
      </w:r>
      <w:r w:rsidRPr="00791A10">
        <w:rPr>
          <w:rFonts w:ascii="Times New Roman" w:eastAsia="Times New Roman" w:hAnsi="Times New Roman" w:cs="Times New Roman"/>
          <w:lang w:eastAsia="en-GB"/>
        </w:rPr>
        <w:t xml:space="preserve">to evaluate the organisation’s current strategic position and recommend an appropriate growth strategy for its UK operations. The need for strategic review has become particularly important following the merger of Vodafone UK and Three UK, which has increased VodafoneThree’s customer base, spectrum holdings and network capabilities while also creating new integration, regulatory and investment challenges. The report therefore </w:t>
      </w:r>
      <w:r>
        <w:rPr>
          <w:rFonts w:ascii="Times New Roman" w:eastAsia="Times New Roman" w:hAnsi="Times New Roman" w:cs="Times New Roman"/>
          <w:lang w:eastAsia="en-GB"/>
        </w:rPr>
        <w:t>aims to consider</w:t>
      </w:r>
      <w:r w:rsidRPr="00791A10">
        <w:rPr>
          <w:rFonts w:ascii="Times New Roman" w:eastAsia="Times New Roman" w:hAnsi="Times New Roman" w:cs="Times New Roman"/>
          <w:lang w:eastAsia="en-GB"/>
        </w:rPr>
        <w:t xml:space="preserve"> how Vodafone can use its expanded resources to achieve sustainable growth and strengthen its competitive advantage within the UK telecommunications market.</w:t>
      </w:r>
    </w:p>
    <w:p w14:paraId="63A2B503" w14:textId="77777777" w:rsidR="00791A10" w:rsidRPr="00791A10" w:rsidRDefault="00791A10" w:rsidP="00791A10">
      <w:pPr>
        <w:spacing w:line="360" w:lineRule="auto"/>
        <w:jc w:val="both"/>
        <w:rPr>
          <w:rFonts w:ascii="Times New Roman" w:eastAsia="Times New Roman" w:hAnsi="Times New Roman" w:cs="Times New Roman"/>
          <w:lang w:eastAsia="en-GB"/>
        </w:rPr>
      </w:pPr>
    </w:p>
    <w:p w14:paraId="1CC17CF9" w14:textId="74072155" w:rsid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Vodafone Group is a major European and African telecommunications organisation providing mobile connectivity, fixed broadband, enterprise services, Internet of Things solutions and other digital services. Its mission is centred on connecting individuals, communities and businesses so that they can participate fully in an increasingly digital society (Vodafone Group Plc, 2026a). Its broader vision is to support an inclusive, sustainable and trusted digital future through reliable connectivity, responsible innovation and improved access to technology.</w:t>
      </w:r>
    </w:p>
    <w:p w14:paraId="5096B3A3" w14:textId="77777777" w:rsidR="00791A10" w:rsidRPr="00791A10" w:rsidRDefault="00791A10" w:rsidP="00791A10">
      <w:pPr>
        <w:spacing w:line="360" w:lineRule="auto"/>
        <w:jc w:val="both"/>
        <w:rPr>
          <w:rFonts w:ascii="Times New Roman" w:eastAsia="Times New Roman" w:hAnsi="Times New Roman" w:cs="Times New Roman"/>
          <w:lang w:eastAsia="en-GB"/>
        </w:rPr>
      </w:pPr>
    </w:p>
    <w:p w14:paraId="45E416C0" w14:textId="4076547F" w:rsid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Vodafone’s values emphasise customer focus, integrity, inclusion, innovation, security and responsible business behaviour. These values are reflected in its environmental, social and governance priorities of empowering people, protecting the planet and maintaining trust. The organisation’s main strategic objectives are expressed through the priorities of Customers, Simplicity and Growth. These involve improving customer experience, simplifying operations, increasing productivity and concentrating investment in markets where Vodafone has the scale and capabilities to generate sustainable returns (Vodafone Group Plc, 2026a).</w:t>
      </w:r>
    </w:p>
    <w:p w14:paraId="169475A3" w14:textId="77777777" w:rsidR="00791A10" w:rsidRPr="00791A10" w:rsidRDefault="00791A10" w:rsidP="00791A10">
      <w:pPr>
        <w:spacing w:line="360" w:lineRule="auto"/>
        <w:jc w:val="both"/>
        <w:rPr>
          <w:rFonts w:ascii="Times New Roman" w:eastAsia="Times New Roman" w:hAnsi="Times New Roman" w:cs="Times New Roman"/>
          <w:lang w:eastAsia="en-GB"/>
        </w:rPr>
      </w:pPr>
    </w:p>
    <w:p w14:paraId="5A49A9BA"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The report evaluates Vodafone’s internal and external environment using SWOT analysis and Porter’s Five Forces. It then explores potential growth options, recommends a differentiated enterprise digital ecosystem strategy and evaluates it through the Suitability, Feasibility and Acceptability framework. Finally, the report examines stakeholder implications and presents an implementation and monitoring plan supported by measurable key performance indicators.</w:t>
      </w:r>
    </w:p>
    <w:p w14:paraId="62FEB787" w14:textId="600182A3" w:rsidR="00791A10" w:rsidRDefault="00791A10" w:rsidP="00791A10">
      <w:pPr>
        <w:spacing w:line="360" w:lineRule="auto"/>
        <w:jc w:val="both"/>
        <w:rPr>
          <w:rFonts w:ascii="Times New Roman" w:eastAsia="Times New Roman" w:hAnsi="Times New Roman" w:cs="Times New Roman"/>
          <w:lang w:eastAsia="en-GB"/>
        </w:rPr>
      </w:pPr>
    </w:p>
    <w:p w14:paraId="34FD9D61" w14:textId="77777777" w:rsidR="00791A10" w:rsidRPr="00791A10" w:rsidRDefault="00791A10" w:rsidP="00791A10">
      <w:pPr>
        <w:spacing w:line="360" w:lineRule="auto"/>
        <w:jc w:val="both"/>
        <w:rPr>
          <w:rFonts w:ascii="Times New Roman" w:eastAsia="Times New Roman" w:hAnsi="Times New Roman" w:cs="Times New Roman"/>
          <w:lang w:eastAsia="en-GB"/>
        </w:rPr>
      </w:pPr>
    </w:p>
    <w:p w14:paraId="60D3A8FB" w14:textId="77777777" w:rsidR="00791A10" w:rsidRPr="00791A10" w:rsidRDefault="00791A10" w:rsidP="00791A10">
      <w:pPr>
        <w:pStyle w:val="Heading1"/>
        <w:spacing w:line="360" w:lineRule="auto"/>
        <w:jc w:val="both"/>
      </w:pPr>
      <w:r w:rsidRPr="00791A10">
        <w:lastRenderedPageBreak/>
        <w:t>3. Evaluation of the Current Market Situation</w:t>
      </w:r>
    </w:p>
    <w:p w14:paraId="33069773" w14:textId="77777777" w:rsidR="00791A10" w:rsidRPr="00791A10" w:rsidRDefault="00791A10" w:rsidP="00791A10">
      <w:pPr>
        <w:pStyle w:val="Heading2"/>
        <w:spacing w:line="360" w:lineRule="auto"/>
        <w:jc w:val="both"/>
      </w:pPr>
      <w:r w:rsidRPr="00791A10">
        <w:t>3.1 SWOT analysis</w:t>
      </w:r>
    </w:p>
    <w:tbl>
      <w:tblPr>
        <w:tblStyle w:val="TableGrid"/>
        <w:tblW w:w="0" w:type="auto"/>
        <w:tblLook w:val="04A0" w:firstRow="1" w:lastRow="0" w:firstColumn="1" w:lastColumn="0" w:noHBand="0" w:noVBand="1"/>
      </w:tblPr>
      <w:tblGrid>
        <w:gridCol w:w="4239"/>
        <w:gridCol w:w="4777"/>
      </w:tblGrid>
      <w:tr w:rsidR="00791A10" w:rsidRPr="00791A10" w14:paraId="15AA88D2" w14:textId="77777777" w:rsidTr="00791A10">
        <w:tc>
          <w:tcPr>
            <w:tcW w:w="0" w:type="auto"/>
            <w:hideMark/>
          </w:tcPr>
          <w:p w14:paraId="1EECF0B2" w14:textId="77777777" w:rsidR="00791A10" w:rsidRPr="00791A10" w:rsidRDefault="00791A10" w:rsidP="00791A10">
            <w:pPr>
              <w:spacing w:line="360" w:lineRule="auto"/>
              <w:jc w:val="both"/>
              <w:rPr>
                <w:rFonts w:ascii="Times New Roman" w:eastAsia="Times New Roman" w:hAnsi="Times New Roman" w:cs="Times New Roman"/>
                <w:b/>
                <w:bCs/>
                <w:lang w:eastAsia="en-GB"/>
              </w:rPr>
            </w:pPr>
            <w:r w:rsidRPr="00791A10">
              <w:rPr>
                <w:rFonts w:ascii="Times New Roman" w:eastAsia="Times New Roman" w:hAnsi="Times New Roman" w:cs="Times New Roman"/>
                <w:b/>
                <w:bCs/>
                <w:lang w:eastAsia="en-GB"/>
              </w:rPr>
              <w:t>Strengths</w:t>
            </w:r>
          </w:p>
        </w:tc>
        <w:tc>
          <w:tcPr>
            <w:tcW w:w="0" w:type="auto"/>
            <w:hideMark/>
          </w:tcPr>
          <w:p w14:paraId="02DA8EF2" w14:textId="77777777" w:rsidR="00791A10" w:rsidRPr="00791A10" w:rsidRDefault="00791A10" w:rsidP="00791A10">
            <w:pPr>
              <w:spacing w:line="360" w:lineRule="auto"/>
              <w:jc w:val="both"/>
              <w:rPr>
                <w:rFonts w:ascii="Times New Roman" w:eastAsia="Times New Roman" w:hAnsi="Times New Roman" w:cs="Times New Roman"/>
                <w:b/>
                <w:bCs/>
                <w:lang w:eastAsia="en-GB"/>
              </w:rPr>
            </w:pPr>
            <w:r w:rsidRPr="00791A10">
              <w:rPr>
                <w:rFonts w:ascii="Times New Roman" w:eastAsia="Times New Roman" w:hAnsi="Times New Roman" w:cs="Times New Roman"/>
                <w:b/>
                <w:bCs/>
                <w:lang w:eastAsia="en-GB"/>
              </w:rPr>
              <w:t>Weaknesses</w:t>
            </w:r>
          </w:p>
        </w:tc>
      </w:tr>
      <w:tr w:rsidR="00791A10" w:rsidRPr="00791A10" w14:paraId="74A77A7B" w14:textId="77777777" w:rsidTr="00791A10">
        <w:tc>
          <w:tcPr>
            <w:tcW w:w="0" w:type="auto"/>
            <w:hideMark/>
          </w:tcPr>
          <w:p w14:paraId="4A4FAEE4"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VodafoneThree is the UK’s largest mobile operator and possesses the largest spectrum holding among UK operators.</w:t>
            </w:r>
          </w:p>
        </w:tc>
        <w:tc>
          <w:tcPr>
            <w:tcW w:w="0" w:type="auto"/>
            <w:hideMark/>
          </w:tcPr>
          <w:p w14:paraId="6DF5400F"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 xml:space="preserve">Integrating Vodafone and Three’s networks, systems, cultures, stores and customer-service processes </w:t>
            </w:r>
            <w:proofErr w:type="gramStart"/>
            <w:r w:rsidRPr="00791A10">
              <w:rPr>
                <w:rFonts w:ascii="Times New Roman" w:eastAsia="Times New Roman" w:hAnsi="Times New Roman" w:cs="Times New Roman"/>
                <w:lang w:eastAsia="en-GB"/>
              </w:rPr>
              <w:t>is</w:t>
            </w:r>
            <w:proofErr w:type="gramEnd"/>
            <w:r w:rsidRPr="00791A10">
              <w:rPr>
                <w:rFonts w:ascii="Times New Roman" w:eastAsia="Times New Roman" w:hAnsi="Times New Roman" w:cs="Times New Roman"/>
                <w:lang w:eastAsia="en-GB"/>
              </w:rPr>
              <w:t xml:space="preserve"> operationally complex.</w:t>
            </w:r>
          </w:p>
        </w:tc>
      </w:tr>
      <w:tr w:rsidR="00791A10" w:rsidRPr="00791A10" w14:paraId="7CD04785" w14:textId="77777777" w:rsidTr="00791A10">
        <w:tc>
          <w:tcPr>
            <w:tcW w:w="0" w:type="auto"/>
            <w:hideMark/>
          </w:tcPr>
          <w:p w14:paraId="5812A469"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A regulated and fully funded £11 billion network plan provides long-term infrastructure visibility.</w:t>
            </w:r>
          </w:p>
        </w:tc>
        <w:tc>
          <w:tcPr>
            <w:tcW w:w="0" w:type="auto"/>
            <w:hideMark/>
          </w:tcPr>
          <w:p w14:paraId="5E3A475B"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The strategy is capital-intensive and requires substantial expenditure before all commercial benefits are realised.</w:t>
            </w:r>
          </w:p>
        </w:tc>
      </w:tr>
      <w:tr w:rsidR="00791A10" w:rsidRPr="00791A10" w14:paraId="7881A1F2" w14:textId="77777777" w:rsidTr="00791A10">
        <w:tc>
          <w:tcPr>
            <w:tcW w:w="0" w:type="auto"/>
            <w:hideMark/>
          </w:tcPr>
          <w:p w14:paraId="5D54B4DF"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 xml:space="preserve">Multi-brand portfolio including Vodafone, Three, VOXI, SMARTY and </w:t>
            </w:r>
            <w:proofErr w:type="spellStart"/>
            <w:r w:rsidRPr="00791A10">
              <w:rPr>
                <w:rFonts w:ascii="Times New Roman" w:eastAsia="Times New Roman" w:hAnsi="Times New Roman" w:cs="Times New Roman"/>
                <w:lang w:eastAsia="en-GB"/>
              </w:rPr>
              <w:t>Talkmobile</w:t>
            </w:r>
            <w:proofErr w:type="spellEnd"/>
            <w:r w:rsidRPr="00791A10">
              <w:rPr>
                <w:rFonts w:ascii="Times New Roman" w:eastAsia="Times New Roman" w:hAnsi="Times New Roman" w:cs="Times New Roman"/>
                <w:lang w:eastAsia="en-GB"/>
              </w:rPr>
              <w:t xml:space="preserve"> covers premium, mainstream and value-conscious segments.</w:t>
            </w:r>
          </w:p>
        </w:tc>
        <w:tc>
          <w:tcPr>
            <w:tcW w:w="0" w:type="auto"/>
            <w:hideMark/>
          </w:tcPr>
          <w:p w14:paraId="15ABBD16"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UK organic service revenue grew by only 0.3% in FY26, while Vodafone’s UK business segment experienced pressure from contract terminations and lower project activity.</w:t>
            </w:r>
          </w:p>
        </w:tc>
      </w:tr>
      <w:tr w:rsidR="00791A10" w:rsidRPr="00791A10" w14:paraId="584EE42C" w14:textId="77777777" w:rsidTr="00791A10">
        <w:tc>
          <w:tcPr>
            <w:tcW w:w="0" w:type="auto"/>
            <w:hideMark/>
          </w:tcPr>
          <w:p w14:paraId="202EC085"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Vodafone has global capabilities in IoT, cybersecurity, cloud connectivity and enterprise services.</w:t>
            </w:r>
          </w:p>
        </w:tc>
        <w:tc>
          <w:tcPr>
            <w:tcW w:w="0" w:type="auto"/>
            <w:hideMark/>
          </w:tcPr>
          <w:p w14:paraId="3C9C6EAE"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The Three brand historically experienced weaker network and customer-experience perceptions, although performance has been improving.</w:t>
            </w:r>
          </w:p>
        </w:tc>
      </w:tr>
      <w:tr w:rsidR="00791A10" w:rsidRPr="00791A10" w14:paraId="224985E6" w14:textId="77777777" w:rsidTr="00791A10">
        <w:tc>
          <w:tcPr>
            <w:tcW w:w="0" w:type="auto"/>
            <w:hideMark/>
          </w:tcPr>
          <w:p w14:paraId="65945974"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Early integration has increased network coverage, speed and capacity.</w:t>
            </w:r>
          </w:p>
        </w:tc>
        <w:tc>
          <w:tcPr>
            <w:tcW w:w="0" w:type="auto"/>
            <w:hideMark/>
          </w:tcPr>
          <w:p w14:paraId="07389F72"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Legacy systems and duplicated sites, processes and product portfolios may delay decision-making and increase integration costs.</w:t>
            </w:r>
          </w:p>
        </w:tc>
      </w:tr>
      <w:tr w:rsidR="00791A10" w:rsidRPr="00791A10" w14:paraId="6BFA06E8" w14:textId="77777777" w:rsidTr="00791A10">
        <w:tc>
          <w:tcPr>
            <w:tcW w:w="0" w:type="auto"/>
            <w:hideMark/>
          </w:tcPr>
          <w:p w14:paraId="79A285D8"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Vodafone’s international scale creates purchasing, roaming, technology and partnership advantages.</w:t>
            </w:r>
          </w:p>
        </w:tc>
        <w:tc>
          <w:tcPr>
            <w:tcW w:w="0" w:type="auto"/>
            <w:hideMark/>
          </w:tcPr>
          <w:p w14:paraId="6AF59FA2"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Vodafone’s planned £4.3 billion acquisition of the remaining VodafoneThree interest increases financial concentration and leverage.</w:t>
            </w:r>
          </w:p>
        </w:tc>
      </w:tr>
    </w:tbl>
    <w:p w14:paraId="71E7D243" w14:textId="77777777" w:rsidR="00791A10" w:rsidRPr="00791A10" w:rsidRDefault="00791A10" w:rsidP="00791A10">
      <w:pPr>
        <w:spacing w:line="360" w:lineRule="auto"/>
        <w:jc w:val="both"/>
        <w:rPr>
          <w:rFonts w:ascii="Times New Roman" w:eastAsia="Times New Roman" w:hAnsi="Times New Roman" w:cs="Times New Roman"/>
          <w:vanish/>
          <w:lang w:eastAsia="en-GB"/>
        </w:rPr>
      </w:pPr>
    </w:p>
    <w:tbl>
      <w:tblPr>
        <w:tblStyle w:val="TableGrid"/>
        <w:tblW w:w="0" w:type="auto"/>
        <w:tblLook w:val="04A0" w:firstRow="1" w:lastRow="0" w:firstColumn="1" w:lastColumn="0" w:noHBand="0" w:noVBand="1"/>
      </w:tblPr>
      <w:tblGrid>
        <w:gridCol w:w="4091"/>
        <w:gridCol w:w="4925"/>
      </w:tblGrid>
      <w:tr w:rsidR="00791A10" w:rsidRPr="00791A10" w14:paraId="55746A98" w14:textId="77777777" w:rsidTr="00791A10">
        <w:tc>
          <w:tcPr>
            <w:tcW w:w="0" w:type="auto"/>
            <w:hideMark/>
          </w:tcPr>
          <w:p w14:paraId="657A4867" w14:textId="77777777" w:rsidR="00791A10" w:rsidRPr="00791A10" w:rsidRDefault="00791A10" w:rsidP="00791A10">
            <w:pPr>
              <w:spacing w:line="360" w:lineRule="auto"/>
              <w:jc w:val="both"/>
              <w:rPr>
                <w:rFonts w:ascii="Times New Roman" w:eastAsia="Times New Roman" w:hAnsi="Times New Roman" w:cs="Times New Roman"/>
                <w:b/>
                <w:bCs/>
                <w:lang w:eastAsia="en-GB"/>
              </w:rPr>
            </w:pPr>
            <w:r w:rsidRPr="00791A10">
              <w:rPr>
                <w:rFonts w:ascii="Times New Roman" w:eastAsia="Times New Roman" w:hAnsi="Times New Roman" w:cs="Times New Roman"/>
                <w:b/>
                <w:bCs/>
                <w:lang w:eastAsia="en-GB"/>
              </w:rPr>
              <w:t>Opportunities</w:t>
            </w:r>
          </w:p>
        </w:tc>
        <w:tc>
          <w:tcPr>
            <w:tcW w:w="0" w:type="auto"/>
            <w:hideMark/>
          </w:tcPr>
          <w:p w14:paraId="1F387F32" w14:textId="77777777" w:rsidR="00791A10" w:rsidRPr="00791A10" w:rsidRDefault="00791A10" w:rsidP="00791A10">
            <w:pPr>
              <w:spacing w:line="360" w:lineRule="auto"/>
              <w:jc w:val="both"/>
              <w:rPr>
                <w:rFonts w:ascii="Times New Roman" w:eastAsia="Times New Roman" w:hAnsi="Times New Roman" w:cs="Times New Roman"/>
                <w:b/>
                <w:bCs/>
                <w:lang w:eastAsia="en-GB"/>
              </w:rPr>
            </w:pPr>
            <w:r w:rsidRPr="00791A10">
              <w:rPr>
                <w:rFonts w:ascii="Times New Roman" w:eastAsia="Times New Roman" w:hAnsi="Times New Roman" w:cs="Times New Roman"/>
                <w:b/>
                <w:bCs/>
                <w:lang w:eastAsia="en-GB"/>
              </w:rPr>
              <w:t>Threats</w:t>
            </w:r>
          </w:p>
        </w:tc>
      </w:tr>
      <w:tr w:rsidR="00791A10" w:rsidRPr="00791A10" w14:paraId="1D16CE5E" w14:textId="77777777" w:rsidTr="00791A10">
        <w:tc>
          <w:tcPr>
            <w:tcW w:w="0" w:type="auto"/>
            <w:hideMark/>
          </w:tcPr>
          <w:p w14:paraId="6E2A235B"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Monetisation of 5G Standalone through network slicing, private networks, edge computing and guaranteed enterprise connectivity.</w:t>
            </w:r>
          </w:p>
        </w:tc>
        <w:tc>
          <w:tcPr>
            <w:tcW w:w="0" w:type="auto"/>
            <w:hideMark/>
          </w:tcPr>
          <w:p w14:paraId="619B479A"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Strong rivalry from BT/EE, Virgin Media O2, alternative fibre providers and low-cost mobile virtual network operators.</w:t>
            </w:r>
          </w:p>
        </w:tc>
      </w:tr>
      <w:tr w:rsidR="00791A10" w:rsidRPr="00791A10" w14:paraId="178119ED" w14:textId="77777777" w:rsidTr="00791A10">
        <w:tc>
          <w:tcPr>
            <w:tcW w:w="0" w:type="auto"/>
            <w:hideMark/>
          </w:tcPr>
          <w:p w14:paraId="0EF7A373"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Increased business demand for IoT, cloud, cybersecurity, artificial intelligence and data-sovereign services.</w:t>
            </w:r>
          </w:p>
        </w:tc>
        <w:tc>
          <w:tcPr>
            <w:tcW w:w="0" w:type="auto"/>
            <w:hideMark/>
          </w:tcPr>
          <w:p w14:paraId="4D462833"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Regulatory intervention could restrict prices, commercial flexibility, network management and merger-related decisions.</w:t>
            </w:r>
          </w:p>
        </w:tc>
      </w:tr>
      <w:tr w:rsidR="00791A10" w:rsidRPr="00791A10" w14:paraId="1CF3905C" w14:textId="77777777" w:rsidTr="00791A10">
        <w:tc>
          <w:tcPr>
            <w:tcW w:w="0" w:type="auto"/>
            <w:hideMark/>
          </w:tcPr>
          <w:p w14:paraId="4ECC5411"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lastRenderedPageBreak/>
              <w:t>Cross-selling mobile, broadband, security, cloud and IoT services to existing customers.</w:t>
            </w:r>
          </w:p>
        </w:tc>
        <w:tc>
          <w:tcPr>
            <w:tcW w:w="0" w:type="auto"/>
            <w:hideMark/>
          </w:tcPr>
          <w:p w14:paraId="0FC1E825"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Cyberattacks or major network outages could create financial, operational and reputational damage.</w:t>
            </w:r>
          </w:p>
        </w:tc>
      </w:tr>
      <w:tr w:rsidR="00791A10" w:rsidRPr="00791A10" w14:paraId="7F96EFBC" w14:textId="77777777" w:rsidTr="00791A10">
        <w:tc>
          <w:tcPr>
            <w:tcW w:w="0" w:type="auto"/>
            <w:hideMark/>
          </w:tcPr>
          <w:p w14:paraId="46F5E6BF"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Growth in smart manufacturing, connected healthcare, transport, energy and smart-city applications.</w:t>
            </w:r>
          </w:p>
        </w:tc>
        <w:tc>
          <w:tcPr>
            <w:tcW w:w="0" w:type="auto"/>
            <w:hideMark/>
          </w:tcPr>
          <w:p w14:paraId="62A2189B"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Customers may resist higher prices, particularly during continuing cost-of-living pressures.</w:t>
            </w:r>
          </w:p>
        </w:tc>
      </w:tr>
      <w:tr w:rsidR="00791A10" w:rsidRPr="00791A10" w14:paraId="4D8A9887" w14:textId="77777777" w:rsidTr="00791A10">
        <w:tc>
          <w:tcPr>
            <w:tcW w:w="0" w:type="auto"/>
            <w:hideMark/>
          </w:tcPr>
          <w:p w14:paraId="5C78020C"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Network integration can reduce duplicated infrastructure and improve economies of scale.</w:t>
            </w:r>
          </w:p>
        </w:tc>
        <w:tc>
          <w:tcPr>
            <w:tcW w:w="0" w:type="auto"/>
            <w:hideMark/>
          </w:tcPr>
          <w:p w14:paraId="02F35EDB"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Delays in planning permission, equipment deployment or site integration could slow the 5G programme.</w:t>
            </w:r>
          </w:p>
        </w:tc>
      </w:tr>
      <w:tr w:rsidR="00791A10" w:rsidRPr="00791A10" w14:paraId="68BDB0FD" w14:textId="77777777" w:rsidTr="00791A10">
        <w:tc>
          <w:tcPr>
            <w:tcW w:w="0" w:type="auto"/>
            <w:hideMark/>
          </w:tcPr>
          <w:p w14:paraId="590A49E3"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Rural coverage expansion and fixed wireless access can reach underserved households and businesses.</w:t>
            </w:r>
          </w:p>
        </w:tc>
        <w:tc>
          <w:tcPr>
            <w:tcW w:w="0" w:type="auto"/>
            <w:hideMark/>
          </w:tcPr>
          <w:p w14:paraId="7AC167F2"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Technological disruption from satellite connectivity, Wi-Fi-based services and new digital communication platforms may reduce demand for some conventional services.</w:t>
            </w:r>
          </w:p>
        </w:tc>
      </w:tr>
    </w:tbl>
    <w:p w14:paraId="503BC056" w14:textId="77777777" w:rsidR="00791A10" w:rsidRPr="00791A10" w:rsidRDefault="00791A10" w:rsidP="00791A10">
      <w:pPr>
        <w:pStyle w:val="Heading2"/>
        <w:spacing w:line="360" w:lineRule="auto"/>
        <w:jc w:val="both"/>
      </w:pPr>
      <w:r w:rsidRPr="00791A10">
        <w:t>3.2 Evaluation of SWOT findings</w:t>
      </w:r>
    </w:p>
    <w:p w14:paraId="1F4E88B3"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VodafoneThree’s most important strategic resource is the combination of network scale, spectrum, customer relationships and enterprise capabilities. Vodafone reported that customers were already using both networks across approximately 10,000 radio sites by May 2026. Its national average 5G download speed increased from approximately 172 Mbps in June 2025 to 237 Mbps by February 2026. Vodafone also described VodafoneThree as having the largest mobile base, the largest spectrum holding and a significant opportunity in fixed wireless access and converged services.</w:t>
      </w:r>
    </w:p>
    <w:p w14:paraId="22DEEC42"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Early integration benefits provide evidence that the merger can improve network quality. More than seven million Three customers received an average 4G speed increase of approximately 20%, with increases of up to 40% in some locations after additional spectrum was activated across almost 15,000 sites.</w:t>
      </w:r>
    </w:p>
    <w:p w14:paraId="5D1A606A"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 xml:space="preserve">The broader network programme is expected to reach 99% 5G Standalone population coverage by 2030 and approximately 99.96% by 2034. VodafoneThree has appointed Ericsson and Nokia as principal technology partners and signed contracts worth more than £2 billion as part of the programme. The company estimates that its investment could contribute up to £102 billion to UK economic output between 2025 and 2035 and create as many as 13,000 jobs during peak investment years. These estimates originate from research commissioned by </w:t>
      </w:r>
      <w:r w:rsidRPr="00791A10">
        <w:rPr>
          <w:rFonts w:ascii="Times New Roman" w:eastAsia="Times New Roman" w:hAnsi="Times New Roman" w:cs="Times New Roman"/>
          <w:lang w:eastAsia="en-GB"/>
        </w:rPr>
        <w:lastRenderedPageBreak/>
        <w:t>VodafoneThree and should therefore be treated as potential outcomes rather than guaranteed benefits.</w:t>
      </w:r>
    </w:p>
    <w:p w14:paraId="57F1A470"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Nevertheless, scale does not automatically produce competitive advantage. According to the resource-based view, resources create sustained advantage only where they are valuable, difficult to imitate and effectively organised (Barney, 1991). Competitors can purchase similar equipment, so VodafoneThree’s advantage will depend on how effectively it combines spectrum, customer information, software, partnerships and service capabilities. A network that is technically superior but difficult to purchase, configure or support would not create sufficient differentiation.</w:t>
      </w:r>
    </w:p>
    <w:p w14:paraId="6C3E4609"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 xml:space="preserve">Financial performance also demonstrates the need for a new source of growth. Vodafone’s UK operation recorded organic service revenue growth of 0.3% in FY26, supported by consumer and wholesale performance but partly offset by weakness in business services. Adjusted </w:t>
      </w:r>
      <w:proofErr w:type="spellStart"/>
      <w:r w:rsidRPr="00791A10">
        <w:rPr>
          <w:rFonts w:ascii="Times New Roman" w:eastAsia="Times New Roman" w:hAnsi="Times New Roman" w:cs="Times New Roman"/>
          <w:lang w:eastAsia="en-GB"/>
        </w:rPr>
        <w:t>EBITDAaL</w:t>
      </w:r>
      <w:proofErr w:type="spellEnd"/>
      <w:r w:rsidRPr="00791A10">
        <w:rPr>
          <w:rFonts w:ascii="Times New Roman" w:eastAsia="Times New Roman" w:hAnsi="Times New Roman" w:cs="Times New Roman"/>
          <w:lang w:eastAsia="en-GB"/>
        </w:rPr>
        <w:t xml:space="preserve"> grew organically by 4.5%, indicating improving efficiency, but revenue growth remained relatively modest.</w:t>
      </w:r>
    </w:p>
    <w:p w14:paraId="2C11AFF2" w14:textId="77777777" w:rsidR="00791A10" w:rsidRPr="00791A10" w:rsidRDefault="00791A10" w:rsidP="00791A10">
      <w:pPr>
        <w:pStyle w:val="Heading2"/>
        <w:spacing w:line="360" w:lineRule="auto"/>
        <w:jc w:val="both"/>
      </w:pPr>
      <w:r w:rsidRPr="00791A10">
        <w:t>3.3 Porter’s Five Forces analysis</w:t>
      </w:r>
    </w:p>
    <w:tbl>
      <w:tblPr>
        <w:tblStyle w:val="TableGrid"/>
        <w:tblW w:w="0" w:type="auto"/>
        <w:tblLook w:val="04A0" w:firstRow="1" w:lastRow="0" w:firstColumn="1" w:lastColumn="0" w:noHBand="0" w:noVBand="1"/>
      </w:tblPr>
      <w:tblGrid>
        <w:gridCol w:w="1670"/>
        <w:gridCol w:w="7346"/>
      </w:tblGrid>
      <w:tr w:rsidR="00791A10" w:rsidRPr="00791A10" w14:paraId="0DC3B330" w14:textId="77777777" w:rsidTr="00791A10">
        <w:tc>
          <w:tcPr>
            <w:tcW w:w="0" w:type="auto"/>
            <w:hideMark/>
          </w:tcPr>
          <w:p w14:paraId="3D97A750" w14:textId="77777777" w:rsidR="00791A10" w:rsidRPr="00791A10" w:rsidRDefault="00791A10" w:rsidP="00791A10">
            <w:pPr>
              <w:spacing w:line="360" w:lineRule="auto"/>
              <w:jc w:val="both"/>
              <w:rPr>
                <w:rFonts w:ascii="Times New Roman" w:eastAsia="Times New Roman" w:hAnsi="Times New Roman" w:cs="Times New Roman"/>
                <w:b/>
                <w:bCs/>
                <w:lang w:eastAsia="en-GB"/>
              </w:rPr>
            </w:pPr>
            <w:r w:rsidRPr="00791A10">
              <w:rPr>
                <w:rFonts w:ascii="Times New Roman" w:eastAsia="Times New Roman" w:hAnsi="Times New Roman" w:cs="Times New Roman"/>
                <w:b/>
                <w:bCs/>
                <w:lang w:eastAsia="en-GB"/>
              </w:rPr>
              <w:t>Competitive force</w:t>
            </w:r>
          </w:p>
        </w:tc>
        <w:tc>
          <w:tcPr>
            <w:tcW w:w="0" w:type="auto"/>
            <w:hideMark/>
          </w:tcPr>
          <w:p w14:paraId="7DFA7E14" w14:textId="77777777" w:rsidR="00791A10" w:rsidRPr="00791A10" w:rsidRDefault="00791A10" w:rsidP="00791A10">
            <w:pPr>
              <w:spacing w:line="360" w:lineRule="auto"/>
              <w:jc w:val="both"/>
              <w:rPr>
                <w:rFonts w:ascii="Times New Roman" w:eastAsia="Times New Roman" w:hAnsi="Times New Roman" w:cs="Times New Roman"/>
                <w:b/>
                <w:bCs/>
                <w:lang w:eastAsia="en-GB"/>
              </w:rPr>
            </w:pPr>
            <w:r w:rsidRPr="00791A10">
              <w:rPr>
                <w:rFonts w:ascii="Times New Roman" w:eastAsia="Times New Roman" w:hAnsi="Times New Roman" w:cs="Times New Roman"/>
                <w:b/>
                <w:bCs/>
                <w:lang w:eastAsia="en-GB"/>
              </w:rPr>
              <w:t>Strength and supporting analysis</w:t>
            </w:r>
          </w:p>
        </w:tc>
      </w:tr>
      <w:tr w:rsidR="00791A10" w:rsidRPr="00791A10" w14:paraId="38B7CF5C" w14:textId="77777777" w:rsidTr="00791A10">
        <w:tc>
          <w:tcPr>
            <w:tcW w:w="0" w:type="auto"/>
            <w:hideMark/>
          </w:tcPr>
          <w:p w14:paraId="27BDFDE6"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Competitive rivalry</w:t>
            </w:r>
          </w:p>
        </w:tc>
        <w:tc>
          <w:tcPr>
            <w:tcW w:w="0" w:type="auto"/>
            <w:hideMark/>
          </w:tcPr>
          <w:p w14:paraId="3EC222A4"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High.</w:t>
            </w:r>
            <w:r w:rsidRPr="00791A10">
              <w:rPr>
                <w:rFonts w:ascii="Times New Roman" w:eastAsia="Times New Roman" w:hAnsi="Times New Roman" w:cs="Times New Roman"/>
                <w:lang w:eastAsia="en-GB"/>
              </w:rPr>
              <w:t xml:space="preserve"> VodafoneThree competes against BT/EE, Virgin Media O2, alternative broadband providers and numerous mobile virtual network operators. Services can appear similar, encouraging competition through price, coverage, devices, customer service and bundled packages. VodafoneThree’s formation reduces the number of national mobile network operators from four to three, but rivalry between the remaining scaled providers remains substantial.</w:t>
            </w:r>
          </w:p>
        </w:tc>
      </w:tr>
      <w:tr w:rsidR="00791A10" w:rsidRPr="00791A10" w14:paraId="4459EE42" w14:textId="77777777" w:rsidTr="00791A10">
        <w:tc>
          <w:tcPr>
            <w:tcW w:w="0" w:type="auto"/>
            <w:hideMark/>
          </w:tcPr>
          <w:p w14:paraId="7E9AD7D5"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Threat of new entrants</w:t>
            </w:r>
          </w:p>
        </w:tc>
        <w:tc>
          <w:tcPr>
            <w:tcW w:w="0" w:type="auto"/>
            <w:hideMark/>
          </w:tcPr>
          <w:p w14:paraId="1556F74C"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Low at network level; moderate at service level.</w:t>
            </w:r>
            <w:r w:rsidRPr="00791A10">
              <w:rPr>
                <w:rFonts w:ascii="Times New Roman" w:eastAsia="Times New Roman" w:hAnsi="Times New Roman" w:cs="Times New Roman"/>
                <w:lang w:eastAsia="en-GB"/>
              </w:rPr>
              <w:t xml:space="preserve"> Spectrum licences, infrastructure expenditure, regulation and nationwide coverage requirements create high barriers to becoming a mobile network operator. However, virtual operators, cloud-based communication providers and specialised digital-service companies can enter selected segments without building national networks.</w:t>
            </w:r>
          </w:p>
        </w:tc>
      </w:tr>
      <w:tr w:rsidR="00791A10" w:rsidRPr="00791A10" w14:paraId="60475245" w14:textId="77777777" w:rsidTr="00791A10">
        <w:tc>
          <w:tcPr>
            <w:tcW w:w="0" w:type="auto"/>
            <w:hideMark/>
          </w:tcPr>
          <w:p w14:paraId="4916370A"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lastRenderedPageBreak/>
              <w:t>Buyer power</w:t>
            </w:r>
          </w:p>
        </w:tc>
        <w:tc>
          <w:tcPr>
            <w:tcW w:w="0" w:type="auto"/>
            <w:hideMark/>
          </w:tcPr>
          <w:p w14:paraId="744A4509"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High.</w:t>
            </w:r>
            <w:r w:rsidRPr="00791A10">
              <w:rPr>
                <w:rFonts w:ascii="Times New Roman" w:eastAsia="Times New Roman" w:hAnsi="Times New Roman" w:cs="Times New Roman"/>
                <w:lang w:eastAsia="en-GB"/>
              </w:rPr>
              <w:t xml:space="preserve"> Consumers can compare tariffs and switch providers, while large business and public-sector customers can negotiate contracts through competitive tendering. Price sensitivity and low differentiation in basic connectivity strengthen buyer power. Vodafone must therefore differentiate through reliability, service outcomes, security and integrated solutions.</w:t>
            </w:r>
          </w:p>
        </w:tc>
      </w:tr>
      <w:tr w:rsidR="00791A10" w:rsidRPr="00791A10" w14:paraId="4732A678" w14:textId="77777777" w:rsidTr="00791A10">
        <w:tc>
          <w:tcPr>
            <w:tcW w:w="0" w:type="auto"/>
            <w:hideMark/>
          </w:tcPr>
          <w:p w14:paraId="2B2BFF67"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Supplier power</w:t>
            </w:r>
          </w:p>
        </w:tc>
        <w:tc>
          <w:tcPr>
            <w:tcW w:w="0" w:type="auto"/>
            <w:hideMark/>
          </w:tcPr>
          <w:p w14:paraId="51F1E031"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Moderate to high.</w:t>
            </w:r>
            <w:r w:rsidRPr="00791A10">
              <w:rPr>
                <w:rFonts w:ascii="Times New Roman" w:eastAsia="Times New Roman" w:hAnsi="Times New Roman" w:cs="Times New Roman"/>
                <w:lang w:eastAsia="en-GB"/>
              </w:rPr>
              <w:t xml:space="preserve"> Network equipment, semiconductors, smartphones, cloud services and specialist software are concentrated among a limited number of global suppliers. VodafoneThree’s contracts with Ericsson and Nokia provide technological capability but also create dependency. Vodafone’s purchasing scale and multi-vendor approach partly reduce this power.</w:t>
            </w:r>
          </w:p>
        </w:tc>
      </w:tr>
      <w:tr w:rsidR="00791A10" w:rsidRPr="00791A10" w14:paraId="0AFD4C40" w14:textId="77777777" w:rsidTr="00791A10">
        <w:tc>
          <w:tcPr>
            <w:tcW w:w="0" w:type="auto"/>
            <w:hideMark/>
          </w:tcPr>
          <w:p w14:paraId="7D292E4B"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Threat of substitutes</w:t>
            </w:r>
          </w:p>
        </w:tc>
        <w:tc>
          <w:tcPr>
            <w:tcW w:w="0" w:type="auto"/>
            <w:hideMark/>
          </w:tcPr>
          <w:p w14:paraId="2FE1F83F"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Moderate.</w:t>
            </w:r>
            <w:r w:rsidRPr="00791A10">
              <w:rPr>
                <w:rFonts w:ascii="Times New Roman" w:eastAsia="Times New Roman" w:hAnsi="Times New Roman" w:cs="Times New Roman"/>
                <w:lang w:eastAsia="en-GB"/>
              </w:rPr>
              <w:t xml:space="preserve"> Wi-Fi, fixed fibre, satellite broadband and internet-based messaging can substitute for parts of conventional mobile and voice services. However, mobility, emergency access and nationwide connectivity mean that mobile networks remain essential. The greater threat is substitution of high-margin operator services by independent cloud, software and cybersecurity providers.</w:t>
            </w:r>
          </w:p>
        </w:tc>
      </w:tr>
    </w:tbl>
    <w:p w14:paraId="3262F20B" w14:textId="77777777" w:rsidR="00791A10" w:rsidRPr="00791A10" w:rsidRDefault="00791A10" w:rsidP="00791A10">
      <w:pPr>
        <w:pStyle w:val="Heading2"/>
        <w:spacing w:line="360" w:lineRule="auto"/>
        <w:jc w:val="both"/>
      </w:pPr>
      <w:r w:rsidRPr="00791A10">
        <w:t>3.4 Overall market evaluation</w:t>
      </w:r>
    </w:p>
    <w:p w14:paraId="18EC4BB7"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Porter’s framework suggests that basic telecommunications connectivity is structurally challenging because rivalry and buyer power are high, while capital requirements are substantial (Porter, 1980). Competing primarily through lower consumer prices would therefore risk reducing margins while making it harder to finance the network programme.</w:t>
      </w:r>
    </w:p>
    <w:p w14:paraId="3C217C67"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The merger also creates regulatory constraints. The Competition and Markets Authority concluded that, without remedies, the merger could increase prices, reduce data allowances and weaken the terms available to mobile virtual network operators. Approval therefore required VodafoneThree to implement its joint network plan, cap selected consumer tariffs for three years and offer predetermined wholesale prices and terms for three years. Progress must be monitored by the CMA and Ofcom and reported annually.</w:t>
      </w:r>
    </w:p>
    <w:p w14:paraId="6BAE5BD9"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 xml:space="preserve">Cybersecurity is another significant external pressure. UK public telecoms providers are required to maintain proportionate security controls under the Telecommunications Security </w:t>
      </w:r>
      <w:r w:rsidRPr="00791A10">
        <w:rPr>
          <w:rFonts w:ascii="Times New Roman" w:eastAsia="Times New Roman" w:hAnsi="Times New Roman" w:cs="Times New Roman"/>
          <w:lang w:eastAsia="en-GB"/>
        </w:rPr>
        <w:lastRenderedPageBreak/>
        <w:t>framework. Non-compliance can lead to penalties of up to 10% of turnover or £100,000 per day for continuing breaches.</w:t>
      </w:r>
    </w:p>
    <w:p w14:paraId="1B068B45"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Nevertheless, technological and market trends create a substantial opportunity. Ofcom reported that, by January 2026, outdoor 5G coverage across individual UK operators ranged from 76% to 94%, while 5G Standalone coverage ranged from 49% to 85% among operators that had deployed it. This demonstrates that 5G is becoming widely available but is not yet completely mature, leaving scope for VodafoneThree to establish a leadership position.</w:t>
      </w:r>
    </w:p>
    <w:p w14:paraId="65199E38"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The market is therefore attractive where Vodafone can move beyond commoditised connectivity and sell integrated, secure and outcome-based services. It is less attractive where competition is based mainly on SIM prices, handset promotions or undifferentiated data allowances.</w:t>
      </w:r>
    </w:p>
    <w:p w14:paraId="22D7C77A" w14:textId="34BFA7ED" w:rsidR="00791A10" w:rsidRPr="00791A10" w:rsidRDefault="00791A10" w:rsidP="00791A10">
      <w:pPr>
        <w:spacing w:line="360" w:lineRule="auto"/>
        <w:jc w:val="both"/>
        <w:rPr>
          <w:rFonts w:ascii="Times New Roman" w:eastAsia="Times New Roman" w:hAnsi="Times New Roman" w:cs="Times New Roman"/>
          <w:lang w:eastAsia="en-GB"/>
        </w:rPr>
      </w:pPr>
    </w:p>
    <w:p w14:paraId="4B0C53D5" w14:textId="77777777" w:rsidR="00791A10" w:rsidRPr="00791A10" w:rsidRDefault="00791A10" w:rsidP="00791A10">
      <w:pPr>
        <w:pStyle w:val="Heading1"/>
        <w:spacing w:line="360" w:lineRule="auto"/>
        <w:jc w:val="both"/>
      </w:pPr>
      <w:r w:rsidRPr="00791A10">
        <w:t>4. Strategic Growth Options and Proposed Strategy</w:t>
      </w:r>
    </w:p>
    <w:p w14:paraId="32F8FB48" w14:textId="77777777" w:rsidR="00791A10" w:rsidRPr="00791A10" w:rsidRDefault="00791A10" w:rsidP="00791A10">
      <w:pPr>
        <w:pStyle w:val="Heading2"/>
        <w:spacing w:line="360" w:lineRule="auto"/>
        <w:jc w:val="both"/>
      </w:pPr>
      <w:r w:rsidRPr="00791A10">
        <w:t>4.1 Strategic growth options</w:t>
      </w:r>
    </w:p>
    <w:p w14:paraId="14CCB806"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Ansoff’s Matrix identifies four principal growth directions: market penetration, product development, market development and diversification (Ansoff, 1957).</w:t>
      </w:r>
    </w:p>
    <w:p w14:paraId="0CBC80DF"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Market penetration</w:t>
      </w:r>
      <w:r w:rsidRPr="00791A10">
        <w:rPr>
          <w:rFonts w:ascii="Times New Roman" w:eastAsia="Times New Roman" w:hAnsi="Times New Roman" w:cs="Times New Roman"/>
          <w:lang w:eastAsia="en-GB"/>
        </w:rPr>
        <w:t xml:space="preserve"> would involve increasing VodafoneThree’s share of existing consumer mobile and broadband markets. Actions could include family bundles, retention offers, better digital customer service and cross-selling between Vodafone and Three customers. This is relatively low risk but offers limited long-term differentiation in a mature UK market.</w:t>
      </w:r>
    </w:p>
    <w:p w14:paraId="36A89173"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Product development</w:t>
      </w:r>
      <w:r w:rsidRPr="00791A10">
        <w:rPr>
          <w:rFonts w:ascii="Times New Roman" w:eastAsia="Times New Roman" w:hAnsi="Times New Roman" w:cs="Times New Roman"/>
          <w:lang w:eastAsia="en-GB"/>
        </w:rPr>
        <w:t xml:space="preserve"> would involve introducing new services to existing customers. Opportunities include network slicing, premium 5G performance, private mobile networks, cybersecurity, IoT management, cloud connectivity and artificial-intelligence-enabled support. This option is attractive because Vodafone already possesses many of the required technical capabilities.</w:t>
      </w:r>
    </w:p>
    <w:p w14:paraId="7BE0C995"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Market development</w:t>
      </w:r>
      <w:r w:rsidRPr="00791A10">
        <w:rPr>
          <w:rFonts w:ascii="Times New Roman" w:eastAsia="Times New Roman" w:hAnsi="Times New Roman" w:cs="Times New Roman"/>
          <w:lang w:eastAsia="en-GB"/>
        </w:rPr>
        <w:t xml:space="preserve"> would involve using existing capabilities to serve new customer groups or industries. Potential markets include SMEs, local authorities, healthcare providers, </w:t>
      </w:r>
      <w:r w:rsidRPr="00791A10">
        <w:rPr>
          <w:rFonts w:ascii="Times New Roman" w:eastAsia="Times New Roman" w:hAnsi="Times New Roman" w:cs="Times New Roman"/>
          <w:lang w:eastAsia="en-GB"/>
        </w:rPr>
        <w:lastRenderedPageBreak/>
        <w:t>manufacturers, logistics organisations, energy companies and rural businesses. VodafoneThree’s wider coverage and fixed wireless access capabilities make this a realistic option.</w:t>
      </w:r>
    </w:p>
    <w:p w14:paraId="79A24D0A"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Diversification</w:t>
      </w:r>
      <w:r w:rsidRPr="00791A10">
        <w:rPr>
          <w:rFonts w:ascii="Times New Roman" w:eastAsia="Times New Roman" w:hAnsi="Times New Roman" w:cs="Times New Roman"/>
          <w:lang w:eastAsia="en-GB"/>
        </w:rPr>
        <w:t xml:space="preserve"> could involve entering unrelated areas such as financial services, media production or consumer technology platforms. Although diversification may create new revenues, unrelated expansion would introduce considerable risk during a period when VodafoneThree must integrate its operations and deliver its legally binding network commitments.</w:t>
      </w:r>
    </w:p>
    <w:p w14:paraId="627278D5" w14:textId="77777777" w:rsidR="00791A10" w:rsidRPr="00791A10" w:rsidRDefault="00791A10" w:rsidP="00791A10">
      <w:pPr>
        <w:pStyle w:val="Heading2"/>
        <w:spacing w:line="360" w:lineRule="auto"/>
        <w:jc w:val="both"/>
      </w:pPr>
      <w:r w:rsidRPr="00791A10">
        <w:t>4.2 Proposed strategy: VodafoneThree Business Growth Platform</w:t>
      </w:r>
    </w:p>
    <w:p w14:paraId="5C927B7D"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The recommended strategy combines related product development and market development through a differentiated enterprise digital ecosystem. It may be described as the VodafoneThree Business Growth Platform.</w:t>
      </w:r>
    </w:p>
    <w:p w14:paraId="7A984AC4"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The platform should integrate:</w:t>
      </w:r>
    </w:p>
    <w:p w14:paraId="3F7931AC" w14:textId="4B130BFC" w:rsidR="00791A10" w:rsidRPr="00791A10" w:rsidRDefault="00791A10" w:rsidP="00791A10">
      <w:pPr>
        <w:numPr>
          <w:ilvl w:val="0"/>
          <w:numId w:val="1"/>
        </w:num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5G Standalone connectivity, private networks and networks slicing.</w:t>
      </w:r>
    </w:p>
    <w:p w14:paraId="27735FB0" w14:textId="794587A7" w:rsidR="00791A10" w:rsidRPr="00791A10" w:rsidRDefault="00791A10" w:rsidP="00791A10">
      <w:pPr>
        <w:numPr>
          <w:ilvl w:val="0"/>
          <w:numId w:val="1"/>
        </w:num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Internet of Things devices, connectivity and management.</w:t>
      </w:r>
    </w:p>
    <w:p w14:paraId="102AB25D" w14:textId="5FCBA4DC" w:rsidR="00791A10" w:rsidRPr="00791A10" w:rsidRDefault="00791A10" w:rsidP="00791A10">
      <w:pPr>
        <w:numPr>
          <w:ilvl w:val="0"/>
          <w:numId w:val="1"/>
        </w:num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cloud and edge-computing integration.</w:t>
      </w:r>
    </w:p>
    <w:p w14:paraId="510961F1" w14:textId="24B9A3F3" w:rsidR="00791A10" w:rsidRPr="00791A10" w:rsidRDefault="00791A10" w:rsidP="00791A10">
      <w:pPr>
        <w:numPr>
          <w:ilvl w:val="0"/>
          <w:numId w:val="1"/>
        </w:num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cybersecurity, identity protection and managed detection services.</w:t>
      </w:r>
    </w:p>
    <w:p w14:paraId="6FFF3151" w14:textId="376D063B" w:rsidR="00791A10" w:rsidRPr="00791A10" w:rsidRDefault="00791A10" w:rsidP="00791A10">
      <w:pPr>
        <w:numPr>
          <w:ilvl w:val="0"/>
          <w:numId w:val="1"/>
        </w:num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artificial intelligence and data-analytics applications.</w:t>
      </w:r>
    </w:p>
    <w:p w14:paraId="2C13D74E" w14:textId="77777777" w:rsidR="00791A10" w:rsidRPr="00791A10" w:rsidRDefault="00791A10" w:rsidP="00791A10">
      <w:pPr>
        <w:numPr>
          <w:ilvl w:val="0"/>
          <w:numId w:val="1"/>
        </w:num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implementation, technical support and performance guarantees.</w:t>
      </w:r>
    </w:p>
    <w:p w14:paraId="10378DF3"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These capabilities should be offered as modular industry packages rather than separate technical products. For example, a manufacturing package could combine private 5G, connected machinery, predictive maintenance, cybersecurity and cloud analytics. A healthcare package could support connected clinical equipment, remote monitoring and secure staff communication. An SME package could combine mobile, broadband, cloud collaboration, device management and cybersecurity within one contract.</w:t>
      </w:r>
    </w:p>
    <w:p w14:paraId="3E4D691C"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Vodafone’s 2026 Annual Report identifies cloud, cybersecurity, artificial intelligence and IoT as structural growth areas. Vodafone estimated the addressable business-to-business cloud and security market at €84 billion by 2028 and reported double-digit growth in digital-services revenue during FY26.</w:t>
      </w:r>
    </w:p>
    <w:p w14:paraId="3AC63C1A"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lastRenderedPageBreak/>
        <w:t>The strategy represents focused differentiation under Porter’s Generic Strategies framework. VodafoneThree would not attempt to be the cheapest supplier in every segment. Instead, it would differentiate through network quality, security, reliability, integrated delivery and measurable customer outcomes (Porter, 1985).</w:t>
      </w:r>
    </w:p>
    <w:p w14:paraId="61FC7E9F"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The strategy aligns closely with Vodafone’s priorities:</w:t>
      </w:r>
    </w:p>
    <w:p w14:paraId="2E92770D" w14:textId="77777777" w:rsidR="00791A10" w:rsidRPr="00791A10" w:rsidRDefault="00791A10" w:rsidP="00791A10">
      <w:pPr>
        <w:numPr>
          <w:ilvl w:val="0"/>
          <w:numId w:val="2"/>
        </w:num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Customers:</w:t>
      </w:r>
      <w:r w:rsidRPr="00791A10">
        <w:rPr>
          <w:rFonts w:ascii="Times New Roman" w:eastAsia="Times New Roman" w:hAnsi="Times New Roman" w:cs="Times New Roman"/>
          <w:lang w:eastAsia="en-GB"/>
        </w:rPr>
        <w:t xml:space="preserve"> solutions would be designed around industry problems rather than technical products.</w:t>
      </w:r>
    </w:p>
    <w:p w14:paraId="43EDE6AB" w14:textId="77777777" w:rsidR="00791A10" w:rsidRPr="00791A10" w:rsidRDefault="00791A10" w:rsidP="00791A10">
      <w:pPr>
        <w:numPr>
          <w:ilvl w:val="0"/>
          <w:numId w:val="2"/>
        </w:num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Simplicity:</w:t>
      </w:r>
      <w:r w:rsidRPr="00791A10">
        <w:rPr>
          <w:rFonts w:ascii="Times New Roman" w:eastAsia="Times New Roman" w:hAnsi="Times New Roman" w:cs="Times New Roman"/>
          <w:lang w:eastAsia="en-GB"/>
        </w:rPr>
        <w:t xml:space="preserve"> customers would receive one contract, service portal and account-management relationship.</w:t>
      </w:r>
    </w:p>
    <w:p w14:paraId="18B709C3" w14:textId="77777777" w:rsidR="00791A10" w:rsidRPr="00791A10" w:rsidRDefault="00791A10" w:rsidP="00791A10">
      <w:pPr>
        <w:numPr>
          <w:ilvl w:val="0"/>
          <w:numId w:val="2"/>
        </w:num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Growth:</w:t>
      </w:r>
      <w:r w:rsidRPr="00791A10">
        <w:rPr>
          <w:rFonts w:ascii="Times New Roman" w:eastAsia="Times New Roman" w:hAnsi="Times New Roman" w:cs="Times New Roman"/>
          <w:lang w:eastAsia="en-GB"/>
        </w:rPr>
        <w:t xml:space="preserve"> recurring revenues would be generated from security, cloud, IoT and managed services.</w:t>
      </w:r>
    </w:p>
    <w:p w14:paraId="40FE36EF" w14:textId="77777777" w:rsidR="00791A10" w:rsidRPr="00791A10" w:rsidRDefault="00791A10" w:rsidP="00791A10">
      <w:pPr>
        <w:numPr>
          <w:ilvl w:val="0"/>
          <w:numId w:val="2"/>
        </w:num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Digital inclusion:</w:t>
      </w:r>
      <w:r w:rsidRPr="00791A10">
        <w:rPr>
          <w:rFonts w:ascii="Times New Roman" w:eastAsia="Times New Roman" w:hAnsi="Times New Roman" w:cs="Times New Roman"/>
          <w:lang w:eastAsia="en-GB"/>
        </w:rPr>
        <w:t xml:space="preserve"> packages could help SMEs and public services adopt technologies that might otherwise be inaccessible.</w:t>
      </w:r>
    </w:p>
    <w:p w14:paraId="738E5865" w14:textId="77777777" w:rsidR="00791A10" w:rsidRPr="00791A10" w:rsidRDefault="00791A10" w:rsidP="00791A10">
      <w:pPr>
        <w:numPr>
          <w:ilvl w:val="0"/>
          <w:numId w:val="2"/>
        </w:num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Maintaining trust:</w:t>
      </w:r>
      <w:r w:rsidRPr="00791A10">
        <w:rPr>
          <w:rFonts w:ascii="Times New Roman" w:eastAsia="Times New Roman" w:hAnsi="Times New Roman" w:cs="Times New Roman"/>
          <w:lang w:eastAsia="en-GB"/>
        </w:rPr>
        <w:t xml:space="preserve"> cybersecurity, privacy and responsible data management would be incorporated into each solution.</w:t>
      </w:r>
    </w:p>
    <w:p w14:paraId="36E21846"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A partner ecosystem would also be required. Vodafone should combine its connectivity with capabilities from Microsoft, Google Cloud, Amazon Web Services, Ericsson, Nokia, specialist software firms, universities and regional technology companies. Ecosystem coordination would enable faster innovation without requiring Vodafone to develop every application internally. This reflects the dynamic-capabilities argument that organisations must repeatedly integrate and reconfigure internal and external resources as technologies and markets change (Teece, 2007).</w:t>
      </w:r>
    </w:p>
    <w:p w14:paraId="1AC9F964"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The proposal is preferable to consumer-focused price leadership because it uses VodafoneThree’s strongest resources, produces greater differentiation and reduces dependence on declining-margin connectivity products.</w:t>
      </w:r>
    </w:p>
    <w:p w14:paraId="51714180" w14:textId="008B56E0" w:rsidR="00791A10" w:rsidRDefault="00791A10" w:rsidP="00791A10">
      <w:pPr>
        <w:spacing w:line="360" w:lineRule="auto"/>
        <w:jc w:val="both"/>
        <w:rPr>
          <w:rFonts w:ascii="Times New Roman" w:eastAsia="Times New Roman" w:hAnsi="Times New Roman" w:cs="Times New Roman"/>
          <w:lang w:eastAsia="en-GB"/>
        </w:rPr>
      </w:pPr>
    </w:p>
    <w:p w14:paraId="7C909189" w14:textId="512C1D85" w:rsidR="00791A10" w:rsidRDefault="00791A10" w:rsidP="00791A10">
      <w:pPr>
        <w:spacing w:line="360" w:lineRule="auto"/>
        <w:jc w:val="both"/>
        <w:rPr>
          <w:rFonts w:ascii="Times New Roman" w:eastAsia="Times New Roman" w:hAnsi="Times New Roman" w:cs="Times New Roman"/>
          <w:lang w:eastAsia="en-GB"/>
        </w:rPr>
      </w:pPr>
    </w:p>
    <w:p w14:paraId="24755A26" w14:textId="45102DAF" w:rsidR="00791A10" w:rsidRDefault="00791A10" w:rsidP="00791A10">
      <w:pPr>
        <w:spacing w:line="360" w:lineRule="auto"/>
        <w:jc w:val="both"/>
        <w:rPr>
          <w:rFonts w:ascii="Times New Roman" w:eastAsia="Times New Roman" w:hAnsi="Times New Roman" w:cs="Times New Roman"/>
          <w:lang w:eastAsia="en-GB"/>
        </w:rPr>
      </w:pPr>
    </w:p>
    <w:p w14:paraId="18B5702A" w14:textId="039CA9B8" w:rsidR="00791A10" w:rsidRDefault="00791A10" w:rsidP="00791A10">
      <w:pPr>
        <w:spacing w:line="360" w:lineRule="auto"/>
        <w:jc w:val="both"/>
        <w:rPr>
          <w:rFonts w:ascii="Times New Roman" w:eastAsia="Times New Roman" w:hAnsi="Times New Roman" w:cs="Times New Roman"/>
          <w:lang w:eastAsia="en-GB"/>
        </w:rPr>
      </w:pPr>
    </w:p>
    <w:p w14:paraId="2C279CA3" w14:textId="77777777" w:rsidR="00791A10" w:rsidRPr="00791A10" w:rsidRDefault="00791A10" w:rsidP="00791A10">
      <w:pPr>
        <w:spacing w:line="360" w:lineRule="auto"/>
        <w:jc w:val="both"/>
        <w:rPr>
          <w:rFonts w:ascii="Times New Roman" w:eastAsia="Times New Roman" w:hAnsi="Times New Roman" w:cs="Times New Roman"/>
          <w:lang w:eastAsia="en-GB"/>
        </w:rPr>
      </w:pPr>
    </w:p>
    <w:p w14:paraId="00EAB2FB" w14:textId="77777777" w:rsidR="00791A10" w:rsidRPr="00791A10" w:rsidRDefault="00791A10" w:rsidP="00791A10">
      <w:pPr>
        <w:pStyle w:val="Heading1"/>
        <w:spacing w:line="360" w:lineRule="auto"/>
        <w:jc w:val="both"/>
      </w:pPr>
      <w:r w:rsidRPr="00791A10">
        <w:lastRenderedPageBreak/>
        <w:t>5. Strategy Evaluation</w:t>
      </w:r>
    </w:p>
    <w:p w14:paraId="46E0F4BD"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The proposed strategy is evaluated using the Suitability, Feasibility and Acceptability framework.</w:t>
      </w:r>
    </w:p>
    <w:tbl>
      <w:tblPr>
        <w:tblStyle w:val="TableGrid"/>
        <w:tblW w:w="0" w:type="auto"/>
        <w:tblLook w:val="04A0" w:firstRow="1" w:lastRow="0" w:firstColumn="1" w:lastColumn="0" w:noHBand="0" w:noVBand="1"/>
      </w:tblPr>
      <w:tblGrid>
        <w:gridCol w:w="1582"/>
        <w:gridCol w:w="6033"/>
        <w:gridCol w:w="1401"/>
      </w:tblGrid>
      <w:tr w:rsidR="00791A10" w:rsidRPr="00791A10" w14:paraId="60EDC4CA" w14:textId="77777777" w:rsidTr="00791A10">
        <w:tc>
          <w:tcPr>
            <w:tcW w:w="0" w:type="auto"/>
            <w:hideMark/>
          </w:tcPr>
          <w:p w14:paraId="3F19E149" w14:textId="77777777" w:rsidR="00791A10" w:rsidRPr="00791A10" w:rsidRDefault="00791A10" w:rsidP="00791A10">
            <w:pPr>
              <w:spacing w:line="360" w:lineRule="auto"/>
              <w:jc w:val="both"/>
              <w:rPr>
                <w:rFonts w:ascii="Times New Roman" w:eastAsia="Times New Roman" w:hAnsi="Times New Roman" w:cs="Times New Roman"/>
                <w:b/>
                <w:bCs/>
                <w:lang w:eastAsia="en-GB"/>
              </w:rPr>
            </w:pPr>
            <w:r w:rsidRPr="00791A10">
              <w:rPr>
                <w:rFonts w:ascii="Times New Roman" w:eastAsia="Times New Roman" w:hAnsi="Times New Roman" w:cs="Times New Roman"/>
                <w:b/>
                <w:bCs/>
                <w:lang w:eastAsia="en-GB"/>
              </w:rPr>
              <w:t>SFA criterion</w:t>
            </w:r>
          </w:p>
        </w:tc>
        <w:tc>
          <w:tcPr>
            <w:tcW w:w="0" w:type="auto"/>
            <w:hideMark/>
          </w:tcPr>
          <w:p w14:paraId="5EE47EAA" w14:textId="77777777" w:rsidR="00791A10" w:rsidRPr="00791A10" w:rsidRDefault="00791A10" w:rsidP="00791A10">
            <w:pPr>
              <w:spacing w:line="360" w:lineRule="auto"/>
              <w:jc w:val="both"/>
              <w:rPr>
                <w:rFonts w:ascii="Times New Roman" w:eastAsia="Times New Roman" w:hAnsi="Times New Roman" w:cs="Times New Roman"/>
                <w:b/>
                <w:bCs/>
                <w:lang w:eastAsia="en-GB"/>
              </w:rPr>
            </w:pPr>
            <w:r w:rsidRPr="00791A10">
              <w:rPr>
                <w:rFonts w:ascii="Times New Roman" w:eastAsia="Times New Roman" w:hAnsi="Times New Roman" w:cs="Times New Roman"/>
                <w:b/>
                <w:bCs/>
                <w:lang w:eastAsia="en-GB"/>
              </w:rPr>
              <w:t>Evaluation</w:t>
            </w:r>
          </w:p>
        </w:tc>
        <w:tc>
          <w:tcPr>
            <w:tcW w:w="0" w:type="auto"/>
            <w:hideMark/>
          </w:tcPr>
          <w:p w14:paraId="7EDC3518" w14:textId="77777777" w:rsidR="00791A10" w:rsidRPr="00791A10" w:rsidRDefault="00791A10" w:rsidP="00791A10">
            <w:pPr>
              <w:spacing w:line="360" w:lineRule="auto"/>
              <w:jc w:val="both"/>
              <w:rPr>
                <w:rFonts w:ascii="Times New Roman" w:eastAsia="Times New Roman" w:hAnsi="Times New Roman" w:cs="Times New Roman"/>
                <w:b/>
                <w:bCs/>
                <w:lang w:eastAsia="en-GB"/>
              </w:rPr>
            </w:pPr>
            <w:r w:rsidRPr="00791A10">
              <w:rPr>
                <w:rFonts w:ascii="Times New Roman" w:eastAsia="Times New Roman" w:hAnsi="Times New Roman" w:cs="Times New Roman"/>
                <w:b/>
                <w:bCs/>
                <w:lang w:eastAsia="en-GB"/>
              </w:rPr>
              <w:t>Judgement</w:t>
            </w:r>
          </w:p>
        </w:tc>
      </w:tr>
      <w:tr w:rsidR="00791A10" w:rsidRPr="00791A10" w14:paraId="7ED03E83" w14:textId="77777777" w:rsidTr="00791A10">
        <w:tc>
          <w:tcPr>
            <w:tcW w:w="0" w:type="auto"/>
            <w:hideMark/>
          </w:tcPr>
          <w:p w14:paraId="1CA368F4"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Suitability</w:t>
            </w:r>
          </w:p>
        </w:tc>
        <w:tc>
          <w:tcPr>
            <w:tcW w:w="0" w:type="auto"/>
            <w:hideMark/>
          </w:tcPr>
          <w:p w14:paraId="43FE1DE0"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 xml:space="preserve">The strategy responds directly to </w:t>
            </w:r>
            <w:proofErr w:type="gramStart"/>
            <w:r w:rsidRPr="00791A10">
              <w:rPr>
                <w:rFonts w:ascii="Times New Roman" w:eastAsia="Times New Roman" w:hAnsi="Times New Roman" w:cs="Times New Roman"/>
                <w:lang w:eastAsia="en-GB"/>
              </w:rPr>
              <w:t>high</w:t>
            </w:r>
            <w:proofErr w:type="gramEnd"/>
            <w:r w:rsidRPr="00791A10">
              <w:rPr>
                <w:rFonts w:ascii="Times New Roman" w:eastAsia="Times New Roman" w:hAnsi="Times New Roman" w:cs="Times New Roman"/>
                <w:lang w:eastAsia="en-GB"/>
              </w:rPr>
              <w:t xml:space="preserve"> competitive rivalry and the commoditisation of basic connectivity. It monetises the £11 billion network programme through services such as slicing, private networks and IoT rather than treating coverage only as a consumer-marketing feature. It also supports growth in cloud, cybersecurity and digital services.</w:t>
            </w:r>
          </w:p>
        </w:tc>
        <w:tc>
          <w:tcPr>
            <w:tcW w:w="0" w:type="auto"/>
            <w:hideMark/>
          </w:tcPr>
          <w:p w14:paraId="06CCEDED"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High</w:t>
            </w:r>
          </w:p>
        </w:tc>
      </w:tr>
      <w:tr w:rsidR="00791A10" w:rsidRPr="00791A10" w14:paraId="4D8CE5AC" w14:textId="77777777" w:rsidTr="00791A10">
        <w:tc>
          <w:tcPr>
            <w:tcW w:w="0" w:type="auto"/>
            <w:hideMark/>
          </w:tcPr>
          <w:p w14:paraId="15FB283F"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Feasibility</w:t>
            </w:r>
          </w:p>
        </w:tc>
        <w:tc>
          <w:tcPr>
            <w:tcW w:w="0" w:type="auto"/>
            <w:hideMark/>
          </w:tcPr>
          <w:p w14:paraId="5F43A7B7"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Vodafone already possesses enterprise relationships, an international IoT platform, cybersecurity capabilities, strategic cloud partnerships and significant network assets. However, commercial success will require industry specialists, simplified systems, skilled sales teams and effective coordination between the former Vodafone and Three organisations.</w:t>
            </w:r>
          </w:p>
        </w:tc>
        <w:tc>
          <w:tcPr>
            <w:tcW w:w="0" w:type="auto"/>
            <w:hideMark/>
          </w:tcPr>
          <w:p w14:paraId="4186057A"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Medium–High</w:t>
            </w:r>
          </w:p>
        </w:tc>
      </w:tr>
      <w:tr w:rsidR="00791A10" w:rsidRPr="00791A10" w14:paraId="4EC4E3C0" w14:textId="77777777" w:rsidTr="00791A10">
        <w:tc>
          <w:tcPr>
            <w:tcW w:w="0" w:type="auto"/>
            <w:hideMark/>
          </w:tcPr>
          <w:p w14:paraId="3153D4D9"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Acceptability</w:t>
            </w:r>
          </w:p>
        </w:tc>
        <w:tc>
          <w:tcPr>
            <w:tcW w:w="0" w:type="auto"/>
            <w:hideMark/>
          </w:tcPr>
          <w:p w14:paraId="781948BE"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Shareholders should benefit from recurring revenue, improved margins and better use of network investment. Business customers should receive improved reliability and simplified digital transformation. Employees gain new technical and commercial career opportunities. Risks include programme expenditure, cyber incidents, integration delays and uncertain customer adoption.</w:t>
            </w:r>
          </w:p>
        </w:tc>
        <w:tc>
          <w:tcPr>
            <w:tcW w:w="0" w:type="auto"/>
            <w:hideMark/>
          </w:tcPr>
          <w:p w14:paraId="7D089EE6"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Medium–High</w:t>
            </w:r>
          </w:p>
        </w:tc>
      </w:tr>
    </w:tbl>
    <w:p w14:paraId="726222E0" w14:textId="77777777" w:rsidR="00791A10" w:rsidRPr="00791A10" w:rsidRDefault="00791A10" w:rsidP="00791A10">
      <w:pPr>
        <w:pStyle w:val="Heading2"/>
        <w:spacing w:line="360" w:lineRule="auto"/>
        <w:jc w:val="both"/>
      </w:pPr>
      <w:r w:rsidRPr="00791A10">
        <w:t>5.1 Suitability</w:t>
      </w:r>
    </w:p>
    <w:p w14:paraId="39E0DB52"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 xml:space="preserve">The strategy is suitable because it addresses the principal findings from the environmental analysis. It reduces exposure to consumer price competition, uses VodafoneThree’s scale and supports the company’s mission of connecting businesses and communities. It is also consistent </w:t>
      </w:r>
      <w:r w:rsidRPr="00791A10">
        <w:rPr>
          <w:rFonts w:ascii="Times New Roman" w:eastAsia="Times New Roman" w:hAnsi="Times New Roman" w:cs="Times New Roman"/>
          <w:lang w:eastAsia="en-GB"/>
        </w:rPr>
        <w:lastRenderedPageBreak/>
        <w:t>with Vodafone’s view that business services, IoT, cloud and cybersecurity represent important structural growth areas.</w:t>
      </w:r>
    </w:p>
    <w:p w14:paraId="024A9AA8"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The proposal also complements the network investment rather than competing with it for strategic attention. The network provides the underlying platform, while digital services create additional revenue per customer.</w:t>
      </w:r>
    </w:p>
    <w:p w14:paraId="031BC58C" w14:textId="77777777" w:rsidR="00791A10" w:rsidRPr="00791A10" w:rsidRDefault="00791A10" w:rsidP="00791A10">
      <w:pPr>
        <w:pStyle w:val="Heading2"/>
        <w:spacing w:line="360" w:lineRule="auto"/>
        <w:jc w:val="both"/>
      </w:pPr>
      <w:r w:rsidRPr="00791A10">
        <w:t>5.2 Feasibility</w:t>
      </w:r>
    </w:p>
    <w:p w14:paraId="5B764D46"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Technical feasibility is relatively strong because Vodafone already operates large-scale IoT and enterprise platforms. The principal challenge is organisational rather than technological. VodafoneThree must integrate customer data, billing, sales, network-management and support systems while maintaining normal operations.</w:t>
      </w:r>
    </w:p>
    <w:p w14:paraId="647F56DB"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A phased pilot model reduces this risk. Rather than launching nationally at once, VodafoneThree should test solutions with selected customers in manufacturing, logistics, healthcare and local government. Successful packages can then be standardised and deployed nationally.</w:t>
      </w:r>
    </w:p>
    <w:p w14:paraId="0433FF5B" w14:textId="77777777" w:rsidR="00791A10" w:rsidRPr="00791A10" w:rsidRDefault="00791A10" w:rsidP="00791A10">
      <w:pPr>
        <w:pStyle w:val="Heading2"/>
        <w:spacing w:line="360" w:lineRule="auto"/>
        <w:jc w:val="both"/>
      </w:pPr>
      <w:r w:rsidRPr="00791A10">
        <w:t>5.3 Acceptability</w:t>
      </w:r>
    </w:p>
    <w:p w14:paraId="59D7F9D5"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The strategy should be acceptable to shareholders where it creates higher-margin recurring revenue and strengthens return on the network investment. Customers should benefit from improved productivity and greater security, while public stakeholders should benefit from stronger infrastructure and digital inclusion.</w:t>
      </w:r>
    </w:p>
    <w:p w14:paraId="4D984DEC"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However, the strategy should not be judged only through revenue growth. Excessive technological complexity, poorly controlled partnerships or a major cyber incident could destroy value. Governance must therefore include cybersecurity, data protection, regulatory compliance and customer-outcome measures alongside financial KPIs.</w:t>
      </w:r>
    </w:p>
    <w:p w14:paraId="66F24600" w14:textId="77777777" w:rsidR="00791A10" w:rsidRPr="00791A10" w:rsidRDefault="00791A10" w:rsidP="00791A10">
      <w:pPr>
        <w:pStyle w:val="Heading2"/>
        <w:spacing w:line="360" w:lineRule="auto"/>
        <w:jc w:val="both"/>
      </w:pPr>
      <w:r w:rsidRPr="00791A10">
        <w:t>5.4 Assumptions</w:t>
      </w:r>
    </w:p>
    <w:p w14:paraId="77746415"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The following assumptions have been made because Vodafone does not publicly disclose detailed budgets or forecasts for the proposed programme:</w:t>
      </w:r>
    </w:p>
    <w:p w14:paraId="47308405" w14:textId="77777777" w:rsidR="00791A10" w:rsidRPr="00791A10" w:rsidRDefault="00791A10" w:rsidP="00791A10">
      <w:pPr>
        <w:numPr>
          <w:ilvl w:val="0"/>
          <w:numId w:val="3"/>
        </w:num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lastRenderedPageBreak/>
        <w:t xml:space="preserve">VodafoneThree can allocate approximately </w:t>
      </w:r>
      <w:r w:rsidRPr="00791A10">
        <w:rPr>
          <w:rFonts w:ascii="Times New Roman" w:eastAsia="Times New Roman" w:hAnsi="Times New Roman" w:cs="Times New Roman"/>
          <w:b/>
          <w:bCs/>
          <w:lang w:eastAsia="en-GB"/>
        </w:rPr>
        <w:t>£</w:t>
      </w:r>
      <w:r w:rsidRPr="00791A10">
        <w:rPr>
          <w:rFonts w:ascii="Times New Roman" w:eastAsia="Times New Roman" w:hAnsi="Times New Roman" w:cs="Times New Roman"/>
          <w:lang w:eastAsia="en-GB"/>
        </w:rPr>
        <w:t>300 million over three years to product development, commercial platforms, specialist employees and pilot projects from within its wider network and enterprise investment budgets.</w:t>
      </w:r>
    </w:p>
    <w:p w14:paraId="2B45A08A" w14:textId="77777777" w:rsidR="00791A10" w:rsidRPr="00791A10" w:rsidRDefault="00791A10" w:rsidP="00791A10">
      <w:pPr>
        <w:numPr>
          <w:ilvl w:val="0"/>
          <w:numId w:val="3"/>
        </w:num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No large acquisition is required during the initial three-year implementation period.</w:t>
      </w:r>
    </w:p>
    <w:p w14:paraId="292C971D" w14:textId="77777777" w:rsidR="00791A10" w:rsidRPr="00791A10" w:rsidRDefault="00791A10" w:rsidP="00791A10">
      <w:pPr>
        <w:numPr>
          <w:ilvl w:val="0"/>
          <w:numId w:val="3"/>
        </w:num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At least 40% of successful pilot customers will progress to multi-year commercial contracts.</w:t>
      </w:r>
    </w:p>
    <w:p w14:paraId="2EAE0A3B" w14:textId="77777777" w:rsidR="00791A10" w:rsidRPr="00791A10" w:rsidRDefault="00791A10" w:rsidP="00791A10">
      <w:pPr>
        <w:numPr>
          <w:ilvl w:val="0"/>
          <w:numId w:val="3"/>
        </w:num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The initial programme should target a four-to-five-year investment payback period.</w:t>
      </w:r>
    </w:p>
    <w:p w14:paraId="65CB32FA" w14:textId="77777777" w:rsidR="00791A10" w:rsidRPr="00791A10" w:rsidRDefault="00791A10" w:rsidP="00791A10">
      <w:pPr>
        <w:numPr>
          <w:ilvl w:val="0"/>
          <w:numId w:val="3"/>
        </w:num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Vodafone will complete its purchase of CK Hutchison’s interest during the second half of 2026 and retain the existing VodafoneThree management structure.</w:t>
      </w:r>
    </w:p>
    <w:p w14:paraId="3F6F8DD7"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Under these assumptions, the strategy is sufficiently suitable, feasible and acceptable to recommend.</w:t>
      </w:r>
    </w:p>
    <w:p w14:paraId="35A155F6" w14:textId="7C7D5B0D" w:rsidR="00791A10" w:rsidRPr="00791A10" w:rsidRDefault="00791A10" w:rsidP="00791A10">
      <w:pPr>
        <w:spacing w:line="360" w:lineRule="auto"/>
        <w:jc w:val="both"/>
        <w:rPr>
          <w:rFonts w:ascii="Times New Roman" w:eastAsia="Times New Roman" w:hAnsi="Times New Roman" w:cs="Times New Roman"/>
          <w:lang w:eastAsia="en-GB"/>
        </w:rPr>
      </w:pPr>
    </w:p>
    <w:p w14:paraId="096B8494" w14:textId="77777777" w:rsidR="00791A10" w:rsidRPr="00791A10" w:rsidRDefault="00791A10" w:rsidP="00791A10">
      <w:pPr>
        <w:pStyle w:val="Heading1"/>
        <w:spacing w:line="360" w:lineRule="auto"/>
        <w:jc w:val="both"/>
      </w:pPr>
      <w:r w:rsidRPr="00791A10">
        <w:t>6. Stakeholder Analysis</w:t>
      </w:r>
    </w:p>
    <w:p w14:paraId="7CC9DCCE"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Stakeholder theory argues that organisations should create value for groups affected by their activities rather than concentrating exclusively on shareholders (Freeman, 1984). The strategy should therefore balance commercial returns with customer affordability, employment, privacy, competition and community impacts.</w:t>
      </w:r>
    </w:p>
    <w:p w14:paraId="7CA287FD" w14:textId="77777777" w:rsidR="008A609C" w:rsidRDefault="008A609C" w:rsidP="008A609C">
      <w:pPr>
        <w:pStyle w:val="Heading3"/>
      </w:pPr>
      <w:r>
        <w:t>Stakeholder Analysis and Engagement Plan</w:t>
      </w:r>
    </w:p>
    <w:tbl>
      <w:tblPr>
        <w:tblStyle w:val="TableGrid"/>
        <w:tblW w:w="0" w:type="auto"/>
        <w:tblLook w:val="04A0" w:firstRow="1" w:lastRow="0" w:firstColumn="1" w:lastColumn="0" w:noHBand="0" w:noVBand="1"/>
      </w:tblPr>
      <w:tblGrid>
        <w:gridCol w:w="1694"/>
        <w:gridCol w:w="3916"/>
        <w:gridCol w:w="3406"/>
      </w:tblGrid>
      <w:tr w:rsidR="008A609C" w14:paraId="76025BAB" w14:textId="77777777" w:rsidTr="008A609C">
        <w:tc>
          <w:tcPr>
            <w:tcW w:w="0" w:type="auto"/>
            <w:hideMark/>
          </w:tcPr>
          <w:p w14:paraId="0247F7E4" w14:textId="77777777" w:rsidR="008A609C" w:rsidRDefault="008A609C">
            <w:pPr>
              <w:jc w:val="center"/>
              <w:rPr>
                <w:b/>
                <w:bCs/>
              </w:rPr>
            </w:pPr>
            <w:r>
              <w:rPr>
                <w:b/>
                <w:bCs/>
              </w:rPr>
              <w:t>Stakeholder</w:t>
            </w:r>
          </w:p>
        </w:tc>
        <w:tc>
          <w:tcPr>
            <w:tcW w:w="0" w:type="auto"/>
            <w:hideMark/>
          </w:tcPr>
          <w:p w14:paraId="1DFD866D" w14:textId="77777777" w:rsidR="008A609C" w:rsidRDefault="008A609C">
            <w:pPr>
              <w:jc w:val="center"/>
              <w:rPr>
                <w:b/>
                <w:bCs/>
              </w:rPr>
            </w:pPr>
            <w:r>
              <w:rPr>
                <w:b/>
                <w:bCs/>
              </w:rPr>
              <w:t>Impact and interest</w:t>
            </w:r>
          </w:p>
        </w:tc>
        <w:tc>
          <w:tcPr>
            <w:tcW w:w="0" w:type="auto"/>
            <w:hideMark/>
          </w:tcPr>
          <w:p w14:paraId="221AB79A" w14:textId="77777777" w:rsidR="008A609C" w:rsidRDefault="008A609C">
            <w:pPr>
              <w:jc w:val="center"/>
              <w:rPr>
                <w:b/>
                <w:bCs/>
              </w:rPr>
            </w:pPr>
            <w:r>
              <w:rPr>
                <w:b/>
                <w:bCs/>
              </w:rPr>
              <w:t>Engagement approach</w:t>
            </w:r>
          </w:p>
        </w:tc>
      </w:tr>
      <w:tr w:rsidR="008A609C" w14:paraId="2C67EA43" w14:textId="77777777" w:rsidTr="008A609C">
        <w:tc>
          <w:tcPr>
            <w:tcW w:w="0" w:type="auto"/>
            <w:hideMark/>
          </w:tcPr>
          <w:p w14:paraId="5383AF53" w14:textId="77777777" w:rsidR="008A609C" w:rsidRDefault="008A609C">
            <w:r>
              <w:rPr>
                <w:rStyle w:val="Strong"/>
              </w:rPr>
              <w:t>Vodafone shareholders and lenders</w:t>
            </w:r>
          </w:p>
        </w:tc>
        <w:tc>
          <w:tcPr>
            <w:tcW w:w="0" w:type="auto"/>
            <w:hideMark/>
          </w:tcPr>
          <w:p w14:paraId="7DE9D4E5" w14:textId="77777777" w:rsidR="008A609C" w:rsidRDefault="008A609C">
            <w:r>
              <w:t>Shareholders and lenders will be particularly interested in revenue growth, merger-synergy delivery, cash generation, debt levels and return on the substantial network investment. High-quality strategic reporting should provide investors with a meaningful picture of organisational performance, financial position, risks and future prospects (Financial Reporting Council, 2024; Financial Reporting Council, 2026).</w:t>
            </w:r>
          </w:p>
        </w:tc>
        <w:tc>
          <w:tcPr>
            <w:tcW w:w="0" w:type="auto"/>
            <w:hideMark/>
          </w:tcPr>
          <w:p w14:paraId="0E995BEA" w14:textId="77777777" w:rsidR="008A609C" w:rsidRDefault="008A609C">
            <w:r>
              <w:t>Provide quarterly financial reporting, investor briefings and transparent disclosure of programme expenditure, integration costs, sales pipelines, expected synergies, cash-flow performance and return on investment. Reporting should focus on measurable outcomes rather than simply describing activities.</w:t>
            </w:r>
          </w:p>
        </w:tc>
      </w:tr>
      <w:tr w:rsidR="008A609C" w14:paraId="53AE9B1B" w14:textId="77777777" w:rsidTr="008A609C">
        <w:tc>
          <w:tcPr>
            <w:tcW w:w="0" w:type="auto"/>
            <w:hideMark/>
          </w:tcPr>
          <w:p w14:paraId="2992E668" w14:textId="77777777" w:rsidR="008A609C" w:rsidRDefault="008A609C">
            <w:r>
              <w:rPr>
                <w:rStyle w:val="Strong"/>
              </w:rPr>
              <w:t>Business and public-sector customers</w:t>
            </w:r>
          </w:p>
        </w:tc>
        <w:tc>
          <w:tcPr>
            <w:tcW w:w="0" w:type="auto"/>
            <w:hideMark/>
          </w:tcPr>
          <w:p w14:paraId="039DE400" w14:textId="657EB356" w:rsidR="008A609C" w:rsidRDefault="008A609C">
            <w:r>
              <w:t xml:space="preserve">These customers may gain access to more integrated connectivity, private 5G, Internet of Things, cybersecurity </w:t>
            </w:r>
            <w:r>
              <w:lastRenderedPageBreak/>
              <w:t>and cloud-based solutions. However, they may be concerned about pricing, service dependence, operational resilience and the security of commercially or personally sensitive data. UK data-protection guidance emphasises that privacy and security should be considered from the design stage and throughout the service lifecycle (Information Commissioner’s Office, 2023</w:t>
            </w:r>
            <w:r>
              <w:t>)</w:t>
            </w:r>
          </w:p>
        </w:tc>
        <w:tc>
          <w:tcPr>
            <w:tcW w:w="0" w:type="auto"/>
            <w:hideMark/>
          </w:tcPr>
          <w:p w14:paraId="5B407AA9" w14:textId="77777777" w:rsidR="008A609C" w:rsidRDefault="008A609C">
            <w:r>
              <w:lastRenderedPageBreak/>
              <w:t xml:space="preserve">Establish customer advisory boards, co-design workshops and carefully controlled pilot </w:t>
            </w:r>
            <w:r>
              <w:lastRenderedPageBreak/>
              <w:t>projects. Contracts should include transparent pricing, clear service-level agreements, data-processing responsibilities, cybersecurity requirements, audit rights, service-continuity arrangements and appropriate exit or data-portability provisions.</w:t>
            </w:r>
          </w:p>
        </w:tc>
      </w:tr>
      <w:tr w:rsidR="008A609C" w14:paraId="6E3727D1" w14:textId="77777777" w:rsidTr="008A609C">
        <w:tc>
          <w:tcPr>
            <w:tcW w:w="0" w:type="auto"/>
            <w:hideMark/>
          </w:tcPr>
          <w:p w14:paraId="6C81425B" w14:textId="77777777" w:rsidR="008A609C" w:rsidRDefault="008A609C">
            <w:r>
              <w:rPr>
                <w:rStyle w:val="Strong"/>
              </w:rPr>
              <w:lastRenderedPageBreak/>
              <w:t>Consumers and communities</w:t>
            </w:r>
          </w:p>
        </w:tc>
        <w:tc>
          <w:tcPr>
            <w:tcW w:w="0" w:type="auto"/>
            <w:hideMark/>
          </w:tcPr>
          <w:p w14:paraId="35DB9E50" w14:textId="0E527D35" w:rsidR="008A609C" w:rsidRDefault="008A609C">
            <w:r>
              <w:t>Consumers and communities may benefit from improved network coverage, faster services, employment opportunities and better digitally enabled public services. Nevertheless, concerns may arise regarding tariff increases, mast construction, service quality, affordability and digital exclusion. The CMA’s merger remedies included network-investment commitments and short-term tariff protections, while Ofcom has identified affordability and digital disadvantage as continuing barriers to connectivity (Competition and Markets Authority, 2024).</w:t>
            </w:r>
          </w:p>
        </w:tc>
        <w:tc>
          <w:tcPr>
            <w:tcW w:w="0" w:type="auto"/>
            <w:hideMark/>
          </w:tcPr>
          <w:p w14:paraId="45552347" w14:textId="77777777" w:rsidR="008A609C" w:rsidRDefault="008A609C">
            <w:r>
              <w:t>Conduct community consultations before major infrastructure developments, maintain affordability commitments and publish accessible local coverage and network-progress reports. VodafoneThree should also provide effective complaints processes and support community-based digital-skills and inclusion programmes.</w:t>
            </w:r>
          </w:p>
        </w:tc>
      </w:tr>
      <w:tr w:rsidR="008A609C" w14:paraId="67AA02BF" w14:textId="77777777" w:rsidTr="008A609C">
        <w:tc>
          <w:tcPr>
            <w:tcW w:w="0" w:type="auto"/>
            <w:hideMark/>
          </w:tcPr>
          <w:p w14:paraId="54FF72A3" w14:textId="77777777" w:rsidR="008A609C" w:rsidRDefault="008A609C">
            <w:r>
              <w:rPr>
                <w:rStyle w:val="Strong"/>
              </w:rPr>
              <w:t>Employees and trade unions</w:t>
            </w:r>
          </w:p>
        </w:tc>
        <w:tc>
          <w:tcPr>
            <w:tcW w:w="0" w:type="auto"/>
            <w:hideMark/>
          </w:tcPr>
          <w:p w14:paraId="66DDBED7" w14:textId="07580F23" w:rsidR="008A609C" w:rsidRDefault="008A609C">
            <w:r>
              <w:t xml:space="preserve">Employees could benefit from newly created digital, engineering and enterprise-service roles, alongside opportunities to develop specialist skills. However, the merger may also result in role duplication, restructuring, relocation and cultural uncertainty. </w:t>
            </w:r>
            <w:proofErr w:type="spellStart"/>
            <w:r>
              <w:t>Acas</w:t>
            </w:r>
            <w:proofErr w:type="spellEnd"/>
            <w:r>
              <w:t xml:space="preserve"> states that employers should undertake genuine and meaningful consultation before redundancy decisions and, where applicable, consult recognised trade unions or elected employee representatives (</w:t>
            </w:r>
            <w:proofErr w:type="spellStart"/>
            <w:r>
              <w:t>Acas</w:t>
            </w:r>
            <w:proofErr w:type="spellEnd"/>
            <w:r>
              <w:t>, 2026a</w:t>
            </w:r>
            <w:r>
              <w:t>)</w:t>
            </w:r>
          </w:p>
        </w:tc>
        <w:tc>
          <w:tcPr>
            <w:tcW w:w="0" w:type="auto"/>
            <w:hideMark/>
          </w:tcPr>
          <w:p w14:paraId="63EF1FF6" w14:textId="77777777" w:rsidR="008A609C" w:rsidRDefault="008A609C">
            <w:r>
              <w:t>Provide early and regular consultation with employees and recognised trade unions. Engagement should include reskilling programmes, internal mobility opportunities, employee surveys, wellbeing support and transparent restructuring principles. Employees should be given opportunities to suggest alternatives that could avoid or reduce redundancies.</w:t>
            </w:r>
          </w:p>
        </w:tc>
      </w:tr>
      <w:tr w:rsidR="008A609C" w14:paraId="7284DD68" w14:textId="77777777" w:rsidTr="008A609C">
        <w:tc>
          <w:tcPr>
            <w:tcW w:w="0" w:type="auto"/>
            <w:hideMark/>
          </w:tcPr>
          <w:p w14:paraId="00384630" w14:textId="77777777" w:rsidR="008A609C" w:rsidRDefault="008A609C">
            <w:r>
              <w:rPr>
                <w:rStyle w:val="Strong"/>
              </w:rPr>
              <w:t>CMA, Ofcom and government</w:t>
            </w:r>
          </w:p>
        </w:tc>
        <w:tc>
          <w:tcPr>
            <w:tcW w:w="0" w:type="auto"/>
            <w:hideMark/>
          </w:tcPr>
          <w:p w14:paraId="09E94907" w14:textId="58495EBF" w:rsidR="008A609C" w:rsidRDefault="008A609C">
            <w:r>
              <w:t xml:space="preserve">These stakeholders have high power and high interest because they are responsible for competition, network, security and consumer-protection requirements. The merger was </w:t>
            </w:r>
            <w:r>
              <w:lastRenderedPageBreak/>
              <w:t>approved subject to legally binding network-investment and customer-protection commitments, with the CMA and Ofcom responsible for monitoring and enforcement (; Competition and Markets Authority, 2025). The company must also comply with the UK telecommunications-security framework (UK Government, 2022).</w:t>
            </w:r>
          </w:p>
        </w:tc>
        <w:tc>
          <w:tcPr>
            <w:tcW w:w="0" w:type="auto"/>
            <w:hideMark/>
          </w:tcPr>
          <w:p w14:paraId="55A33DC0" w14:textId="77777777" w:rsidR="008A609C" w:rsidRDefault="008A609C">
            <w:r>
              <w:lastRenderedPageBreak/>
              <w:t xml:space="preserve">Maintain formal and timely regulatory reporting, engage with regulators before making material programme changes and use independent assurance </w:t>
            </w:r>
            <w:r>
              <w:lastRenderedPageBreak/>
              <w:t>to verify investment, coverage and service-performance data. Network progress and compliance outcomes should be published transparently, with clear procedures for correcting any failure to meet commitments.</w:t>
            </w:r>
          </w:p>
        </w:tc>
      </w:tr>
      <w:tr w:rsidR="008A609C" w14:paraId="726CDA6D" w14:textId="77777777" w:rsidTr="008A609C">
        <w:tc>
          <w:tcPr>
            <w:tcW w:w="0" w:type="auto"/>
            <w:hideMark/>
          </w:tcPr>
          <w:p w14:paraId="6E2EDA8F" w14:textId="77777777" w:rsidR="008A609C" w:rsidRDefault="008A609C">
            <w:r>
              <w:rPr>
                <w:rStyle w:val="Strong"/>
              </w:rPr>
              <w:lastRenderedPageBreak/>
              <w:t>Technology suppliers and ecosystem partners</w:t>
            </w:r>
          </w:p>
        </w:tc>
        <w:tc>
          <w:tcPr>
            <w:tcW w:w="0" w:type="auto"/>
            <w:hideMark/>
          </w:tcPr>
          <w:p w14:paraId="1683A2DA" w14:textId="40119AC0" w:rsidR="008A609C" w:rsidRDefault="008A609C">
            <w:r>
              <w:t xml:space="preserve">Technology suppliers and ecosystem partners may gain significant long-term opportunities through network construction, software provision, cybersecurity services and joint innovation. However, reliance on a limited number of strategic suppliers may increase operational, financial and cybersecurity risks. </w:t>
            </w:r>
            <w:r>
              <w:t>(</w:t>
            </w:r>
            <w:r>
              <w:t>National Cyber Security Centre, 2023).</w:t>
            </w:r>
          </w:p>
        </w:tc>
        <w:tc>
          <w:tcPr>
            <w:tcW w:w="0" w:type="auto"/>
            <w:hideMark/>
          </w:tcPr>
          <w:p w14:paraId="530B4542" w14:textId="588E48F8" w:rsidR="008A609C" w:rsidRDefault="008A609C">
            <w:r>
              <w:t xml:space="preserve">Establish joint governance boards, supplier-performance scorecards and contractual targets covering innovation, resilience, sustainability and service quality. Require recognised cybersecurity standards, regular audits, incident-reporting procedures and risk assessments. </w:t>
            </w:r>
          </w:p>
        </w:tc>
      </w:tr>
    </w:tbl>
    <w:p w14:paraId="7048CCE2" w14:textId="32B50C9F" w:rsidR="008A609C"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Stakeholder engagement should be treated as a continuous management process rather than a one-off communication exercise. Feedback should inform product design, network deployment, workforce planning and risk management. Vodafone’s Annual Report already recognises regular stakeholder engagement as essential to balanced and responsible decision-making.</w:t>
      </w:r>
    </w:p>
    <w:p w14:paraId="66B1EBED" w14:textId="52B4DDD4" w:rsidR="008A609C" w:rsidRDefault="008A609C" w:rsidP="00791A10">
      <w:pPr>
        <w:spacing w:before="100" w:beforeAutospacing="1" w:after="100" w:afterAutospacing="1" w:line="360" w:lineRule="auto"/>
        <w:jc w:val="both"/>
        <w:rPr>
          <w:rFonts w:ascii="Times New Roman" w:eastAsia="Times New Roman" w:hAnsi="Times New Roman" w:cs="Times New Roman"/>
          <w:lang w:eastAsia="en-GB"/>
        </w:rPr>
      </w:pPr>
    </w:p>
    <w:p w14:paraId="7FAEFC15" w14:textId="7709AB4F" w:rsidR="008A609C" w:rsidRDefault="008A609C" w:rsidP="00791A10">
      <w:pPr>
        <w:spacing w:before="100" w:beforeAutospacing="1" w:after="100" w:afterAutospacing="1" w:line="360" w:lineRule="auto"/>
        <w:jc w:val="both"/>
        <w:rPr>
          <w:rFonts w:ascii="Times New Roman" w:eastAsia="Times New Roman" w:hAnsi="Times New Roman" w:cs="Times New Roman"/>
          <w:lang w:eastAsia="en-GB"/>
        </w:rPr>
      </w:pPr>
    </w:p>
    <w:p w14:paraId="48FDF54D" w14:textId="51B871B3" w:rsidR="008A609C" w:rsidRDefault="008A609C" w:rsidP="00791A10">
      <w:pPr>
        <w:spacing w:before="100" w:beforeAutospacing="1" w:after="100" w:afterAutospacing="1" w:line="360" w:lineRule="auto"/>
        <w:jc w:val="both"/>
        <w:rPr>
          <w:rFonts w:ascii="Times New Roman" w:eastAsia="Times New Roman" w:hAnsi="Times New Roman" w:cs="Times New Roman"/>
          <w:lang w:eastAsia="en-GB"/>
        </w:rPr>
      </w:pPr>
    </w:p>
    <w:p w14:paraId="2BEEBAFE" w14:textId="00886962" w:rsidR="008A609C" w:rsidRDefault="008A609C" w:rsidP="00791A10">
      <w:pPr>
        <w:spacing w:before="100" w:beforeAutospacing="1" w:after="100" w:afterAutospacing="1" w:line="360" w:lineRule="auto"/>
        <w:jc w:val="both"/>
        <w:rPr>
          <w:rFonts w:ascii="Times New Roman" w:eastAsia="Times New Roman" w:hAnsi="Times New Roman" w:cs="Times New Roman"/>
          <w:lang w:eastAsia="en-GB"/>
        </w:rPr>
      </w:pPr>
    </w:p>
    <w:p w14:paraId="0C3F968B" w14:textId="7E7EFFFA" w:rsidR="008A609C" w:rsidRDefault="008A609C" w:rsidP="00791A10">
      <w:pPr>
        <w:spacing w:before="100" w:beforeAutospacing="1" w:after="100" w:afterAutospacing="1" w:line="360" w:lineRule="auto"/>
        <w:jc w:val="both"/>
        <w:rPr>
          <w:rFonts w:ascii="Times New Roman" w:eastAsia="Times New Roman" w:hAnsi="Times New Roman" w:cs="Times New Roman"/>
          <w:lang w:eastAsia="en-GB"/>
        </w:rPr>
      </w:pPr>
    </w:p>
    <w:p w14:paraId="692F08F9" w14:textId="4C78374F" w:rsidR="008A609C" w:rsidRDefault="008A609C" w:rsidP="00791A10">
      <w:pPr>
        <w:spacing w:before="100" w:beforeAutospacing="1" w:after="100" w:afterAutospacing="1" w:line="360" w:lineRule="auto"/>
        <w:jc w:val="both"/>
        <w:rPr>
          <w:rFonts w:ascii="Times New Roman" w:eastAsia="Times New Roman" w:hAnsi="Times New Roman" w:cs="Times New Roman"/>
          <w:lang w:eastAsia="en-GB"/>
        </w:rPr>
      </w:pPr>
    </w:p>
    <w:p w14:paraId="3AEEBF65" w14:textId="77777777" w:rsidR="008A609C" w:rsidRPr="00791A10" w:rsidRDefault="008A609C" w:rsidP="00791A10">
      <w:pPr>
        <w:spacing w:before="100" w:beforeAutospacing="1" w:after="100" w:afterAutospacing="1" w:line="360" w:lineRule="auto"/>
        <w:jc w:val="both"/>
        <w:rPr>
          <w:rFonts w:ascii="Times New Roman" w:eastAsia="Times New Roman" w:hAnsi="Times New Roman" w:cs="Times New Roman"/>
          <w:lang w:eastAsia="en-GB"/>
        </w:rPr>
      </w:pPr>
    </w:p>
    <w:p w14:paraId="04C16E3F" w14:textId="07770812" w:rsidR="00791A10" w:rsidRPr="00791A10" w:rsidRDefault="00791A10" w:rsidP="00791A10">
      <w:pPr>
        <w:spacing w:line="360" w:lineRule="auto"/>
        <w:jc w:val="both"/>
        <w:rPr>
          <w:rFonts w:ascii="Times New Roman" w:eastAsia="Times New Roman" w:hAnsi="Times New Roman" w:cs="Times New Roman"/>
          <w:lang w:eastAsia="en-GB"/>
        </w:rPr>
      </w:pPr>
    </w:p>
    <w:p w14:paraId="0BAF25FB" w14:textId="77777777" w:rsidR="00791A10" w:rsidRPr="00791A10" w:rsidRDefault="00791A10" w:rsidP="00791A10">
      <w:pPr>
        <w:pStyle w:val="Heading1"/>
        <w:spacing w:line="360" w:lineRule="auto"/>
        <w:jc w:val="both"/>
      </w:pPr>
      <w:r w:rsidRPr="00791A10">
        <w:lastRenderedPageBreak/>
        <w:t>7. Implementation and Monitoring</w:t>
      </w:r>
    </w:p>
    <w:p w14:paraId="5950BF69"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Implementation should follow a phased three-year approach.</w:t>
      </w:r>
    </w:p>
    <w:tbl>
      <w:tblPr>
        <w:tblStyle w:val="TableGrid"/>
        <w:tblW w:w="0" w:type="auto"/>
        <w:tblLook w:val="04A0" w:firstRow="1" w:lastRow="0" w:firstColumn="1" w:lastColumn="0" w:noHBand="0" w:noVBand="1"/>
      </w:tblPr>
      <w:tblGrid>
        <w:gridCol w:w="1910"/>
        <w:gridCol w:w="2654"/>
        <w:gridCol w:w="2091"/>
        <w:gridCol w:w="2361"/>
      </w:tblGrid>
      <w:tr w:rsidR="00791A10" w:rsidRPr="00791A10" w14:paraId="693F4302" w14:textId="77777777" w:rsidTr="00791A10">
        <w:tc>
          <w:tcPr>
            <w:tcW w:w="0" w:type="auto"/>
            <w:hideMark/>
          </w:tcPr>
          <w:p w14:paraId="09CC05F3" w14:textId="77777777" w:rsidR="00791A10" w:rsidRPr="00791A10" w:rsidRDefault="00791A10" w:rsidP="00791A10">
            <w:pPr>
              <w:spacing w:line="360" w:lineRule="auto"/>
              <w:jc w:val="both"/>
              <w:rPr>
                <w:rFonts w:ascii="Times New Roman" w:eastAsia="Times New Roman" w:hAnsi="Times New Roman" w:cs="Times New Roman"/>
                <w:b/>
                <w:bCs/>
                <w:lang w:eastAsia="en-GB"/>
              </w:rPr>
            </w:pPr>
            <w:r w:rsidRPr="00791A10">
              <w:rPr>
                <w:rFonts w:ascii="Times New Roman" w:eastAsia="Times New Roman" w:hAnsi="Times New Roman" w:cs="Times New Roman"/>
                <w:b/>
                <w:bCs/>
                <w:lang w:eastAsia="en-GB"/>
              </w:rPr>
              <w:t>Period and objective</w:t>
            </w:r>
          </w:p>
        </w:tc>
        <w:tc>
          <w:tcPr>
            <w:tcW w:w="0" w:type="auto"/>
            <w:hideMark/>
          </w:tcPr>
          <w:p w14:paraId="730CF6D8" w14:textId="77777777" w:rsidR="00791A10" w:rsidRPr="00791A10" w:rsidRDefault="00791A10" w:rsidP="00791A10">
            <w:pPr>
              <w:spacing w:line="360" w:lineRule="auto"/>
              <w:jc w:val="both"/>
              <w:rPr>
                <w:rFonts w:ascii="Times New Roman" w:eastAsia="Times New Roman" w:hAnsi="Times New Roman" w:cs="Times New Roman"/>
                <w:b/>
                <w:bCs/>
                <w:lang w:eastAsia="en-GB"/>
              </w:rPr>
            </w:pPr>
            <w:r w:rsidRPr="00791A10">
              <w:rPr>
                <w:rFonts w:ascii="Times New Roman" w:eastAsia="Times New Roman" w:hAnsi="Times New Roman" w:cs="Times New Roman"/>
                <w:b/>
                <w:bCs/>
                <w:lang w:eastAsia="en-GB"/>
              </w:rPr>
              <w:t>Key actions</w:t>
            </w:r>
          </w:p>
        </w:tc>
        <w:tc>
          <w:tcPr>
            <w:tcW w:w="0" w:type="auto"/>
            <w:hideMark/>
          </w:tcPr>
          <w:p w14:paraId="5366A5D1" w14:textId="77777777" w:rsidR="00791A10" w:rsidRPr="00791A10" w:rsidRDefault="00791A10" w:rsidP="00791A10">
            <w:pPr>
              <w:spacing w:line="360" w:lineRule="auto"/>
              <w:jc w:val="both"/>
              <w:rPr>
                <w:rFonts w:ascii="Times New Roman" w:eastAsia="Times New Roman" w:hAnsi="Times New Roman" w:cs="Times New Roman"/>
                <w:b/>
                <w:bCs/>
                <w:lang w:eastAsia="en-GB"/>
              </w:rPr>
            </w:pPr>
            <w:r w:rsidRPr="00791A10">
              <w:rPr>
                <w:rFonts w:ascii="Times New Roman" w:eastAsia="Times New Roman" w:hAnsi="Times New Roman" w:cs="Times New Roman"/>
                <w:b/>
                <w:bCs/>
                <w:lang w:eastAsia="en-GB"/>
              </w:rPr>
              <w:t>Responsibility</w:t>
            </w:r>
          </w:p>
        </w:tc>
        <w:tc>
          <w:tcPr>
            <w:tcW w:w="0" w:type="auto"/>
            <w:hideMark/>
          </w:tcPr>
          <w:p w14:paraId="23F42BC1" w14:textId="77777777" w:rsidR="00791A10" w:rsidRPr="00791A10" w:rsidRDefault="00791A10" w:rsidP="00791A10">
            <w:pPr>
              <w:spacing w:line="360" w:lineRule="auto"/>
              <w:jc w:val="both"/>
              <w:rPr>
                <w:rFonts w:ascii="Times New Roman" w:eastAsia="Times New Roman" w:hAnsi="Times New Roman" w:cs="Times New Roman"/>
                <w:b/>
                <w:bCs/>
                <w:lang w:eastAsia="en-GB"/>
              </w:rPr>
            </w:pPr>
            <w:r w:rsidRPr="00791A10">
              <w:rPr>
                <w:rFonts w:ascii="Times New Roman" w:eastAsia="Times New Roman" w:hAnsi="Times New Roman" w:cs="Times New Roman"/>
                <w:b/>
                <w:bCs/>
                <w:lang w:eastAsia="en-GB"/>
              </w:rPr>
              <w:t>Key performance indicators</w:t>
            </w:r>
          </w:p>
        </w:tc>
      </w:tr>
      <w:tr w:rsidR="00791A10" w:rsidRPr="00791A10" w14:paraId="50133647" w14:textId="77777777" w:rsidTr="00791A10">
        <w:tc>
          <w:tcPr>
            <w:tcW w:w="0" w:type="auto"/>
            <w:hideMark/>
          </w:tcPr>
          <w:p w14:paraId="3AFA90E6"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Months 0–6: Establish the foundation</w:t>
            </w:r>
          </w:p>
        </w:tc>
        <w:tc>
          <w:tcPr>
            <w:tcW w:w="0" w:type="auto"/>
            <w:hideMark/>
          </w:tcPr>
          <w:p w14:paraId="399593FB"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Create a VodafoneThree Enterprise Growth Office; appoint industry leaders; map existing products and systems; select target industries; establish partner governance; identify pilot customers; complete cyber and regulatory assessments.</w:t>
            </w:r>
          </w:p>
        </w:tc>
        <w:tc>
          <w:tcPr>
            <w:tcW w:w="0" w:type="auto"/>
            <w:hideMark/>
          </w:tcPr>
          <w:p w14:paraId="3A5AE883"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VodafoneThree CEO, Business Director, Technology Director and Chief Information Security Officer.</w:t>
            </w:r>
          </w:p>
        </w:tc>
        <w:tc>
          <w:tcPr>
            <w:tcW w:w="0" w:type="auto"/>
            <w:hideMark/>
          </w:tcPr>
          <w:p w14:paraId="4C96CBBF"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Growth Office established within 90 days; five priority industries selected; minimum of 12 pilot customers contracted; 100% of solutions security-assessed.</w:t>
            </w:r>
          </w:p>
        </w:tc>
      </w:tr>
      <w:tr w:rsidR="00791A10" w:rsidRPr="00791A10" w14:paraId="337ACF22" w14:textId="77777777" w:rsidTr="00791A10">
        <w:tc>
          <w:tcPr>
            <w:tcW w:w="0" w:type="auto"/>
            <w:hideMark/>
          </w:tcPr>
          <w:p w14:paraId="0C161E1C"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Months 6–18: Pilot and validate solutions</w:t>
            </w:r>
          </w:p>
        </w:tc>
        <w:tc>
          <w:tcPr>
            <w:tcW w:w="0" w:type="auto"/>
            <w:hideMark/>
          </w:tcPr>
          <w:p w14:paraId="478DC341"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Launch private 5G, network-slicing, IoT and cybersecurity pilots; establish customer advisory boards; train sales and service teams; develop a single enterprise portal; measure operational and financial outcomes.</w:t>
            </w:r>
          </w:p>
        </w:tc>
        <w:tc>
          <w:tcPr>
            <w:tcW w:w="0" w:type="auto"/>
            <w:hideMark/>
          </w:tcPr>
          <w:p w14:paraId="24887F77"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Enterprise Growth Office and industry solution teams.</w:t>
            </w:r>
          </w:p>
        </w:tc>
        <w:tc>
          <w:tcPr>
            <w:tcW w:w="0" w:type="auto"/>
            <w:hideMark/>
          </w:tcPr>
          <w:p w14:paraId="238EAC75"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At least 12 pilots launched; 40% pilot-to-contract conversion; customer satisfaction above 80%; service availability above 99.9%; zero material data breaches.</w:t>
            </w:r>
          </w:p>
        </w:tc>
      </w:tr>
      <w:tr w:rsidR="00791A10" w:rsidRPr="00791A10" w14:paraId="501D5E77" w14:textId="77777777" w:rsidTr="00791A10">
        <w:tc>
          <w:tcPr>
            <w:tcW w:w="0" w:type="auto"/>
            <w:hideMark/>
          </w:tcPr>
          <w:p w14:paraId="096921E6"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Months 18–30: Commercialise successful packages</w:t>
            </w:r>
          </w:p>
        </w:tc>
        <w:tc>
          <w:tcPr>
            <w:tcW w:w="0" w:type="auto"/>
            <w:hideMark/>
          </w:tcPr>
          <w:p w14:paraId="2146202A"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Standardise successful solutions; introduce outcome-based pricing; expand SME and public-sector channels; integrate billing and customer-</w:t>
            </w:r>
            <w:r w:rsidRPr="00791A10">
              <w:rPr>
                <w:rFonts w:ascii="Times New Roman" w:eastAsia="Times New Roman" w:hAnsi="Times New Roman" w:cs="Times New Roman"/>
                <w:lang w:eastAsia="en-GB"/>
              </w:rPr>
              <w:lastRenderedPageBreak/>
              <w:t>support systems; conduct national marketing campaigns.</w:t>
            </w:r>
          </w:p>
        </w:tc>
        <w:tc>
          <w:tcPr>
            <w:tcW w:w="0" w:type="auto"/>
            <w:hideMark/>
          </w:tcPr>
          <w:p w14:paraId="1A4CBA29"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lastRenderedPageBreak/>
              <w:t>Business Director, Commercial Director and Digital Director.</w:t>
            </w:r>
          </w:p>
        </w:tc>
        <w:tc>
          <w:tcPr>
            <w:tcW w:w="0" w:type="auto"/>
            <w:hideMark/>
          </w:tcPr>
          <w:p w14:paraId="0C8E74A4"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 xml:space="preserve">Digital-service revenue growth of at least 10% per year; 20% reduction in provisioning time; 10% increase in </w:t>
            </w:r>
            <w:r w:rsidRPr="00791A10">
              <w:rPr>
                <w:rFonts w:ascii="Times New Roman" w:eastAsia="Times New Roman" w:hAnsi="Times New Roman" w:cs="Times New Roman"/>
                <w:lang w:eastAsia="en-GB"/>
              </w:rPr>
              <w:lastRenderedPageBreak/>
              <w:t>products per enterprise customer; positive contribution margin from standardised packages.</w:t>
            </w:r>
          </w:p>
        </w:tc>
      </w:tr>
      <w:tr w:rsidR="00791A10" w:rsidRPr="00791A10" w14:paraId="719E70AE" w14:textId="77777777" w:rsidTr="00791A10">
        <w:tc>
          <w:tcPr>
            <w:tcW w:w="0" w:type="auto"/>
            <w:hideMark/>
          </w:tcPr>
          <w:p w14:paraId="11BDDF7D"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lastRenderedPageBreak/>
              <w:t>Months 30–36: Scale and optimise</w:t>
            </w:r>
          </w:p>
        </w:tc>
        <w:tc>
          <w:tcPr>
            <w:tcW w:w="0" w:type="auto"/>
            <w:hideMark/>
          </w:tcPr>
          <w:p w14:paraId="3C33733C"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Expand nationally; automate service assurance; introduce further AI and edge-computing services; discontinue unsuccessful packages; review partner performance; prepare the next three-year growth plan.</w:t>
            </w:r>
          </w:p>
        </w:tc>
        <w:tc>
          <w:tcPr>
            <w:tcW w:w="0" w:type="auto"/>
            <w:hideMark/>
          </w:tcPr>
          <w:p w14:paraId="1CD8A0D0"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Executive Committee and programme board.</w:t>
            </w:r>
          </w:p>
        </w:tc>
        <w:tc>
          <w:tcPr>
            <w:tcW w:w="0" w:type="auto"/>
            <w:hideMark/>
          </w:tcPr>
          <w:p w14:paraId="3D9E0123" w14:textId="77777777" w:rsidR="00791A10" w:rsidRPr="00791A10" w:rsidRDefault="00791A10" w:rsidP="00791A10">
            <w:pPr>
              <w:spacing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Enterprise churn reduced by 2 percentage points; B2B NPS improvement of at least 10 points from baseline; 95% of service incidents resolved within SLA; programme on course for payback within five years.</w:t>
            </w:r>
          </w:p>
        </w:tc>
      </w:tr>
    </w:tbl>
    <w:p w14:paraId="6655C2A9"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A monthly operational dashboard should track customer acquisition, recurring revenue, gross margin, churn, solution availability, cyber incidents, implementation time and customer satisfaction. A quarterly strategy review should be conducted by the VodafoneThree executive committee, while the Vodafone Group Board should receive a formal progress report every six months.</w:t>
      </w:r>
    </w:p>
    <w:p w14:paraId="0319CC8D"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A balanced scorecard should be used to prevent management from concentrating only on financial performance:</w:t>
      </w:r>
    </w:p>
    <w:p w14:paraId="0FC8FA11" w14:textId="77777777" w:rsidR="00791A10" w:rsidRPr="00791A10" w:rsidRDefault="00791A10" w:rsidP="00791A10">
      <w:pPr>
        <w:numPr>
          <w:ilvl w:val="0"/>
          <w:numId w:val="4"/>
        </w:num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Financial:</w:t>
      </w:r>
      <w:r w:rsidRPr="00791A10">
        <w:rPr>
          <w:rFonts w:ascii="Times New Roman" w:eastAsia="Times New Roman" w:hAnsi="Times New Roman" w:cs="Times New Roman"/>
          <w:lang w:eastAsia="en-GB"/>
        </w:rPr>
        <w:t xml:space="preserve"> digital-service revenue, recurring revenue, margin and return on invested capital.</w:t>
      </w:r>
    </w:p>
    <w:p w14:paraId="2C2E248A" w14:textId="77777777" w:rsidR="00791A10" w:rsidRPr="00791A10" w:rsidRDefault="00791A10" w:rsidP="00791A10">
      <w:pPr>
        <w:numPr>
          <w:ilvl w:val="0"/>
          <w:numId w:val="4"/>
        </w:num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Customer:</w:t>
      </w:r>
      <w:r w:rsidRPr="00791A10">
        <w:rPr>
          <w:rFonts w:ascii="Times New Roman" w:eastAsia="Times New Roman" w:hAnsi="Times New Roman" w:cs="Times New Roman"/>
          <w:lang w:eastAsia="en-GB"/>
        </w:rPr>
        <w:t xml:space="preserve"> B2B NPS, churn, customer adoption and service-level performance.</w:t>
      </w:r>
    </w:p>
    <w:p w14:paraId="013C7BC2" w14:textId="77777777" w:rsidR="00791A10" w:rsidRPr="00791A10" w:rsidRDefault="00791A10" w:rsidP="00791A10">
      <w:pPr>
        <w:numPr>
          <w:ilvl w:val="0"/>
          <w:numId w:val="4"/>
        </w:num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t>Internal processes:</w:t>
      </w:r>
      <w:r w:rsidRPr="00791A10">
        <w:rPr>
          <w:rFonts w:ascii="Times New Roman" w:eastAsia="Times New Roman" w:hAnsi="Times New Roman" w:cs="Times New Roman"/>
          <w:lang w:eastAsia="en-GB"/>
        </w:rPr>
        <w:t xml:space="preserve"> provisioning time, system integration, network incidents and cyber controls.</w:t>
      </w:r>
    </w:p>
    <w:p w14:paraId="086468BE" w14:textId="77777777" w:rsidR="00791A10" w:rsidRPr="00791A10" w:rsidRDefault="00791A10" w:rsidP="00791A10">
      <w:pPr>
        <w:numPr>
          <w:ilvl w:val="0"/>
          <w:numId w:val="4"/>
        </w:num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b/>
          <w:bCs/>
          <w:lang w:eastAsia="en-GB"/>
        </w:rPr>
        <w:lastRenderedPageBreak/>
        <w:t>Learning and growth:</w:t>
      </w:r>
      <w:r w:rsidRPr="00791A10">
        <w:rPr>
          <w:rFonts w:ascii="Times New Roman" w:eastAsia="Times New Roman" w:hAnsi="Times New Roman" w:cs="Times New Roman"/>
          <w:lang w:eastAsia="en-GB"/>
        </w:rPr>
        <w:t xml:space="preserve"> employee certification, specialist recruitment, innovation pipeline and partner contributions.</w:t>
      </w:r>
    </w:p>
    <w:p w14:paraId="0F12FB66"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Strategic assumptions should be reviewed annually. Where pilot conversion, margins or customer satisfaction fall materially below target, investment should be redirected rather than continuing underperforming services.</w:t>
      </w:r>
    </w:p>
    <w:p w14:paraId="664323C6" w14:textId="0E707078" w:rsidR="00791A10" w:rsidRPr="00791A10" w:rsidRDefault="00791A10" w:rsidP="00791A10">
      <w:pPr>
        <w:spacing w:line="360" w:lineRule="auto"/>
        <w:jc w:val="both"/>
        <w:rPr>
          <w:rFonts w:ascii="Times New Roman" w:eastAsia="Times New Roman" w:hAnsi="Times New Roman" w:cs="Times New Roman"/>
          <w:lang w:eastAsia="en-GB"/>
        </w:rPr>
      </w:pPr>
    </w:p>
    <w:p w14:paraId="38C04F77" w14:textId="77777777" w:rsidR="00791A10" w:rsidRPr="00791A10" w:rsidRDefault="00791A10" w:rsidP="00791A10">
      <w:pPr>
        <w:pStyle w:val="Heading1"/>
        <w:spacing w:line="360" w:lineRule="auto"/>
        <w:jc w:val="both"/>
      </w:pPr>
      <w:r w:rsidRPr="00791A10">
        <w:t>8. Conclusion</w:t>
      </w:r>
    </w:p>
    <w:p w14:paraId="44B55302" w14:textId="3BD4F17F"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VodafoneThree has gained customer scale, spectrum capacity and an unprecedented, regulated network-investment programme through the merger of Vodafone UK and Three UK. Nevertheless, network scale alone will not guarantee sustainable growth because UK telecommunications remains highly competitive, regulated and capital-intensive.</w:t>
      </w:r>
    </w:p>
    <w:p w14:paraId="7B3E5834"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The recommended enterprise digital ecosystem strategy would allow VodafoneThree to monetise its 5G Standalone infrastructure through private networks, network slicing, IoT, cloud services, cybersecurity and industry-specific solutions. This represents focused differentiation and combines product development with market development.</w:t>
      </w:r>
    </w:p>
    <w:p w14:paraId="21CAB2FC"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The strategy aligns with Vodafone’s priorities of Customers, Simplicity and Growth while supporting digital inclusion, infrastructure resilience and responsible innovation. Its principal risks concern integration, customer adoption, cybersecurity and financial discipline. These risks can be controlled through phased implementation, customer co-design, strong governance and measurable KPIs.</w:t>
      </w:r>
    </w:p>
    <w:p w14:paraId="78413D31" w14:textId="06B0D3D0" w:rsid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r w:rsidRPr="00791A10">
        <w:rPr>
          <w:rFonts w:ascii="Times New Roman" w:eastAsia="Times New Roman" w:hAnsi="Times New Roman" w:cs="Times New Roman"/>
          <w:lang w:eastAsia="en-GB"/>
        </w:rPr>
        <w:t>Vodafone should therefore position VodafoneThree not simply as the UK’s largest mobile operator, but as a trusted digital infrastructure and transformation partner for British businesses and public services.</w:t>
      </w:r>
    </w:p>
    <w:p w14:paraId="48BA87B0" w14:textId="36F43C76" w:rsid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p>
    <w:p w14:paraId="52C04652" w14:textId="35568E42" w:rsid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p>
    <w:p w14:paraId="549C44FB" w14:textId="77777777" w:rsidR="00791A10" w:rsidRPr="00791A10" w:rsidRDefault="00791A10" w:rsidP="00791A10">
      <w:pPr>
        <w:spacing w:before="100" w:beforeAutospacing="1" w:after="100" w:afterAutospacing="1" w:line="360" w:lineRule="auto"/>
        <w:jc w:val="both"/>
        <w:rPr>
          <w:rFonts w:ascii="Times New Roman" w:eastAsia="Times New Roman" w:hAnsi="Times New Roman" w:cs="Times New Roman"/>
          <w:lang w:eastAsia="en-GB"/>
        </w:rPr>
      </w:pPr>
    </w:p>
    <w:p w14:paraId="79D58439" w14:textId="77777777" w:rsidR="00791A10" w:rsidRPr="00791A10" w:rsidRDefault="00791A10" w:rsidP="00791A10">
      <w:pPr>
        <w:pStyle w:val="Heading1"/>
      </w:pPr>
      <w:r w:rsidRPr="00791A10">
        <w:lastRenderedPageBreak/>
        <w:t>Reference List</w:t>
      </w:r>
    </w:p>
    <w:p w14:paraId="278105E8" w14:textId="74315C88" w:rsidR="008A609C" w:rsidRDefault="008A609C" w:rsidP="008A609C">
      <w:pPr>
        <w:spacing w:before="100" w:beforeAutospacing="1" w:after="100" w:afterAutospacing="1"/>
        <w:rPr>
          <w:rFonts w:ascii="Times New Roman" w:eastAsia="Times New Roman" w:hAnsi="Times New Roman" w:cs="Times New Roman"/>
          <w:lang w:eastAsia="en-GB"/>
        </w:rPr>
      </w:pPr>
      <w:r w:rsidRPr="008A609C">
        <w:rPr>
          <w:rFonts w:ascii="Times New Roman" w:eastAsia="Times New Roman" w:hAnsi="Times New Roman" w:cs="Times New Roman"/>
          <w:lang w:eastAsia="en-GB"/>
        </w:rPr>
        <w:t xml:space="preserve">Ansoff, H.I. (1957) ‘Strategies for diversification’, </w:t>
      </w:r>
      <w:r w:rsidRPr="008A609C">
        <w:rPr>
          <w:rFonts w:ascii="Times New Roman" w:eastAsia="Times New Roman" w:hAnsi="Times New Roman" w:cs="Times New Roman"/>
          <w:i/>
          <w:iCs/>
          <w:lang w:eastAsia="en-GB"/>
        </w:rPr>
        <w:t>Harvard Business Review</w:t>
      </w:r>
      <w:r w:rsidRPr="008A609C">
        <w:rPr>
          <w:rFonts w:ascii="Times New Roman" w:eastAsia="Times New Roman" w:hAnsi="Times New Roman" w:cs="Times New Roman"/>
          <w:lang w:eastAsia="en-GB"/>
        </w:rPr>
        <w:t xml:space="preserve">, 35(5), pp. 113–124. Available at: </w:t>
      </w:r>
      <w:hyperlink r:id="rId9" w:history="1">
        <w:r w:rsidRPr="008A609C">
          <w:rPr>
            <w:rFonts w:ascii="Times New Roman" w:eastAsia="Times New Roman" w:hAnsi="Times New Roman" w:cs="Times New Roman"/>
            <w:color w:val="0000FF"/>
            <w:u w:val="single"/>
            <w:lang w:eastAsia="en-GB"/>
          </w:rPr>
          <w:t>https://www.econbiz.de/Record/strategies-for-diversification-ansoff-igor/10001836084</w:t>
        </w:r>
      </w:hyperlink>
      <w:r w:rsidRPr="008A609C">
        <w:rPr>
          <w:rFonts w:ascii="Times New Roman" w:eastAsia="Times New Roman" w:hAnsi="Times New Roman" w:cs="Times New Roman"/>
          <w:lang w:eastAsia="en-GB"/>
        </w:rPr>
        <w:t xml:space="preserve"> (Accessed: 12 July 2026).</w:t>
      </w:r>
    </w:p>
    <w:p w14:paraId="37976B2E" w14:textId="77777777" w:rsidR="008A609C" w:rsidRDefault="008A609C" w:rsidP="008A609C">
      <w:pPr>
        <w:pStyle w:val="NormalWeb"/>
      </w:pPr>
      <w:r>
        <w:t xml:space="preserve">Available at: </w:t>
      </w:r>
      <w:hyperlink r:id="rId10" w:history="1">
        <w:r>
          <w:rPr>
            <w:rStyle w:val="Hyperlink"/>
          </w:rPr>
          <w:t>https://www.acas.org.uk/your-rights-during-redundancy/how-your-employer-must-consult-you</w:t>
        </w:r>
      </w:hyperlink>
      <w:r>
        <w:t xml:space="preserve"> (Accessed: 12 July 2026).</w:t>
      </w:r>
    </w:p>
    <w:p w14:paraId="46F790E3" w14:textId="77777777" w:rsidR="008A609C" w:rsidRDefault="008A609C" w:rsidP="008A609C">
      <w:pPr>
        <w:pStyle w:val="NormalWeb"/>
      </w:pPr>
      <w:proofErr w:type="spellStart"/>
      <w:r>
        <w:t>Acas</w:t>
      </w:r>
      <w:proofErr w:type="spellEnd"/>
      <w:r>
        <w:t xml:space="preserve"> (2026b) </w:t>
      </w:r>
      <w:r>
        <w:rPr>
          <w:rStyle w:val="Emphasis"/>
        </w:rPr>
        <w:t>Collective consultation for redundancy</w:t>
      </w:r>
      <w:r>
        <w:t xml:space="preserve">. Available at: </w:t>
      </w:r>
      <w:hyperlink r:id="rId11" w:history="1">
        <w:r>
          <w:rPr>
            <w:rStyle w:val="Hyperlink"/>
          </w:rPr>
          <w:t>https://www.acas.org.uk/collective-consultation-redundancy</w:t>
        </w:r>
      </w:hyperlink>
      <w:r>
        <w:t xml:space="preserve"> (Accessed: 12 July 2026).</w:t>
      </w:r>
    </w:p>
    <w:p w14:paraId="227E31C1" w14:textId="77777777" w:rsidR="008A609C" w:rsidRDefault="008A609C" w:rsidP="008A609C">
      <w:pPr>
        <w:pStyle w:val="NormalWeb"/>
      </w:pPr>
      <w:r>
        <w:t xml:space="preserve">Financial Reporting Council (2024) </w:t>
      </w:r>
      <w:r>
        <w:rPr>
          <w:rStyle w:val="Emphasis"/>
        </w:rPr>
        <w:t>UK Corporate Governance Code 2024</w:t>
      </w:r>
      <w:r>
        <w:t xml:space="preserve">. London: FRC. Available at: </w:t>
      </w:r>
      <w:hyperlink r:id="rId12" w:history="1">
        <w:r>
          <w:rPr>
            <w:rStyle w:val="Hyperlink"/>
          </w:rPr>
          <w:t>https://www.frc.org.uk/library/standards-codes-policy/corporate-governance/uk-corporate-governance-code/</w:t>
        </w:r>
      </w:hyperlink>
      <w:r>
        <w:t xml:space="preserve"> (Accessed: 12 July 2026).</w:t>
      </w:r>
    </w:p>
    <w:p w14:paraId="5E47720F" w14:textId="77777777" w:rsidR="008A609C" w:rsidRDefault="008A609C" w:rsidP="008A609C">
      <w:pPr>
        <w:pStyle w:val="NormalWeb"/>
      </w:pPr>
      <w:r>
        <w:t xml:space="preserve">Financial Reporting Council (2026) </w:t>
      </w:r>
      <w:r>
        <w:rPr>
          <w:rStyle w:val="Emphasis"/>
        </w:rPr>
        <w:t>Guidance on the Strategic Report</w:t>
      </w:r>
      <w:r>
        <w:t xml:space="preserve">. London: FRC. Available at: </w:t>
      </w:r>
      <w:hyperlink r:id="rId13" w:history="1">
        <w:r>
          <w:rPr>
            <w:rStyle w:val="Hyperlink"/>
          </w:rPr>
          <w:t>https://www.frc.org.uk/library/standards-codes-policy/accounting-and-reporting/annual-corporate-reporting/guidance-on-the-strategic-report/</w:t>
        </w:r>
      </w:hyperlink>
      <w:r>
        <w:t xml:space="preserve"> (Accessed: 12 July 2026).</w:t>
      </w:r>
    </w:p>
    <w:p w14:paraId="75EF8515" w14:textId="77777777" w:rsidR="008A609C" w:rsidRDefault="008A609C" w:rsidP="008A609C">
      <w:pPr>
        <w:pStyle w:val="NormalWeb"/>
      </w:pPr>
      <w:r>
        <w:t xml:space="preserve">Information Commissioner’s Office (2023) </w:t>
      </w:r>
      <w:r>
        <w:rPr>
          <w:rStyle w:val="Emphasis"/>
        </w:rPr>
        <w:t>Contracts and responsibilities between controllers and processors</w:t>
      </w:r>
      <w:r>
        <w:t xml:space="preserve">. Wilmslow: ICO. Available at: </w:t>
      </w:r>
      <w:hyperlink r:id="rId14" w:history="1">
        <w:r>
          <w:rPr>
            <w:rStyle w:val="Hyperlink"/>
          </w:rPr>
          <w:t>https://ico.org.uk/for-organisations/uk-gdpr-guidance-and-resources/accountability-and-governance/guide-to-accountability-and-governance/contracts/</w:t>
        </w:r>
      </w:hyperlink>
      <w:r>
        <w:t xml:space="preserve"> (Accessed: 12 July 2026).</w:t>
      </w:r>
    </w:p>
    <w:p w14:paraId="00D17C74" w14:textId="77777777" w:rsidR="008A609C" w:rsidRDefault="008A609C" w:rsidP="008A609C">
      <w:pPr>
        <w:pStyle w:val="NormalWeb"/>
      </w:pPr>
      <w:r>
        <w:t xml:space="preserve">Information Commissioner’s Office (2026) </w:t>
      </w:r>
      <w:r>
        <w:rPr>
          <w:rStyle w:val="Emphasis"/>
        </w:rPr>
        <w:t>Data protection by design and by default</w:t>
      </w:r>
      <w:r>
        <w:t xml:space="preserve">. Wilmslow: ICO. Available at: </w:t>
      </w:r>
      <w:hyperlink r:id="rId15" w:history="1">
        <w:r>
          <w:rPr>
            <w:rStyle w:val="Hyperlink"/>
          </w:rPr>
          <w:t>https://ico.org.uk/for-organisations/uk-gdpr-guidance-and-resources/accountability-and-governance/guide-to-accountability-and-governance/data-protection-by-design-and-by-default/</w:t>
        </w:r>
      </w:hyperlink>
      <w:r>
        <w:t xml:space="preserve"> (Accessed: 12 July 2026).</w:t>
      </w:r>
    </w:p>
    <w:p w14:paraId="7FA0317F" w14:textId="77777777" w:rsidR="008A609C" w:rsidRDefault="008A609C" w:rsidP="008A609C">
      <w:pPr>
        <w:pStyle w:val="NormalWeb"/>
      </w:pPr>
      <w:r>
        <w:t xml:space="preserve">National Cyber Security Centre (2022) </w:t>
      </w:r>
      <w:r>
        <w:rPr>
          <w:rStyle w:val="Emphasis"/>
        </w:rPr>
        <w:t>How to assess and gain confidence in your supply-chain cyber security</w:t>
      </w:r>
      <w:r>
        <w:t xml:space="preserve">. London: NCSC. Available at: </w:t>
      </w:r>
      <w:hyperlink r:id="rId16" w:history="1">
        <w:r>
          <w:rPr>
            <w:rStyle w:val="Hyperlink"/>
          </w:rPr>
          <w:t>https://www.ncsc.gov.uk/collection/assess-supply-chain-cyber-security</w:t>
        </w:r>
      </w:hyperlink>
      <w:r>
        <w:t xml:space="preserve"> (Accessed: 12 July 2026).</w:t>
      </w:r>
    </w:p>
    <w:p w14:paraId="3F97E0A8" w14:textId="77777777" w:rsidR="008A609C" w:rsidRDefault="008A609C" w:rsidP="008A609C">
      <w:pPr>
        <w:pStyle w:val="NormalWeb"/>
      </w:pPr>
      <w:r>
        <w:t xml:space="preserve">National Cyber Security Centre (2023) </w:t>
      </w:r>
      <w:r>
        <w:rPr>
          <w:rStyle w:val="Emphasis"/>
        </w:rPr>
        <w:t>Mapping your supply chain</w:t>
      </w:r>
      <w:r>
        <w:t xml:space="preserve">. London: NCSC. Available at: </w:t>
      </w:r>
      <w:hyperlink r:id="rId17" w:history="1">
        <w:r>
          <w:rPr>
            <w:rStyle w:val="Hyperlink"/>
          </w:rPr>
          <w:t>https://www.ncsc.gov.uk/guidance/mapping-your-supply-chain</w:t>
        </w:r>
      </w:hyperlink>
      <w:r>
        <w:t xml:space="preserve"> (Accessed: 12 July 2026).</w:t>
      </w:r>
    </w:p>
    <w:p w14:paraId="24B7BB41" w14:textId="48B86AC2" w:rsidR="008A609C" w:rsidRPr="008A609C" w:rsidRDefault="008A609C" w:rsidP="008A609C">
      <w:pPr>
        <w:pStyle w:val="NormalWeb"/>
      </w:pPr>
      <w:r>
        <w:t xml:space="preserve">Ofcom (2025) </w:t>
      </w:r>
      <w:r>
        <w:rPr>
          <w:rStyle w:val="Emphasis"/>
        </w:rPr>
        <w:t>Exploring Digital Disadvantage: Research Report</w:t>
      </w:r>
      <w:r>
        <w:t xml:space="preserve">. London: Ofcom. Available at: </w:t>
      </w:r>
      <w:hyperlink r:id="rId18" w:history="1">
        <w:r>
          <w:rPr>
            <w:rStyle w:val="Hyperlink"/>
          </w:rPr>
          <w:t>https://www.ofcom.org.uk/siteassets/resources/documents/internet-based-services/technology/research-digital-disadvantage/exploring-digital-disadvantage-research-report.pdf</w:t>
        </w:r>
      </w:hyperlink>
      <w:r>
        <w:t xml:space="preserve"> (Accessed: 12 July 2026).</w:t>
      </w:r>
    </w:p>
    <w:p w14:paraId="1BCC6DD9" w14:textId="77777777" w:rsidR="008A609C" w:rsidRPr="008A609C" w:rsidRDefault="008A609C" w:rsidP="008A609C">
      <w:pPr>
        <w:spacing w:before="100" w:beforeAutospacing="1" w:after="100" w:afterAutospacing="1"/>
        <w:rPr>
          <w:rFonts w:ascii="Times New Roman" w:eastAsia="Times New Roman" w:hAnsi="Times New Roman" w:cs="Times New Roman"/>
          <w:lang w:eastAsia="en-GB"/>
        </w:rPr>
      </w:pPr>
      <w:r w:rsidRPr="008A609C">
        <w:rPr>
          <w:rFonts w:ascii="Times New Roman" w:eastAsia="Times New Roman" w:hAnsi="Times New Roman" w:cs="Times New Roman"/>
          <w:lang w:eastAsia="en-GB"/>
        </w:rPr>
        <w:t xml:space="preserve">Barney, J.B. (1991) ‘Firm resources and sustained competitive advantage’, </w:t>
      </w:r>
      <w:r w:rsidRPr="008A609C">
        <w:rPr>
          <w:rFonts w:ascii="Times New Roman" w:eastAsia="Times New Roman" w:hAnsi="Times New Roman" w:cs="Times New Roman"/>
          <w:i/>
          <w:iCs/>
          <w:lang w:eastAsia="en-GB"/>
        </w:rPr>
        <w:t>Journal of Management</w:t>
      </w:r>
      <w:r w:rsidRPr="008A609C">
        <w:rPr>
          <w:rFonts w:ascii="Times New Roman" w:eastAsia="Times New Roman" w:hAnsi="Times New Roman" w:cs="Times New Roman"/>
          <w:lang w:eastAsia="en-GB"/>
        </w:rPr>
        <w:t xml:space="preserve">, 17(1), pp. 99–120. Available at: </w:t>
      </w:r>
      <w:hyperlink r:id="rId19" w:history="1">
        <w:r w:rsidRPr="008A609C">
          <w:rPr>
            <w:rFonts w:ascii="Times New Roman" w:eastAsia="Times New Roman" w:hAnsi="Times New Roman" w:cs="Times New Roman"/>
            <w:color w:val="0000FF"/>
            <w:u w:val="single"/>
            <w:lang w:eastAsia="en-GB"/>
          </w:rPr>
          <w:t>https://doi.org/10.1177/014920639101700108</w:t>
        </w:r>
      </w:hyperlink>
      <w:r w:rsidRPr="008A609C">
        <w:rPr>
          <w:rFonts w:ascii="Times New Roman" w:eastAsia="Times New Roman" w:hAnsi="Times New Roman" w:cs="Times New Roman"/>
          <w:lang w:eastAsia="en-GB"/>
        </w:rPr>
        <w:t xml:space="preserve"> (Accessed: 12 July 2026).</w:t>
      </w:r>
    </w:p>
    <w:p w14:paraId="0C9EEC23" w14:textId="77777777" w:rsidR="008A609C" w:rsidRPr="008A609C" w:rsidRDefault="008A609C" w:rsidP="008A609C">
      <w:pPr>
        <w:spacing w:before="100" w:beforeAutospacing="1" w:after="100" w:afterAutospacing="1"/>
        <w:rPr>
          <w:rFonts w:ascii="Times New Roman" w:eastAsia="Times New Roman" w:hAnsi="Times New Roman" w:cs="Times New Roman"/>
          <w:lang w:eastAsia="en-GB"/>
        </w:rPr>
      </w:pPr>
      <w:r w:rsidRPr="008A609C">
        <w:rPr>
          <w:rFonts w:ascii="Times New Roman" w:eastAsia="Times New Roman" w:hAnsi="Times New Roman" w:cs="Times New Roman"/>
          <w:lang w:eastAsia="en-GB"/>
        </w:rPr>
        <w:lastRenderedPageBreak/>
        <w:t xml:space="preserve">Competition and Markets Authority (2024) </w:t>
      </w:r>
      <w:r w:rsidRPr="008A609C">
        <w:rPr>
          <w:rFonts w:ascii="Times New Roman" w:eastAsia="Times New Roman" w:hAnsi="Times New Roman" w:cs="Times New Roman"/>
          <w:i/>
          <w:iCs/>
          <w:lang w:eastAsia="en-GB"/>
        </w:rPr>
        <w:t>CMA clears Vodafone/Three merger, subject to legally binding commitments</w:t>
      </w:r>
      <w:r w:rsidRPr="008A609C">
        <w:rPr>
          <w:rFonts w:ascii="Times New Roman" w:eastAsia="Times New Roman" w:hAnsi="Times New Roman" w:cs="Times New Roman"/>
          <w:lang w:eastAsia="en-GB"/>
        </w:rPr>
        <w:t xml:space="preserve">. London: CMA. Available at: </w:t>
      </w:r>
      <w:hyperlink r:id="rId20" w:history="1">
        <w:r w:rsidRPr="008A609C">
          <w:rPr>
            <w:rFonts w:ascii="Times New Roman" w:eastAsia="Times New Roman" w:hAnsi="Times New Roman" w:cs="Times New Roman"/>
            <w:color w:val="0000FF"/>
            <w:u w:val="single"/>
            <w:lang w:eastAsia="en-GB"/>
          </w:rPr>
          <w:t>https://www.gov.uk/government/news/cma-clears-vodafone-three-merger-subject-to-legally-binding-commitments</w:t>
        </w:r>
      </w:hyperlink>
      <w:r w:rsidRPr="008A609C">
        <w:rPr>
          <w:rFonts w:ascii="Times New Roman" w:eastAsia="Times New Roman" w:hAnsi="Times New Roman" w:cs="Times New Roman"/>
          <w:lang w:eastAsia="en-GB"/>
        </w:rPr>
        <w:t xml:space="preserve"> (Accessed: 12 July 2026).</w:t>
      </w:r>
    </w:p>
    <w:p w14:paraId="47D5A712" w14:textId="77777777" w:rsidR="008A609C" w:rsidRPr="008A609C" w:rsidRDefault="008A609C" w:rsidP="008A609C">
      <w:pPr>
        <w:spacing w:before="100" w:beforeAutospacing="1" w:after="100" w:afterAutospacing="1"/>
        <w:rPr>
          <w:rFonts w:ascii="Times New Roman" w:eastAsia="Times New Roman" w:hAnsi="Times New Roman" w:cs="Times New Roman"/>
          <w:lang w:eastAsia="en-GB"/>
        </w:rPr>
      </w:pPr>
      <w:r w:rsidRPr="008A609C">
        <w:rPr>
          <w:rFonts w:ascii="Times New Roman" w:eastAsia="Times New Roman" w:hAnsi="Times New Roman" w:cs="Times New Roman"/>
          <w:lang w:eastAsia="en-GB"/>
        </w:rPr>
        <w:t xml:space="preserve">Competition and Markets Authority (2025) </w:t>
      </w:r>
      <w:r w:rsidRPr="008A609C">
        <w:rPr>
          <w:rFonts w:ascii="Times New Roman" w:eastAsia="Times New Roman" w:hAnsi="Times New Roman" w:cs="Times New Roman"/>
          <w:i/>
          <w:iCs/>
          <w:lang w:eastAsia="en-GB"/>
        </w:rPr>
        <w:t>Vodafone/CK Hutchison joint venture merger inquiry: Case closure and final undertakings</w:t>
      </w:r>
      <w:r w:rsidRPr="008A609C">
        <w:rPr>
          <w:rFonts w:ascii="Times New Roman" w:eastAsia="Times New Roman" w:hAnsi="Times New Roman" w:cs="Times New Roman"/>
          <w:lang w:eastAsia="en-GB"/>
        </w:rPr>
        <w:t xml:space="preserve">. London: CMA. Available at: </w:t>
      </w:r>
      <w:hyperlink r:id="rId21" w:history="1">
        <w:r w:rsidRPr="008A609C">
          <w:rPr>
            <w:rFonts w:ascii="Times New Roman" w:eastAsia="Times New Roman" w:hAnsi="Times New Roman" w:cs="Times New Roman"/>
            <w:color w:val="0000FF"/>
            <w:u w:val="single"/>
            <w:lang w:eastAsia="en-GB"/>
          </w:rPr>
          <w:t>https://www.gov.uk/cma-cases/vodafone-slash-ck-hutchison-jv-merger-inquiry</w:t>
        </w:r>
      </w:hyperlink>
      <w:r w:rsidRPr="008A609C">
        <w:rPr>
          <w:rFonts w:ascii="Times New Roman" w:eastAsia="Times New Roman" w:hAnsi="Times New Roman" w:cs="Times New Roman"/>
          <w:lang w:eastAsia="en-GB"/>
        </w:rPr>
        <w:t xml:space="preserve"> (Accessed: 12 July 2026).</w:t>
      </w:r>
    </w:p>
    <w:p w14:paraId="6A774BC2" w14:textId="77777777" w:rsidR="008A609C" w:rsidRPr="008A609C" w:rsidRDefault="008A609C" w:rsidP="008A609C">
      <w:pPr>
        <w:spacing w:before="100" w:beforeAutospacing="1" w:after="100" w:afterAutospacing="1"/>
        <w:rPr>
          <w:rFonts w:ascii="Times New Roman" w:eastAsia="Times New Roman" w:hAnsi="Times New Roman" w:cs="Times New Roman"/>
          <w:lang w:eastAsia="en-GB"/>
        </w:rPr>
      </w:pPr>
      <w:r w:rsidRPr="008A609C">
        <w:rPr>
          <w:rFonts w:ascii="Times New Roman" w:eastAsia="Times New Roman" w:hAnsi="Times New Roman" w:cs="Times New Roman"/>
          <w:lang w:eastAsia="en-GB"/>
        </w:rPr>
        <w:t xml:space="preserve">Freeman, R.E. (1984) </w:t>
      </w:r>
      <w:r w:rsidRPr="008A609C">
        <w:rPr>
          <w:rFonts w:ascii="Times New Roman" w:eastAsia="Times New Roman" w:hAnsi="Times New Roman" w:cs="Times New Roman"/>
          <w:i/>
          <w:iCs/>
          <w:lang w:eastAsia="en-GB"/>
        </w:rPr>
        <w:t>Strategic Management: A Stakeholder Approach</w:t>
      </w:r>
      <w:r w:rsidRPr="008A609C">
        <w:rPr>
          <w:rFonts w:ascii="Times New Roman" w:eastAsia="Times New Roman" w:hAnsi="Times New Roman" w:cs="Times New Roman"/>
          <w:lang w:eastAsia="en-GB"/>
        </w:rPr>
        <w:t xml:space="preserve">. Boston: Pitman. Available at: </w:t>
      </w:r>
      <w:hyperlink r:id="rId22" w:history="1">
        <w:r w:rsidRPr="008A609C">
          <w:rPr>
            <w:rFonts w:ascii="Times New Roman" w:eastAsia="Times New Roman" w:hAnsi="Times New Roman" w:cs="Times New Roman"/>
            <w:color w:val="0000FF"/>
            <w:u w:val="single"/>
            <w:lang w:eastAsia="en-GB"/>
          </w:rPr>
          <w:t>https://www.cambridge.org/core/books/strategic-management/E3CC2E2CE01497062D7603B7A8B9337F</w:t>
        </w:r>
      </w:hyperlink>
      <w:r w:rsidRPr="008A609C">
        <w:rPr>
          <w:rFonts w:ascii="Times New Roman" w:eastAsia="Times New Roman" w:hAnsi="Times New Roman" w:cs="Times New Roman"/>
          <w:lang w:eastAsia="en-GB"/>
        </w:rPr>
        <w:t xml:space="preserve"> (Accessed: 12 July 2026).</w:t>
      </w:r>
    </w:p>
    <w:p w14:paraId="7DA232BB" w14:textId="77777777" w:rsidR="008A609C" w:rsidRPr="008A609C" w:rsidRDefault="008A609C" w:rsidP="008A609C">
      <w:pPr>
        <w:spacing w:before="100" w:beforeAutospacing="1" w:after="100" w:afterAutospacing="1"/>
        <w:rPr>
          <w:rFonts w:ascii="Times New Roman" w:eastAsia="Times New Roman" w:hAnsi="Times New Roman" w:cs="Times New Roman"/>
          <w:lang w:eastAsia="en-GB"/>
        </w:rPr>
      </w:pPr>
      <w:r w:rsidRPr="008A609C">
        <w:rPr>
          <w:rFonts w:ascii="Times New Roman" w:eastAsia="Times New Roman" w:hAnsi="Times New Roman" w:cs="Times New Roman"/>
          <w:lang w:eastAsia="en-GB"/>
        </w:rPr>
        <w:t xml:space="preserve">Grant, R.M. (2022) </w:t>
      </w:r>
      <w:r w:rsidRPr="008A609C">
        <w:rPr>
          <w:rFonts w:ascii="Times New Roman" w:eastAsia="Times New Roman" w:hAnsi="Times New Roman" w:cs="Times New Roman"/>
          <w:i/>
          <w:iCs/>
          <w:lang w:eastAsia="en-GB"/>
        </w:rPr>
        <w:t>Contemporary Strategy Analysis</w:t>
      </w:r>
      <w:r w:rsidRPr="008A609C">
        <w:rPr>
          <w:rFonts w:ascii="Times New Roman" w:eastAsia="Times New Roman" w:hAnsi="Times New Roman" w:cs="Times New Roman"/>
          <w:lang w:eastAsia="en-GB"/>
        </w:rPr>
        <w:t xml:space="preserve">. 11th </w:t>
      </w:r>
      <w:proofErr w:type="spellStart"/>
      <w:r w:rsidRPr="008A609C">
        <w:rPr>
          <w:rFonts w:ascii="Times New Roman" w:eastAsia="Times New Roman" w:hAnsi="Times New Roman" w:cs="Times New Roman"/>
          <w:lang w:eastAsia="en-GB"/>
        </w:rPr>
        <w:t>edn</w:t>
      </w:r>
      <w:proofErr w:type="spellEnd"/>
      <w:r w:rsidRPr="008A609C">
        <w:rPr>
          <w:rFonts w:ascii="Times New Roman" w:eastAsia="Times New Roman" w:hAnsi="Times New Roman" w:cs="Times New Roman"/>
          <w:lang w:eastAsia="en-GB"/>
        </w:rPr>
        <w:t xml:space="preserve">. Chichester: Wiley. Available at: </w:t>
      </w:r>
      <w:hyperlink r:id="rId23" w:history="1">
        <w:r w:rsidRPr="008A609C">
          <w:rPr>
            <w:rFonts w:ascii="Times New Roman" w:eastAsia="Times New Roman" w:hAnsi="Times New Roman" w:cs="Times New Roman"/>
            <w:color w:val="0000FF"/>
            <w:u w:val="single"/>
            <w:lang w:eastAsia="en-GB"/>
          </w:rPr>
          <w:t>https://www.wiley.com/en-us/Contemporary%2BStrategy%2BAnalysis%2C%2B11th%2BEdition-p-00370630</w:t>
        </w:r>
      </w:hyperlink>
      <w:r w:rsidRPr="008A609C">
        <w:rPr>
          <w:rFonts w:ascii="Times New Roman" w:eastAsia="Times New Roman" w:hAnsi="Times New Roman" w:cs="Times New Roman"/>
          <w:lang w:eastAsia="en-GB"/>
        </w:rPr>
        <w:t xml:space="preserve"> (Accessed: 12 July 2026).</w:t>
      </w:r>
    </w:p>
    <w:p w14:paraId="5281274B" w14:textId="77777777" w:rsidR="008A609C" w:rsidRPr="008A609C" w:rsidRDefault="008A609C" w:rsidP="008A609C">
      <w:pPr>
        <w:spacing w:before="100" w:beforeAutospacing="1" w:after="100" w:afterAutospacing="1"/>
        <w:rPr>
          <w:rFonts w:ascii="Times New Roman" w:eastAsia="Times New Roman" w:hAnsi="Times New Roman" w:cs="Times New Roman"/>
          <w:lang w:eastAsia="en-GB"/>
        </w:rPr>
      </w:pPr>
      <w:r w:rsidRPr="008A609C">
        <w:rPr>
          <w:rFonts w:ascii="Times New Roman" w:eastAsia="Times New Roman" w:hAnsi="Times New Roman" w:cs="Times New Roman"/>
          <w:lang w:eastAsia="en-GB"/>
        </w:rPr>
        <w:t xml:space="preserve">Johnson, G., Whittington, R., Scholes, K., Angwin, D. and </w:t>
      </w:r>
      <w:proofErr w:type="spellStart"/>
      <w:r w:rsidRPr="008A609C">
        <w:rPr>
          <w:rFonts w:ascii="Times New Roman" w:eastAsia="Times New Roman" w:hAnsi="Times New Roman" w:cs="Times New Roman"/>
          <w:lang w:eastAsia="en-GB"/>
        </w:rPr>
        <w:t>Regnér</w:t>
      </w:r>
      <w:proofErr w:type="spellEnd"/>
      <w:r w:rsidRPr="008A609C">
        <w:rPr>
          <w:rFonts w:ascii="Times New Roman" w:eastAsia="Times New Roman" w:hAnsi="Times New Roman" w:cs="Times New Roman"/>
          <w:lang w:eastAsia="en-GB"/>
        </w:rPr>
        <w:t xml:space="preserve">, P. (2020) </w:t>
      </w:r>
      <w:r w:rsidRPr="008A609C">
        <w:rPr>
          <w:rFonts w:ascii="Times New Roman" w:eastAsia="Times New Roman" w:hAnsi="Times New Roman" w:cs="Times New Roman"/>
          <w:i/>
          <w:iCs/>
          <w:lang w:eastAsia="en-GB"/>
        </w:rPr>
        <w:t>Exploring Strategy</w:t>
      </w:r>
      <w:r w:rsidRPr="008A609C">
        <w:rPr>
          <w:rFonts w:ascii="Times New Roman" w:eastAsia="Times New Roman" w:hAnsi="Times New Roman" w:cs="Times New Roman"/>
          <w:lang w:eastAsia="en-GB"/>
        </w:rPr>
        <w:t xml:space="preserve">. 12th </w:t>
      </w:r>
      <w:proofErr w:type="spellStart"/>
      <w:r w:rsidRPr="008A609C">
        <w:rPr>
          <w:rFonts w:ascii="Times New Roman" w:eastAsia="Times New Roman" w:hAnsi="Times New Roman" w:cs="Times New Roman"/>
          <w:lang w:eastAsia="en-GB"/>
        </w:rPr>
        <w:t>edn</w:t>
      </w:r>
      <w:proofErr w:type="spellEnd"/>
      <w:r w:rsidRPr="008A609C">
        <w:rPr>
          <w:rFonts w:ascii="Times New Roman" w:eastAsia="Times New Roman" w:hAnsi="Times New Roman" w:cs="Times New Roman"/>
          <w:lang w:eastAsia="en-GB"/>
        </w:rPr>
        <w:t xml:space="preserve">. Harlow: Pearson. Available at: </w:t>
      </w:r>
      <w:hyperlink r:id="rId24" w:history="1">
        <w:r w:rsidRPr="008A609C">
          <w:rPr>
            <w:rFonts w:ascii="Times New Roman" w:eastAsia="Times New Roman" w:hAnsi="Times New Roman" w:cs="Times New Roman"/>
            <w:color w:val="0000FF"/>
            <w:u w:val="single"/>
            <w:lang w:eastAsia="en-GB"/>
          </w:rPr>
          <w:t>https://www.pearson.com/en-gb/subject-catalog/p/exploring-strategy-text-and-cases/P200000004559/9781292282503</w:t>
        </w:r>
      </w:hyperlink>
      <w:r w:rsidRPr="008A609C">
        <w:rPr>
          <w:rFonts w:ascii="Times New Roman" w:eastAsia="Times New Roman" w:hAnsi="Times New Roman" w:cs="Times New Roman"/>
          <w:lang w:eastAsia="en-GB"/>
        </w:rPr>
        <w:t xml:space="preserve"> (Accessed: 12 July 2026).</w:t>
      </w:r>
    </w:p>
    <w:p w14:paraId="3FCD4FB9" w14:textId="77777777" w:rsidR="008A609C" w:rsidRPr="008A609C" w:rsidRDefault="008A609C" w:rsidP="008A609C">
      <w:pPr>
        <w:spacing w:before="100" w:beforeAutospacing="1" w:after="100" w:afterAutospacing="1"/>
        <w:rPr>
          <w:rFonts w:ascii="Times New Roman" w:eastAsia="Times New Roman" w:hAnsi="Times New Roman" w:cs="Times New Roman"/>
          <w:lang w:eastAsia="en-GB"/>
        </w:rPr>
      </w:pPr>
      <w:r w:rsidRPr="008A609C">
        <w:rPr>
          <w:rFonts w:ascii="Times New Roman" w:eastAsia="Times New Roman" w:hAnsi="Times New Roman" w:cs="Times New Roman"/>
          <w:lang w:eastAsia="en-GB"/>
        </w:rPr>
        <w:t xml:space="preserve">Ofcom (2025) </w:t>
      </w:r>
      <w:r w:rsidRPr="008A609C">
        <w:rPr>
          <w:rFonts w:ascii="Times New Roman" w:eastAsia="Times New Roman" w:hAnsi="Times New Roman" w:cs="Times New Roman"/>
          <w:i/>
          <w:iCs/>
          <w:lang w:eastAsia="en-GB"/>
        </w:rPr>
        <w:t>Communications Market Report 2025</w:t>
      </w:r>
      <w:r w:rsidRPr="008A609C">
        <w:rPr>
          <w:rFonts w:ascii="Times New Roman" w:eastAsia="Times New Roman" w:hAnsi="Times New Roman" w:cs="Times New Roman"/>
          <w:lang w:eastAsia="en-GB"/>
        </w:rPr>
        <w:t xml:space="preserve">. London: Ofcom. Available at: </w:t>
      </w:r>
      <w:hyperlink r:id="rId25" w:history="1">
        <w:r w:rsidRPr="008A609C">
          <w:rPr>
            <w:rFonts w:ascii="Times New Roman" w:eastAsia="Times New Roman" w:hAnsi="Times New Roman" w:cs="Times New Roman"/>
            <w:color w:val="0000FF"/>
            <w:u w:val="single"/>
            <w:lang w:eastAsia="en-GB"/>
          </w:rPr>
          <w:t>https://www.ofcom.org.uk/phones-and-broadband/service-quality/the-communications-market-2025</w:t>
        </w:r>
      </w:hyperlink>
      <w:r w:rsidRPr="008A609C">
        <w:rPr>
          <w:rFonts w:ascii="Times New Roman" w:eastAsia="Times New Roman" w:hAnsi="Times New Roman" w:cs="Times New Roman"/>
          <w:lang w:eastAsia="en-GB"/>
        </w:rPr>
        <w:t xml:space="preserve"> (Accessed: 12 July 2026).</w:t>
      </w:r>
    </w:p>
    <w:p w14:paraId="42784020" w14:textId="77777777" w:rsidR="008A609C" w:rsidRPr="008A609C" w:rsidRDefault="008A609C" w:rsidP="008A609C">
      <w:pPr>
        <w:spacing w:before="100" w:beforeAutospacing="1" w:after="100" w:afterAutospacing="1"/>
        <w:rPr>
          <w:rFonts w:ascii="Times New Roman" w:eastAsia="Times New Roman" w:hAnsi="Times New Roman" w:cs="Times New Roman"/>
          <w:lang w:eastAsia="en-GB"/>
        </w:rPr>
      </w:pPr>
      <w:r w:rsidRPr="008A609C">
        <w:rPr>
          <w:rFonts w:ascii="Times New Roman" w:eastAsia="Times New Roman" w:hAnsi="Times New Roman" w:cs="Times New Roman"/>
          <w:lang w:eastAsia="en-GB"/>
        </w:rPr>
        <w:t xml:space="preserve">Ofcom (2026) </w:t>
      </w:r>
      <w:r w:rsidRPr="008A609C">
        <w:rPr>
          <w:rFonts w:ascii="Times New Roman" w:eastAsia="Times New Roman" w:hAnsi="Times New Roman" w:cs="Times New Roman"/>
          <w:i/>
          <w:iCs/>
          <w:lang w:eastAsia="en-GB"/>
        </w:rPr>
        <w:t>Connected Nations Update: Spring 2026</w:t>
      </w:r>
      <w:r w:rsidRPr="008A609C">
        <w:rPr>
          <w:rFonts w:ascii="Times New Roman" w:eastAsia="Times New Roman" w:hAnsi="Times New Roman" w:cs="Times New Roman"/>
          <w:lang w:eastAsia="en-GB"/>
        </w:rPr>
        <w:t xml:space="preserve">. London: Ofcom. Available at: </w:t>
      </w:r>
      <w:hyperlink r:id="rId26" w:history="1">
        <w:r w:rsidRPr="008A609C">
          <w:rPr>
            <w:rFonts w:ascii="Times New Roman" w:eastAsia="Times New Roman" w:hAnsi="Times New Roman" w:cs="Times New Roman"/>
            <w:color w:val="0000FF"/>
            <w:u w:val="single"/>
            <w:lang w:eastAsia="en-GB"/>
          </w:rPr>
          <w:t>https://www.ofcom.org.uk/phones-and-broadband/coverage-and-speeds/connected-nations-update-spring-2026</w:t>
        </w:r>
      </w:hyperlink>
      <w:r w:rsidRPr="008A609C">
        <w:rPr>
          <w:rFonts w:ascii="Times New Roman" w:eastAsia="Times New Roman" w:hAnsi="Times New Roman" w:cs="Times New Roman"/>
          <w:lang w:eastAsia="en-GB"/>
        </w:rPr>
        <w:t xml:space="preserve"> (Accessed: 12 July 2026).</w:t>
      </w:r>
    </w:p>
    <w:p w14:paraId="1A40F640" w14:textId="77777777" w:rsidR="008A609C" w:rsidRPr="008A609C" w:rsidRDefault="008A609C" w:rsidP="008A609C">
      <w:pPr>
        <w:spacing w:before="100" w:beforeAutospacing="1" w:after="100" w:afterAutospacing="1"/>
        <w:rPr>
          <w:rFonts w:ascii="Times New Roman" w:eastAsia="Times New Roman" w:hAnsi="Times New Roman" w:cs="Times New Roman"/>
          <w:lang w:eastAsia="en-GB"/>
        </w:rPr>
      </w:pPr>
      <w:r w:rsidRPr="008A609C">
        <w:rPr>
          <w:rFonts w:ascii="Times New Roman" w:eastAsia="Times New Roman" w:hAnsi="Times New Roman" w:cs="Times New Roman"/>
          <w:lang w:eastAsia="en-GB"/>
        </w:rPr>
        <w:t xml:space="preserve">Porter, M.E. (1980) </w:t>
      </w:r>
      <w:r w:rsidRPr="008A609C">
        <w:rPr>
          <w:rFonts w:ascii="Times New Roman" w:eastAsia="Times New Roman" w:hAnsi="Times New Roman" w:cs="Times New Roman"/>
          <w:i/>
          <w:iCs/>
          <w:lang w:eastAsia="en-GB"/>
        </w:rPr>
        <w:t>Competitive Strategy: Techniques for Analysing Industries and Competitors</w:t>
      </w:r>
      <w:r w:rsidRPr="008A609C">
        <w:rPr>
          <w:rFonts w:ascii="Times New Roman" w:eastAsia="Times New Roman" w:hAnsi="Times New Roman" w:cs="Times New Roman"/>
          <w:lang w:eastAsia="en-GB"/>
        </w:rPr>
        <w:t xml:space="preserve">. New York: Free Press. Available at: </w:t>
      </w:r>
      <w:hyperlink r:id="rId27" w:history="1">
        <w:r w:rsidRPr="008A609C">
          <w:rPr>
            <w:rFonts w:ascii="Times New Roman" w:eastAsia="Times New Roman" w:hAnsi="Times New Roman" w:cs="Times New Roman"/>
            <w:color w:val="0000FF"/>
            <w:u w:val="single"/>
            <w:lang w:eastAsia="en-GB"/>
          </w:rPr>
          <w:t>https://www.hbs.edu/faculty/Pages/item.aspx?num=195</w:t>
        </w:r>
      </w:hyperlink>
      <w:r w:rsidRPr="008A609C">
        <w:rPr>
          <w:rFonts w:ascii="Times New Roman" w:eastAsia="Times New Roman" w:hAnsi="Times New Roman" w:cs="Times New Roman"/>
          <w:lang w:eastAsia="en-GB"/>
        </w:rPr>
        <w:t xml:space="preserve"> (Accessed: 12 July 2026).</w:t>
      </w:r>
    </w:p>
    <w:p w14:paraId="4933BAEF" w14:textId="77777777" w:rsidR="008A609C" w:rsidRPr="008A609C" w:rsidRDefault="008A609C" w:rsidP="008A609C">
      <w:pPr>
        <w:spacing w:before="100" w:beforeAutospacing="1" w:after="100" w:afterAutospacing="1"/>
        <w:rPr>
          <w:rFonts w:ascii="Times New Roman" w:eastAsia="Times New Roman" w:hAnsi="Times New Roman" w:cs="Times New Roman"/>
          <w:lang w:eastAsia="en-GB"/>
        </w:rPr>
      </w:pPr>
      <w:r w:rsidRPr="008A609C">
        <w:rPr>
          <w:rFonts w:ascii="Times New Roman" w:eastAsia="Times New Roman" w:hAnsi="Times New Roman" w:cs="Times New Roman"/>
          <w:lang w:eastAsia="en-GB"/>
        </w:rPr>
        <w:t xml:space="preserve">Porter, M.E. (1985) </w:t>
      </w:r>
      <w:r w:rsidRPr="008A609C">
        <w:rPr>
          <w:rFonts w:ascii="Times New Roman" w:eastAsia="Times New Roman" w:hAnsi="Times New Roman" w:cs="Times New Roman"/>
          <w:i/>
          <w:iCs/>
          <w:lang w:eastAsia="en-GB"/>
        </w:rPr>
        <w:t>Competitive Advantage: Creating and Sustaining Superior Performance</w:t>
      </w:r>
      <w:r w:rsidRPr="008A609C">
        <w:rPr>
          <w:rFonts w:ascii="Times New Roman" w:eastAsia="Times New Roman" w:hAnsi="Times New Roman" w:cs="Times New Roman"/>
          <w:lang w:eastAsia="en-GB"/>
        </w:rPr>
        <w:t xml:space="preserve">. New York: Free Press. Available at: </w:t>
      </w:r>
      <w:hyperlink r:id="rId28" w:history="1">
        <w:r w:rsidRPr="008A609C">
          <w:rPr>
            <w:rFonts w:ascii="Times New Roman" w:eastAsia="Times New Roman" w:hAnsi="Times New Roman" w:cs="Times New Roman"/>
            <w:color w:val="0000FF"/>
            <w:u w:val="single"/>
            <w:lang w:eastAsia="en-GB"/>
          </w:rPr>
          <w:t>https://www.hbs.edu/faculty/Pages/item.aspx?num=193</w:t>
        </w:r>
      </w:hyperlink>
      <w:r w:rsidRPr="008A609C">
        <w:rPr>
          <w:rFonts w:ascii="Times New Roman" w:eastAsia="Times New Roman" w:hAnsi="Times New Roman" w:cs="Times New Roman"/>
          <w:lang w:eastAsia="en-GB"/>
        </w:rPr>
        <w:t xml:space="preserve"> (Accessed: 12 July 2026).</w:t>
      </w:r>
    </w:p>
    <w:p w14:paraId="609739D0" w14:textId="77777777" w:rsidR="008A609C" w:rsidRPr="008A609C" w:rsidRDefault="008A609C" w:rsidP="008A609C">
      <w:pPr>
        <w:spacing w:before="100" w:beforeAutospacing="1" w:after="100" w:afterAutospacing="1"/>
        <w:rPr>
          <w:rFonts w:ascii="Times New Roman" w:eastAsia="Times New Roman" w:hAnsi="Times New Roman" w:cs="Times New Roman"/>
          <w:lang w:eastAsia="en-GB"/>
        </w:rPr>
      </w:pPr>
      <w:r w:rsidRPr="008A609C">
        <w:rPr>
          <w:rFonts w:ascii="Times New Roman" w:eastAsia="Times New Roman" w:hAnsi="Times New Roman" w:cs="Times New Roman"/>
          <w:lang w:eastAsia="en-GB"/>
        </w:rPr>
        <w:t xml:space="preserve">Teece, D.J. (2007) ‘Explicating dynamic capabilities: The nature and </w:t>
      </w:r>
      <w:proofErr w:type="spellStart"/>
      <w:r w:rsidRPr="008A609C">
        <w:rPr>
          <w:rFonts w:ascii="Times New Roman" w:eastAsia="Times New Roman" w:hAnsi="Times New Roman" w:cs="Times New Roman"/>
          <w:lang w:eastAsia="en-GB"/>
        </w:rPr>
        <w:t>microfoundations</w:t>
      </w:r>
      <w:proofErr w:type="spellEnd"/>
      <w:r w:rsidRPr="008A609C">
        <w:rPr>
          <w:rFonts w:ascii="Times New Roman" w:eastAsia="Times New Roman" w:hAnsi="Times New Roman" w:cs="Times New Roman"/>
          <w:lang w:eastAsia="en-GB"/>
        </w:rPr>
        <w:t xml:space="preserve"> of sustainable enterprise performance’, </w:t>
      </w:r>
      <w:r w:rsidRPr="008A609C">
        <w:rPr>
          <w:rFonts w:ascii="Times New Roman" w:eastAsia="Times New Roman" w:hAnsi="Times New Roman" w:cs="Times New Roman"/>
          <w:i/>
          <w:iCs/>
          <w:lang w:eastAsia="en-GB"/>
        </w:rPr>
        <w:t>Strategic Management Journal</w:t>
      </w:r>
      <w:r w:rsidRPr="008A609C">
        <w:rPr>
          <w:rFonts w:ascii="Times New Roman" w:eastAsia="Times New Roman" w:hAnsi="Times New Roman" w:cs="Times New Roman"/>
          <w:lang w:eastAsia="en-GB"/>
        </w:rPr>
        <w:t xml:space="preserve">, 28(13), pp. 1319–1350. Available at: </w:t>
      </w:r>
      <w:hyperlink r:id="rId29" w:history="1">
        <w:r w:rsidRPr="008A609C">
          <w:rPr>
            <w:rFonts w:ascii="Times New Roman" w:eastAsia="Times New Roman" w:hAnsi="Times New Roman" w:cs="Times New Roman"/>
            <w:color w:val="0000FF"/>
            <w:u w:val="single"/>
            <w:lang w:eastAsia="en-GB"/>
          </w:rPr>
          <w:t>https://doi.org/10.1002/smj.640</w:t>
        </w:r>
      </w:hyperlink>
      <w:r w:rsidRPr="008A609C">
        <w:rPr>
          <w:rFonts w:ascii="Times New Roman" w:eastAsia="Times New Roman" w:hAnsi="Times New Roman" w:cs="Times New Roman"/>
          <w:lang w:eastAsia="en-GB"/>
        </w:rPr>
        <w:t xml:space="preserve"> (Accessed: 12 July 2026).</w:t>
      </w:r>
    </w:p>
    <w:p w14:paraId="2491DC59" w14:textId="77777777" w:rsidR="008A609C" w:rsidRPr="008A609C" w:rsidRDefault="008A609C" w:rsidP="008A609C">
      <w:pPr>
        <w:spacing w:before="100" w:beforeAutospacing="1" w:after="100" w:afterAutospacing="1"/>
        <w:rPr>
          <w:rFonts w:ascii="Times New Roman" w:eastAsia="Times New Roman" w:hAnsi="Times New Roman" w:cs="Times New Roman"/>
          <w:lang w:eastAsia="en-GB"/>
        </w:rPr>
      </w:pPr>
      <w:r w:rsidRPr="008A609C">
        <w:rPr>
          <w:rFonts w:ascii="Times New Roman" w:eastAsia="Times New Roman" w:hAnsi="Times New Roman" w:cs="Times New Roman"/>
          <w:lang w:eastAsia="en-GB"/>
        </w:rPr>
        <w:t xml:space="preserve">UK Government (2022) </w:t>
      </w:r>
      <w:r w:rsidRPr="008A609C">
        <w:rPr>
          <w:rFonts w:ascii="Times New Roman" w:eastAsia="Times New Roman" w:hAnsi="Times New Roman" w:cs="Times New Roman"/>
          <w:i/>
          <w:iCs/>
          <w:lang w:eastAsia="en-GB"/>
        </w:rPr>
        <w:t>Electronic Communications (Security Measures) Regulations and Telecommunications Security Code of Practice</w:t>
      </w:r>
      <w:r w:rsidRPr="008A609C">
        <w:rPr>
          <w:rFonts w:ascii="Times New Roman" w:eastAsia="Times New Roman" w:hAnsi="Times New Roman" w:cs="Times New Roman"/>
          <w:lang w:eastAsia="en-GB"/>
        </w:rPr>
        <w:t xml:space="preserve">. London: Department for Digital, Culture, Media and Sport. Available at: </w:t>
      </w:r>
      <w:hyperlink r:id="rId30" w:history="1">
        <w:r w:rsidRPr="008A609C">
          <w:rPr>
            <w:rFonts w:ascii="Times New Roman" w:eastAsia="Times New Roman" w:hAnsi="Times New Roman" w:cs="Times New Roman"/>
            <w:color w:val="0000FF"/>
            <w:u w:val="single"/>
            <w:lang w:eastAsia="en-GB"/>
          </w:rPr>
          <w:t>https://www.gov.uk/government/publications/electronic-communications-security-measures-regulations-and-draft-telecommunications-security-code-of-practice</w:t>
        </w:r>
      </w:hyperlink>
      <w:r w:rsidRPr="008A609C">
        <w:rPr>
          <w:rFonts w:ascii="Times New Roman" w:eastAsia="Times New Roman" w:hAnsi="Times New Roman" w:cs="Times New Roman"/>
          <w:lang w:eastAsia="en-GB"/>
        </w:rPr>
        <w:t xml:space="preserve"> (Accessed: 12 July 2026).</w:t>
      </w:r>
    </w:p>
    <w:p w14:paraId="0ABEF882" w14:textId="77777777" w:rsidR="008A609C" w:rsidRPr="008A609C" w:rsidRDefault="008A609C" w:rsidP="008A609C">
      <w:pPr>
        <w:spacing w:before="100" w:beforeAutospacing="1" w:after="100" w:afterAutospacing="1"/>
        <w:rPr>
          <w:rFonts w:ascii="Times New Roman" w:eastAsia="Times New Roman" w:hAnsi="Times New Roman" w:cs="Times New Roman"/>
          <w:lang w:eastAsia="en-GB"/>
        </w:rPr>
      </w:pPr>
      <w:r w:rsidRPr="008A609C">
        <w:rPr>
          <w:rFonts w:ascii="Times New Roman" w:eastAsia="Times New Roman" w:hAnsi="Times New Roman" w:cs="Times New Roman"/>
          <w:lang w:eastAsia="en-GB"/>
        </w:rPr>
        <w:lastRenderedPageBreak/>
        <w:t xml:space="preserve">Vodafone Group Plc (2025) </w:t>
      </w:r>
      <w:r w:rsidRPr="008A609C">
        <w:rPr>
          <w:rFonts w:ascii="Times New Roman" w:eastAsia="Times New Roman" w:hAnsi="Times New Roman" w:cs="Times New Roman"/>
          <w:i/>
          <w:iCs/>
          <w:lang w:eastAsia="en-GB"/>
        </w:rPr>
        <w:t>Completion of Vodafone and Three Merger in the UK</w:t>
      </w:r>
      <w:r w:rsidRPr="008A609C">
        <w:rPr>
          <w:rFonts w:ascii="Times New Roman" w:eastAsia="Times New Roman" w:hAnsi="Times New Roman" w:cs="Times New Roman"/>
          <w:lang w:eastAsia="en-GB"/>
        </w:rPr>
        <w:t xml:space="preserve">. Newbury: Vodafone Group. Available at: </w:t>
      </w:r>
      <w:hyperlink r:id="rId31" w:history="1">
        <w:r w:rsidRPr="008A609C">
          <w:rPr>
            <w:rFonts w:ascii="Times New Roman" w:eastAsia="Times New Roman" w:hAnsi="Times New Roman" w:cs="Times New Roman"/>
            <w:color w:val="0000FF"/>
            <w:u w:val="single"/>
            <w:lang w:eastAsia="en-GB"/>
          </w:rPr>
          <w:t>https://www.vodafone.co.uk/newscentre/press-release/completion-vodafone-three-merger-uk/</w:t>
        </w:r>
      </w:hyperlink>
      <w:r w:rsidRPr="008A609C">
        <w:rPr>
          <w:rFonts w:ascii="Times New Roman" w:eastAsia="Times New Roman" w:hAnsi="Times New Roman" w:cs="Times New Roman"/>
          <w:lang w:eastAsia="en-GB"/>
        </w:rPr>
        <w:t xml:space="preserve"> (Accessed: 12 July 2026).</w:t>
      </w:r>
    </w:p>
    <w:p w14:paraId="5B505337" w14:textId="77777777" w:rsidR="008A609C" w:rsidRPr="008A609C" w:rsidRDefault="008A609C" w:rsidP="008A609C">
      <w:pPr>
        <w:spacing w:before="100" w:beforeAutospacing="1" w:after="100" w:afterAutospacing="1"/>
        <w:rPr>
          <w:rFonts w:ascii="Times New Roman" w:eastAsia="Times New Roman" w:hAnsi="Times New Roman" w:cs="Times New Roman"/>
          <w:lang w:eastAsia="en-GB"/>
        </w:rPr>
      </w:pPr>
      <w:r w:rsidRPr="008A609C">
        <w:rPr>
          <w:rFonts w:ascii="Times New Roman" w:eastAsia="Times New Roman" w:hAnsi="Times New Roman" w:cs="Times New Roman"/>
          <w:lang w:eastAsia="en-GB"/>
        </w:rPr>
        <w:t xml:space="preserve">Vodafone Group Plc (2026a) </w:t>
      </w:r>
      <w:r w:rsidRPr="008A609C">
        <w:rPr>
          <w:rFonts w:ascii="Times New Roman" w:eastAsia="Times New Roman" w:hAnsi="Times New Roman" w:cs="Times New Roman"/>
          <w:i/>
          <w:iCs/>
          <w:lang w:eastAsia="en-GB"/>
        </w:rPr>
        <w:t>Annual Report 2026</w:t>
      </w:r>
      <w:r w:rsidRPr="008A609C">
        <w:rPr>
          <w:rFonts w:ascii="Times New Roman" w:eastAsia="Times New Roman" w:hAnsi="Times New Roman" w:cs="Times New Roman"/>
          <w:lang w:eastAsia="en-GB"/>
        </w:rPr>
        <w:t xml:space="preserve">. Newbury: Vodafone Group. Available at: </w:t>
      </w:r>
      <w:hyperlink r:id="rId32" w:history="1">
        <w:r w:rsidRPr="008A609C">
          <w:rPr>
            <w:rFonts w:ascii="Times New Roman" w:eastAsia="Times New Roman" w:hAnsi="Times New Roman" w:cs="Times New Roman"/>
            <w:color w:val="0000FF"/>
            <w:u w:val="single"/>
            <w:lang w:eastAsia="en-GB"/>
          </w:rPr>
          <w:t>https://reports.investors.vodafone.com/view/500231330/</w:t>
        </w:r>
      </w:hyperlink>
      <w:r w:rsidRPr="008A609C">
        <w:rPr>
          <w:rFonts w:ascii="Times New Roman" w:eastAsia="Times New Roman" w:hAnsi="Times New Roman" w:cs="Times New Roman"/>
          <w:lang w:eastAsia="en-GB"/>
        </w:rPr>
        <w:t xml:space="preserve"> (Accessed: 12 July 2026).</w:t>
      </w:r>
    </w:p>
    <w:p w14:paraId="33954377" w14:textId="77777777" w:rsidR="008A609C" w:rsidRPr="008A609C" w:rsidRDefault="008A609C" w:rsidP="008A609C">
      <w:pPr>
        <w:spacing w:before="100" w:beforeAutospacing="1" w:after="100" w:afterAutospacing="1"/>
        <w:rPr>
          <w:rFonts w:ascii="Times New Roman" w:eastAsia="Times New Roman" w:hAnsi="Times New Roman" w:cs="Times New Roman"/>
          <w:lang w:eastAsia="en-GB"/>
        </w:rPr>
      </w:pPr>
      <w:r w:rsidRPr="008A609C">
        <w:rPr>
          <w:rFonts w:ascii="Times New Roman" w:eastAsia="Times New Roman" w:hAnsi="Times New Roman" w:cs="Times New Roman"/>
          <w:lang w:eastAsia="en-GB"/>
        </w:rPr>
        <w:t xml:space="preserve">Vodafone Group Plc (2026b) </w:t>
      </w:r>
      <w:r w:rsidRPr="008A609C">
        <w:rPr>
          <w:rFonts w:ascii="Times New Roman" w:eastAsia="Times New Roman" w:hAnsi="Times New Roman" w:cs="Times New Roman"/>
          <w:i/>
          <w:iCs/>
          <w:lang w:eastAsia="en-GB"/>
        </w:rPr>
        <w:t>FY26 Results Presentation</w:t>
      </w:r>
      <w:r w:rsidRPr="008A609C">
        <w:rPr>
          <w:rFonts w:ascii="Times New Roman" w:eastAsia="Times New Roman" w:hAnsi="Times New Roman" w:cs="Times New Roman"/>
          <w:lang w:eastAsia="en-GB"/>
        </w:rPr>
        <w:t xml:space="preserve">. Newbury: Vodafone Group. Available at: </w:t>
      </w:r>
      <w:hyperlink r:id="rId33" w:history="1">
        <w:r w:rsidRPr="008A609C">
          <w:rPr>
            <w:rFonts w:ascii="Times New Roman" w:eastAsia="Times New Roman" w:hAnsi="Times New Roman" w:cs="Times New Roman"/>
            <w:color w:val="0000FF"/>
            <w:u w:val="single"/>
            <w:lang w:eastAsia="en-GB"/>
          </w:rPr>
          <w:t>https://reports.investors.vodafone.com/view/213859904/</w:t>
        </w:r>
      </w:hyperlink>
      <w:r w:rsidRPr="008A609C">
        <w:rPr>
          <w:rFonts w:ascii="Times New Roman" w:eastAsia="Times New Roman" w:hAnsi="Times New Roman" w:cs="Times New Roman"/>
          <w:lang w:eastAsia="en-GB"/>
        </w:rPr>
        <w:t xml:space="preserve"> (Accessed: 12 July 2026).</w:t>
      </w:r>
    </w:p>
    <w:p w14:paraId="004A07F2" w14:textId="77777777" w:rsidR="008A609C" w:rsidRPr="008A609C" w:rsidRDefault="008A609C" w:rsidP="008A609C">
      <w:pPr>
        <w:spacing w:before="100" w:beforeAutospacing="1" w:after="100" w:afterAutospacing="1"/>
        <w:rPr>
          <w:rFonts w:ascii="Times New Roman" w:eastAsia="Times New Roman" w:hAnsi="Times New Roman" w:cs="Times New Roman"/>
          <w:lang w:eastAsia="en-GB"/>
        </w:rPr>
      </w:pPr>
      <w:r w:rsidRPr="008A609C">
        <w:rPr>
          <w:rFonts w:ascii="Times New Roman" w:eastAsia="Times New Roman" w:hAnsi="Times New Roman" w:cs="Times New Roman"/>
          <w:lang w:eastAsia="en-GB"/>
        </w:rPr>
        <w:t xml:space="preserve">Vodafone Group Plc (2026c) </w:t>
      </w:r>
      <w:r w:rsidRPr="008A609C">
        <w:rPr>
          <w:rFonts w:ascii="Times New Roman" w:eastAsia="Times New Roman" w:hAnsi="Times New Roman" w:cs="Times New Roman"/>
          <w:i/>
          <w:iCs/>
          <w:lang w:eastAsia="en-GB"/>
        </w:rPr>
        <w:t>Vodafone to Take Full Ownership of VodafoneThree</w:t>
      </w:r>
      <w:r w:rsidRPr="008A609C">
        <w:rPr>
          <w:rFonts w:ascii="Times New Roman" w:eastAsia="Times New Roman" w:hAnsi="Times New Roman" w:cs="Times New Roman"/>
          <w:lang w:eastAsia="en-GB"/>
        </w:rPr>
        <w:t xml:space="preserve">. Newbury: Vodafone Group. Available at: </w:t>
      </w:r>
      <w:hyperlink r:id="rId34" w:history="1">
        <w:r w:rsidRPr="008A609C">
          <w:rPr>
            <w:rFonts w:ascii="Times New Roman" w:eastAsia="Times New Roman" w:hAnsi="Times New Roman" w:cs="Times New Roman"/>
            <w:color w:val="0000FF"/>
            <w:u w:val="single"/>
            <w:lang w:eastAsia="en-GB"/>
          </w:rPr>
          <w:t>https://www.vodafone.com/news/newsroom/corporate-and-financial/vodafone-to-take-full-ownership-of-vodafone-three</w:t>
        </w:r>
      </w:hyperlink>
      <w:r w:rsidRPr="008A609C">
        <w:rPr>
          <w:rFonts w:ascii="Times New Roman" w:eastAsia="Times New Roman" w:hAnsi="Times New Roman" w:cs="Times New Roman"/>
          <w:lang w:eastAsia="en-GB"/>
        </w:rPr>
        <w:t xml:space="preserve"> (Accessed: 12 July 2026).</w:t>
      </w:r>
    </w:p>
    <w:p w14:paraId="331F8EFB" w14:textId="77777777" w:rsidR="008A609C" w:rsidRPr="008A609C" w:rsidRDefault="008A609C" w:rsidP="008A609C">
      <w:pPr>
        <w:spacing w:before="100" w:beforeAutospacing="1" w:after="100" w:afterAutospacing="1"/>
        <w:rPr>
          <w:rFonts w:ascii="Times New Roman" w:eastAsia="Times New Roman" w:hAnsi="Times New Roman" w:cs="Times New Roman"/>
          <w:lang w:eastAsia="en-GB"/>
        </w:rPr>
      </w:pPr>
      <w:r w:rsidRPr="008A609C">
        <w:rPr>
          <w:rFonts w:ascii="Times New Roman" w:eastAsia="Times New Roman" w:hAnsi="Times New Roman" w:cs="Times New Roman"/>
          <w:lang w:eastAsia="en-GB"/>
        </w:rPr>
        <w:t xml:space="preserve">Vodafone UK (2025) </w:t>
      </w:r>
      <w:r w:rsidRPr="008A609C">
        <w:rPr>
          <w:rFonts w:ascii="Times New Roman" w:eastAsia="Times New Roman" w:hAnsi="Times New Roman" w:cs="Times New Roman"/>
          <w:i/>
          <w:iCs/>
          <w:lang w:eastAsia="en-GB"/>
        </w:rPr>
        <w:t>VodafoneThree Delivers Speed Increase for Millions of Customers</w:t>
      </w:r>
      <w:r w:rsidRPr="008A609C">
        <w:rPr>
          <w:rFonts w:ascii="Times New Roman" w:eastAsia="Times New Roman" w:hAnsi="Times New Roman" w:cs="Times New Roman"/>
          <w:lang w:eastAsia="en-GB"/>
        </w:rPr>
        <w:t xml:space="preserve">. Newbury: Vodafone. Available at: </w:t>
      </w:r>
      <w:hyperlink r:id="rId35" w:history="1">
        <w:r w:rsidRPr="008A609C">
          <w:rPr>
            <w:rFonts w:ascii="Times New Roman" w:eastAsia="Times New Roman" w:hAnsi="Times New Roman" w:cs="Times New Roman"/>
            <w:color w:val="0000FF"/>
            <w:u w:val="single"/>
            <w:lang w:eastAsia="en-GB"/>
          </w:rPr>
          <w:t>https://www.vodafone.co.uk/newscentre/press-release/vodafonethree-speed-increase-millions/</w:t>
        </w:r>
      </w:hyperlink>
      <w:r w:rsidRPr="008A609C">
        <w:rPr>
          <w:rFonts w:ascii="Times New Roman" w:eastAsia="Times New Roman" w:hAnsi="Times New Roman" w:cs="Times New Roman"/>
          <w:lang w:eastAsia="en-GB"/>
        </w:rPr>
        <w:t xml:space="preserve"> (Accessed: 12 July 2026).</w:t>
      </w:r>
    </w:p>
    <w:p w14:paraId="5CBCF246" w14:textId="77777777" w:rsidR="008A609C" w:rsidRPr="008A609C" w:rsidRDefault="008A609C" w:rsidP="008A609C">
      <w:pPr>
        <w:spacing w:before="100" w:beforeAutospacing="1" w:after="100" w:afterAutospacing="1"/>
        <w:rPr>
          <w:rFonts w:ascii="Times New Roman" w:eastAsia="Times New Roman" w:hAnsi="Times New Roman" w:cs="Times New Roman"/>
          <w:lang w:eastAsia="en-GB"/>
        </w:rPr>
      </w:pPr>
      <w:r w:rsidRPr="008A609C">
        <w:rPr>
          <w:rFonts w:ascii="Times New Roman" w:eastAsia="Times New Roman" w:hAnsi="Times New Roman" w:cs="Times New Roman"/>
          <w:lang w:eastAsia="en-GB"/>
        </w:rPr>
        <w:t xml:space="preserve">VodafoneThree (2025) </w:t>
      </w:r>
      <w:r w:rsidRPr="008A609C">
        <w:rPr>
          <w:rFonts w:ascii="Times New Roman" w:eastAsia="Times New Roman" w:hAnsi="Times New Roman" w:cs="Times New Roman"/>
          <w:i/>
          <w:iCs/>
          <w:lang w:eastAsia="en-GB"/>
        </w:rPr>
        <w:t>VodafoneThree Signs Multibillion-Pound Investment Deals to Build the UK’s Best Network</w:t>
      </w:r>
      <w:r w:rsidRPr="008A609C">
        <w:rPr>
          <w:rFonts w:ascii="Times New Roman" w:eastAsia="Times New Roman" w:hAnsi="Times New Roman" w:cs="Times New Roman"/>
          <w:lang w:eastAsia="en-GB"/>
        </w:rPr>
        <w:t xml:space="preserve">. Newbury: VodafoneThree. Available at: </w:t>
      </w:r>
      <w:hyperlink r:id="rId36" w:history="1">
        <w:r w:rsidRPr="008A609C">
          <w:rPr>
            <w:rFonts w:ascii="Times New Roman" w:eastAsia="Times New Roman" w:hAnsi="Times New Roman" w:cs="Times New Roman"/>
            <w:color w:val="0000FF"/>
            <w:u w:val="single"/>
            <w:lang w:eastAsia="en-GB"/>
          </w:rPr>
          <w:t>https://www.vodafonethree.com/multibillion-pound-investment-deals-signed-to-build-uk-best-network/</w:t>
        </w:r>
      </w:hyperlink>
      <w:r w:rsidRPr="008A609C">
        <w:rPr>
          <w:rFonts w:ascii="Times New Roman" w:eastAsia="Times New Roman" w:hAnsi="Times New Roman" w:cs="Times New Roman"/>
          <w:lang w:eastAsia="en-GB"/>
        </w:rPr>
        <w:t xml:space="preserve"> (Accessed: 12 July 2026).</w:t>
      </w:r>
    </w:p>
    <w:p w14:paraId="2054165C" w14:textId="77777777" w:rsidR="00791A10" w:rsidRDefault="00791A10"/>
    <w:sectPr w:rsidR="00791A10">
      <w:footerReference w:type="even"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75DE4" w14:textId="77777777" w:rsidR="00744301" w:rsidRDefault="00744301" w:rsidP="00791A10">
      <w:r>
        <w:separator/>
      </w:r>
    </w:p>
  </w:endnote>
  <w:endnote w:type="continuationSeparator" w:id="0">
    <w:p w14:paraId="33B0CEDC" w14:textId="77777777" w:rsidR="00744301" w:rsidRDefault="00744301" w:rsidP="00791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2624441"/>
      <w:docPartObj>
        <w:docPartGallery w:val="Page Numbers (Bottom of Page)"/>
        <w:docPartUnique/>
      </w:docPartObj>
    </w:sdtPr>
    <w:sdtEndPr>
      <w:rPr>
        <w:rStyle w:val="PageNumber"/>
      </w:rPr>
    </w:sdtEndPr>
    <w:sdtContent>
      <w:p w14:paraId="714FC788" w14:textId="3CC9416E" w:rsidR="00791A10" w:rsidRDefault="00791A10" w:rsidP="00340A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D6FA5F" w14:textId="77777777" w:rsidR="00791A10" w:rsidRDefault="00791A10" w:rsidP="00791A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37719715"/>
      <w:docPartObj>
        <w:docPartGallery w:val="Page Numbers (Bottom of Page)"/>
        <w:docPartUnique/>
      </w:docPartObj>
    </w:sdtPr>
    <w:sdtEndPr>
      <w:rPr>
        <w:rStyle w:val="PageNumber"/>
      </w:rPr>
    </w:sdtEndPr>
    <w:sdtContent>
      <w:p w14:paraId="78602677" w14:textId="20015B40" w:rsidR="00791A10" w:rsidRDefault="00791A10" w:rsidP="00340A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AB1563" w14:textId="77777777" w:rsidR="00791A10" w:rsidRDefault="00791A10" w:rsidP="00791A1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200CF" w14:textId="77777777" w:rsidR="00744301" w:rsidRDefault="00744301" w:rsidP="00791A10">
      <w:r>
        <w:separator/>
      </w:r>
    </w:p>
  </w:footnote>
  <w:footnote w:type="continuationSeparator" w:id="0">
    <w:p w14:paraId="53FEEFC7" w14:textId="77777777" w:rsidR="00744301" w:rsidRDefault="00744301" w:rsidP="00791A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F23E5"/>
    <w:multiLevelType w:val="multilevel"/>
    <w:tmpl w:val="9730A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990E91"/>
    <w:multiLevelType w:val="multilevel"/>
    <w:tmpl w:val="F1782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5F0B86"/>
    <w:multiLevelType w:val="multilevel"/>
    <w:tmpl w:val="826A9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5627E5"/>
    <w:multiLevelType w:val="multilevel"/>
    <w:tmpl w:val="71241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A10"/>
    <w:rsid w:val="00744301"/>
    <w:rsid w:val="00791A10"/>
    <w:rsid w:val="008A609C"/>
    <w:rsid w:val="00CA0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F67A9"/>
  <w15:chartTrackingRefBased/>
  <w15:docId w15:val="{2CE0BB79-2AD8-654D-8540-7FABD53E7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91A10"/>
    <w:pPr>
      <w:spacing w:before="100" w:beforeAutospacing="1" w:after="100" w:afterAutospacing="1"/>
      <w:outlineLvl w:val="0"/>
    </w:pPr>
    <w:rPr>
      <w:rFonts w:ascii="Times New Roman" w:eastAsia="Times New Roman" w:hAnsi="Times New Roman" w:cs="Times New Roman"/>
      <w:b/>
      <w:bCs/>
      <w:kern w:val="36"/>
      <w:sz w:val="32"/>
      <w:szCs w:val="48"/>
      <w:lang w:eastAsia="en-GB"/>
    </w:rPr>
  </w:style>
  <w:style w:type="paragraph" w:styleId="Heading2">
    <w:name w:val="heading 2"/>
    <w:basedOn w:val="Normal"/>
    <w:link w:val="Heading2Char"/>
    <w:uiPriority w:val="9"/>
    <w:qFormat/>
    <w:rsid w:val="00791A10"/>
    <w:pPr>
      <w:spacing w:before="100" w:beforeAutospacing="1" w:after="100" w:afterAutospacing="1"/>
      <w:outlineLvl w:val="1"/>
    </w:pPr>
    <w:rPr>
      <w:rFonts w:ascii="Times New Roman" w:eastAsia="Times New Roman" w:hAnsi="Times New Roman" w:cs="Times New Roman"/>
      <w:b/>
      <w:bCs/>
      <w:sz w:val="28"/>
      <w:szCs w:val="36"/>
      <w:lang w:eastAsia="en-GB"/>
    </w:rPr>
  </w:style>
  <w:style w:type="paragraph" w:styleId="Heading3">
    <w:name w:val="heading 3"/>
    <w:basedOn w:val="Normal"/>
    <w:link w:val="Heading3Char"/>
    <w:uiPriority w:val="9"/>
    <w:qFormat/>
    <w:rsid w:val="00791A10"/>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A10"/>
    <w:rPr>
      <w:rFonts w:ascii="Times New Roman" w:eastAsia="Times New Roman" w:hAnsi="Times New Roman" w:cs="Times New Roman"/>
      <w:b/>
      <w:bCs/>
      <w:kern w:val="36"/>
      <w:sz w:val="32"/>
      <w:szCs w:val="48"/>
      <w:lang w:eastAsia="en-GB"/>
    </w:rPr>
  </w:style>
  <w:style w:type="character" w:customStyle="1" w:styleId="Heading2Char">
    <w:name w:val="Heading 2 Char"/>
    <w:basedOn w:val="DefaultParagraphFont"/>
    <w:link w:val="Heading2"/>
    <w:uiPriority w:val="9"/>
    <w:rsid w:val="00791A10"/>
    <w:rPr>
      <w:rFonts w:ascii="Times New Roman" w:eastAsia="Times New Roman" w:hAnsi="Times New Roman" w:cs="Times New Roman"/>
      <w:b/>
      <w:bCs/>
      <w:sz w:val="28"/>
      <w:szCs w:val="36"/>
      <w:lang w:eastAsia="en-GB"/>
    </w:rPr>
  </w:style>
  <w:style w:type="character" w:customStyle="1" w:styleId="Heading3Char">
    <w:name w:val="Heading 3 Char"/>
    <w:basedOn w:val="DefaultParagraphFont"/>
    <w:link w:val="Heading3"/>
    <w:uiPriority w:val="9"/>
    <w:rsid w:val="00791A10"/>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791A10"/>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791A10"/>
    <w:rPr>
      <w:b/>
      <w:bCs/>
    </w:rPr>
  </w:style>
  <w:style w:type="character" w:styleId="Emphasis">
    <w:name w:val="Emphasis"/>
    <w:basedOn w:val="DefaultParagraphFont"/>
    <w:uiPriority w:val="20"/>
    <w:qFormat/>
    <w:rsid w:val="00791A10"/>
    <w:rPr>
      <w:i/>
      <w:iCs/>
    </w:rPr>
  </w:style>
  <w:style w:type="table" w:styleId="TableGrid">
    <w:name w:val="Table Grid"/>
    <w:basedOn w:val="TableNormal"/>
    <w:uiPriority w:val="39"/>
    <w:rsid w:val="00791A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91A10"/>
  </w:style>
  <w:style w:type="paragraph" w:styleId="Footer">
    <w:name w:val="footer"/>
    <w:basedOn w:val="Normal"/>
    <w:link w:val="FooterChar"/>
    <w:uiPriority w:val="99"/>
    <w:unhideWhenUsed/>
    <w:rsid w:val="00791A10"/>
    <w:pPr>
      <w:tabs>
        <w:tab w:val="center" w:pos="4513"/>
        <w:tab w:val="right" w:pos="9026"/>
      </w:tabs>
    </w:pPr>
  </w:style>
  <w:style w:type="character" w:customStyle="1" w:styleId="FooterChar">
    <w:name w:val="Footer Char"/>
    <w:basedOn w:val="DefaultParagraphFont"/>
    <w:link w:val="Footer"/>
    <w:uiPriority w:val="99"/>
    <w:rsid w:val="00791A10"/>
  </w:style>
  <w:style w:type="character" w:styleId="PageNumber">
    <w:name w:val="page number"/>
    <w:basedOn w:val="DefaultParagraphFont"/>
    <w:uiPriority w:val="99"/>
    <w:semiHidden/>
    <w:unhideWhenUsed/>
    <w:rsid w:val="00791A10"/>
  </w:style>
  <w:style w:type="character" w:styleId="Hyperlink">
    <w:name w:val="Hyperlink"/>
    <w:basedOn w:val="DefaultParagraphFont"/>
    <w:uiPriority w:val="99"/>
    <w:semiHidden/>
    <w:unhideWhenUsed/>
    <w:rsid w:val="008A60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880081">
      <w:bodyDiv w:val="1"/>
      <w:marLeft w:val="0"/>
      <w:marRight w:val="0"/>
      <w:marTop w:val="0"/>
      <w:marBottom w:val="0"/>
      <w:divBdr>
        <w:top w:val="none" w:sz="0" w:space="0" w:color="auto"/>
        <w:left w:val="none" w:sz="0" w:space="0" w:color="auto"/>
        <w:bottom w:val="none" w:sz="0" w:space="0" w:color="auto"/>
        <w:right w:val="none" w:sz="0" w:space="0" w:color="auto"/>
      </w:divBdr>
    </w:div>
    <w:div w:id="584801718">
      <w:bodyDiv w:val="1"/>
      <w:marLeft w:val="0"/>
      <w:marRight w:val="0"/>
      <w:marTop w:val="0"/>
      <w:marBottom w:val="0"/>
      <w:divBdr>
        <w:top w:val="none" w:sz="0" w:space="0" w:color="auto"/>
        <w:left w:val="none" w:sz="0" w:space="0" w:color="auto"/>
        <w:bottom w:val="none" w:sz="0" w:space="0" w:color="auto"/>
        <w:right w:val="none" w:sz="0" w:space="0" w:color="auto"/>
      </w:divBdr>
    </w:div>
    <w:div w:id="934022732">
      <w:bodyDiv w:val="1"/>
      <w:marLeft w:val="0"/>
      <w:marRight w:val="0"/>
      <w:marTop w:val="0"/>
      <w:marBottom w:val="0"/>
      <w:divBdr>
        <w:top w:val="none" w:sz="0" w:space="0" w:color="auto"/>
        <w:left w:val="none" w:sz="0" w:space="0" w:color="auto"/>
        <w:bottom w:val="none" w:sz="0" w:space="0" w:color="auto"/>
        <w:right w:val="none" w:sz="0" w:space="0" w:color="auto"/>
      </w:divBdr>
    </w:div>
    <w:div w:id="2027709622">
      <w:bodyDiv w:val="1"/>
      <w:marLeft w:val="0"/>
      <w:marRight w:val="0"/>
      <w:marTop w:val="0"/>
      <w:marBottom w:val="0"/>
      <w:divBdr>
        <w:top w:val="none" w:sz="0" w:space="0" w:color="auto"/>
        <w:left w:val="none" w:sz="0" w:space="0" w:color="auto"/>
        <w:bottom w:val="none" w:sz="0" w:space="0" w:color="auto"/>
        <w:right w:val="none" w:sz="0" w:space="0" w:color="auto"/>
      </w:divBdr>
    </w:div>
    <w:div w:id="2031250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rc.org.uk/library/standards-codes-policy/accounting-and-reporting/annual-corporate-reporting/guidance-on-the-strategic-report/" TargetMode="External"/><Relationship Id="rId18" Type="http://schemas.openxmlformats.org/officeDocument/2006/relationships/hyperlink" Target="https://www.ofcom.org.uk/siteassets/resources/documents/internet-based-services/technology/research-digital-disadvantage/exploring-digital-disadvantage-research-report.pdf" TargetMode="External"/><Relationship Id="rId26" Type="http://schemas.openxmlformats.org/officeDocument/2006/relationships/hyperlink" Target="https://www.ofcom.org.uk/phones-and-broadband/coverage-and-speeds/connected-nations-update-spring-2026" TargetMode="External"/><Relationship Id="rId39" Type="http://schemas.openxmlformats.org/officeDocument/2006/relationships/fontTable" Target="fontTable.xml"/><Relationship Id="rId21" Type="http://schemas.openxmlformats.org/officeDocument/2006/relationships/hyperlink" Target="https://www.gov.uk/cma-cases/vodafone-slash-ck-hutchison-jv-merger-inquiry" TargetMode="External"/><Relationship Id="rId34" Type="http://schemas.openxmlformats.org/officeDocument/2006/relationships/hyperlink" Target="https://www.vodafone.com/news/newsroom/corporate-and-financial/vodafone-to-take-full-ownership-of-vodafone-three" TargetMode="External"/><Relationship Id="rId7" Type="http://schemas.openxmlformats.org/officeDocument/2006/relationships/image" Target="media/image1.png"/><Relationship Id="rId12" Type="http://schemas.openxmlformats.org/officeDocument/2006/relationships/hyperlink" Target="https://www.frc.org.uk/library/standards-codes-policy/corporate-governance/uk-corporate-governance-code/" TargetMode="External"/><Relationship Id="rId17" Type="http://schemas.openxmlformats.org/officeDocument/2006/relationships/hyperlink" Target="https://www.ncsc.gov.uk/guidance/mapping-your-supply-chain" TargetMode="External"/><Relationship Id="rId25" Type="http://schemas.openxmlformats.org/officeDocument/2006/relationships/hyperlink" Target="https://www.ofcom.org.uk/phones-and-broadband/service-quality/the-communications-market-2025" TargetMode="External"/><Relationship Id="rId33" Type="http://schemas.openxmlformats.org/officeDocument/2006/relationships/hyperlink" Target="https://reports.investors.vodafone.com/view/213859904/"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ncsc.gov.uk/collection/assess-supply-chain-cyber-security" TargetMode="External"/><Relationship Id="rId20" Type="http://schemas.openxmlformats.org/officeDocument/2006/relationships/hyperlink" Target="https://www.gov.uk/government/news/cma-clears-vodafone-three-merger-subject-to-legally-binding-commitments" TargetMode="External"/><Relationship Id="rId29" Type="http://schemas.openxmlformats.org/officeDocument/2006/relationships/hyperlink" Target="https://doi.org/10.1002/smj.6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s.org.uk/collective-consultation-redundancy" TargetMode="External"/><Relationship Id="rId24" Type="http://schemas.openxmlformats.org/officeDocument/2006/relationships/hyperlink" Target="https://www.pearson.com/en-gb/subject-catalog/p/exploring-strategy-text-and-cases/P200000004559/9781292282503" TargetMode="External"/><Relationship Id="rId32" Type="http://schemas.openxmlformats.org/officeDocument/2006/relationships/hyperlink" Target="https://reports.investors.vodafone.com/view/500231330/"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ico.org.uk/for-organisations/uk-gdpr-guidance-and-resources/accountability-and-governance/guide-to-accountability-and-governance/data-protection-by-design-and-by-default/" TargetMode="External"/><Relationship Id="rId23" Type="http://schemas.openxmlformats.org/officeDocument/2006/relationships/hyperlink" Target="https://www.wiley.com/en-us/Contemporary%2BStrategy%2BAnalysis%2C%2B11th%2BEdition-p-00370630" TargetMode="External"/><Relationship Id="rId28" Type="http://schemas.openxmlformats.org/officeDocument/2006/relationships/hyperlink" Target="https://www.hbs.edu/faculty/Pages/item.aspx?num=193" TargetMode="External"/><Relationship Id="rId36" Type="http://schemas.openxmlformats.org/officeDocument/2006/relationships/hyperlink" Target="https://www.vodafonethree.com/multibillion-pound-investment-deals-signed-to-build-uk-best-network/" TargetMode="External"/><Relationship Id="rId10" Type="http://schemas.openxmlformats.org/officeDocument/2006/relationships/hyperlink" Target="https://www.acas.org.uk/your-rights-during-redundancy/how-your-employer-must-consult-you" TargetMode="External"/><Relationship Id="rId19" Type="http://schemas.openxmlformats.org/officeDocument/2006/relationships/hyperlink" Target="https://doi.org/10.1177/014920639101700108" TargetMode="External"/><Relationship Id="rId31" Type="http://schemas.openxmlformats.org/officeDocument/2006/relationships/hyperlink" Target="https://www.vodafone.co.uk/newscentre/press-release/completion-vodafone-three-merger-uk/" TargetMode="External"/><Relationship Id="rId4" Type="http://schemas.openxmlformats.org/officeDocument/2006/relationships/webSettings" Target="webSettings.xml"/><Relationship Id="rId9" Type="http://schemas.openxmlformats.org/officeDocument/2006/relationships/hyperlink" Target="https://www.econbiz.de/Record/strategies-for-diversification-ansoff-igor/10001836084" TargetMode="External"/><Relationship Id="rId14" Type="http://schemas.openxmlformats.org/officeDocument/2006/relationships/hyperlink" Target="https://ico.org.uk/for-organisations/uk-gdpr-guidance-and-resources/accountability-and-governance/guide-to-accountability-and-governance/contracts/" TargetMode="External"/><Relationship Id="rId22" Type="http://schemas.openxmlformats.org/officeDocument/2006/relationships/hyperlink" Target="https://www.cambridge.org/core/books/strategic-management/E3CC2E2CE01497062D7603B7A8B9337F" TargetMode="External"/><Relationship Id="rId27" Type="http://schemas.openxmlformats.org/officeDocument/2006/relationships/hyperlink" Target="https://www.hbs.edu/faculty/Pages/item.aspx?num=195" TargetMode="External"/><Relationship Id="rId30" Type="http://schemas.openxmlformats.org/officeDocument/2006/relationships/hyperlink" Target="https://www.gov.uk/government/publications/electronic-communications-security-measures-regulations-and-draft-telecommunications-security-code-of-practice" TargetMode="External"/><Relationship Id="rId35" Type="http://schemas.openxmlformats.org/officeDocument/2006/relationships/hyperlink" Target="https://www.vodafone.co.uk/newscentre/press-release/vodafonethree-speed-increase-millions/" TargetMode="External"/><Relationship Id="rId8" Type="http://schemas.openxmlformats.org/officeDocument/2006/relationships/image" Target="cid:image001.png@01D0EA4A.2BD679A0"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21</Pages>
  <Words>6253</Words>
  <Characters>35647</Characters>
  <Application>Microsoft Office Word</Application>
  <DocSecurity>0</DocSecurity>
  <Lines>297</Lines>
  <Paragraphs>83</Paragraphs>
  <ScaleCrop>false</ScaleCrop>
  <Company/>
  <LinksUpToDate>false</LinksUpToDate>
  <CharactersWithSpaces>41817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Marcu</dc:creator>
  <cp:keywords/>
  <dc:description/>
  <cp:lastModifiedBy>Paula Marcu</cp:lastModifiedBy>
  <cp:revision>2</cp:revision>
  <dcterms:created xsi:type="dcterms:W3CDTF">2026-07-10T20:51:00Z</dcterms:created>
  <dcterms:modified xsi:type="dcterms:W3CDTF">2026-07-12T21:12:00Z</dcterms:modified>
</cp:coreProperties>
</file>