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51F99" w14:textId="0F5F9D2D" w:rsidR="005B6DE3" w:rsidRDefault="006648AC" w:rsidP="005B6DE3">
      <w:pPr>
        <w:pStyle w:val="Heading3"/>
        <w:jc w:val="right"/>
        <w:rPr>
          <w:rFonts w:ascii="Perpetua Titling MT" w:hAnsi="Perpetua Titling MT"/>
          <w:sz w:val="44"/>
        </w:rPr>
      </w:pPr>
      <w:r>
        <w:rPr>
          <w:rFonts w:ascii="Perpetua Titling MT" w:hAnsi="Perpetua Titling MT"/>
          <w:sz w:val="44"/>
        </w:rPr>
        <w:t xml:space="preserve"> </w:t>
      </w:r>
      <w:r w:rsidR="005B6DE3">
        <w:rPr>
          <w:rFonts w:ascii="Perpetua Titling MT" w:hAnsi="Perpetua Titling MT"/>
          <w:sz w:val="44"/>
        </w:rPr>
        <w:t xml:space="preserve"> MODERNISM &amp; MODERNISMS </w:t>
      </w:r>
    </w:p>
    <w:p w14:paraId="5099F777" w14:textId="38E715D8" w:rsidR="00061CBC" w:rsidRPr="00061CBC" w:rsidRDefault="006648AC" w:rsidP="00C451F9">
      <w:pPr>
        <w:spacing w:after="120"/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Session</w:t>
      </w:r>
      <w:r w:rsidR="00061CBC" w:rsidRPr="00061CBC">
        <w:rPr>
          <w:rFonts w:ascii="Century Gothic" w:hAnsi="Century Gothic"/>
        </w:rPr>
        <w:t xml:space="preserve"> 2: Conrad, </w:t>
      </w:r>
      <w:r w:rsidR="00061CBC" w:rsidRPr="00061CBC">
        <w:rPr>
          <w:rFonts w:ascii="Century Gothic" w:hAnsi="Century Gothic"/>
          <w:i/>
        </w:rPr>
        <w:t>Heart of Darkness</w:t>
      </w:r>
      <w:r w:rsidR="00061CBC" w:rsidRPr="00061CBC">
        <w:rPr>
          <w:rFonts w:ascii="Century Gothic" w:hAnsi="Century Gothic"/>
        </w:rPr>
        <w:t xml:space="preserve"> </w:t>
      </w:r>
    </w:p>
    <w:p w14:paraId="3DB763A0" w14:textId="77777777" w:rsidR="00061CBC" w:rsidRDefault="00061CBC">
      <w:pPr>
        <w:spacing w:after="120"/>
        <w:jc w:val="both"/>
        <w:rPr>
          <w:rFonts w:ascii="Century Gothic" w:hAnsi="Century Gothic"/>
          <w:u w:val="single"/>
        </w:rPr>
      </w:pPr>
    </w:p>
    <w:p w14:paraId="3F75D155" w14:textId="77777777" w:rsidR="00061CBC" w:rsidRPr="00061CBC" w:rsidRDefault="00061CBC">
      <w:pPr>
        <w:spacing w:after="120"/>
        <w:jc w:val="both"/>
        <w:rPr>
          <w:rFonts w:ascii="Century Gothic" w:hAnsi="Century Gothic"/>
          <w:u w:val="single"/>
        </w:rPr>
      </w:pPr>
      <w:r w:rsidRPr="00061CBC">
        <w:rPr>
          <w:rFonts w:ascii="Century Gothic" w:hAnsi="Century Gothic"/>
          <w:u w:val="single"/>
        </w:rPr>
        <w:t>Seminar discussion</w:t>
      </w:r>
    </w:p>
    <w:p w14:paraId="25EC8C69" w14:textId="77777777" w:rsidR="001A29B7" w:rsidRPr="00061CBC" w:rsidRDefault="001A29B7">
      <w:pPr>
        <w:spacing w:after="120"/>
        <w:jc w:val="both"/>
        <w:rPr>
          <w:rFonts w:ascii="Century Gothic" w:hAnsi="Century Gothic"/>
          <w:b/>
        </w:rPr>
      </w:pPr>
    </w:p>
    <w:p w14:paraId="7ED36C83" w14:textId="77777777" w:rsidR="00C451F9" w:rsidRDefault="001A29B7" w:rsidP="00C451F9">
      <w:pPr>
        <w:numPr>
          <w:ilvl w:val="0"/>
          <w:numId w:val="4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 xml:space="preserve">READ THE OPENING </w:t>
      </w:r>
      <w:r w:rsidR="005B6DE3" w:rsidRPr="00061CBC">
        <w:rPr>
          <w:rFonts w:ascii="Century Gothic" w:hAnsi="Century Gothic"/>
          <w:sz w:val="22"/>
          <w:szCs w:val="22"/>
        </w:rPr>
        <w:t>PASSAGES</w:t>
      </w:r>
      <w:r w:rsidR="005B6DE3" w:rsidRPr="005B6DE3">
        <w:rPr>
          <w:rFonts w:ascii="Century Gothic" w:hAnsi="Century Gothic"/>
          <w:sz w:val="22"/>
          <w:szCs w:val="22"/>
        </w:rPr>
        <w:t xml:space="preserve"> </w:t>
      </w:r>
      <w:r w:rsidR="005B6DE3">
        <w:rPr>
          <w:rFonts w:ascii="Century Gothic" w:hAnsi="Century Gothic"/>
          <w:sz w:val="22"/>
          <w:szCs w:val="22"/>
        </w:rPr>
        <w:t xml:space="preserve">AND LOOK CLOSELY AT </w:t>
      </w:r>
      <w:r w:rsidR="005B6DE3" w:rsidRPr="00061CBC">
        <w:rPr>
          <w:rFonts w:ascii="Century Gothic" w:hAnsi="Century Gothic"/>
          <w:sz w:val="22"/>
          <w:szCs w:val="22"/>
        </w:rPr>
        <w:t xml:space="preserve">IMAGES </w:t>
      </w:r>
    </w:p>
    <w:p w14:paraId="0FF6CBAA" w14:textId="77777777" w:rsidR="00C451F9" w:rsidRDefault="00C451F9" w:rsidP="00C451F9">
      <w:pPr>
        <w:spacing w:after="120"/>
        <w:jc w:val="both"/>
        <w:rPr>
          <w:rFonts w:ascii="Century Gothic" w:hAnsi="Century Gothic"/>
          <w:sz w:val="22"/>
          <w:szCs w:val="22"/>
        </w:rPr>
      </w:pPr>
    </w:p>
    <w:p w14:paraId="09EFE5CB" w14:textId="143DCED2" w:rsidR="00C451F9" w:rsidRDefault="00C451F9" w:rsidP="00C451F9">
      <w:pPr>
        <w:numPr>
          <w:ilvl w:val="0"/>
          <w:numId w:val="4"/>
        </w:numPr>
        <w:tabs>
          <w:tab w:val="clear" w:pos="720"/>
          <w:tab w:val="num" w:pos="360"/>
        </w:tabs>
        <w:spacing w:after="120"/>
        <w:ind w:left="360"/>
        <w:jc w:val="both"/>
        <w:rPr>
          <w:rFonts w:ascii="Century Gothic" w:hAnsi="Century Gothic"/>
          <w:i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 </w:t>
      </w:r>
      <w:r w:rsidR="005B6DE3">
        <w:rPr>
          <w:rFonts w:ascii="Century Gothic" w:hAnsi="Century Gothic"/>
          <w:sz w:val="22"/>
          <w:szCs w:val="22"/>
        </w:rPr>
        <w:t xml:space="preserve">LANGUAGE AND CERTAINTY  </w:t>
      </w:r>
    </w:p>
    <w:p w14:paraId="534F5697" w14:textId="77777777" w:rsidR="00C451F9" w:rsidRDefault="00C451F9" w:rsidP="00C451F9">
      <w:pPr>
        <w:spacing w:after="120"/>
        <w:jc w:val="both"/>
        <w:rPr>
          <w:rFonts w:ascii="Century Gothic" w:hAnsi="Century Gothic"/>
          <w:i/>
          <w:sz w:val="22"/>
          <w:szCs w:val="22"/>
        </w:rPr>
      </w:pPr>
    </w:p>
    <w:p w14:paraId="25B9C163" w14:textId="22340F7B" w:rsidR="001A29B7" w:rsidRPr="00061CBC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 xml:space="preserve">Conrad </w:t>
      </w:r>
      <w:r w:rsidR="005B6DE3">
        <w:rPr>
          <w:rFonts w:ascii="Century Gothic" w:hAnsi="Century Gothic"/>
          <w:sz w:val="22"/>
          <w:szCs w:val="22"/>
        </w:rPr>
        <w:t>relation to</w:t>
      </w:r>
      <w:r w:rsidRPr="00061CBC">
        <w:rPr>
          <w:rFonts w:ascii="Century Gothic" w:hAnsi="Century Gothic"/>
          <w:sz w:val="22"/>
          <w:szCs w:val="22"/>
        </w:rPr>
        <w:t xml:space="preserve"> Marlow (‘</w:t>
      </w:r>
      <w:r w:rsidR="005B6DE3">
        <w:rPr>
          <w:rFonts w:ascii="Century Gothic" w:hAnsi="Century Gothic"/>
          <w:sz w:val="22"/>
          <w:szCs w:val="22"/>
        </w:rPr>
        <w:t>introduction’</w:t>
      </w:r>
      <w:r w:rsidRPr="00061CBC">
        <w:rPr>
          <w:rFonts w:ascii="Century Gothic" w:hAnsi="Century Gothic"/>
          <w:sz w:val="22"/>
          <w:szCs w:val="22"/>
        </w:rPr>
        <w:t>)</w:t>
      </w:r>
    </w:p>
    <w:p w14:paraId="623CC755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2"/>
          <w:szCs w:val="12"/>
        </w:rPr>
      </w:pPr>
    </w:p>
    <w:p w14:paraId="50B7F5F3" w14:textId="42429635" w:rsidR="001A29B7" w:rsidRPr="00061CBC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>On Marlow and his mode of storytelling</w:t>
      </w:r>
    </w:p>
    <w:p w14:paraId="3C633E99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2"/>
          <w:szCs w:val="12"/>
        </w:rPr>
      </w:pPr>
    </w:p>
    <w:p w14:paraId="46654CD2" w14:textId="0F8955C2" w:rsidR="001A29B7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>Allegorical figures of fates at Company Offices – foreboding</w:t>
      </w:r>
    </w:p>
    <w:p w14:paraId="3740FAF1" w14:textId="77777777" w:rsidR="005B6DE3" w:rsidRDefault="005B6DE3" w:rsidP="005B6DE3">
      <w:pPr>
        <w:pStyle w:val="ListParagraph"/>
        <w:rPr>
          <w:rFonts w:ascii="Century Gothic" w:hAnsi="Century Gothic"/>
          <w:sz w:val="22"/>
          <w:szCs w:val="22"/>
        </w:rPr>
      </w:pPr>
    </w:p>
    <w:p w14:paraId="52E7C38B" w14:textId="22ABB989" w:rsidR="005B6DE3" w:rsidRPr="00061CBC" w:rsidRDefault="005B6DE3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Adventure and glamour </w:t>
      </w:r>
    </w:p>
    <w:p w14:paraId="20459D17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2"/>
          <w:szCs w:val="12"/>
        </w:rPr>
      </w:pPr>
    </w:p>
    <w:p w14:paraId="29A83CEB" w14:textId="30F9903E" w:rsidR="001A29B7" w:rsidRPr="00061CBC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>Ellipses and attempt to narrate dreams – Marlow as ‘voice’ in darkness</w:t>
      </w:r>
    </w:p>
    <w:p w14:paraId="3635DABD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2"/>
          <w:szCs w:val="12"/>
        </w:rPr>
      </w:pPr>
    </w:p>
    <w:p w14:paraId="4B15568E" w14:textId="711F5B55" w:rsidR="001A29B7" w:rsidRPr="00061CBC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 xml:space="preserve">Upriver journey – </w:t>
      </w:r>
      <w:r w:rsidR="005B6DE3">
        <w:rPr>
          <w:rFonts w:ascii="Century Gothic" w:hAnsi="Century Gothic"/>
          <w:sz w:val="22"/>
          <w:szCs w:val="22"/>
        </w:rPr>
        <w:t>space as time</w:t>
      </w:r>
      <w:r w:rsidRPr="00061CBC">
        <w:rPr>
          <w:rFonts w:ascii="Century Gothic" w:hAnsi="Century Gothic"/>
          <w:sz w:val="22"/>
          <w:szCs w:val="22"/>
        </w:rPr>
        <w:t>, silence, Kurtz as destination</w:t>
      </w:r>
    </w:p>
    <w:p w14:paraId="0CA673E2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2"/>
          <w:szCs w:val="12"/>
        </w:rPr>
      </w:pPr>
    </w:p>
    <w:p w14:paraId="68B866F6" w14:textId="5AFFD0A7" w:rsidR="001A29B7" w:rsidRPr="00061CBC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>Kurtz as ‘disembodied’ voice</w:t>
      </w:r>
    </w:p>
    <w:p w14:paraId="0552DE9C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2"/>
          <w:szCs w:val="12"/>
        </w:rPr>
      </w:pPr>
    </w:p>
    <w:p w14:paraId="5732C815" w14:textId="22F46B6A" w:rsidR="001A29B7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>Kurtz’s ‘</w:t>
      </w:r>
      <w:r w:rsidR="005B6DE3">
        <w:rPr>
          <w:rFonts w:ascii="Century Gothic" w:hAnsi="Century Gothic"/>
          <w:sz w:val="22"/>
          <w:szCs w:val="22"/>
        </w:rPr>
        <w:t xml:space="preserve">civilisation’ and its relation to </w:t>
      </w:r>
      <w:r w:rsidRPr="00061CBC">
        <w:rPr>
          <w:rFonts w:ascii="Century Gothic" w:hAnsi="Century Gothic"/>
          <w:sz w:val="22"/>
          <w:szCs w:val="22"/>
        </w:rPr>
        <w:t>‘powers of darkness’</w:t>
      </w:r>
    </w:p>
    <w:p w14:paraId="5232BD6C" w14:textId="77777777" w:rsidR="005B6DE3" w:rsidRDefault="005B6DE3" w:rsidP="005B6DE3">
      <w:pPr>
        <w:pStyle w:val="ListParagraph"/>
        <w:rPr>
          <w:rFonts w:ascii="Century Gothic" w:hAnsi="Century Gothic"/>
          <w:sz w:val="22"/>
          <w:szCs w:val="22"/>
        </w:rPr>
      </w:pPr>
    </w:p>
    <w:p w14:paraId="7F99B25F" w14:textId="15C985B2" w:rsidR="005B6DE3" w:rsidRPr="00061CBC" w:rsidRDefault="005B6DE3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‘ornamentation’ around Kurtz’s hut </w:t>
      </w:r>
    </w:p>
    <w:p w14:paraId="465CD40F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2"/>
          <w:szCs w:val="12"/>
        </w:rPr>
      </w:pPr>
    </w:p>
    <w:p w14:paraId="72400C80" w14:textId="6F1ABC60" w:rsidR="001A29B7" w:rsidRPr="00061CBC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>First actual appearance of Kurtz – living corpse</w:t>
      </w:r>
    </w:p>
    <w:p w14:paraId="1E2C8E87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2"/>
          <w:szCs w:val="12"/>
        </w:rPr>
      </w:pPr>
    </w:p>
    <w:p w14:paraId="2E64869E" w14:textId="6FB9B059" w:rsidR="001A29B7" w:rsidRPr="00061CBC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>Marlow on Kurtz – pursuit and confrontation</w:t>
      </w:r>
    </w:p>
    <w:p w14:paraId="618D305E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6"/>
          <w:szCs w:val="16"/>
        </w:rPr>
      </w:pPr>
    </w:p>
    <w:p w14:paraId="00855F3E" w14:textId="41AF41BD" w:rsidR="001A29B7" w:rsidRPr="00061CBC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>Kurtz’s death</w:t>
      </w:r>
    </w:p>
    <w:p w14:paraId="17A37FE1" w14:textId="77777777" w:rsidR="001A29B7" w:rsidRPr="00C451F9" w:rsidRDefault="001A29B7">
      <w:pPr>
        <w:spacing w:after="120"/>
        <w:jc w:val="both"/>
        <w:rPr>
          <w:rFonts w:ascii="Century Gothic" w:hAnsi="Century Gothic"/>
          <w:sz w:val="12"/>
          <w:szCs w:val="12"/>
        </w:rPr>
      </w:pPr>
    </w:p>
    <w:p w14:paraId="766D909C" w14:textId="7B79CFCA" w:rsidR="001A29B7" w:rsidRPr="00061CBC" w:rsidRDefault="001A29B7" w:rsidP="00061CBC">
      <w:pPr>
        <w:numPr>
          <w:ilvl w:val="0"/>
          <w:numId w:val="1"/>
        </w:numPr>
        <w:spacing w:after="120"/>
        <w:jc w:val="both"/>
        <w:rPr>
          <w:rFonts w:ascii="Century Gothic" w:hAnsi="Century Gothic"/>
          <w:sz w:val="22"/>
          <w:szCs w:val="22"/>
        </w:rPr>
      </w:pPr>
      <w:r w:rsidRPr="00061CBC">
        <w:rPr>
          <w:rFonts w:ascii="Century Gothic" w:hAnsi="Century Gothic"/>
          <w:sz w:val="22"/>
          <w:szCs w:val="22"/>
        </w:rPr>
        <w:t>Marlow’s interview with Kurtz’s Intended – memory, haunting</w:t>
      </w:r>
      <w:bookmarkStart w:id="0" w:name="_GoBack"/>
      <w:bookmarkEnd w:id="0"/>
    </w:p>
    <w:p w14:paraId="6451AD03" w14:textId="77777777" w:rsidR="001A29B7" w:rsidRPr="00061CBC" w:rsidRDefault="001A29B7">
      <w:pPr>
        <w:spacing w:after="120"/>
        <w:jc w:val="both"/>
        <w:rPr>
          <w:rFonts w:ascii="Century Gothic" w:hAnsi="Century Gothic"/>
        </w:rPr>
      </w:pPr>
    </w:p>
    <w:p w14:paraId="2C6749BF" w14:textId="77777777" w:rsidR="001A29B7" w:rsidRPr="00061CBC" w:rsidRDefault="001A29B7">
      <w:pPr>
        <w:spacing w:after="120"/>
        <w:jc w:val="both"/>
        <w:rPr>
          <w:rFonts w:ascii="Century Gothic" w:hAnsi="Century Gothic"/>
        </w:rPr>
      </w:pPr>
    </w:p>
    <w:p w14:paraId="1184EF51" w14:textId="77777777" w:rsidR="001A29B7" w:rsidRPr="00061CBC" w:rsidRDefault="001A29B7">
      <w:pPr>
        <w:rPr>
          <w:rFonts w:ascii="Century Gothic" w:hAnsi="Century Gothic"/>
        </w:rPr>
      </w:pPr>
    </w:p>
    <w:sectPr w:rsidR="001A29B7" w:rsidRPr="00061CBC">
      <w:pgSz w:w="11906" w:h="16838"/>
      <w:pgMar w:top="1440" w:right="1134" w:bottom="14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40B9D"/>
    <w:multiLevelType w:val="hybridMultilevel"/>
    <w:tmpl w:val="851C211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E7603"/>
    <w:multiLevelType w:val="hybridMultilevel"/>
    <w:tmpl w:val="694AB4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7009A"/>
    <w:multiLevelType w:val="hybridMultilevel"/>
    <w:tmpl w:val="0FA463B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D6B41EA"/>
    <w:multiLevelType w:val="hybridMultilevel"/>
    <w:tmpl w:val="027464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CBC"/>
    <w:rsid w:val="00061CBC"/>
    <w:rsid w:val="000B2868"/>
    <w:rsid w:val="001A29B7"/>
    <w:rsid w:val="005B6DE3"/>
    <w:rsid w:val="006648AC"/>
    <w:rsid w:val="00C4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7AAA2B"/>
  <w15:chartTrackingRefBased/>
  <w15:docId w15:val="{4FB082B6-5C3A-424A-A9EA-16501BEF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B6DE3"/>
    <w:pPr>
      <w:keepNext/>
      <w:outlineLvl w:val="2"/>
    </w:pPr>
    <w:rPr>
      <w:rFonts w:ascii="Garamond" w:hAnsi="Garamond"/>
      <w:sz w:val="40"/>
      <w:szCs w:val="40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3Char">
    <w:name w:val="Heading 3 Char"/>
    <w:link w:val="Heading3"/>
    <w:semiHidden/>
    <w:rsid w:val="005B6DE3"/>
    <w:rPr>
      <w:rFonts w:ascii="Garamond" w:hAnsi="Garamond"/>
      <w:sz w:val="40"/>
      <w:szCs w:val="40"/>
    </w:rPr>
  </w:style>
  <w:style w:type="paragraph" w:styleId="ListParagraph">
    <w:name w:val="List Paragraph"/>
    <w:basedOn w:val="Normal"/>
    <w:uiPriority w:val="34"/>
    <w:qFormat/>
    <w:rsid w:val="005B6DE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08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Seminar discussion: Conrad, Heart of Darkness</vt:lpstr>
    </vt:vector>
  </TitlesOfParts>
  <Company> 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Seminar discussion: Conrad, Heart of Darkness</dc:title>
  <dc:subject/>
  <dc:creator>Williams</dc:creator>
  <cp:keywords/>
  <dc:description/>
  <cp:lastModifiedBy>Jeni Williams</cp:lastModifiedBy>
  <cp:revision>2</cp:revision>
  <dcterms:created xsi:type="dcterms:W3CDTF">2020-03-08T00:56:00Z</dcterms:created>
  <dcterms:modified xsi:type="dcterms:W3CDTF">2020-03-08T00:56:00Z</dcterms:modified>
</cp:coreProperties>
</file>