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8C363CB" w14:textId="77777777" w:rsidR="007F40F7" w:rsidRDefault="007F40F7">
      <w:pPr>
        <w:spacing w:line="480" w:lineRule="auto"/>
        <w:contextualSpacing/>
        <w:jc w:val="center"/>
        <w:rPr>
          <w:rFonts w:ascii="Times New Roman" w:eastAsia="Arial" w:hAnsi="Times New Roman" w:cs="Times New Roman"/>
          <w:color w:val="000000"/>
          <w:sz w:val="24"/>
          <w:szCs w:val="24"/>
        </w:rPr>
      </w:pPr>
      <w:bookmarkStart w:id="0" w:name="_heading=h.gjdgxs" w:colFirst="0" w:colLast="0"/>
      <w:bookmarkEnd w:id="0"/>
    </w:p>
    <w:p w14:paraId="4AD80B22"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5D2FED85"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12B7DCD0"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329ED4B5"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1252DFA0"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OUTDOOR RESTAURANT CONCEPT</w:t>
      </w:r>
    </w:p>
    <w:p w14:paraId="1059B5A0" w14:textId="70180C5D" w:rsidR="007F40F7" w:rsidRDefault="00000000">
      <w:pPr>
        <w:spacing w:line="480" w:lineRule="auto"/>
        <w:contextualSpacing/>
        <w:jc w:val="center"/>
        <w:rPr>
          <w:rFonts w:ascii="Times New Roman" w:eastAsia="Arial" w:hAnsi="Times New Roman" w:cs="Times New Roman"/>
          <w:color w:val="000000"/>
          <w:sz w:val="24"/>
          <w:szCs w:val="24"/>
          <w:lang w:val="en-US"/>
        </w:rPr>
      </w:pPr>
      <w:r>
        <w:rPr>
          <w:rFonts w:ascii="Times New Roman" w:eastAsia="Arial" w:hAnsi="Times New Roman" w:cs="Times New Roman"/>
          <w:color w:val="000000"/>
          <w:sz w:val="24"/>
          <w:szCs w:val="24"/>
          <w:lang w:val="en-US"/>
        </w:rPr>
        <w:t xml:space="preserve">By </w:t>
      </w:r>
      <w:r w:rsidR="00BF7E75">
        <w:rPr>
          <w:rFonts w:ascii="Times New Roman" w:eastAsia="Arial" w:hAnsi="Times New Roman" w:cs="Times New Roman"/>
          <w:color w:val="000000"/>
          <w:sz w:val="24"/>
          <w:szCs w:val="24"/>
          <w:lang w:val="en-US"/>
        </w:rPr>
        <w:t xml:space="preserve">Monica </w:t>
      </w:r>
      <w:proofErr w:type="spellStart"/>
      <w:r w:rsidR="00BF7E75">
        <w:rPr>
          <w:rFonts w:ascii="Times New Roman" w:eastAsia="Arial" w:hAnsi="Times New Roman" w:cs="Times New Roman"/>
          <w:color w:val="000000"/>
          <w:sz w:val="24"/>
          <w:szCs w:val="24"/>
          <w:lang w:val="en-US"/>
        </w:rPr>
        <w:t>Lavric</w:t>
      </w:r>
      <w:proofErr w:type="spellEnd"/>
      <w:r w:rsidR="00BF7E75">
        <w:rPr>
          <w:rFonts w:ascii="Times New Roman" w:eastAsia="Arial" w:hAnsi="Times New Roman" w:cs="Times New Roman"/>
          <w:color w:val="000000"/>
          <w:sz w:val="24"/>
          <w:szCs w:val="24"/>
          <w:lang w:val="en-US"/>
        </w:rPr>
        <w:t xml:space="preserve"> - 2121183</w:t>
      </w:r>
    </w:p>
    <w:p w14:paraId="5C996CF3"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04F59E77"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5DCCFC31"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1BF3D026"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73850E4E"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5282B1A2" w14:textId="65109A02" w:rsidR="007F40F7" w:rsidRDefault="00BF7E75">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Module: Entrepreneurship</w:t>
      </w:r>
    </w:p>
    <w:p w14:paraId="216983E0" w14:textId="01634676" w:rsidR="007F40F7" w:rsidRDefault="00BF7E75" w:rsidP="00BF7E75">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Lecturer: Chris </w:t>
      </w:r>
      <w:proofErr w:type="spellStart"/>
      <w:r>
        <w:rPr>
          <w:rFonts w:ascii="Times New Roman" w:eastAsia="Arial" w:hAnsi="Times New Roman" w:cs="Times New Roman"/>
          <w:color w:val="000000"/>
          <w:sz w:val="24"/>
          <w:szCs w:val="24"/>
        </w:rPr>
        <w:t>Wilkin</w:t>
      </w:r>
      <w:proofErr w:type="spellEnd"/>
    </w:p>
    <w:p w14:paraId="67F4F327" w14:textId="590EC24D"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Date</w:t>
      </w:r>
      <w:r w:rsidR="00BF7E75">
        <w:rPr>
          <w:rFonts w:ascii="Times New Roman" w:eastAsia="Arial" w:hAnsi="Times New Roman" w:cs="Times New Roman"/>
          <w:color w:val="000000"/>
          <w:sz w:val="24"/>
          <w:szCs w:val="24"/>
        </w:rPr>
        <w:t>: 01.03.2024</w:t>
      </w:r>
    </w:p>
    <w:p w14:paraId="3B2103A6"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7C95C108" w14:textId="77777777" w:rsidR="007F40F7" w:rsidRDefault="007F40F7">
      <w:pPr>
        <w:spacing w:line="480" w:lineRule="auto"/>
        <w:contextualSpacing/>
        <w:jc w:val="center"/>
        <w:rPr>
          <w:rFonts w:ascii="Times New Roman" w:eastAsia="Arial" w:hAnsi="Times New Roman" w:cs="Times New Roman"/>
          <w:color w:val="000000"/>
          <w:sz w:val="24"/>
          <w:szCs w:val="24"/>
        </w:rPr>
      </w:pPr>
    </w:p>
    <w:p w14:paraId="181B45EC" w14:textId="77777777" w:rsidR="007F40F7" w:rsidRDefault="007F40F7">
      <w:pPr>
        <w:spacing w:line="480" w:lineRule="auto"/>
        <w:contextualSpacing/>
        <w:rPr>
          <w:rFonts w:ascii="Times New Roman" w:eastAsia="Arial" w:hAnsi="Times New Roman" w:cs="Times New Roman"/>
          <w:color w:val="000000"/>
          <w:sz w:val="24"/>
          <w:szCs w:val="24"/>
        </w:rPr>
      </w:pPr>
    </w:p>
    <w:p w14:paraId="69562581" w14:textId="77777777" w:rsidR="007F40F7" w:rsidRDefault="00000000">
      <w:pPr>
        <w:spacing w:line="480" w:lineRule="auto"/>
        <w:contextualSpacing/>
        <w:rPr>
          <w:rFonts w:ascii="Times New Roman" w:hAnsi="Times New Roman" w:cs="Times New Roman"/>
          <w:color w:val="000000"/>
        </w:rPr>
      </w:pPr>
      <w:r>
        <w:rPr>
          <w:rFonts w:ascii="Times New Roman" w:hAnsi="Times New Roman" w:cs="Times New Roman"/>
        </w:rPr>
        <w:br w:type="page"/>
      </w:r>
    </w:p>
    <w:p w14:paraId="28E9BD9A"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Part 1</w:t>
      </w:r>
    </w:p>
    <w:p w14:paraId="2A1B7A77"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Outdoor Restaurant Concept</w:t>
      </w:r>
    </w:p>
    <w:p w14:paraId="7B35DF93" w14:textId="30EA6562" w:rsidR="007F40F7" w:rsidRDefault="00F467A5">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The hospitality business concept adopted is an outdoor restaurant. </w:t>
      </w:r>
      <w:r w:rsidR="006E03E8">
        <w:rPr>
          <w:rFonts w:ascii="Times New Roman" w:eastAsia="Arial" w:hAnsi="Times New Roman" w:cs="Times New Roman"/>
          <w:color w:val="000000"/>
          <w:sz w:val="24"/>
          <w:szCs w:val="24"/>
        </w:rPr>
        <w:t xml:space="preserve">An outdoor restaurant is </w:t>
      </w:r>
      <w:r w:rsidR="006747D5">
        <w:rPr>
          <w:rFonts w:ascii="Times New Roman" w:eastAsia="Arial" w:hAnsi="Times New Roman" w:cs="Times New Roman"/>
          <w:color w:val="000000"/>
          <w:sz w:val="24"/>
          <w:szCs w:val="24"/>
        </w:rPr>
        <w:t xml:space="preserve">an open-air </w:t>
      </w:r>
      <w:r w:rsidR="001E75AB">
        <w:rPr>
          <w:rFonts w:ascii="Times New Roman" w:eastAsia="Arial" w:hAnsi="Times New Roman" w:cs="Times New Roman"/>
          <w:color w:val="000000"/>
          <w:sz w:val="24"/>
          <w:szCs w:val="24"/>
        </w:rPr>
        <w:t xml:space="preserve">restaurant </w:t>
      </w:r>
      <w:r w:rsidR="00397A99">
        <w:rPr>
          <w:rFonts w:ascii="Times New Roman" w:eastAsia="Arial" w:hAnsi="Times New Roman" w:cs="Times New Roman"/>
          <w:color w:val="000000"/>
          <w:sz w:val="24"/>
          <w:szCs w:val="24"/>
        </w:rPr>
        <w:t xml:space="preserve">where people enjoy the </w:t>
      </w:r>
      <w:r w:rsidR="001A3751">
        <w:rPr>
          <w:rFonts w:ascii="Times New Roman" w:eastAsia="Arial" w:hAnsi="Times New Roman" w:cs="Times New Roman"/>
          <w:color w:val="000000"/>
          <w:sz w:val="24"/>
          <w:szCs w:val="24"/>
        </w:rPr>
        <w:t>view instead of a restaurant</w:t>
      </w:r>
      <w:r w:rsidR="002D7449">
        <w:rPr>
          <w:rFonts w:ascii="Times New Roman" w:eastAsia="Arial" w:hAnsi="Times New Roman" w:cs="Times New Roman"/>
          <w:color w:val="000000"/>
          <w:sz w:val="24"/>
          <w:szCs w:val="24"/>
        </w:rPr>
        <w:t>'s</w:t>
      </w:r>
      <w:r w:rsidR="001A3751">
        <w:rPr>
          <w:rFonts w:ascii="Times New Roman" w:eastAsia="Arial" w:hAnsi="Times New Roman" w:cs="Times New Roman"/>
          <w:color w:val="000000"/>
          <w:sz w:val="24"/>
          <w:szCs w:val="24"/>
        </w:rPr>
        <w:t xml:space="preserve"> confined walls</w:t>
      </w:r>
      <w:r w:rsidR="009B1410">
        <w:rPr>
          <w:rFonts w:ascii="Times New Roman" w:eastAsia="Arial" w:hAnsi="Times New Roman" w:cs="Times New Roman"/>
          <w:color w:val="000000"/>
          <w:sz w:val="24"/>
          <w:szCs w:val="24"/>
        </w:rPr>
        <w:t xml:space="preserve"> (Yang and Luo, 2021)</w:t>
      </w:r>
      <w:r w:rsidR="001A3751">
        <w:rPr>
          <w:rFonts w:ascii="Times New Roman" w:eastAsia="Arial" w:hAnsi="Times New Roman" w:cs="Times New Roman"/>
          <w:color w:val="000000"/>
          <w:sz w:val="24"/>
          <w:szCs w:val="24"/>
        </w:rPr>
        <w:t xml:space="preserve">. </w:t>
      </w:r>
      <w:r>
        <w:rPr>
          <w:rFonts w:ascii="Times New Roman" w:eastAsia="Arial" w:hAnsi="Times New Roman" w:cs="Times New Roman"/>
          <w:color w:val="000000"/>
          <w:sz w:val="24"/>
          <w:szCs w:val="24"/>
        </w:rPr>
        <w:t>Outdoor restaurants promote rural tourism by utilizing a portion of the sidewalk, street, alley, court, or other public space that offers food or beverages to customers and potential customers (Yang and Luo, 2021).</w:t>
      </w:r>
      <w:r w:rsidR="00C56BD7">
        <w:rPr>
          <w:rFonts w:ascii="Times New Roman" w:eastAsia="Arial" w:hAnsi="Times New Roman" w:cs="Times New Roman"/>
          <w:color w:val="000000"/>
          <w:sz w:val="24"/>
          <w:szCs w:val="24"/>
        </w:rPr>
        <w:t xml:space="preserve"> These restaurants</w:t>
      </w:r>
      <w:r>
        <w:rPr>
          <w:rFonts w:ascii="Times New Roman" w:eastAsia="Arial" w:hAnsi="Times New Roman" w:cs="Times New Roman"/>
          <w:color w:val="000000"/>
          <w:sz w:val="24"/>
          <w:szCs w:val="24"/>
        </w:rPr>
        <w:t xml:space="preserve"> attract more customers who prefer enjoying the outdoor setting in spring and cool summer seasons. </w:t>
      </w:r>
      <w:r w:rsidR="002233CE">
        <w:rPr>
          <w:rFonts w:ascii="Times New Roman" w:eastAsia="Arial" w:hAnsi="Times New Roman" w:cs="Times New Roman"/>
          <w:color w:val="000000"/>
          <w:sz w:val="24"/>
          <w:szCs w:val="24"/>
        </w:rPr>
        <w:t xml:space="preserve">Exploring the Business Model Canvas is essential </w:t>
      </w:r>
      <w:r w:rsidR="000E25D7">
        <w:rPr>
          <w:rFonts w:ascii="Times New Roman" w:eastAsia="Arial" w:hAnsi="Times New Roman" w:cs="Times New Roman"/>
          <w:color w:val="000000"/>
          <w:sz w:val="24"/>
          <w:szCs w:val="24"/>
        </w:rPr>
        <w:t xml:space="preserve">in </w:t>
      </w:r>
      <w:r w:rsidR="00A266FE">
        <w:rPr>
          <w:rFonts w:ascii="Times New Roman" w:eastAsia="Arial" w:hAnsi="Times New Roman" w:cs="Times New Roman"/>
          <w:color w:val="000000"/>
          <w:sz w:val="24"/>
          <w:szCs w:val="24"/>
        </w:rPr>
        <w:t>understand</w:t>
      </w:r>
      <w:r w:rsidR="000E25D7">
        <w:rPr>
          <w:rFonts w:ascii="Times New Roman" w:eastAsia="Arial" w:hAnsi="Times New Roman" w:cs="Times New Roman"/>
          <w:color w:val="000000"/>
          <w:sz w:val="24"/>
          <w:szCs w:val="24"/>
        </w:rPr>
        <w:t>ing</w:t>
      </w:r>
      <w:r w:rsidR="00A266FE">
        <w:rPr>
          <w:rFonts w:ascii="Times New Roman" w:eastAsia="Arial" w:hAnsi="Times New Roman" w:cs="Times New Roman"/>
          <w:color w:val="000000"/>
          <w:sz w:val="24"/>
          <w:szCs w:val="24"/>
        </w:rPr>
        <w:t xml:space="preserve"> outdoor restaurants as a hospitality business concept</w:t>
      </w:r>
      <w:r w:rsidR="002F4F92">
        <w:rPr>
          <w:rFonts w:ascii="Times New Roman" w:eastAsia="Arial" w:hAnsi="Times New Roman" w:cs="Times New Roman"/>
          <w:color w:val="000000"/>
          <w:sz w:val="24"/>
          <w:szCs w:val="24"/>
        </w:rPr>
        <w:t xml:space="preserve">. </w:t>
      </w:r>
      <w:r>
        <w:rPr>
          <w:rFonts w:ascii="Times New Roman" w:eastAsia="Arial" w:hAnsi="Times New Roman" w:cs="Times New Roman"/>
          <w:color w:val="000000"/>
          <w:sz w:val="24"/>
          <w:szCs w:val="24"/>
        </w:rPr>
        <w:t>The Business Model Canvas is a strategic template for developing business ideas and documenting them to display their feasibility</w:t>
      </w:r>
      <w:r w:rsidR="00C5518D">
        <w:rPr>
          <w:rFonts w:ascii="Times New Roman" w:eastAsia="Arial" w:hAnsi="Times New Roman" w:cs="Times New Roman"/>
          <w:color w:val="000000"/>
          <w:sz w:val="24"/>
          <w:szCs w:val="24"/>
        </w:rPr>
        <w:t xml:space="preserve"> (</w:t>
      </w:r>
      <w:proofErr w:type="spellStart"/>
      <w:r w:rsidR="00C5518D">
        <w:rPr>
          <w:rFonts w:ascii="Times New Roman" w:eastAsia="Arial" w:hAnsi="Times New Roman" w:cs="Times New Roman"/>
          <w:color w:val="000000"/>
          <w:sz w:val="24"/>
          <w:szCs w:val="24"/>
        </w:rPr>
        <w:t>Fakieh</w:t>
      </w:r>
      <w:proofErr w:type="spellEnd"/>
      <w:r w:rsidR="00C5518D">
        <w:rPr>
          <w:rFonts w:ascii="Times New Roman" w:eastAsia="Arial" w:hAnsi="Times New Roman" w:cs="Times New Roman"/>
          <w:color w:val="000000"/>
          <w:sz w:val="24"/>
          <w:szCs w:val="24"/>
        </w:rPr>
        <w:t xml:space="preserve"> et al., 2022)</w:t>
      </w:r>
      <w:r>
        <w:rPr>
          <w:rFonts w:ascii="Times New Roman" w:eastAsia="Arial" w:hAnsi="Times New Roman" w:cs="Times New Roman"/>
          <w:color w:val="000000"/>
          <w:sz w:val="24"/>
          <w:szCs w:val="24"/>
        </w:rPr>
        <w:t xml:space="preserve">. The model helps in gathering feedback, testing assumptions, adapting to the dynamic business environment and making adjustments to the existing strategies and concepts. This paper will discuss and justify starting an outdoor restaurant using the Business Model Canvas. </w:t>
      </w:r>
    </w:p>
    <w:p w14:paraId="0B80C8F5"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Business Model Canvas (BMC)</w:t>
      </w:r>
    </w:p>
    <w:p w14:paraId="66AA262F" w14:textId="2B4031FA"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The primary components of this template are customer segments, value proposition, revenue streams, channels, customer relationships, key activities, key resources, key partners and cost structure</w:t>
      </w:r>
      <w:r w:rsidR="00F65A46">
        <w:rPr>
          <w:rFonts w:ascii="Times New Roman" w:eastAsia="Arial" w:hAnsi="Times New Roman" w:cs="Times New Roman"/>
          <w:color w:val="000000"/>
          <w:sz w:val="24"/>
          <w:szCs w:val="24"/>
        </w:rPr>
        <w:t xml:space="preserve"> (</w:t>
      </w:r>
      <w:proofErr w:type="spellStart"/>
      <w:r w:rsidR="00F65A46">
        <w:rPr>
          <w:rFonts w:ascii="Times New Roman" w:eastAsia="Arial" w:hAnsi="Times New Roman" w:cs="Times New Roman"/>
          <w:color w:val="000000"/>
          <w:sz w:val="24"/>
          <w:szCs w:val="24"/>
        </w:rPr>
        <w:t>Fakieh</w:t>
      </w:r>
      <w:proofErr w:type="spellEnd"/>
      <w:r w:rsidR="00F65A46">
        <w:rPr>
          <w:rFonts w:ascii="Times New Roman" w:eastAsia="Arial" w:hAnsi="Times New Roman" w:cs="Times New Roman"/>
          <w:color w:val="000000"/>
          <w:sz w:val="24"/>
          <w:szCs w:val="24"/>
        </w:rPr>
        <w:t xml:space="preserve"> et al., 2022)</w:t>
      </w:r>
      <w:r>
        <w:rPr>
          <w:rFonts w:ascii="Times New Roman" w:eastAsia="Arial" w:hAnsi="Times New Roman" w:cs="Times New Roman"/>
          <w:color w:val="000000"/>
          <w:sz w:val="24"/>
          <w:szCs w:val="24"/>
        </w:rPr>
        <w:t>. These elements lead to the success of a business through the alignment of its activities and the reduction of potential trade-offs. The components illustrate the flow of activities, resources, and value definitions towards the customers</w:t>
      </w:r>
      <w:r w:rsidR="00E41A1F">
        <w:rPr>
          <w:rFonts w:ascii="Times New Roman" w:eastAsia="Arial" w:hAnsi="Times New Roman" w:cs="Times New Roman"/>
          <w:color w:val="000000"/>
          <w:sz w:val="24"/>
          <w:szCs w:val="24"/>
        </w:rPr>
        <w:t xml:space="preserve"> (</w:t>
      </w:r>
      <w:proofErr w:type="spellStart"/>
      <w:r w:rsidR="00E41A1F">
        <w:rPr>
          <w:rFonts w:ascii="Times New Roman" w:eastAsia="Arial" w:hAnsi="Times New Roman" w:cs="Times New Roman"/>
          <w:color w:val="000000"/>
          <w:sz w:val="24"/>
          <w:szCs w:val="24"/>
        </w:rPr>
        <w:t>Fakieh</w:t>
      </w:r>
      <w:proofErr w:type="spellEnd"/>
      <w:r w:rsidR="00E41A1F">
        <w:rPr>
          <w:rFonts w:ascii="Times New Roman" w:eastAsia="Arial" w:hAnsi="Times New Roman" w:cs="Times New Roman"/>
          <w:color w:val="000000"/>
          <w:sz w:val="24"/>
          <w:szCs w:val="24"/>
        </w:rPr>
        <w:t xml:space="preserve"> et al., 2022)</w:t>
      </w:r>
      <w:r>
        <w:rPr>
          <w:rFonts w:ascii="Times New Roman" w:eastAsia="Arial" w:hAnsi="Times New Roman" w:cs="Times New Roman"/>
          <w:color w:val="000000"/>
          <w:sz w:val="24"/>
          <w:szCs w:val="24"/>
        </w:rPr>
        <w:t xml:space="preserve">. </w:t>
      </w:r>
    </w:p>
    <w:p w14:paraId="7C1DA7B0"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Customer Segments</w:t>
      </w:r>
    </w:p>
    <w:p w14:paraId="18B71555" w14:textId="58A21EF3"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The customer segments are the target audience or the people </w:t>
      </w:r>
      <w:r w:rsidR="002D7449">
        <w:rPr>
          <w:rFonts w:ascii="Times New Roman" w:eastAsia="Arial" w:hAnsi="Times New Roman" w:cs="Times New Roman"/>
          <w:color w:val="000000"/>
          <w:sz w:val="24"/>
          <w:szCs w:val="24"/>
        </w:rPr>
        <w:t>whom</w:t>
      </w:r>
      <w:r>
        <w:rPr>
          <w:rFonts w:ascii="Times New Roman" w:eastAsia="Arial" w:hAnsi="Times New Roman" w:cs="Times New Roman"/>
          <w:color w:val="000000"/>
          <w:sz w:val="24"/>
          <w:szCs w:val="24"/>
        </w:rPr>
        <w:t xml:space="preserve"> the business intends to solve their problem</w:t>
      </w:r>
      <w:r w:rsidR="00712790">
        <w:rPr>
          <w:rFonts w:ascii="Times New Roman" w:eastAsia="Arial" w:hAnsi="Times New Roman" w:cs="Times New Roman"/>
          <w:color w:val="000000"/>
          <w:sz w:val="24"/>
          <w:szCs w:val="24"/>
        </w:rPr>
        <w:t xml:space="preserve"> (</w:t>
      </w:r>
      <w:proofErr w:type="spellStart"/>
      <w:r w:rsidR="00712790">
        <w:rPr>
          <w:rFonts w:ascii="Times New Roman" w:eastAsia="Arial" w:hAnsi="Times New Roman" w:cs="Times New Roman"/>
          <w:color w:val="000000"/>
          <w:sz w:val="24"/>
          <w:szCs w:val="24"/>
        </w:rPr>
        <w:t>Fakieh</w:t>
      </w:r>
      <w:proofErr w:type="spellEnd"/>
      <w:r w:rsidR="00712790">
        <w:rPr>
          <w:rFonts w:ascii="Times New Roman" w:eastAsia="Arial" w:hAnsi="Times New Roman" w:cs="Times New Roman"/>
          <w:color w:val="000000"/>
          <w:sz w:val="24"/>
          <w:szCs w:val="24"/>
        </w:rPr>
        <w:t xml:space="preserve"> et al., 2022)</w:t>
      </w:r>
      <w:r>
        <w:rPr>
          <w:rFonts w:ascii="Times New Roman" w:eastAsia="Arial" w:hAnsi="Times New Roman" w:cs="Times New Roman"/>
          <w:color w:val="000000"/>
          <w:sz w:val="24"/>
          <w:szCs w:val="24"/>
        </w:rPr>
        <w:t xml:space="preserve">. This component entails identifying the nature of the </w:t>
      </w:r>
      <w:r>
        <w:rPr>
          <w:rFonts w:ascii="Times New Roman" w:eastAsia="Arial" w:hAnsi="Times New Roman" w:cs="Times New Roman"/>
          <w:color w:val="000000"/>
          <w:sz w:val="24"/>
          <w:szCs w:val="24"/>
        </w:rPr>
        <w:lastRenderedPageBreak/>
        <w:t>customers such as mass market, niche market, segmented and diversified market</w:t>
      </w:r>
      <w:r w:rsidR="00CE4EBA">
        <w:rPr>
          <w:rFonts w:ascii="Times New Roman" w:eastAsia="Arial" w:hAnsi="Times New Roman" w:cs="Times New Roman"/>
          <w:color w:val="000000"/>
          <w:sz w:val="24"/>
          <w:szCs w:val="24"/>
        </w:rPr>
        <w:t xml:space="preserve"> (</w:t>
      </w:r>
      <w:proofErr w:type="spellStart"/>
      <w:r w:rsidR="00CE4EBA">
        <w:rPr>
          <w:rFonts w:ascii="Times New Roman" w:eastAsia="Arial" w:hAnsi="Times New Roman" w:cs="Times New Roman"/>
          <w:color w:val="000000"/>
          <w:sz w:val="24"/>
          <w:szCs w:val="24"/>
        </w:rPr>
        <w:t>Fakieh</w:t>
      </w:r>
      <w:proofErr w:type="spellEnd"/>
      <w:r w:rsidR="00CE4EBA">
        <w:rPr>
          <w:rFonts w:ascii="Times New Roman" w:eastAsia="Arial" w:hAnsi="Times New Roman" w:cs="Times New Roman"/>
          <w:color w:val="000000"/>
          <w:sz w:val="24"/>
          <w:szCs w:val="24"/>
        </w:rPr>
        <w:t xml:space="preserve"> et al., 2022)</w:t>
      </w:r>
      <w:r>
        <w:rPr>
          <w:rFonts w:ascii="Times New Roman" w:eastAsia="Arial" w:hAnsi="Times New Roman" w:cs="Times New Roman"/>
          <w:color w:val="000000"/>
          <w:sz w:val="24"/>
          <w:szCs w:val="24"/>
        </w:rPr>
        <w:t xml:space="preserve">. In starting an outdoor restaurant, the target audience is urban residents and tourists seeking a special dining experience in an outdoor setting. Research shows that there is a growing demand for experiential dining whereby customers want unique and memorable settings (Cao et al., 2020). China which is renowned for its outbound tourists reveals that a tourism experience that is fun and reinforces positive emotions such as love and joy compels people to recommend the tourist attraction and develop revisit intentions (Chen et al., 2020). One such experience is outdoor restaurants such as the Dali Courtyard, Hua’s Restaurant and The Orchid. These restaurants have beautiful outdoor scenery that makes them memorable and exciting to visit especially in summer. Another example is the Ivy Chelsea Garden in London which developed as a result of the demand for outdoor dining experience (The Ivy Chelsea Garden, n.d.).  </w:t>
      </w:r>
    </w:p>
    <w:p w14:paraId="7A0D0123"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Value Proposition</w:t>
      </w:r>
    </w:p>
    <w:p w14:paraId="5FF198C5" w14:textId="68E7A969" w:rsidR="007F40F7" w:rsidRDefault="00000000">
      <w:pPr>
        <w:spacing w:line="480" w:lineRule="auto"/>
        <w:ind w:firstLine="720"/>
        <w:contextualSpacing/>
        <w:rPr>
          <w:rFonts w:ascii="Times New Roman" w:eastAsia="Arial" w:hAnsi="Times New Roman" w:cs="Times New Roman"/>
          <w:color w:val="000000"/>
          <w:sz w:val="24"/>
          <w:szCs w:val="24"/>
          <w:lang w:val="zh-CN"/>
        </w:rPr>
      </w:pPr>
      <w:r>
        <w:rPr>
          <w:rFonts w:ascii="Times New Roman" w:eastAsia="Arial" w:hAnsi="Times New Roman" w:cs="Times New Roman"/>
          <w:color w:val="000000"/>
          <w:sz w:val="24"/>
          <w:szCs w:val="24"/>
        </w:rPr>
        <w:t>The value proposition refers to the thing that will create value for the customer</w:t>
      </w:r>
      <w:r w:rsidR="000D3EFF">
        <w:rPr>
          <w:rFonts w:ascii="Times New Roman" w:eastAsia="Arial" w:hAnsi="Times New Roman" w:cs="Times New Roman"/>
          <w:color w:val="000000"/>
          <w:sz w:val="24"/>
          <w:szCs w:val="24"/>
        </w:rPr>
        <w:t xml:space="preserve"> (</w:t>
      </w:r>
      <w:proofErr w:type="spellStart"/>
      <w:r w:rsidR="000D3EFF">
        <w:rPr>
          <w:rFonts w:ascii="Times New Roman" w:eastAsia="Arial" w:hAnsi="Times New Roman" w:cs="Times New Roman"/>
          <w:color w:val="000000"/>
          <w:sz w:val="24"/>
          <w:szCs w:val="24"/>
        </w:rPr>
        <w:t>Fakieh</w:t>
      </w:r>
      <w:proofErr w:type="spellEnd"/>
      <w:r w:rsidR="000D3EFF">
        <w:rPr>
          <w:rFonts w:ascii="Times New Roman" w:eastAsia="Arial" w:hAnsi="Times New Roman" w:cs="Times New Roman"/>
          <w:color w:val="000000"/>
          <w:sz w:val="24"/>
          <w:szCs w:val="24"/>
        </w:rPr>
        <w:t xml:space="preserve"> et al., 2022)</w:t>
      </w:r>
      <w:r>
        <w:rPr>
          <w:rFonts w:ascii="Times New Roman" w:eastAsia="Arial" w:hAnsi="Times New Roman" w:cs="Times New Roman"/>
          <w:color w:val="000000"/>
          <w:sz w:val="24"/>
          <w:szCs w:val="24"/>
        </w:rPr>
        <w:t>. The collection of products and services that a business offers to meet the needs of the customers is the value proposition (</w:t>
      </w:r>
      <w:proofErr w:type="spellStart"/>
      <w:r>
        <w:rPr>
          <w:rFonts w:ascii="Times New Roman" w:eastAsia="Arial" w:hAnsi="Times New Roman" w:cs="Times New Roman"/>
          <w:color w:val="000000"/>
          <w:sz w:val="24"/>
          <w:szCs w:val="24"/>
        </w:rPr>
        <w:t>Sibalija</w:t>
      </w:r>
      <w:proofErr w:type="spellEnd"/>
      <w:r>
        <w:rPr>
          <w:rFonts w:ascii="Times New Roman" w:eastAsia="Arial" w:hAnsi="Times New Roman" w:cs="Times New Roman"/>
          <w:color w:val="000000"/>
          <w:sz w:val="24"/>
          <w:szCs w:val="24"/>
        </w:rPr>
        <w:t xml:space="preserve"> et al., 2021). The outdoor setting offers customers a refreshing and enjoyable atmosphere while they are dining. The value proposition for this case is quality cuisine, scenic view, and an enjoyable environment which sets the outdoor restaurant apart in the context of providing a dining experience. An example is </w:t>
      </w:r>
      <w:r>
        <w:rPr>
          <w:rFonts w:ascii="Times New Roman" w:eastAsia="Arial" w:hAnsi="Times New Roman" w:cs="Times New Roman"/>
          <w:color w:val="000000"/>
          <w:sz w:val="24"/>
          <w:szCs w:val="24"/>
          <w:lang w:val="zh-CN"/>
        </w:rPr>
        <w:t>The River Café in London which appeals to customers with a riverside environment as it provides high-quality food (</w:t>
      </w:r>
      <w:r>
        <w:rPr>
          <w:rFonts w:ascii="Times New Roman" w:eastAsia="Arial" w:hAnsi="Times New Roman" w:cs="Times New Roman"/>
          <w:color w:val="000000"/>
          <w:sz w:val="24"/>
          <w:szCs w:val="24"/>
        </w:rPr>
        <w:t>The River Café, n.d.)</w:t>
      </w:r>
      <w:r>
        <w:rPr>
          <w:rFonts w:ascii="Times New Roman" w:eastAsia="Arial" w:hAnsi="Times New Roman" w:cs="Times New Roman"/>
          <w:color w:val="000000"/>
          <w:sz w:val="24"/>
          <w:szCs w:val="24"/>
          <w:lang w:val="zh-CN"/>
        </w:rPr>
        <w:t xml:space="preserve">. This experience makes customers want to revisit the restaurant to enjoy the ambience. </w:t>
      </w:r>
    </w:p>
    <w:p w14:paraId="5E6EF7D9" w14:textId="77777777" w:rsidR="007F40F7" w:rsidRDefault="00000000">
      <w:pPr>
        <w:spacing w:line="480" w:lineRule="auto"/>
        <w:contextualSpacing/>
        <w:jc w:val="center"/>
        <w:rPr>
          <w:rFonts w:ascii="Times New Roman" w:eastAsia="Arial" w:hAnsi="Times New Roman" w:cs="Times New Roman"/>
          <w:color w:val="000000"/>
          <w:sz w:val="24"/>
          <w:szCs w:val="24"/>
          <w:lang w:val="zh-CN"/>
        </w:rPr>
      </w:pPr>
      <w:r>
        <w:rPr>
          <w:rFonts w:ascii="Times New Roman" w:eastAsia="Arial" w:hAnsi="Times New Roman" w:cs="Times New Roman"/>
          <w:color w:val="000000"/>
          <w:sz w:val="24"/>
          <w:szCs w:val="24"/>
          <w:lang w:val="zh-CN"/>
        </w:rPr>
        <w:t>Channels</w:t>
      </w:r>
    </w:p>
    <w:p w14:paraId="62272090" w14:textId="5E8A40E5"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lang w:val="zh-CN"/>
        </w:rPr>
        <w:t>A business channel is how the company delivers the value proposition</w:t>
      </w:r>
      <w:r w:rsidR="00202108">
        <w:rPr>
          <w:rFonts w:ascii="Times New Roman" w:eastAsia="Arial" w:hAnsi="Times New Roman" w:cs="Times New Roman"/>
          <w:color w:val="000000"/>
          <w:sz w:val="24"/>
          <w:szCs w:val="24"/>
          <w:lang w:val="en-US"/>
        </w:rPr>
        <w:t xml:space="preserve"> </w:t>
      </w:r>
      <w:r w:rsidR="00202108">
        <w:rPr>
          <w:rFonts w:ascii="Times New Roman" w:eastAsia="Arial" w:hAnsi="Times New Roman" w:cs="Times New Roman"/>
          <w:color w:val="000000"/>
          <w:sz w:val="24"/>
          <w:szCs w:val="24"/>
        </w:rPr>
        <w:t>(</w:t>
      </w:r>
      <w:proofErr w:type="spellStart"/>
      <w:r w:rsidR="00202108">
        <w:rPr>
          <w:rFonts w:ascii="Times New Roman" w:eastAsia="Arial" w:hAnsi="Times New Roman" w:cs="Times New Roman"/>
          <w:color w:val="000000"/>
          <w:sz w:val="24"/>
          <w:szCs w:val="24"/>
        </w:rPr>
        <w:t>Fakieh</w:t>
      </w:r>
      <w:proofErr w:type="spellEnd"/>
      <w:r w:rsidR="00202108">
        <w:rPr>
          <w:rFonts w:ascii="Times New Roman" w:eastAsia="Arial" w:hAnsi="Times New Roman" w:cs="Times New Roman"/>
          <w:color w:val="000000"/>
          <w:sz w:val="24"/>
          <w:szCs w:val="24"/>
        </w:rPr>
        <w:t xml:space="preserve"> et al., </w:t>
      </w:r>
      <w:r w:rsidR="00202108">
        <w:rPr>
          <w:rFonts w:ascii="Times New Roman" w:eastAsia="Arial" w:hAnsi="Times New Roman" w:cs="Times New Roman"/>
          <w:color w:val="000000"/>
          <w:sz w:val="24"/>
          <w:szCs w:val="24"/>
        </w:rPr>
        <w:lastRenderedPageBreak/>
        <w:t>2022)</w:t>
      </w:r>
      <w:r>
        <w:rPr>
          <w:rFonts w:ascii="Times New Roman" w:eastAsia="Arial" w:hAnsi="Times New Roman" w:cs="Times New Roman"/>
          <w:color w:val="000000"/>
          <w:sz w:val="24"/>
          <w:szCs w:val="24"/>
          <w:lang w:val="zh-CN"/>
        </w:rPr>
        <w:t>. It can also be defined as avenues that the business uses to reach its customers with the products and services</w:t>
      </w:r>
      <w:r w:rsidR="00303F72">
        <w:rPr>
          <w:rFonts w:ascii="Times New Roman" w:eastAsia="Arial" w:hAnsi="Times New Roman" w:cs="Times New Roman"/>
          <w:color w:val="000000"/>
          <w:sz w:val="24"/>
          <w:szCs w:val="24"/>
          <w:lang w:val="en-US"/>
        </w:rPr>
        <w:t xml:space="preserve"> </w:t>
      </w:r>
      <w:r w:rsidR="00303F72">
        <w:rPr>
          <w:rFonts w:ascii="Times New Roman" w:eastAsia="Arial" w:hAnsi="Times New Roman" w:cs="Times New Roman"/>
          <w:color w:val="000000"/>
          <w:sz w:val="24"/>
          <w:szCs w:val="24"/>
        </w:rPr>
        <w:t>(</w:t>
      </w:r>
      <w:proofErr w:type="spellStart"/>
      <w:r w:rsidR="00303F72">
        <w:rPr>
          <w:rFonts w:ascii="Times New Roman" w:eastAsia="Arial" w:hAnsi="Times New Roman" w:cs="Times New Roman"/>
          <w:color w:val="000000"/>
          <w:sz w:val="24"/>
          <w:szCs w:val="24"/>
        </w:rPr>
        <w:t>Fakieh</w:t>
      </w:r>
      <w:proofErr w:type="spellEnd"/>
      <w:r w:rsidR="00303F72">
        <w:rPr>
          <w:rFonts w:ascii="Times New Roman" w:eastAsia="Arial" w:hAnsi="Times New Roman" w:cs="Times New Roman"/>
          <w:color w:val="000000"/>
          <w:sz w:val="24"/>
          <w:szCs w:val="24"/>
        </w:rPr>
        <w:t xml:space="preserve"> et al., 2022)</w:t>
      </w:r>
      <w:r>
        <w:rPr>
          <w:rFonts w:ascii="Times New Roman" w:eastAsia="Arial" w:hAnsi="Times New Roman" w:cs="Times New Roman"/>
          <w:color w:val="000000"/>
          <w:sz w:val="24"/>
          <w:szCs w:val="24"/>
          <w:lang w:val="zh-CN"/>
        </w:rPr>
        <w:t xml:space="preserve">. The common channels are physical ones such as storefronts and major distributors, and online platforms which are gaining popularity with technological advancements </w:t>
      </w:r>
      <w:r>
        <w:rPr>
          <w:rFonts w:ascii="Times New Roman" w:eastAsia="Arial" w:hAnsi="Times New Roman" w:cs="Times New Roman"/>
          <w:color w:val="000000"/>
          <w:sz w:val="24"/>
          <w:szCs w:val="24"/>
        </w:rPr>
        <w:t>(</w:t>
      </w:r>
      <w:proofErr w:type="spellStart"/>
      <w:r>
        <w:rPr>
          <w:rFonts w:ascii="Times New Roman" w:eastAsia="Arial" w:hAnsi="Times New Roman" w:cs="Times New Roman"/>
          <w:color w:val="000000"/>
          <w:sz w:val="24"/>
          <w:szCs w:val="24"/>
        </w:rPr>
        <w:t>Fakieh</w:t>
      </w:r>
      <w:proofErr w:type="spellEnd"/>
      <w:r>
        <w:rPr>
          <w:rFonts w:ascii="Times New Roman" w:eastAsia="Arial" w:hAnsi="Times New Roman" w:cs="Times New Roman"/>
          <w:color w:val="000000"/>
          <w:sz w:val="24"/>
          <w:szCs w:val="24"/>
        </w:rPr>
        <w:t xml:space="preserve"> et al., 2022)</w:t>
      </w:r>
      <w:r>
        <w:rPr>
          <w:rFonts w:ascii="Times New Roman" w:eastAsia="Arial" w:hAnsi="Times New Roman" w:cs="Times New Roman"/>
          <w:color w:val="000000"/>
          <w:sz w:val="24"/>
          <w:szCs w:val="24"/>
          <w:lang w:val="zh-CN"/>
        </w:rPr>
        <w:t>. The best channels for outdoor restaurants are online platforms, social media, and partnerships with celebrities and influencers (</w:t>
      </w:r>
      <w:r>
        <w:rPr>
          <w:rFonts w:ascii="Times New Roman" w:eastAsia="Arial" w:hAnsi="Times New Roman" w:cs="Times New Roman"/>
          <w:color w:val="000000"/>
          <w:sz w:val="24"/>
          <w:szCs w:val="24"/>
        </w:rPr>
        <w:t>Garcia Lopes et al., 2023)</w:t>
      </w:r>
      <w:r>
        <w:rPr>
          <w:rFonts w:ascii="Times New Roman" w:eastAsia="Arial" w:hAnsi="Times New Roman" w:cs="Times New Roman"/>
          <w:color w:val="000000"/>
          <w:sz w:val="24"/>
          <w:szCs w:val="24"/>
          <w:lang w:val="zh-CN"/>
        </w:rPr>
        <w:t xml:space="preserve">. These channels are effective platforms for creating awareness and reaching potential customers. For instance, the restaurant can create its </w:t>
      </w:r>
      <w:r w:rsidR="002D7449">
        <w:rPr>
          <w:rFonts w:ascii="Times New Roman" w:eastAsia="Arial" w:hAnsi="Times New Roman" w:cs="Times New Roman"/>
          <w:color w:val="000000"/>
          <w:sz w:val="24"/>
          <w:szCs w:val="24"/>
          <w:lang w:val="zh-CN"/>
        </w:rPr>
        <w:t xml:space="preserve">own </w:t>
      </w:r>
      <w:r>
        <w:rPr>
          <w:rFonts w:ascii="Times New Roman" w:eastAsia="Arial" w:hAnsi="Times New Roman" w:cs="Times New Roman"/>
          <w:color w:val="000000"/>
          <w:sz w:val="24"/>
          <w:szCs w:val="24"/>
          <w:lang w:val="zh-CN"/>
        </w:rPr>
        <w:t xml:space="preserve">website, Instagram, YouTube channel, Facebook page, Twitter account and WhatsApp channel to advertise itself. Similarly, the restaurant can use mainstream media such as Television time to create awareness among its customers. TikTok influencers can also share photos, videos and reviews of the dining experience to popularize the restaurant. </w:t>
      </w:r>
    </w:p>
    <w:p w14:paraId="691DBEDC"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Customer Relationships</w:t>
      </w:r>
    </w:p>
    <w:p w14:paraId="352FEE9D" w14:textId="78E86B41"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Customer relationships are how the business hopes to retain customers, attract them, and interact with them (Taipale-</w:t>
      </w:r>
      <w:proofErr w:type="spellStart"/>
      <w:r>
        <w:rPr>
          <w:rFonts w:ascii="Times New Roman" w:eastAsia="Arial" w:hAnsi="Times New Roman" w:cs="Times New Roman"/>
          <w:color w:val="000000"/>
          <w:sz w:val="24"/>
          <w:szCs w:val="24"/>
        </w:rPr>
        <w:t>Erävala</w:t>
      </w:r>
      <w:proofErr w:type="spellEnd"/>
      <w:r>
        <w:rPr>
          <w:rFonts w:ascii="Times New Roman" w:eastAsia="Arial" w:hAnsi="Times New Roman" w:cs="Times New Roman"/>
          <w:color w:val="000000"/>
          <w:sz w:val="24"/>
          <w:szCs w:val="24"/>
        </w:rPr>
        <w:t xml:space="preserve"> et al., 2021, p.110). The existing business relationships include self-service, automated services, personal assistance, and corporate responsibility (</w:t>
      </w:r>
      <w:proofErr w:type="spellStart"/>
      <w:r>
        <w:rPr>
          <w:rFonts w:ascii="Times New Roman" w:eastAsia="Arial" w:hAnsi="Times New Roman" w:cs="Times New Roman"/>
          <w:color w:val="000000"/>
          <w:sz w:val="24"/>
          <w:szCs w:val="24"/>
        </w:rPr>
        <w:t>Fakieh</w:t>
      </w:r>
      <w:proofErr w:type="spellEnd"/>
      <w:r>
        <w:rPr>
          <w:rFonts w:ascii="Times New Roman" w:eastAsia="Arial" w:hAnsi="Times New Roman" w:cs="Times New Roman"/>
          <w:color w:val="000000"/>
          <w:sz w:val="24"/>
          <w:szCs w:val="24"/>
        </w:rPr>
        <w:t xml:space="preserve"> et al., 2022). This segment also analyzes the cost of establishing customer relationships and integrating them into the business model. Building customer relationships is essential for the outdoor restaurant in fostering loyalty, revisits and recommendations. The business should establish loyalty programs, community engagement activities</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personalized services. An example of an outdoor event that builds customer relationships is “Taste of London” which brings together outdoor dining enthusiasts (Taste of London, 2024). Organizing such events with local artists can develop customer relationships because they will want to visit a place where such popular events happen. </w:t>
      </w:r>
    </w:p>
    <w:p w14:paraId="0AE1DE12"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Key Partners</w:t>
      </w:r>
    </w:p>
    <w:p w14:paraId="161114A2" w14:textId="77777777"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Key partners are the stakeholders who help in fulfilling the key activities with key resources. The partners include external companies, contractors, suppliers, and employees (</w:t>
      </w:r>
      <w:proofErr w:type="spellStart"/>
      <w:r>
        <w:rPr>
          <w:rFonts w:ascii="Times New Roman" w:eastAsia="Arial" w:hAnsi="Times New Roman" w:cs="Times New Roman"/>
          <w:color w:val="000000"/>
          <w:sz w:val="24"/>
          <w:szCs w:val="24"/>
        </w:rPr>
        <w:t>Fakieh</w:t>
      </w:r>
      <w:proofErr w:type="spellEnd"/>
      <w:r>
        <w:rPr>
          <w:rFonts w:ascii="Times New Roman" w:eastAsia="Arial" w:hAnsi="Times New Roman" w:cs="Times New Roman"/>
          <w:color w:val="000000"/>
          <w:sz w:val="24"/>
          <w:szCs w:val="24"/>
        </w:rPr>
        <w:t xml:space="preserve"> et al., 2022). The management must understand the activities that the partners perform to avoid unnecessary expenses. Developing partnerships with these stakeholders can help the outdoor restaurant to enhance its reach and diversify its menu. For example, the restaurant can partner with local breweries for unique beverages to attract the community. Similarly, partnering with event organizers can increase its popularity and help the restaurant to reach potential customers. The outdoor restaurant will have a long-term relationship with its suppliers if it takes them to be partners. It can benefit from adopting the most convenient strategy for obtaining stock. </w:t>
      </w:r>
    </w:p>
    <w:p w14:paraId="28515841"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Key Activities</w:t>
      </w:r>
    </w:p>
    <w:p w14:paraId="53B38171" w14:textId="2920BBE7"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Key activities are the things that the restaurant needs to do to fulfil the value proposition. This component compels the restaurant to avoid promising the customers what it cannot deliver because delivering on its value proposition gives it a competitive edge over other restaurants (</w:t>
      </w:r>
      <w:proofErr w:type="spellStart"/>
      <w:r>
        <w:rPr>
          <w:rFonts w:ascii="Times New Roman" w:eastAsia="Arial" w:hAnsi="Times New Roman" w:cs="Times New Roman"/>
          <w:color w:val="000000"/>
          <w:sz w:val="24"/>
          <w:szCs w:val="24"/>
        </w:rPr>
        <w:t>Fakieh</w:t>
      </w:r>
      <w:proofErr w:type="spellEnd"/>
      <w:r>
        <w:rPr>
          <w:rFonts w:ascii="Times New Roman" w:eastAsia="Arial" w:hAnsi="Times New Roman" w:cs="Times New Roman"/>
          <w:color w:val="000000"/>
          <w:sz w:val="24"/>
          <w:szCs w:val="24"/>
        </w:rPr>
        <w:t xml:space="preserve"> et al., 2022). Key activities in common businesses include production, problem-solving</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networking. The key activities that the outdoor restaurant should focus on include food preparation, marketing the food, customer service</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maintaining the outdoor space. The success of an outdoor restaurant rests on efficient kitchen operations and a trained staff that offers excellent customer service. An example of an outdoor restaurant is The Pig which is a chain of restaurants that focus on a relaxed and friendly atmosphere (The Pig, n.d.). Therefore, a well-defined operational plan enhances the effectiveness and efficiency of the outdoor restaurant. </w:t>
      </w:r>
    </w:p>
    <w:p w14:paraId="28799F00"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Key Resources</w:t>
      </w:r>
    </w:p>
    <w:p w14:paraId="5CD57966" w14:textId="67D5633C"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Key resources are the tools required by the business to create value for its customers. These resources may include human resources, physical resources, financial capital, and intellectual resources such as patents, copyrights</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trademarks (</w:t>
      </w:r>
      <w:proofErr w:type="spellStart"/>
      <w:r>
        <w:rPr>
          <w:rFonts w:ascii="Times New Roman" w:eastAsia="Arial" w:hAnsi="Times New Roman" w:cs="Times New Roman"/>
          <w:color w:val="000000"/>
          <w:sz w:val="24"/>
          <w:szCs w:val="24"/>
        </w:rPr>
        <w:t>Fakieh</w:t>
      </w:r>
      <w:proofErr w:type="spellEnd"/>
      <w:r>
        <w:rPr>
          <w:rFonts w:ascii="Times New Roman" w:eastAsia="Arial" w:hAnsi="Times New Roman" w:cs="Times New Roman"/>
          <w:color w:val="000000"/>
          <w:sz w:val="24"/>
          <w:szCs w:val="24"/>
        </w:rPr>
        <w:t xml:space="preserve"> et al., 2022; </w:t>
      </w:r>
      <w:proofErr w:type="spellStart"/>
      <w:r>
        <w:rPr>
          <w:rFonts w:ascii="Times New Roman" w:eastAsia="Arial" w:hAnsi="Times New Roman" w:cs="Times New Roman"/>
          <w:color w:val="000000"/>
          <w:sz w:val="24"/>
          <w:szCs w:val="24"/>
        </w:rPr>
        <w:t>Micieta</w:t>
      </w:r>
      <w:proofErr w:type="spellEnd"/>
      <w:r>
        <w:rPr>
          <w:rFonts w:ascii="Times New Roman" w:eastAsia="Arial" w:hAnsi="Times New Roman" w:cs="Times New Roman"/>
          <w:color w:val="000000"/>
          <w:sz w:val="24"/>
          <w:szCs w:val="24"/>
        </w:rPr>
        <w:t xml:space="preserve"> et al., 2020, p.4). For the outdoor restaurant, the key resources include skilled staff, physical outdoor space, operating permits, and quality ingredients for preparing food. For example, River Cottage in Devon focuses on sourcing its ingredients locally (River Cottage, 2024). This strategy helps the restaurant to also maintain relationships with local producers who are key stakeholders for the business. Therefore, the outdoor restaurant can purchase ingredients locally to also avoid the cost of importing them at a premium price when they can get them affordably from local producers. </w:t>
      </w:r>
    </w:p>
    <w:p w14:paraId="049F12F4"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Revenue Streams</w:t>
      </w:r>
    </w:p>
    <w:p w14:paraId="65A6C666" w14:textId="448313DC"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Revenue streams are the ways in which the company generates income from the different customer segments. Common revenue streams include asset sales, subscription fees, licensing, brokerage fees, advertising, leasing, renting</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lending (</w:t>
      </w:r>
      <w:proofErr w:type="spellStart"/>
      <w:r>
        <w:rPr>
          <w:rFonts w:ascii="Times New Roman" w:eastAsia="Arial" w:hAnsi="Times New Roman" w:cs="Times New Roman"/>
          <w:color w:val="000000"/>
          <w:sz w:val="24"/>
          <w:szCs w:val="24"/>
        </w:rPr>
        <w:t>Fakieh</w:t>
      </w:r>
      <w:proofErr w:type="spellEnd"/>
      <w:r>
        <w:rPr>
          <w:rFonts w:ascii="Times New Roman" w:eastAsia="Arial" w:hAnsi="Times New Roman" w:cs="Times New Roman"/>
          <w:color w:val="000000"/>
          <w:sz w:val="24"/>
          <w:szCs w:val="24"/>
        </w:rPr>
        <w:t xml:space="preserve"> et al., 2022). Other common revenue streams are fixed pricing such as list prices, product feature prices</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volume-dependent prices, and dynamic pricing which includes negotiations, yield management</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real-time market prices. The outdoor restaurant can generate revenue from event hosting such as birthday parties and business meetings, food and beverage sales to customers, and merchandise sales. An example of a restaurant known for hosting events in its outdoor space is the Secret Garden in Kent (Secret Garden, n.d.). Other revenue streams that the outdoor restaurant can consider include themed dinners and live music concerts. These events can generate more income for the business to expand its operations and open branches in other lucrative locations. </w:t>
      </w:r>
    </w:p>
    <w:p w14:paraId="4A1613E4"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Cost Structure</w:t>
      </w:r>
    </w:p>
    <w:p w14:paraId="4C05EDB1" w14:textId="06A02D2D"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Cost structure refers to all the costs that the business will incur including the fixed and variable ones. It also includes the daily costs of maintaining the business. Common examples of fixed costs that a business is likely to incur include rent, utilities, staff salaries, marketing expenses, advertising</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insurance (</w:t>
      </w:r>
      <w:proofErr w:type="spellStart"/>
      <w:r>
        <w:rPr>
          <w:rFonts w:ascii="Times New Roman" w:eastAsia="Arial" w:hAnsi="Times New Roman" w:cs="Times New Roman"/>
          <w:color w:val="000000"/>
          <w:sz w:val="24"/>
          <w:szCs w:val="24"/>
        </w:rPr>
        <w:t>Fakieh</w:t>
      </w:r>
      <w:proofErr w:type="spellEnd"/>
      <w:r>
        <w:rPr>
          <w:rFonts w:ascii="Times New Roman" w:eastAsia="Arial" w:hAnsi="Times New Roman" w:cs="Times New Roman"/>
          <w:color w:val="000000"/>
          <w:sz w:val="24"/>
          <w:szCs w:val="24"/>
        </w:rPr>
        <w:t xml:space="preserve"> et al., 2022). If the business enjoys economies of scale, it can minimize such and other costs that would be expensive on a sole proprietorship venture. Similarly, the business may spend more money on a sustainable pricing strategy that will ensure that it gains a competitive edge over its rivals. Outdoor restaurants such as </w:t>
      </w:r>
      <w:proofErr w:type="spellStart"/>
      <w:r>
        <w:rPr>
          <w:rFonts w:ascii="Times New Roman" w:eastAsia="Arial" w:hAnsi="Times New Roman" w:cs="Times New Roman"/>
          <w:color w:val="000000"/>
          <w:sz w:val="24"/>
          <w:szCs w:val="24"/>
        </w:rPr>
        <w:t>Wahaca</w:t>
      </w:r>
      <w:proofErr w:type="spellEnd"/>
      <w:r>
        <w:rPr>
          <w:rFonts w:ascii="Times New Roman" w:eastAsia="Arial" w:hAnsi="Times New Roman" w:cs="Times New Roman"/>
          <w:color w:val="000000"/>
          <w:sz w:val="24"/>
          <w:szCs w:val="24"/>
        </w:rPr>
        <w:t xml:space="preserve"> maintain cost-effective operations to be competitive (</w:t>
      </w:r>
      <w:proofErr w:type="spellStart"/>
      <w:r>
        <w:rPr>
          <w:rFonts w:ascii="Times New Roman" w:eastAsia="Arial" w:hAnsi="Times New Roman" w:cs="Times New Roman"/>
          <w:color w:val="000000"/>
          <w:sz w:val="24"/>
          <w:szCs w:val="24"/>
        </w:rPr>
        <w:t>Wahaca</w:t>
      </w:r>
      <w:proofErr w:type="spellEnd"/>
      <w:r>
        <w:rPr>
          <w:rFonts w:ascii="Times New Roman" w:eastAsia="Arial" w:hAnsi="Times New Roman" w:cs="Times New Roman"/>
          <w:color w:val="000000"/>
          <w:sz w:val="24"/>
          <w:szCs w:val="24"/>
        </w:rPr>
        <w:t>, n.d.). These operations include focusing on animal welfare, reducing planetary impact</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caring for the natural world. These areas of focus are achieved through sourcing organic milk and free-range chicken, reducing plastics, and investing in ingredients with a </w:t>
      </w:r>
      <w:proofErr w:type="gramStart"/>
      <w:r>
        <w:rPr>
          <w:rFonts w:ascii="Times New Roman" w:eastAsia="Arial" w:hAnsi="Times New Roman" w:cs="Times New Roman"/>
          <w:color w:val="000000"/>
          <w:sz w:val="24"/>
          <w:szCs w:val="24"/>
        </w:rPr>
        <w:t>long-term benefits</w:t>
      </w:r>
      <w:proofErr w:type="gramEnd"/>
      <w:r>
        <w:rPr>
          <w:rFonts w:ascii="Times New Roman" w:eastAsia="Arial" w:hAnsi="Times New Roman" w:cs="Times New Roman"/>
          <w:color w:val="000000"/>
          <w:sz w:val="24"/>
          <w:szCs w:val="24"/>
        </w:rPr>
        <w:t xml:space="preserve"> to the natural world. Such strategies enable the company to attract investors and increase its financial capital to cover costs. </w:t>
      </w:r>
    </w:p>
    <w:p w14:paraId="1A7C6D4E" w14:textId="49F1D503"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The BMC highlights how the outdoor restaurant is expected to operate if it were to be initiated as a business. The Canvas can be used to identify strengths and opportunities that the business can exploit and the weaknesses and threats that the business must know as it ventures into this concept (Salwin et al., 2022). This information is critical for strategic adjustment and quick iterations based on the feedback generated and the dynamic market conditions. Similarly, the management can identify the stakeholders that can help the business to grow before allocating the required resources. This move helps the business to reduce risks, proactively address them</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mitigate them while the business is still in the planning phase. Therefore, the success of the outdoor restaurant can be assessed through this Canvas. </w:t>
      </w:r>
    </w:p>
    <w:p w14:paraId="327A002F"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Part 2</w:t>
      </w:r>
    </w:p>
    <w:p w14:paraId="0D65E36B" w14:textId="546C523E"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The Gibbs reflective cycle is a tool for self-improvement through self-reflection and </w:t>
      </w:r>
      <w:r>
        <w:rPr>
          <w:rFonts w:ascii="Times New Roman" w:eastAsia="Arial" w:hAnsi="Times New Roman" w:cs="Times New Roman"/>
          <w:color w:val="000000"/>
          <w:sz w:val="24"/>
          <w:szCs w:val="24"/>
        </w:rPr>
        <w:lastRenderedPageBreak/>
        <w:t>monitoring mental well-being. The cycle help</w:t>
      </w:r>
      <w:r w:rsidR="00EC5C99">
        <w:rPr>
          <w:rFonts w:ascii="Times New Roman" w:eastAsia="Arial" w:hAnsi="Times New Roman" w:cs="Times New Roman"/>
          <w:color w:val="000000"/>
          <w:sz w:val="24"/>
          <w:szCs w:val="24"/>
        </w:rPr>
        <w:t>ed me</w:t>
      </w:r>
      <w:r>
        <w:rPr>
          <w:rFonts w:ascii="Times New Roman" w:eastAsia="Arial" w:hAnsi="Times New Roman" w:cs="Times New Roman"/>
          <w:color w:val="000000"/>
          <w:sz w:val="24"/>
          <w:szCs w:val="24"/>
        </w:rPr>
        <w:t xml:space="preserve"> </w:t>
      </w:r>
      <w:r w:rsidR="00EC5C99">
        <w:rPr>
          <w:rFonts w:ascii="Times New Roman" w:eastAsia="Arial" w:hAnsi="Times New Roman" w:cs="Times New Roman"/>
          <w:color w:val="000000"/>
          <w:sz w:val="24"/>
          <w:szCs w:val="24"/>
        </w:rPr>
        <w:t>to</w:t>
      </w:r>
      <w:r>
        <w:rPr>
          <w:rFonts w:ascii="Times New Roman" w:eastAsia="Arial" w:hAnsi="Times New Roman" w:cs="Times New Roman"/>
          <w:color w:val="000000"/>
          <w:sz w:val="24"/>
          <w:szCs w:val="24"/>
        </w:rPr>
        <w:t xml:space="preserve"> identify </w:t>
      </w:r>
      <w:r w:rsidR="00EC5C99">
        <w:rPr>
          <w:rFonts w:ascii="Times New Roman" w:eastAsia="Arial" w:hAnsi="Times New Roman" w:cs="Times New Roman"/>
          <w:color w:val="000000"/>
          <w:sz w:val="24"/>
          <w:szCs w:val="24"/>
        </w:rPr>
        <w:t xml:space="preserve">the </w:t>
      </w:r>
      <w:r>
        <w:rPr>
          <w:rFonts w:ascii="Times New Roman" w:eastAsia="Arial" w:hAnsi="Times New Roman" w:cs="Times New Roman"/>
          <w:color w:val="000000"/>
          <w:sz w:val="24"/>
          <w:szCs w:val="24"/>
        </w:rPr>
        <w:t xml:space="preserve">strengths and weaknesses that can be exploited for personal and professional growth. The cycle </w:t>
      </w:r>
      <w:r w:rsidR="00A1011B">
        <w:rPr>
          <w:rFonts w:ascii="Times New Roman" w:eastAsia="Arial" w:hAnsi="Times New Roman" w:cs="Times New Roman"/>
          <w:color w:val="000000"/>
          <w:sz w:val="24"/>
          <w:szCs w:val="24"/>
        </w:rPr>
        <w:t>has</w:t>
      </w:r>
      <w:r>
        <w:rPr>
          <w:rFonts w:ascii="Times New Roman" w:eastAsia="Arial" w:hAnsi="Times New Roman" w:cs="Times New Roman"/>
          <w:color w:val="000000"/>
          <w:sz w:val="24"/>
          <w:szCs w:val="24"/>
        </w:rPr>
        <w:t xml:space="preserve"> six steps which are: (1) description, (2) feelings, (3) evaluation, (4) analysis, (5) conclusion, and (6) action plan (Galli and New, 2022, p. 92). </w:t>
      </w:r>
    </w:p>
    <w:p w14:paraId="18D23945" w14:textId="6F3FD4AB"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Firstly, description entails describing the situation without adding interpretations or emotional reactions. In this scenario, </w:t>
      </w:r>
      <w:r w:rsidR="00312735">
        <w:rPr>
          <w:rFonts w:ascii="Times New Roman" w:eastAsia="Arial" w:hAnsi="Times New Roman" w:cs="Times New Roman"/>
          <w:color w:val="000000"/>
          <w:sz w:val="24"/>
          <w:szCs w:val="24"/>
        </w:rPr>
        <w:t>I</w:t>
      </w:r>
      <w:r>
        <w:rPr>
          <w:rFonts w:ascii="Times New Roman" w:eastAsia="Arial" w:hAnsi="Times New Roman" w:cs="Times New Roman"/>
          <w:color w:val="000000"/>
          <w:sz w:val="24"/>
          <w:szCs w:val="24"/>
        </w:rPr>
        <w:t xml:space="preserve"> identi</w:t>
      </w:r>
      <w:r w:rsidR="00312735">
        <w:rPr>
          <w:rFonts w:ascii="Times New Roman" w:eastAsia="Arial" w:hAnsi="Times New Roman" w:cs="Times New Roman"/>
          <w:color w:val="000000"/>
          <w:sz w:val="24"/>
          <w:szCs w:val="24"/>
        </w:rPr>
        <w:t>fied</w:t>
      </w:r>
      <w:r>
        <w:rPr>
          <w:rFonts w:ascii="Times New Roman" w:eastAsia="Arial" w:hAnsi="Times New Roman" w:cs="Times New Roman"/>
          <w:color w:val="000000"/>
          <w:sz w:val="24"/>
          <w:szCs w:val="24"/>
        </w:rPr>
        <w:t xml:space="preserve"> the personal entrepreneurial characteristics from the team roles and leadership questionnaires. These traits include innovativeness, autonomy, need for achievement</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opportunity-seeking. Innovativeness is evident in my desire to introduce new products, services</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or processes in the market. Autonomy is visible in my desire to control my ventures or decisions. The need for achievement refers to my desire to overcome obstacles and provide solutions for existing problems. Meanwhile, I am an opportunity-seeking individual because I enjoy identifying opportunities and capitalizing on them for the greatest gain. </w:t>
      </w:r>
    </w:p>
    <w:p w14:paraId="53EBC4C9" w14:textId="124B5033"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My feelings were a mix of joy and anxiety after these traits and other negative ones such as risk-taking </w:t>
      </w:r>
      <w:r w:rsidR="002D7449">
        <w:rPr>
          <w:rFonts w:ascii="Times New Roman" w:eastAsia="Arial" w:hAnsi="Times New Roman" w:cs="Times New Roman"/>
          <w:color w:val="000000"/>
          <w:sz w:val="24"/>
          <w:szCs w:val="24"/>
        </w:rPr>
        <w:t>were</w:t>
      </w:r>
      <w:r>
        <w:rPr>
          <w:rFonts w:ascii="Times New Roman" w:eastAsia="Arial" w:hAnsi="Times New Roman" w:cs="Times New Roman"/>
          <w:color w:val="000000"/>
          <w:sz w:val="24"/>
          <w:szCs w:val="24"/>
        </w:rPr>
        <w:t xml:space="preserve"> identified</w:t>
      </w:r>
      <w:r w:rsidR="00641D52">
        <w:rPr>
          <w:rFonts w:ascii="Times New Roman" w:eastAsia="Arial" w:hAnsi="Times New Roman" w:cs="Times New Roman"/>
          <w:color w:val="000000"/>
          <w:sz w:val="24"/>
          <w:szCs w:val="24"/>
        </w:rPr>
        <w:t xml:space="preserve"> from the tests</w:t>
      </w:r>
      <w:r>
        <w:rPr>
          <w:rFonts w:ascii="Times New Roman" w:eastAsia="Arial" w:hAnsi="Times New Roman" w:cs="Times New Roman"/>
          <w:color w:val="000000"/>
          <w:sz w:val="24"/>
          <w:szCs w:val="24"/>
        </w:rPr>
        <w:t xml:space="preserve">. Risk-taking was a negative one because I did not have the composure to give up risky ventures that could potentially result in negative financial outcomes. However, I was overjoyed to learn that the above entrepreneurial characteristics make me an effective team leader. </w:t>
      </w:r>
    </w:p>
    <w:p w14:paraId="16E9401E" w14:textId="6E507005"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Evaluation is </w:t>
      </w:r>
      <w:r w:rsidR="000076A3">
        <w:rPr>
          <w:rFonts w:ascii="Times New Roman" w:eastAsia="Arial" w:hAnsi="Times New Roman" w:cs="Times New Roman"/>
          <w:color w:val="000000"/>
          <w:sz w:val="24"/>
          <w:szCs w:val="24"/>
        </w:rPr>
        <w:t>my</w:t>
      </w:r>
      <w:r>
        <w:rPr>
          <w:rFonts w:ascii="Times New Roman" w:eastAsia="Arial" w:hAnsi="Times New Roman" w:cs="Times New Roman"/>
          <w:color w:val="000000"/>
          <w:sz w:val="24"/>
          <w:szCs w:val="24"/>
        </w:rPr>
        <w:t xml:space="preserve"> objective assessment of the situation while overcoming the emotional barrier. Innovativeness follows the Innovation Entrepreneurship Theory which focuses on the creation and exploitation of opportunities through innovation (Mei, 2021, p. 3). </w:t>
      </w:r>
      <w:r w:rsidR="000076A3">
        <w:rPr>
          <w:rFonts w:ascii="Times New Roman" w:eastAsia="Arial" w:hAnsi="Times New Roman" w:cs="Times New Roman"/>
          <w:color w:val="000000"/>
          <w:sz w:val="24"/>
          <w:szCs w:val="24"/>
        </w:rPr>
        <w:t>My i</w:t>
      </w:r>
      <w:r>
        <w:rPr>
          <w:rFonts w:ascii="Times New Roman" w:eastAsia="Arial" w:hAnsi="Times New Roman" w:cs="Times New Roman"/>
          <w:color w:val="000000"/>
          <w:sz w:val="24"/>
          <w:szCs w:val="24"/>
        </w:rPr>
        <w:t>nnovati</w:t>
      </w:r>
      <w:r w:rsidR="000076A3">
        <w:rPr>
          <w:rFonts w:ascii="Times New Roman" w:eastAsia="Arial" w:hAnsi="Times New Roman" w:cs="Times New Roman"/>
          <w:color w:val="000000"/>
          <w:sz w:val="24"/>
          <w:szCs w:val="24"/>
        </w:rPr>
        <w:t>ve nature</w:t>
      </w:r>
      <w:r>
        <w:rPr>
          <w:rFonts w:ascii="Times New Roman" w:eastAsia="Arial" w:hAnsi="Times New Roman" w:cs="Times New Roman"/>
          <w:color w:val="000000"/>
          <w:sz w:val="24"/>
          <w:szCs w:val="24"/>
        </w:rPr>
        <w:t xml:space="preserve"> emanates from willpower, intuition</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tolerance capacity. Autonomy focuses on the Self-Determination Theory which explains the intrinsic motivation that people have for starting </w:t>
      </w:r>
      <w:r>
        <w:rPr>
          <w:rFonts w:ascii="Times New Roman" w:eastAsia="Arial" w:hAnsi="Times New Roman" w:cs="Times New Roman"/>
          <w:color w:val="000000"/>
          <w:sz w:val="24"/>
          <w:szCs w:val="24"/>
        </w:rPr>
        <w:lastRenderedPageBreak/>
        <w:t xml:space="preserve">new things and running them effectively (Du et al., 2021, para. 4). This entrepreneurial characteristic helps me to make decisions quickly instead of procrastinating them. </w:t>
      </w:r>
    </w:p>
    <w:p w14:paraId="0D4D845C" w14:textId="1EE65233"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The need for achievement follows McClelland’s Need for Achievement Theory which explains </w:t>
      </w:r>
      <w:r w:rsidR="00EF4892">
        <w:rPr>
          <w:rFonts w:ascii="Times New Roman" w:eastAsia="Arial" w:hAnsi="Times New Roman" w:cs="Times New Roman"/>
          <w:color w:val="000000"/>
          <w:sz w:val="24"/>
          <w:szCs w:val="24"/>
        </w:rPr>
        <w:t>my</w:t>
      </w:r>
      <w:r>
        <w:rPr>
          <w:rFonts w:ascii="Times New Roman" w:eastAsia="Arial" w:hAnsi="Times New Roman" w:cs="Times New Roman"/>
          <w:color w:val="000000"/>
          <w:sz w:val="24"/>
          <w:szCs w:val="24"/>
        </w:rPr>
        <w:t xml:space="preserve"> desire for success over failure (Siok et al., 2023, p. 231). This motive </w:t>
      </w:r>
      <w:r w:rsidR="00EF4892">
        <w:rPr>
          <w:rFonts w:ascii="Times New Roman" w:eastAsia="Arial" w:hAnsi="Times New Roman" w:cs="Times New Roman"/>
          <w:color w:val="000000"/>
          <w:sz w:val="24"/>
          <w:szCs w:val="24"/>
        </w:rPr>
        <w:t>helps me to solve</w:t>
      </w:r>
      <w:r>
        <w:rPr>
          <w:rFonts w:ascii="Times New Roman" w:eastAsia="Arial" w:hAnsi="Times New Roman" w:cs="Times New Roman"/>
          <w:color w:val="000000"/>
          <w:sz w:val="24"/>
          <w:szCs w:val="24"/>
        </w:rPr>
        <w:t xml:space="preserve"> problems instead of avoiding them. The trait </w:t>
      </w:r>
      <w:r w:rsidR="000C584B">
        <w:rPr>
          <w:rFonts w:ascii="Times New Roman" w:eastAsia="Arial" w:hAnsi="Times New Roman" w:cs="Times New Roman"/>
          <w:color w:val="000000"/>
          <w:sz w:val="24"/>
          <w:szCs w:val="24"/>
        </w:rPr>
        <w:t xml:space="preserve">also </w:t>
      </w:r>
      <w:r>
        <w:rPr>
          <w:rFonts w:ascii="Times New Roman" w:eastAsia="Arial" w:hAnsi="Times New Roman" w:cs="Times New Roman"/>
          <w:color w:val="000000"/>
          <w:sz w:val="24"/>
          <w:szCs w:val="24"/>
        </w:rPr>
        <w:t xml:space="preserve">helps me to conduct self-reflection to determine successful strategies for solving emerging business problems. </w:t>
      </w:r>
      <w:r w:rsidR="00B4467E">
        <w:rPr>
          <w:rFonts w:ascii="Times New Roman" w:eastAsia="Arial" w:hAnsi="Times New Roman" w:cs="Times New Roman"/>
          <w:color w:val="000000"/>
          <w:sz w:val="24"/>
          <w:szCs w:val="24"/>
        </w:rPr>
        <w:t>M</w:t>
      </w:r>
      <w:r>
        <w:rPr>
          <w:rFonts w:ascii="Times New Roman" w:eastAsia="Arial" w:hAnsi="Times New Roman" w:cs="Times New Roman"/>
          <w:color w:val="000000"/>
          <w:sz w:val="24"/>
          <w:szCs w:val="24"/>
        </w:rPr>
        <w:t xml:space="preserve">eanwhile, </w:t>
      </w:r>
      <w:r w:rsidR="003B3B0C">
        <w:rPr>
          <w:rFonts w:ascii="Times New Roman" w:eastAsia="Arial" w:hAnsi="Times New Roman" w:cs="Times New Roman"/>
          <w:color w:val="000000"/>
          <w:sz w:val="24"/>
          <w:szCs w:val="24"/>
        </w:rPr>
        <w:t>my</w:t>
      </w:r>
      <w:r>
        <w:rPr>
          <w:rFonts w:ascii="Times New Roman" w:eastAsia="Arial" w:hAnsi="Times New Roman" w:cs="Times New Roman"/>
          <w:color w:val="000000"/>
          <w:sz w:val="24"/>
          <w:szCs w:val="24"/>
        </w:rPr>
        <w:t xml:space="preserve"> opportunity-seeking trait focuses on the Opportunity-Based view of entrepreneurship which postulates the exploration of opportunities that yield the greatest advantage or income (He et al., 2020). </w:t>
      </w:r>
      <w:r w:rsidR="00854E53">
        <w:rPr>
          <w:rFonts w:ascii="Times New Roman" w:eastAsia="Arial" w:hAnsi="Times New Roman" w:cs="Times New Roman"/>
          <w:color w:val="000000"/>
          <w:sz w:val="24"/>
          <w:szCs w:val="24"/>
        </w:rPr>
        <w:t xml:space="preserve">I enjoy this approach because it helps me to </w:t>
      </w:r>
      <w:r w:rsidR="002441F0">
        <w:rPr>
          <w:rFonts w:ascii="Times New Roman" w:eastAsia="Arial" w:hAnsi="Times New Roman" w:cs="Times New Roman"/>
          <w:color w:val="000000"/>
          <w:sz w:val="24"/>
          <w:szCs w:val="24"/>
        </w:rPr>
        <w:t xml:space="preserve">identify opportunities and strengths that I can exploit for success. </w:t>
      </w:r>
    </w:p>
    <w:p w14:paraId="71DB7F82" w14:textId="128C5535"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In the analysis step, the focus is explaining how and why things happened the way they did. The traits </w:t>
      </w:r>
      <w:r w:rsidR="00A57177">
        <w:rPr>
          <w:rFonts w:ascii="Times New Roman" w:eastAsia="Arial" w:hAnsi="Times New Roman" w:cs="Times New Roman"/>
          <w:color w:val="000000"/>
          <w:sz w:val="24"/>
          <w:szCs w:val="24"/>
        </w:rPr>
        <w:t xml:space="preserve">that I </w:t>
      </w:r>
      <w:r>
        <w:rPr>
          <w:rFonts w:ascii="Times New Roman" w:eastAsia="Arial" w:hAnsi="Times New Roman" w:cs="Times New Roman"/>
          <w:color w:val="000000"/>
          <w:sz w:val="24"/>
          <w:szCs w:val="24"/>
        </w:rPr>
        <w:t xml:space="preserve">identified have synergies and conflicts. For instance, </w:t>
      </w:r>
      <w:r w:rsidR="00A57177">
        <w:rPr>
          <w:rFonts w:ascii="Times New Roman" w:eastAsia="Arial" w:hAnsi="Times New Roman" w:cs="Times New Roman"/>
          <w:color w:val="000000"/>
          <w:sz w:val="24"/>
          <w:szCs w:val="24"/>
        </w:rPr>
        <w:t xml:space="preserve">my </w:t>
      </w:r>
      <w:r>
        <w:rPr>
          <w:rFonts w:ascii="Times New Roman" w:eastAsia="Arial" w:hAnsi="Times New Roman" w:cs="Times New Roman"/>
          <w:color w:val="000000"/>
          <w:sz w:val="24"/>
          <w:szCs w:val="24"/>
        </w:rPr>
        <w:t xml:space="preserve">opportunity-seeking </w:t>
      </w:r>
      <w:r w:rsidR="00F53637">
        <w:rPr>
          <w:rFonts w:ascii="Times New Roman" w:eastAsia="Arial" w:hAnsi="Times New Roman" w:cs="Times New Roman"/>
          <w:color w:val="000000"/>
          <w:sz w:val="24"/>
          <w:szCs w:val="24"/>
        </w:rPr>
        <w:t xml:space="preserve">nature </w:t>
      </w:r>
      <w:r>
        <w:rPr>
          <w:rFonts w:ascii="Times New Roman" w:eastAsia="Arial" w:hAnsi="Times New Roman" w:cs="Times New Roman"/>
          <w:color w:val="000000"/>
          <w:sz w:val="24"/>
          <w:szCs w:val="24"/>
        </w:rPr>
        <w:t xml:space="preserve">works effectively with innovativeness to meet the arising needs in business and other entrepreneurial decisions. Meanwhile, </w:t>
      </w:r>
      <w:r w:rsidR="00AD5609">
        <w:rPr>
          <w:rFonts w:ascii="Times New Roman" w:eastAsia="Arial" w:hAnsi="Times New Roman" w:cs="Times New Roman"/>
          <w:color w:val="000000"/>
          <w:sz w:val="24"/>
          <w:szCs w:val="24"/>
        </w:rPr>
        <w:t xml:space="preserve">my </w:t>
      </w:r>
      <w:r>
        <w:rPr>
          <w:rFonts w:ascii="Times New Roman" w:eastAsia="Arial" w:hAnsi="Times New Roman" w:cs="Times New Roman"/>
          <w:color w:val="000000"/>
          <w:sz w:val="24"/>
          <w:szCs w:val="24"/>
        </w:rPr>
        <w:t xml:space="preserve">risk-taking </w:t>
      </w:r>
      <w:r w:rsidR="00461BD5">
        <w:rPr>
          <w:rFonts w:ascii="Times New Roman" w:eastAsia="Arial" w:hAnsi="Times New Roman" w:cs="Times New Roman"/>
          <w:color w:val="000000"/>
          <w:sz w:val="24"/>
          <w:szCs w:val="24"/>
        </w:rPr>
        <w:t xml:space="preserve">character </w:t>
      </w:r>
      <w:r w:rsidR="00F27E18">
        <w:rPr>
          <w:rFonts w:ascii="Times New Roman" w:eastAsia="Arial" w:hAnsi="Times New Roman" w:cs="Times New Roman"/>
          <w:color w:val="000000"/>
          <w:sz w:val="24"/>
          <w:szCs w:val="24"/>
        </w:rPr>
        <w:t xml:space="preserve">could be detrimental if I continue with it </w:t>
      </w:r>
      <w:r>
        <w:rPr>
          <w:rFonts w:ascii="Times New Roman" w:eastAsia="Arial" w:hAnsi="Times New Roman" w:cs="Times New Roman"/>
          <w:color w:val="000000"/>
          <w:sz w:val="24"/>
          <w:szCs w:val="24"/>
        </w:rPr>
        <w:t xml:space="preserve">without making a cost-benefit analysis. Risk-taking </w:t>
      </w:r>
      <w:r w:rsidR="00D32769">
        <w:rPr>
          <w:rFonts w:ascii="Times New Roman" w:eastAsia="Arial" w:hAnsi="Times New Roman" w:cs="Times New Roman"/>
          <w:color w:val="000000"/>
          <w:sz w:val="24"/>
          <w:szCs w:val="24"/>
        </w:rPr>
        <w:t>has in various instances</w:t>
      </w:r>
      <w:r>
        <w:rPr>
          <w:rFonts w:ascii="Times New Roman" w:eastAsia="Arial" w:hAnsi="Times New Roman" w:cs="Times New Roman"/>
          <w:color w:val="000000"/>
          <w:sz w:val="24"/>
          <w:szCs w:val="24"/>
        </w:rPr>
        <w:t xml:space="preserve"> result</w:t>
      </w:r>
      <w:r w:rsidR="00D32769">
        <w:rPr>
          <w:rFonts w:ascii="Times New Roman" w:eastAsia="Arial" w:hAnsi="Times New Roman" w:cs="Times New Roman"/>
          <w:color w:val="000000"/>
          <w:sz w:val="24"/>
          <w:szCs w:val="24"/>
        </w:rPr>
        <w:t>ed</w:t>
      </w:r>
      <w:r>
        <w:rPr>
          <w:rFonts w:ascii="Times New Roman" w:eastAsia="Arial" w:hAnsi="Times New Roman" w:cs="Times New Roman"/>
          <w:color w:val="000000"/>
          <w:sz w:val="24"/>
          <w:szCs w:val="24"/>
        </w:rPr>
        <w:t xml:space="preserve"> in a significant loss </w:t>
      </w:r>
      <w:r w:rsidR="00D32769">
        <w:rPr>
          <w:rFonts w:ascii="Times New Roman" w:eastAsia="Arial" w:hAnsi="Times New Roman" w:cs="Times New Roman"/>
          <w:color w:val="000000"/>
          <w:sz w:val="24"/>
          <w:szCs w:val="24"/>
        </w:rPr>
        <w:t xml:space="preserve">in the business ideas that I was exploring. </w:t>
      </w:r>
      <w:r w:rsidR="00F6349B">
        <w:rPr>
          <w:rFonts w:ascii="Times New Roman" w:eastAsia="Arial" w:hAnsi="Times New Roman" w:cs="Times New Roman"/>
          <w:color w:val="000000"/>
          <w:sz w:val="24"/>
          <w:szCs w:val="24"/>
        </w:rPr>
        <w:t>Therefore, they caused me to develop a</w:t>
      </w:r>
      <w:r>
        <w:rPr>
          <w:rFonts w:ascii="Times New Roman" w:eastAsia="Arial" w:hAnsi="Times New Roman" w:cs="Times New Roman"/>
          <w:color w:val="000000"/>
          <w:sz w:val="24"/>
          <w:szCs w:val="24"/>
        </w:rPr>
        <w:t xml:space="preserve"> risk-averse behavior when there are no clear indications of the success of the risks to be taken. </w:t>
      </w:r>
    </w:p>
    <w:p w14:paraId="0CB78003" w14:textId="74BB712F"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The conclusion step demonstrates that I need to develop my competencies in entrepreneurial competencies that I have. This move can lead to effective entrepreneurship ventures including the outdoor restaurant business. The action plan to achieve the desired outcomes is </w:t>
      </w:r>
      <w:r w:rsidR="00F6349B">
        <w:rPr>
          <w:rFonts w:ascii="Times New Roman" w:eastAsia="Arial" w:hAnsi="Times New Roman" w:cs="Times New Roman"/>
          <w:color w:val="000000"/>
          <w:sz w:val="24"/>
          <w:szCs w:val="24"/>
        </w:rPr>
        <w:t>for me to</w:t>
      </w:r>
      <w:r>
        <w:rPr>
          <w:rFonts w:ascii="Times New Roman" w:eastAsia="Arial" w:hAnsi="Times New Roman" w:cs="Times New Roman"/>
          <w:color w:val="000000"/>
          <w:sz w:val="24"/>
          <w:szCs w:val="24"/>
        </w:rPr>
        <w:t xml:space="preserve"> identify opportunities for professional development in entrepreneurship competencies (Ryder and Downs, 2022, para. 15). This plan will involve identifying workshops, </w:t>
      </w:r>
      <w:r>
        <w:rPr>
          <w:rFonts w:ascii="Times New Roman" w:eastAsia="Arial" w:hAnsi="Times New Roman" w:cs="Times New Roman"/>
          <w:color w:val="000000"/>
          <w:sz w:val="24"/>
          <w:szCs w:val="24"/>
        </w:rPr>
        <w:lastRenderedPageBreak/>
        <w:t>conferences</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training programs that impart</w:t>
      </w:r>
      <w:r w:rsidR="0010249A">
        <w:rPr>
          <w:rFonts w:ascii="Times New Roman" w:eastAsia="Arial" w:hAnsi="Times New Roman" w:cs="Times New Roman"/>
          <w:color w:val="000000"/>
          <w:sz w:val="24"/>
          <w:szCs w:val="24"/>
        </w:rPr>
        <w:t xml:space="preserve"> me with</w:t>
      </w:r>
      <w:r w:rsidR="00FF411D">
        <w:rPr>
          <w:rFonts w:ascii="Times New Roman" w:eastAsia="Arial" w:hAnsi="Times New Roman" w:cs="Times New Roman"/>
          <w:color w:val="000000"/>
          <w:sz w:val="24"/>
          <w:szCs w:val="24"/>
        </w:rPr>
        <w:t xml:space="preserve"> </w:t>
      </w:r>
      <w:r>
        <w:rPr>
          <w:rFonts w:ascii="Times New Roman" w:eastAsia="Arial" w:hAnsi="Times New Roman" w:cs="Times New Roman"/>
          <w:color w:val="000000"/>
          <w:sz w:val="24"/>
          <w:szCs w:val="24"/>
        </w:rPr>
        <w:t xml:space="preserve">entrepreneurial skills. </w:t>
      </w:r>
    </w:p>
    <w:p w14:paraId="58601780"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Conclusion</w:t>
      </w:r>
    </w:p>
    <w:p w14:paraId="79727B50" w14:textId="77777777"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The outdoor restaurant is a reliable business concept that could be used in the hotel industry to improve profitability. The many hotels that have lost their customers to fast-food companies could use the Business Model Canvas to venture the outdoor restaurants to attract more customers and retain their existing ones. Similarly, these hotels could divert their resources to this profitable venture for expansion and to attract new stakeholders from the community. Meanwhile, the Gibbs reflective cycle aided in detecting my best entrepreneurial traits such as innovativeness and autonomy. The cycle equips entrepreneurs with knowledge of the entrepreneurial competencies that they need to develop to change their businesses and operations. </w:t>
      </w:r>
    </w:p>
    <w:p w14:paraId="37F1A8E5" w14:textId="77777777" w:rsidR="007F40F7" w:rsidRDefault="00000000">
      <w:pPr>
        <w:spacing w:line="480" w:lineRule="auto"/>
        <w:ind w:firstLine="720"/>
        <w:contextualSpacing/>
        <w:rPr>
          <w:rFonts w:ascii="Times New Roman" w:eastAsia="Arial" w:hAnsi="Times New Roman" w:cs="Times New Roman"/>
          <w:color w:val="000000"/>
          <w:sz w:val="24"/>
          <w:szCs w:val="24"/>
        </w:rPr>
      </w:pPr>
      <w:r>
        <w:rPr>
          <w:rFonts w:ascii="Times New Roman" w:hAnsi="Times New Roman" w:cs="Times New Roman"/>
        </w:rPr>
        <w:br w:type="page"/>
      </w:r>
    </w:p>
    <w:p w14:paraId="4CE92458" w14:textId="77777777" w:rsidR="007F40F7" w:rsidRDefault="00000000">
      <w:pPr>
        <w:spacing w:line="480" w:lineRule="auto"/>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References</w:t>
      </w:r>
    </w:p>
    <w:p w14:paraId="272424EE"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Cao, Y., Li, X.R., DiPietro, R. and So, K.K.F., 2020. The creation of memorable dining experiences: Formative index construction. </w:t>
      </w:r>
      <w:r>
        <w:rPr>
          <w:rFonts w:ascii="Times New Roman" w:eastAsia="Arial" w:hAnsi="Times New Roman" w:cs="Times New Roman"/>
          <w:i/>
          <w:iCs/>
          <w:color w:val="000000"/>
          <w:sz w:val="24"/>
          <w:szCs w:val="24"/>
        </w:rPr>
        <w:t>International Journal of Hospitality Management, 82</w:t>
      </w:r>
      <w:r>
        <w:rPr>
          <w:rFonts w:ascii="Times New Roman" w:eastAsia="Arial" w:hAnsi="Times New Roman" w:cs="Times New Roman"/>
          <w:color w:val="000000"/>
          <w:sz w:val="24"/>
          <w:szCs w:val="24"/>
        </w:rPr>
        <w:t xml:space="preserve">, pp.308-317. </w:t>
      </w:r>
      <w:hyperlink r:id="rId7" w:history="1">
        <w:r>
          <w:rPr>
            <w:rStyle w:val="Hyperlink"/>
            <w:rFonts w:ascii="Times New Roman" w:eastAsia="Arial" w:hAnsi="Times New Roman" w:cs="Times New Roman"/>
            <w:sz w:val="24"/>
            <w:szCs w:val="24"/>
          </w:rPr>
          <w:t>https://doi.org/10.1016/j.ijhm.2018.10.010</w:t>
        </w:r>
      </w:hyperlink>
      <w:r>
        <w:rPr>
          <w:rFonts w:ascii="Times New Roman" w:eastAsia="Arial" w:hAnsi="Times New Roman" w:cs="Times New Roman"/>
          <w:color w:val="000000"/>
          <w:sz w:val="24"/>
          <w:szCs w:val="24"/>
        </w:rPr>
        <w:t xml:space="preserve"> </w:t>
      </w:r>
    </w:p>
    <w:p w14:paraId="30A97396"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Chen, X., Cheng, Z.F. and Kim, G.B., 2020. Make it memorable: Tourism experience, fun, recommendation and revisit intentions of Chinese outbound tourists</w:t>
      </w:r>
      <w:r>
        <w:rPr>
          <w:rFonts w:ascii="Times New Roman" w:eastAsia="Arial" w:hAnsi="Times New Roman" w:cs="Times New Roman"/>
          <w:i/>
          <w:iCs/>
          <w:color w:val="000000"/>
          <w:sz w:val="24"/>
          <w:szCs w:val="24"/>
        </w:rPr>
        <w:t>. Sustainability, 12</w:t>
      </w:r>
      <w:r>
        <w:rPr>
          <w:rFonts w:ascii="Times New Roman" w:eastAsia="Arial" w:hAnsi="Times New Roman" w:cs="Times New Roman"/>
          <w:color w:val="000000"/>
          <w:sz w:val="24"/>
          <w:szCs w:val="24"/>
        </w:rPr>
        <w:t xml:space="preserve">(5), p.1904. </w:t>
      </w:r>
      <w:hyperlink r:id="rId8" w:history="1">
        <w:r>
          <w:rPr>
            <w:rStyle w:val="Hyperlink"/>
            <w:rFonts w:ascii="Times New Roman" w:eastAsia="Arial" w:hAnsi="Times New Roman" w:cs="Times New Roman"/>
            <w:sz w:val="24"/>
            <w:szCs w:val="24"/>
          </w:rPr>
          <w:t>https://doi.org/10.3390/su12051904</w:t>
        </w:r>
      </w:hyperlink>
      <w:r>
        <w:rPr>
          <w:rFonts w:ascii="Times New Roman" w:eastAsia="Arial" w:hAnsi="Times New Roman" w:cs="Times New Roman"/>
          <w:color w:val="000000"/>
          <w:sz w:val="24"/>
          <w:szCs w:val="24"/>
        </w:rPr>
        <w:t xml:space="preserve"> </w:t>
      </w:r>
    </w:p>
    <w:p w14:paraId="6FC41303"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Du, Y., Hu, H. and Wang, Z., 2021. Entrepreneurs’ Felt Responsibility for Constructive Change and Entrepreneurial Performance: A Moderated Mediation Model of Technology Action and Market Orientation. </w:t>
      </w:r>
      <w:r>
        <w:rPr>
          <w:rFonts w:ascii="Times New Roman" w:eastAsia="Arial" w:hAnsi="Times New Roman" w:cs="Times New Roman"/>
          <w:i/>
          <w:iCs/>
          <w:color w:val="000000"/>
          <w:sz w:val="24"/>
          <w:szCs w:val="24"/>
        </w:rPr>
        <w:t>Frontiers in Psychology</w:t>
      </w:r>
      <w:r>
        <w:rPr>
          <w:rFonts w:ascii="Times New Roman" w:eastAsia="Arial" w:hAnsi="Times New Roman" w:cs="Times New Roman"/>
          <w:color w:val="000000"/>
          <w:sz w:val="24"/>
          <w:szCs w:val="24"/>
        </w:rPr>
        <w:t>, </w:t>
      </w:r>
      <w:r>
        <w:rPr>
          <w:rFonts w:ascii="Times New Roman" w:eastAsia="Arial" w:hAnsi="Times New Roman" w:cs="Times New Roman"/>
          <w:i/>
          <w:iCs/>
          <w:color w:val="000000"/>
          <w:sz w:val="24"/>
          <w:szCs w:val="24"/>
        </w:rPr>
        <w:t>12</w:t>
      </w:r>
      <w:r>
        <w:rPr>
          <w:rFonts w:ascii="Times New Roman" w:eastAsia="Arial" w:hAnsi="Times New Roman" w:cs="Times New Roman"/>
          <w:color w:val="000000"/>
          <w:sz w:val="24"/>
          <w:szCs w:val="24"/>
        </w:rPr>
        <w:t xml:space="preserve">, p.751821. </w:t>
      </w:r>
      <w:hyperlink r:id="rId9" w:history="1">
        <w:r>
          <w:rPr>
            <w:rStyle w:val="Hyperlink"/>
            <w:rFonts w:ascii="Times New Roman" w:eastAsia="Arial" w:hAnsi="Times New Roman" w:cs="Times New Roman"/>
            <w:sz w:val="24"/>
            <w:szCs w:val="24"/>
          </w:rPr>
          <w:t>https://doi.org/10.3389/fpsyg.2021.751821</w:t>
        </w:r>
      </w:hyperlink>
      <w:r>
        <w:rPr>
          <w:rFonts w:ascii="Times New Roman" w:eastAsia="Arial" w:hAnsi="Times New Roman" w:cs="Times New Roman"/>
          <w:color w:val="000000"/>
          <w:sz w:val="24"/>
          <w:szCs w:val="24"/>
        </w:rPr>
        <w:t xml:space="preserve"> </w:t>
      </w:r>
    </w:p>
    <w:p w14:paraId="501A4BE8"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proofErr w:type="spellStart"/>
      <w:r>
        <w:rPr>
          <w:rFonts w:ascii="Times New Roman" w:eastAsia="Arial" w:hAnsi="Times New Roman" w:cs="Times New Roman"/>
          <w:color w:val="000000"/>
          <w:sz w:val="24"/>
          <w:szCs w:val="24"/>
        </w:rPr>
        <w:t>Fakieh</w:t>
      </w:r>
      <w:proofErr w:type="spellEnd"/>
      <w:r>
        <w:rPr>
          <w:rFonts w:ascii="Times New Roman" w:eastAsia="Arial" w:hAnsi="Times New Roman" w:cs="Times New Roman"/>
          <w:color w:val="000000"/>
          <w:sz w:val="24"/>
          <w:szCs w:val="24"/>
        </w:rPr>
        <w:t xml:space="preserve">, B., AL-Malaise AL-Ghamdi, A. S. and Ragab, M., 2022. The Effect of Utilizing Business Model Canvas on the Satisfaction of Operating Electronic Business. </w:t>
      </w:r>
      <w:r>
        <w:rPr>
          <w:rFonts w:ascii="Times New Roman" w:eastAsia="Arial" w:hAnsi="Times New Roman" w:cs="Times New Roman"/>
          <w:i/>
          <w:iCs/>
          <w:color w:val="000000"/>
          <w:sz w:val="24"/>
          <w:szCs w:val="24"/>
        </w:rPr>
        <w:t>Complexity</w:t>
      </w:r>
      <w:r>
        <w:rPr>
          <w:rFonts w:ascii="Times New Roman" w:eastAsia="Arial" w:hAnsi="Times New Roman" w:cs="Times New Roman"/>
          <w:color w:val="000000"/>
          <w:sz w:val="24"/>
          <w:szCs w:val="24"/>
        </w:rPr>
        <w:t xml:space="preserve">, 2022. </w:t>
      </w:r>
      <w:hyperlink r:id="rId10" w:history="1">
        <w:r>
          <w:rPr>
            <w:rStyle w:val="Hyperlink"/>
            <w:rFonts w:ascii="Times New Roman" w:eastAsia="Arial" w:hAnsi="Times New Roman" w:cs="Times New Roman"/>
            <w:sz w:val="24"/>
            <w:szCs w:val="24"/>
          </w:rPr>
          <w:t>https://doi.org/10.1155/2022/1649160</w:t>
        </w:r>
      </w:hyperlink>
      <w:r>
        <w:rPr>
          <w:rFonts w:ascii="Times New Roman" w:eastAsia="Arial" w:hAnsi="Times New Roman" w:cs="Times New Roman"/>
          <w:color w:val="000000"/>
          <w:sz w:val="24"/>
          <w:szCs w:val="24"/>
        </w:rPr>
        <w:t xml:space="preserve"> </w:t>
      </w:r>
    </w:p>
    <w:p w14:paraId="1BDED9D3"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Galli, F. and New, K.J., 2022. Gibbs’ cycle review. Emotions as a part of the cycle. </w:t>
      </w:r>
      <w:r>
        <w:rPr>
          <w:rFonts w:ascii="Times New Roman" w:eastAsia="Arial" w:hAnsi="Times New Roman" w:cs="Times New Roman"/>
          <w:i/>
          <w:iCs/>
          <w:color w:val="000000"/>
          <w:sz w:val="24"/>
          <w:szCs w:val="24"/>
        </w:rPr>
        <w:t xml:space="preserve">e-Motion: </w:t>
      </w:r>
      <w:proofErr w:type="spellStart"/>
      <w:r>
        <w:rPr>
          <w:rFonts w:ascii="Times New Roman" w:eastAsia="Arial" w:hAnsi="Times New Roman" w:cs="Times New Roman"/>
          <w:i/>
          <w:iCs/>
          <w:color w:val="000000"/>
          <w:sz w:val="24"/>
          <w:szCs w:val="24"/>
        </w:rPr>
        <w:t>Revista</w:t>
      </w:r>
      <w:proofErr w:type="spellEnd"/>
      <w:r>
        <w:rPr>
          <w:rFonts w:ascii="Times New Roman" w:eastAsia="Arial" w:hAnsi="Times New Roman" w:cs="Times New Roman"/>
          <w:i/>
          <w:iCs/>
          <w:color w:val="000000"/>
          <w:sz w:val="24"/>
          <w:szCs w:val="24"/>
        </w:rPr>
        <w:t xml:space="preserve"> de </w:t>
      </w:r>
      <w:proofErr w:type="spellStart"/>
      <w:r>
        <w:rPr>
          <w:rFonts w:ascii="Times New Roman" w:eastAsia="Arial" w:hAnsi="Times New Roman" w:cs="Times New Roman"/>
          <w:i/>
          <w:iCs/>
          <w:color w:val="000000"/>
          <w:sz w:val="24"/>
          <w:szCs w:val="24"/>
        </w:rPr>
        <w:t>Educación</w:t>
      </w:r>
      <w:proofErr w:type="spellEnd"/>
      <w:r>
        <w:rPr>
          <w:rFonts w:ascii="Times New Roman" w:eastAsia="Arial" w:hAnsi="Times New Roman" w:cs="Times New Roman"/>
          <w:i/>
          <w:iCs/>
          <w:color w:val="000000"/>
          <w:sz w:val="24"/>
          <w:szCs w:val="24"/>
        </w:rPr>
        <w:t xml:space="preserve">, </w:t>
      </w:r>
      <w:proofErr w:type="spellStart"/>
      <w:r>
        <w:rPr>
          <w:rFonts w:ascii="Times New Roman" w:eastAsia="Arial" w:hAnsi="Times New Roman" w:cs="Times New Roman"/>
          <w:i/>
          <w:iCs/>
          <w:color w:val="000000"/>
          <w:sz w:val="24"/>
          <w:szCs w:val="24"/>
        </w:rPr>
        <w:t>Motricidad</w:t>
      </w:r>
      <w:proofErr w:type="spellEnd"/>
      <w:r>
        <w:rPr>
          <w:rFonts w:ascii="Times New Roman" w:eastAsia="Arial" w:hAnsi="Times New Roman" w:cs="Times New Roman"/>
          <w:i/>
          <w:iCs/>
          <w:color w:val="000000"/>
          <w:sz w:val="24"/>
          <w:szCs w:val="24"/>
        </w:rPr>
        <w:t xml:space="preserve"> e </w:t>
      </w:r>
      <w:proofErr w:type="spellStart"/>
      <w:r>
        <w:rPr>
          <w:rFonts w:ascii="Times New Roman" w:eastAsia="Arial" w:hAnsi="Times New Roman" w:cs="Times New Roman"/>
          <w:i/>
          <w:iCs/>
          <w:color w:val="000000"/>
          <w:sz w:val="24"/>
          <w:szCs w:val="24"/>
        </w:rPr>
        <w:t>Investigación</w:t>
      </w:r>
      <w:proofErr w:type="spellEnd"/>
      <w:r>
        <w:rPr>
          <w:rFonts w:ascii="Times New Roman" w:eastAsia="Arial" w:hAnsi="Times New Roman" w:cs="Times New Roman"/>
          <w:color w:val="000000"/>
          <w:sz w:val="24"/>
          <w:szCs w:val="24"/>
        </w:rPr>
        <w:t xml:space="preserve">, (19), pp.92-101. </w:t>
      </w:r>
      <w:hyperlink r:id="rId11" w:history="1">
        <w:r>
          <w:rPr>
            <w:rStyle w:val="Hyperlink"/>
            <w:rFonts w:ascii="Times New Roman" w:eastAsia="Arial" w:hAnsi="Times New Roman" w:cs="Times New Roman"/>
            <w:sz w:val="24"/>
            <w:szCs w:val="24"/>
          </w:rPr>
          <w:t>https://doi.org/10.33776/remo.vi19.7224</w:t>
        </w:r>
      </w:hyperlink>
      <w:r>
        <w:rPr>
          <w:rFonts w:ascii="Times New Roman" w:eastAsia="Arial" w:hAnsi="Times New Roman" w:cs="Times New Roman"/>
          <w:color w:val="000000"/>
          <w:sz w:val="24"/>
          <w:szCs w:val="24"/>
        </w:rPr>
        <w:t xml:space="preserve"> </w:t>
      </w:r>
    </w:p>
    <w:p w14:paraId="4F5745A0"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Garcia Lopes, H.E., Cândido Rodrigues, V., Silva Leite, R. and Gosling, M., 2023. Business Model Canvas and Entrepreneurs: Dilemmas in Managerial Practice. </w:t>
      </w:r>
      <w:r>
        <w:rPr>
          <w:rFonts w:ascii="Times New Roman" w:eastAsia="Arial" w:hAnsi="Times New Roman" w:cs="Times New Roman"/>
          <w:i/>
          <w:iCs/>
          <w:color w:val="000000"/>
          <w:sz w:val="24"/>
          <w:szCs w:val="24"/>
        </w:rPr>
        <w:t>Brazilian Business Review (English Edition)</w:t>
      </w:r>
      <w:r>
        <w:rPr>
          <w:rFonts w:ascii="Times New Roman" w:eastAsia="Arial" w:hAnsi="Times New Roman" w:cs="Times New Roman"/>
          <w:color w:val="000000"/>
          <w:sz w:val="24"/>
          <w:szCs w:val="24"/>
        </w:rPr>
        <w:t>, </w:t>
      </w:r>
      <w:r>
        <w:rPr>
          <w:rFonts w:ascii="Times New Roman" w:eastAsia="Arial" w:hAnsi="Times New Roman" w:cs="Times New Roman"/>
          <w:i/>
          <w:iCs/>
          <w:color w:val="000000"/>
          <w:sz w:val="24"/>
          <w:szCs w:val="24"/>
        </w:rPr>
        <w:t>20</w:t>
      </w:r>
      <w:r>
        <w:rPr>
          <w:rFonts w:ascii="Times New Roman" w:eastAsia="Arial" w:hAnsi="Times New Roman" w:cs="Times New Roman"/>
          <w:color w:val="000000"/>
          <w:sz w:val="24"/>
          <w:szCs w:val="24"/>
        </w:rPr>
        <w:t xml:space="preserve">(3). </w:t>
      </w:r>
      <w:hyperlink r:id="rId12" w:history="1">
        <w:r>
          <w:rPr>
            <w:rStyle w:val="Hyperlink"/>
            <w:rFonts w:ascii="Times New Roman" w:eastAsia="Arial" w:hAnsi="Times New Roman" w:cs="Times New Roman"/>
            <w:sz w:val="24"/>
            <w:szCs w:val="24"/>
          </w:rPr>
          <w:t>https://doi.org/10.15728/bbr.2023.20.3.2.en</w:t>
        </w:r>
      </w:hyperlink>
      <w:r>
        <w:rPr>
          <w:rFonts w:ascii="Times New Roman" w:eastAsia="Arial" w:hAnsi="Times New Roman" w:cs="Times New Roman"/>
          <w:color w:val="000000"/>
          <w:sz w:val="24"/>
          <w:szCs w:val="24"/>
        </w:rPr>
        <w:t xml:space="preserve"> </w:t>
      </w:r>
    </w:p>
    <w:p w14:paraId="6216DA06" w14:textId="55F20CE3"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He, J., Nazari, M., Zhang, Y.</w:t>
      </w:r>
      <w:r w:rsidR="002D7449">
        <w:rPr>
          <w:rFonts w:ascii="Times New Roman" w:eastAsia="Arial" w:hAnsi="Times New Roman" w:cs="Times New Roman"/>
          <w:color w:val="000000"/>
          <w:sz w:val="24"/>
          <w:szCs w:val="24"/>
        </w:rPr>
        <w:t>,</w:t>
      </w:r>
      <w:r>
        <w:rPr>
          <w:rFonts w:ascii="Times New Roman" w:eastAsia="Arial" w:hAnsi="Times New Roman" w:cs="Times New Roman"/>
          <w:color w:val="000000"/>
          <w:sz w:val="24"/>
          <w:szCs w:val="24"/>
        </w:rPr>
        <w:t xml:space="preserve"> and Cai, N., 2020. Opportunity-based entrepreneurship and environmental quality of sustainable development: A resource and institutional perspective. </w:t>
      </w:r>
      <w:r>
        <w:rPr>
          <w:rFonts w:ascii="Times New Roman" w:eastAsia="Arial" w:hAnsi="Times New Roman" w:cs="Times New Roman"/>
          <w:i/>
          <w:iCs/>
          <w:color w:val="000000"/>
          <w:sz w:val="24"/>
          <w:szCs w:val="24"/>
        </w:rPr>
        <w:t>Journal of Cleaner Production</w:t>
      </w:r>
      <w:r>
        <w:rPr>
          <w:rFonts w:ascii="Times New Roman" w:eastAsia="Arial" w:hAnsi="Times New Roman" w:cs="Times New Roman"/>
          <w:color w:val="000000"/>
          <w:sz w:val="24"/>
          <w:szCs w:val="24"/>
        </w:rPr>
        <w:t>, </w:t>
      </w:r>
      <w:r>
        <w:rPr>
          <w:rFonts w:ascii="Times New Roman" w:eastAsia="Arial" w:hAnsi="Times New Roman" w:cs="Times New Roman"/>
          <w:i/>
          <w:iCs/>
          <w:color w:val="000000"/>
          <w:sz w:val="24"/>
          <w:szCs w:val="24"/>
        </w:rPr>
        <w:t>256</w:t>
      </w:r>
      <w:r>
        <w:rPr>
          <w:rFonts w:ascii="Times New Roman" w:eastAsia="Arial" w:hAnsi="Times New Roman" w:cs="Times New Roman"/>
          <w:color w:val="000000"/>
          <w:sz w:val="24"/>
          <w:szCs w:val="24"/>
        </w:rPr>
        <w:t xml:space="preserve">, p.120390. </w:t>
      </w:r>
      <w:hyperlink r:id="rId13" w:history="1">
        <w:r>
          <w:rPr>
            <w:rStyle w:val="Hyperlink"/>
            <w:rFonts w:ascii="Times New Roman" w:eastAsia="Arial" w:hAnsi="Times New Roman" w:cs="Times New Roman"/>
            <w:sz w:val="24"/>
            <w:szCs w:val="24"/>
          </w:rPr>
          <w:t>https://doi.org/10.1016/j.jclepro.2020.120390</w:t>
        </w:r>
      </w:hyperlink>
      <w:r>
        <w:rPr>
          <w:rFonts w:ascii="Times New Roman" w:eastAsia="Arial" w:hAnsi="Times New Roman" w:cs="Times New Roman"/>
          <w:color w:val="000000"/>
          <w:sz w:val="24"/>
          <w:szCs w:val="24"/>
        </w:rPr>
        <w:t xml:space="preserve"> </w:t>
      </w:r>
    </w:p>
    <w:p w14:paraId="21B6FC49"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Mei, B., 2021. Research on the theory of entrepreneurship Innovation at the individual level. In </w:t>
      </w:r>
      <w:r>
        <w:rPr>
          <w:rFonts w:ascii="Times New Roman" w:eastAsia="Arial" w:hAnsi="Times New Roman" w:cs="Times New Roman"/>
          <w:i/>
          <w:iCs/>
          <w:color w:val="000000"/>
          <w:sz w:val="24"/>
          <w:szCs w:val="24"/>
        </w:rPr>
        <w:t>E3S Web of Conferences</w:t>
      </w:r>
      <w:r>
        <w:rPr>
          <w:rFonts w:ascii="Times New Roman" w:eastAsia="Arial" w:hAnsi="Times New Roman" w:cs="Times New Roman"/>
          <w:color w:val="000000"/>
          <w:sz w:val="24"/>
          <w:szCs w:val="24"/>
        </w:rPr>
        <w:t xml:space="preserve"> (Vol. 275, p. 03007). EDP Sciences. </w:t>
      </w:r>
      <w:hyperlink r:id="rId14" w:history="1">
        <w:r>
          <w:rPr>
            <w:rStyle w:val="Hyperlink"/>
            <w:rFonts w:ascii="Times New Roman" w:eastAsia="Arial" w:hAnsi="Times New Roman" w:cs="Times New Roman"/>
            <w:sz w:val="24"/>
            <w:szCs w:val="24"/>
          </w:rPr>
          <w:t>https://www.e3s-conferences.org/articles/e3sconf/pdf/2021/51/e3sconf_eilcd2021_03007.pdf</w:t>
        </w:r>
      </w:hyperlink>
      <w:r>
        <w:rPr>
          <w:rFonts w:ascii="Times New Roman" w:eastAsia="Arial" w:hAnsi="Times New Roman" w:cs="Times New Roman"/>
          <w:color w:val="000000"/>
          <w:sz w:val="24"/>
          <w:szCs w:val="24"/>
        </w:rPr>
        <w:t xml:space="preserve"> </w:t>
      </w:r>
    </w:p>
    <w:p w14:paraId="03F949C6"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proofErr w:type="spellStart"/>
      <w:r>
        <w:rPr>
          <w:rFonts w:ascii="Times New Roman" w:eastAsia="Arial" w:hAnsi="Times New Roman" w:cs="Times New Roman"/>
          <w:color w:val="000000"/>
          <w:sz w:val="24"/>
          <w:szCs w:val="24"/>
        </w:rPr>
        <w:t>Micieta</w:t>
      </w:r>
      <w:proofErr w:type="spellEnd"/>
      <w:r>
        <w:rPr>
          <w:rFonts w:ascii="Times New Roman" w:eastAsia="Arial" w:hAnsi="Times New Roman" w:cs="Times New Roman"/>
          <w:color w:val="000000"/>
          <w:sz w:val="24"/>
          <w:szCs w:val="24"/>
        </w:rPr>
        <w:t xml:space="preserve">, B., </w:t>
      </w:r>
      <w:proofErr w:type="spellStart"/>
      <w:r>
        <w:rPr>
          <w:rFonts w:ascii="Times New Roman" w:eastAsia="Arial" w:hAnsi="Times New Roman" w:cs="Times New Roman"/>
          <w:color w:val="000000"/>
          <w:sz w:val="24"/>
          <w:szCs w:val="24"/>
        </w:rPr>
        <w:t>Fusko</w:t>
      </w:r>
      <w:proofErr w:type="spellEnd"/>
      <w:r>
        <w:rPr>
          <w:rFonts w:ascii="Times New Roman" w:eastAsia="Arial" w:hAnsi="Times New Roman" w:cs="Times New Roman"/>
          <w:color w:val="000000"/>
          <w:sz w:val="24"/>
          <w:szCs w:val="24"/>
        </w:rPr>
        <w:t xml:space="preserve">, M., </w:t>
      </w:r>
      <w:proofErr w:type="spellStart"/>
      <w:r>
        <w:rPr>
          <w:rFonts w:ascii="Times New Roman" w:eastAsia="Arial" w:hAnsi="Times New Roman" w:cs="Times New Roman"/>
          <w:color w:val="000000"/>
          <w:sz w:val="24"/>
          <w:szCs w:val="24"/>
        </w:rPr>
        <w:t>Binasova</w:t>
      </w:r>
      <w:proofErr w:type="spellEnd"/>
      <w:r>
        <w:rPr>
          <w:rFonts w:ascii="Times New Roman" w:eastAsia="Arial" w:hAnsi="Times New Roman" w:cs="Times New Roman"/>
          <w:color w:val="000000"/>
          <w:sz w:val="24"/>
          <w:szCs w:val="24"/>
        </w:rPr>
        <w:t xml:space="preserve">, V. and </w:t>
      </w:r>
      <w:proofErr w:type="spellStart"/>
      <w:r>
        <w:rPr>
          <w:rFonts w:ascii="Times New Roman" w:eastAsia="Arial" w:hAnsi="Times New Roman" w:cs="Times New Roman"/>
          <w:color w:val="000000"/>
          <w:sz w:val="24"/>
          <w:szCs w:val="24"/>
        </w:rPr>
        <w:t>Furmannova</w:t>
      </w:r>
      <w:proofErr w:type="spellEnd"/>
      <w:r>
        <w:rPr>
          <w:rFonts w:ascii="Times New Roman" w:eastAsia="Arial" w:hAnsi="Times New Roman" w:cs="Times New Roman"/>
          <w:color w:val="000000"/>
          <w:sz w:val="24"/>
          <w:szCs w:val="24"/>
        </w:rPr>
        <w:t>, B., 2020. Business model canvas in global enterprises. In </w:t>
      </w:r>
      <w:r>
        <w:rPr>
          <w:rFonts w:ascii="Times New Roman" w:eastAsia="Arial" w:hAnsi="Times New Roman" w:cs="Times New Roman"/>
          <w:i/>
          <w:iCs/>
          <w:color w:val="000000"/>
          <w:sz w:val="24"/>
          <w:szCs w:val="24"/>
        </w:rPr>
        <w:t>SHS Web of Conferences</w:t>
      </w:r>
      <w:r>
        <w:rPr>
          <w:rFonts w:ascii="Times New Roman" w:eastAsia="Arial" w:hAnsi="Times New Roman" w:cs="Times New Roman"/>
          <w:color w:val="000000"/>
          <w:sz w:val="24"/>
          <w:szCs w:val="24"/>
        </w:rPr>
        <w:t xml:space="preserve"> (Vol. 74, p. 02010). EDP Sciences. </w:t>
      </w:r>
      <w:hyperlink r:id="rId15" w:history="1">
        <w:r>
          <w:rPr>
            <w:rStyle w:val="Hyperlink"/>
            <w:rFonts w:ascii="Times New Roman" w:eastAsia="Arial" w:hAnsi="Times New Roman" w:cs="Times New Roman"/>
            <w:sz w:val="24"/>
            <w:szCs w:val="24"/>
          </w:rPr>
          <w:t>https://www.shs-conferences.org/articles/shsconf/pdf/2020/02/shsconf_glob2020_02010.pdf</w:t>
        </w:r>
      </w:hyperlink>
      <w:r>
        <w:rPr>
          <w:rFonts w:ascii="Times New Roman" w:eastAsia="Arial" w:hAnsi="Times New Roman" w:cs="Times New Roman"/>
          <w:color w:val="000000"/>
          <w:sz w:val="24"/>
          <w:szCs w:val="24"/>
        </w:rPr>
        <w:t xml:space="preserve"> </w:t>
      </w:r>
    </w:p>
    <w:p w14:paraId="0D8FEED3"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River Cottage, 2024. Hugh </w:t>
      </w:r>
      <w:proofErr w:type="spellStart"/>
      <w:r>
        <w:rPr>
          <w:rFonts w:ascii="Times New Roman" w:eastAsia="Arial" w:hAnsi="Times New Roman" w:cs="Times New Roman"/>
          <w:color w:val="000000"/>
          <w:sz w:val="24"/>
          <w:szCs w:val="24"/>
        </w:rPr>
        <w:t>Fearnley-Whittingstall’s</w:t>
      </w:r>
      <w:proofErr w:type="spellEnd"/>
      <w:r>
        <w:rPr>
          <w:rFonts w:ascii="Times New Roman" w:eastAsia="Arial" w:hAnsi="Times New Roman" w:cs="Times New Roman"/>
          <w:color w:val="000000"/>
          <w:sz w:val="24"/>
          <w:szCs w:val="24"/>
        </w:rPr>
        <w:t xml:space="preserve"> River Cottage. </w:t>
      </w:r>
      <w:r>
        <w:rPr>
          <w:rFonts w:ascii="Times New Roman" w:eastAsia="Arial" w:hAnsi="Times New Roman" w:cs="Times New Roman"/>
          <w:i/>
          <w:iCs/>
          <w:color w:val="000000"/>
          <w:sz w:val="24"/>
          <w:szCs w:val="24"/>
        </w:rPr>
        <w:t>2024 River Cottage</w:t>
      </w:r>
      <w:r>
        <w:rPr>
          <w:rFonts w:ascii="Times New Roman" w:eastAsia="Arial" w:hAnsi="Times New Roman" w:cs="Times New Roman"/>
          <w:color w:val="000000"/>
          <w:sz w:val="24"/>
          <w:szCs w:val="24"/>
        </w:rPr>
        <w:t xml:space="preserve">. </w:t>
      </w:r>
      <w:hyperlink r:id="rId16" w:history="1">
        <w:r>
          <w:rPr>
            <w:rStyle w:val="Hyperlink"/>
            <w:rFonts w:ascii="Times New Roman" w:eastAsia="Arial" w:hAnsi="Times New Roman" w:cs="Times New Roman"/>
            <w:sz w:val="24"/>
            <w:szCs w:val="24"/>
          </w:rPr>
          <w:t>https://www.rivercottage.net/</w:t>
        </w:r>
      </w:hyperlink>
      <w:r>
        <w:rPr>
          <w:rFonts w:ascii="Times New Roman" w:eastAsia="Arial" w:hAnsi="Times New Roman" w:cs="Times New Roman"/>
          <w:color w:val="000000"/>
          <w:sz w:val="24"/>
          <w:szCs w:val="24"/>
        </w:rPr>
        <w:t xml:space="preserve"> </w:t>
      </w:r>
    </w:p>
    <w:p w14:paraId="65C9C97A"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Ryder, M. and Downs, C., 2022. Rethinking reflective practice: John Boyd’s OODA loop as an alternative to Kolb. </w:t>
      </w:r>
      <w:r>
        <w:rPr>
          <w:rFonts w:ascii="Times New Roman" w:eastAsia="Arial" w:hAnsi="Times New Roman" w:cs="Times New Roman"/>
          <w:i/>
          <w:iCs/>
          <w:color w:val="000000"/>
          <w:sz w:val="24"/>
          <w:szCs w:val="24"/>
        </w:rPr>
        <w:t>The International Journal of Management Education, 20</w:t>
      </w:r>
      <w:r>
        <w:rPr>
          <w:rFonts w:ascii="Times New Roman" w:eastAsia="Arial" w:hAnsi="Times New Roman" w:cs="Times New Roman"/>
          <w:color w:val="000000"/>
          <w:sz w:val="24"/>
          <w:szCs w:val="24"/>
        </w:rPr>
        <w:t xml:space="preserve">(3), p.100703. </w:t>
      </w:r>
      <w:hyperlink r:id="rId17" w:history="1">
        <w:r>
          <w:rPr>
            <w:rStyle w:val="Hyperlink"/>
            <w:rFonts w:ascii="Times New Roman" w:eastAsia="Arial" w:hAnsi="Times New Roman" w:cs="Times New Roman"/>
            <w:sz w:val="24"/>
            <w:szCs w:val="24"/>
          </w:rPr>
          <w:t>https://doi.org/10.1016/j.ijme.2022.100703</w:t>
        </w:r>
      </w:hyperlink>
      <w:r>
        <w:rPr>
          <w:rFonts w:ascii="Times New Roman" w:eastAsia="Arial" w:hAnsi="Times New Roman" w:cs="Times New Roman"/>
          <w:color w:val="000000"/>
          <w:sz w:val="24"/>
          <w:szCs w:val="24"/>
        </w:rPr>
        <w:t xml:space="preserve"> </w:t>
      </w:r>
    </w:p>
    <w:p w14:paraId="09432956"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Salwin, M., </w:t>
      </w:r>
      <w:proofErr w:type="spellStart"/>
      <w:r>
        <w:rPr>
          <w:rFonts w:ascii="Times New Roman" w:eastAsia="Arial" w:hAnsi="Times New Roman" w:cs="Times New Roman"/>
          <w:color w:val="000000"/>
          <w:sz w:val="24"/>
          <w:szCs w:val="24"/>
        </w:rPr>
        <w:t>Jacyna-Gołda</w:t>
      </w:r>
      <w:proofErr w:type="spellEnd"/>
      <w:r>
        <w:rPr>
          <w:rFonts w:ascii="Times New Roman" w:eastAsia="Arial" w:hAnsi="Times New Roman" w:cs="Times New Roman"/>
          <w:color w:val="000000"/>
          <w:sz w:val="24"/>
          <w:szCs w:val="24"/>
        </w:rPr>
        <w:t xml:space="preserve">, I., </w:t>
      </w:r>
      <w:proofErr w:type="spellStart"/>
      <w:r>
        <w:rPr>
          <w:rFonts w:ascii="Times New Roman" w:eastAsia="Arial" w:hAnsi="Times New Roman" w:cs="Times New Roman"/>
          <w:color w:val="000000"/>
          <w:sz w:val="24"/>
          <w:szCs w:val="24"/>
        </w:rPr>
        <w:t>Kraslawski</w:t>
      </w:r>
      <w:proofErr w:type="spellEnd"/>
      <w:r>
        <w:rPr>
          <w:rFonts w:ascii="Times New Roman" w:eastAsia="Arial" w:hAnsi="Times New Roman" w:cs="Times New Roman"/>
          <w:color w:val="000000"/>
          <w:sz w:val="24"/>
          <w:szCs w:val="24"/>
        </w:rPr>
        <w:t xml:space="preserve">, A. and Waszkiewicz, A. E., 2022. The use of business model canvas in the design and classification of product-service systems design methods. </w:t>
      </w:r>
      <w:r>
        <w:rPr>
          <w:rFonts w:ascii="Times New Roman" w:eastAsia="Arial" w:hAnsi="Times New Roman" w:cs="Times New Roman"/>
          <w:i/>
          <w:iCs/>
          <w:color w:val="000000"/>
          <w:sz w:val="24"/>
          <w:szCs w:val="24"/>
        </w:rPr>
        <w:t>Sustainability, 14</w:t>
      </w:r>
      <w:r>
        <w:rPr>
          <w:rFonts w:ascii="Times New Roman" w:eastAsia="Arial" w:hAnsi="Times New Roman" w:cs="Times New Roman"/>
          <w:color w:val="000000"/>
          <w:sz w:val="24"/>
          <w:szCs w:val="24"/>
        </w:rPr>
        <w:t xml:space="preserve">(7), 4283. </w:t>
      </w:r>
      <w:hyperlink r:id="rId18" w:history="1">
        <w:r>
          <w:rPr>
            <w:rStyle w:val="Hyperlink"/>
            <w:rFonts w:ascii="Times New Roman" w:eastAsia="Arial" w:hAnsi="Times New Roman" w:cs="Times New Roman"/>
            <w:sz w:val="24"/>
            <w:szCs w:val="24"/>
          </w:rPr>
          <w:t>https://doi.org/10.3390/su14074283</w:t>
        </w:r>
      </w:hyperlink>
      <w:r>
        <w:rPr>
          <w:rFonts w:ascii="Times New Roman" w:eastAsia="Arial" w:hAnsi="Times New Roman" w:cs="Times New Roman"/>
          <w:color w:val="000000"/>
          <w:sz w:val="24"/>
          <w:szCs w:val="24"/>
        </w:rPr>
        <w:t xml:space="preserve"> </w:t>
      </w:r>
    </w:p>
    <w:p w14:paraId="70957DD0"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Secret Garden, n.d. Secret Garden – Kent. </w:t>
      </w:r>
      <w:r>
        <w:rPr>
          <w:rFonts w:ascii="Times New Roman" w:eastAsia="Arial" w:hAnsi="Times New Roman" w:cs="Times New Roman"/>
          <w:i/>
          <w:iCs/>
          <w:color w:val="000000"/>
          <w:sz w:val="24"/>
          <w:szCs w:val="24"/>
        </w:rPr>
        <w:t xml:space="preserve">The Court Yard, </w:t>
      </w:r>
      <w:proofErr w:type="spellStart"/>
      <w:r>
        <w:rPr>
          <w:rFonts w:ascii="Times New Roman" w:eastAsia="Arial" w:hAnsi="Times New Roman" w:cs="Times New Roman"/>
          <w:i/>
          <w:iCs/>
          <w:color w:val="000000"/>
          <w:sz w:val="24"/>
          <w:szCs w:val="24"/>
        </w:rPr>
        <w:t>Mersham</w:t>
      </w:r>
      <w:proofErr w:type="spellEnd"/>
      <w:r>
        <w:rPr>
          <w:rFonts w:ascii="Times New Roman" w:eastAsia="Arial" w:hAnsi="Times New Roman" w:cs="Times New Roman"/>
          <w:i/>
          <w:iCs/>
          <w:color w:val="000000"/>
          <w:sz w:val="24"/>
          <w:szCs w:val="24"/>
        </w:rPr>
        <w:t>-le-Hatch, Hythe Road, Ashford, Kent TN25 6NH</w:t>
      </w:r>
      <w:r>
        <w:rPr>
          <w:rFonts w:ascii="Times New Roman" w:eastAsia="Arial" w:hAnsi="Times New Roman" w:cs="Times New Roman"/>
          <w:color w:val="000000"/>
          <w:sz w:val="24"/>
          <w:szCs w:val="24"/>
        </w:rPr>
        <w:t xml:space="preserve">. </w:t>
      </w:r>
      <w:hyperlink r:id="rId19" w:history="1">
        <w:r>
          <w:rPr>
            <w:rStyle w:val="Hyperlink"/>
            <w:rFonts w:ascii="Times New Roman" w:eastAsia="Arial" w:hAnsi="Times New Roman" w:cs="Times New Roman"/>
            <w:sz w:val="24"/>
            <w:szCs w:val="24"/>
          </w:rPr>
          <w:t>https://secretgardenkent.co.uk/</w:t>
        </w:r>
      </w:hyperlink>
      <w:r>
        <w:rPr>
          <w:rFonts w:ascii="Times New Roman" w:eastAsia="Arial" w:hAnsi="Times New Roman" w:cs="Times New Roman"/>
          <w:color w:val="000000"/>
          <w:sz w:val="24"/>
          <w:szCs w:val="24"/>
        </w:rPr>
        <w:t xml:space="preserve"> </w:t>
      </w:r>
    </w:p>
    <w:p w14:paraId="32088FE5"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proofErr w:type="spellStart"/>
      <w:r>
        <w:rPr>
          <w:rFonts w:ascii="Times New Roman" w:eastAsia="Arial" w:hAnsi="Times New Roman" w:cs="Times New Roman"/>
          <w:color w:val="000000"/>
          <w:sz w:val="24"/>
          <w:szCs w:val="24"/>
        </w:rPr>
        <w:t>Sibalija</w:t>
      </w:r>
      <w:proofErr w:type="spellEnd"/>
      <w:r>
        <w:rPr>
          <w:rFonts w:ascii="Times New Roman" w:eastAsia="Arial" w:hAnsi="Times New Roman" w:cs="Times New Roman"/>
          <w:color w:val="000000"/>
          <w:sz w:val="24"/>
          <w:szCs w:val="24"/>
        </w:rPr>
        <w:t xml:space="preserve">, J., Barrett, D., Subasri, M., </w:t>
      </w:r>
      <w:proofErr w:type="spellStart"/>
      <w:r>
        <w:rPr>
          <w:rFonts w:ascii="Times New Roman" w:eastAsia="Arial" w:hAnsi="Times New Roman" w:cs="Times New Roman"/>
          <w:color w:val="000000"/>
          <w:sz w:val="24"/>
          <w:szCs w:val="24"/>
        </w:rPr>
        <w:t>Bitacola</w:t>
      </w:r>
      <w:proofErr w:type="spellEnd"/>
      <w:r>
        <w:rPr>
          <w:rFonts w:ascii="Times New Roman" w:eastAsia="Arial" w:hAnsi="Times New Roman" w:cs="Times New Roman"/>
          <w:color w:val="000000"/>
          <w:sz w:val="24"/>
          <w:szCs w:val="24"/>
        </w:rPr>
        <w:t xml:space="preserve">, L. and Kim, R.B., 2021. Understanding value in a healthcare setting: An application of the business model canvas. </w:t>
      </w:r>
      <w:r>
        <w:rPr>
          <w:rFonts w:ascii="Times New Roman" w:eastAsia="Arial" w:hAnsi="Times New Roman" w:cs="Times New Roman"/>
          <w:i/>
          <w:iCs/>
          <w:color w:val="000000"/>
          <w:sz w:val="24"/>
          <w:szCs w:val="24"/>
        </w:rPr>
        <w:t>Methodological Innovations, 14</w:t>
      </w:r>
      <w:r>
        <w:rPr>
          <w:rFonts w:ascii="Times New Roman" w:eastAsia="Arial" w:hAnsi="Times New Roman" w:cs="Times New Roman"/>
          <w:color w:val="000000"/>
          <w:sz w:val="24"/>
          <w:szCs w:val="24"/>
        </w:rPr>
        <w:t xml:space="preserve">(3), p.20597991211050477. </w:t>
      </w:r>
      <w:hyperlink r:id="rId20" w:history="1">
        <w:r>
          <w:rPr>
            <w:rStyle w:val="Hyperlink"/>
            <w:rFonts w:ascii="Times New Roman" w:eastAsia="Arial" w:hAnsi="Times New Roman" w:cs="Times New Roman"/>
            <w:sz w:val="24"/>
            <w:szCs w:val="24"/>
          </w:rPr>
          <w:t>https://doi.org/10.1177/20597991211050477</w:t>
        </w:r>
      </w:hyperlink>
      <w:r>
        <w:rPr>
          <w:rFonts w:ascii="Times New Roman" w:eastAsia="Arial" w:hAnsi="Times New Roman" w:cs="Times New Roman"/>
          <w:color w:val="000000"/>
          <w:sz w:val="24"/>
          <w:szCs w:val="24"/>
        </w:rPr>
        <w:t xml:space="preserve"> </w:t>
      </w:r>
    </w:p>
    <w:p w14:paraId="0D851D6F"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Siok, T.H., Sim, M.S. and Rahmat, N.H., 2023. Motivation to learn online: an analysis from McClelland's theory of needs. </w:t>
      </w:r>
      <w:r>
        <w:rPr>
          <w:rFonts w:ascii="Times New Roman" w:eastAsia="Arial" w:hAnsi="Times New Roman" w:cs="Times New Roman"/>
          <w:i/>
          <w:iCs/>
          <w:color w:val="000000"/>
          <w:sz w:val="24"/>
          <w:szCs w:val="24"/>
        </w:rPr>
        <w:t xml:space="preserve">International Journal of Academic Research in Business </w:t>
      </w:r>
      <w:r>
        <w:rPr>
          <w:rFonts w:ascii="Times New Roman" w:eastAsia="Arial" w:hAnsi="Times New Roman" w:cs="Times New Roman"/>
          <w:i/>
          <w:iCs/>
          <w:color w:val="000000"/>
          <w:sz w:val="24"/>
          <w:szCs w:val="24"/>
        </w:rPr>
        <w:lastRenderedPageBreak/>
        <w:t>and Social Sciences</w:t>
      </w:r>
      <w:r>
        <w:rPr>
          <w:rFonts w:ascii="Times New Roman" w:eastAsia="Arial" w:hAnsi="Times New Roman" w:cs="Times New Roman"/>
          <w:color w:val="000000"/>
          <w:sz w:val="24"/>
          <w:szCs w:val="24"/>
        </w:rPr>
        <w:t>, </w:t>
      </w:r>
      <w:r>
        <w:rPr>
          <w:rFonts w:ascii="Times New Roman" w:eastAsia="Arial" w:hAnsi="Times New Roman" w:cs="Times New Roman"/>
          <w:i/>
          <w:iCs/>
          <w:color w:val="000000"/>
          <w:sz w:val="24"/>
          <w:szCs w:val="24"/>
        </w:rPr>
        <w:t>13</w:t>
      </w:r>
      <w:r>
        <w:rPr>
          <w:rFonts w:ascii="Times New Roman" w:eastAsia="Arial" w:hAnsi="Times New Roman" w:cs="Times New Roman"/>
          <w:color w:val="000000"/>
          <w:sz w:val="24"/>
          <w:szCs w:val="24"/>
        </w:rPr>
        <w:t xml:space="preserve">(3), pp.215-234. </w:t>
      </w:r>
      <w:hyperlink r:id="rId21" w:history="1">
        <w:r>
          <w:rPr>
            <w:rStyle w:val="Hyperlink"/>
            <w:rFonts w:ascii="Times New Roman" w:eastAsia="Arial" w:hAnsi="Times New Roman" w:cs="Times New Roman"/>
            <w:sz w:val="24"/>
            <w:szCs w:val="24"/>
          </w:rPr>
          <w:t>http://dx.doi.org/10.6007/IJARBSS/v13-i3/16471</w:t>
        </w:r>
      </w:hyperlink>
      <w:r>
        <w:rPr>
          <w:rFonts w:ascii="Times New Roman" w:eastAsia="Arial" w:hAnsi="Times New Roman" w:cs="Times New Roman"/>
          <w:color w:val="000000"/>
          <w:sz w:val="24"/>
          <w:szCs w:val="24"/>
        </w:rPr>
        <w:t xml:space="preserve"> </w:t>
      </w:r>
    </w:p>
    <w:p w14:paraId="46C6EB9D"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Taipale-</w:t>
      </w:r>
      <w:proofErr w:type="spellStart"/>
      <w:r>
        <w:rPr>
          <w:rFonts w:ascii="Times New Roman" w:eastAsia="Arial" w:hAnsi="Times New Roman" w:cs="Times New Roman"/>
          <w:color w:val="000000"/>
          <w:sz w:val="24"/>
          <w:szCs w:val="24"/>
        </w:rPr>
        <w:t>Erävala</w:t>
      </w:r>
      <w:proofErr w:type="spellEnd"/>
      <w:r>
        <w:rPr>
          <w:rFonts w:ascii="Times New Roman" w:eastAsia="Arial" w:hAnsi="Times New Roman" w:cs="Times New Roman"/>
          <w:color w:val="000000"/>
          <w:sz w:val="24"/>
          <w:szCs w:val="24"/>
        </w:rPr>
        <w:t xml:space="preserve">, K., Salmela, E. and Lampela, H., 2021. Towards a new Business Model Canvas for platform businesses in two-sided markets. </w:t>
      </w:r>
      <w:hyperlink r:id="rId22" w:history="1">
        <w:r>
          <w:rPr>
            <w:rStyle w:val="Hyperlink"/>
            <w:rFonts w:ascii="Times New Roman" w:eastAsia="Arial" w:hAnsi="Times New Roman" w:cs="Times New Roman"/>
            <w:sz w:val="24"/>
            <w:szCs w:val="24"/>
          </w:rPr>
          <w:t>https://oulurepo.oulu.fi/bitstream/handle/10024/29204/nbnfi-fe202102124639.pdf?sequence=1</w:t>
        </w:r>
      </w:hyperlink>
      <w:r>
        <w:rPr>
          <w:rFonts w:ascii="Times New Roman" w:eastAsia="Arial" w:hAnsi="Times New Roman" w:cs="Times New Roman"/>
          <w:color w:val="000000"/>
          <w:sz w:val="24"/>
          <w:szCs w:val="24"/>
        </w:rPr>
        <w:t xml:space="preserve"> </w:t>
      </w:r>
    </w:p>
    <w:p w14:paraId="5849BA07"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Taste of London, 2024. We’ll Be Back in June. 2024 </w:t>
      </w:r>
      <w:r>
        <w:rPr>
          <w:rFonts w:ascii="Times New Roman" w:eastAsia="Arial" w:hAnsi="Times New Roman" w:cs="Times New Roman"/>
          <w:i/>
          <w:iCs/>
          <w:color w:val="000000"/>
          <w:sz w:val="24"/>
          <w:szCs w:val="24"/>
        </w:rPr>
        <w:t>Taste Festivals Limited</w:t>
      </w:r>
      <w:r>
        <w:rPr>
          <w:rFonts w:ascii="Times New Roman" w:eastAsia="Arial" w:hAnsi="Times New Roman" w:cs="Times New Roman"/>
          <w:color w:val="000000"/>
          <w:sz w:val="24"/>
          <w:szCs w:val="24"/>
        </w:rPr>
        <w:t xml:space="preserve">, International Management Group (UK) Limited. </w:t>
      </w:r>
      <w:hyperlink r:id="rId23" w:history="1">
        <w:r>
          <w:rPr>
            <w:rStyle w:val="Hyperlink"/>
            <w:rFonts w:ascii="Times New Roman" w:eastAsia="Arial" w:hAnsi="Times New Roman" w:cs="Times New Roman"/>
            <w:sz w:val="24"/>
            <w:szCs w:val="24"/>
          </w:rPr>
          <w:t>https://london.tastefestivals.com/</w:t>
        </w:r>
      </w:hyperlink>
      <w:r>
        <w:rPr>
          <w:rFonts w:ascii="Times New Roman" w:eastAsia="Arial" w:hAnsi="Times New Roman" w:cs="Times New Roman"/>
          <w:color w:val="000000"/>
          <w:sz w:val="24"/>
          <w:szCs w:val="24"/>
        </w:rPr>
        <w:t xml:space="preserve"> </w:t>
      </w:r>
    </w:p>
    <w:p w14:paraId="1F729023"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The Ivy Chelsea Garden, n.d. The Ivy Chelsea Garden. </w:t>
      </w:r>
      <w:hyperlink r:id="rId24" w:anchor="aboutsection" w:history="1">
        <w:r>
          <w:rPr>
            <w:rStyle w:val="Hyperlink"/>
            <w:rFonts w:ascii="Times New Roman" w:eastAsia="Arial" w:hAnsi="Times New Roman" w:cs="Times New Roman"/>
            <w:sz w:val="24"/>
            <w:szCs w:val="24"/>
          </w:rPr>
          <w:t>https://ivycollection.com/restaurants/the-ivy-chelsea-garden/#aboutsection</w:t>
        </w:r>
      </w:hyperlink>
      <w:r>
        <w:rPr>
          <w:rFonts w:ascii="Times New Roman" w:eastAsia="Arial" w:hAnsi="Times New Roman" w:cs="Times New Roman"/>
          <w:color w:val="000000"/>
          <w:sz w:val="24"/>
          <w:szCs w:val="24"/>
        </w:rPr>
        <w:t xml:space="preserve"> </w:t>
      </w:r>
    </w:p>
    <w:p w14:paraId="09105048"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The Pig, n.d. The Pig Hotel. </w:t>
      </w:r>
      <w:r>
        <w:rPr>
          <w:rFonts w:ascii="Times New Roman" w:eastAsia="Arial" w:hAnsi="Times New Roman" w:cs="Times New Roman"/>
          <w:i/>
          <w:iCs/>
          <w:color w:val="000000"/>
          <w:sz w:val="24"/>
          <w:szCs w:val="24"/>
        </w:rPr>
        <w:t>THE PIG Site by Etch</w:t>
      </w:r>
      <w:r>
        <w:rPr>
          <w:rFonts w:ascii="Times New Roman" w:eastAsia="Arial" w:hAnsi="Times New Roman" w:cs="Times New Roman"/>
          <w:color w:val="000000"/>
          <w:sz w:val="24"/>
          <w:szCs w:val="24"/>
        </w:rPr>
        <w:t xml:space="preserve">. </w:t>
      </w:r>
      <w:hyperlink r:id="rId25" w:history="1">
        <w:r>
          <w:rPr>
            <w:rStyle w:val="Hyperlink"/>
            <w:rFonts w:ascii="Times New Roman" w:eastAsia="Arial" w:hAnsi="Times New Roman" w:cs="Times New Roman"/>
            <w:sz w:val="24"/>
            <w:szCs w:val="24"/>
          </w:rPr>
          <w:t>https://www.thepighotel.com/</w:t>
        </w:r>
      </w:hyperlink>
      <w:r>
        <w:rPr>
          <w:rFonts w:ascii="Times New Roman" w:eastAsia="Arial" w:hAnsi="Times New Roman" w:cs="Times New Roman"/>
          <w:color w:val="000000"/>
          <w:sz w:val="24"/>
          <w:szCs w:val="24"/>
        </w:rPr>
        <w:t xml:space="preserve"> </w:t>
      </w:r>
    </w:p>
    <w:p w14:paraId="51E48B29"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The River Café, n.d. The River Café London. </w:t>
      </w:r>
      <w:hyperlink r:id="rId26" w:history="1">
        <w:r>
          <w:rPr>
            <w:rStyle w:val="Hyperlink"/>
            <w:rFonts w:ascii="Times New Roman" w:eastAsia="Arial" w:hAnsi="Times New Roman" w:cs="Times New Roman"/>
            <w:sz w:val="24"/>
            <w:szCs w:val="24"/>
          </w:rPr>
          <w:t>https://www.rivercafe.co.uk/</w:t>
        </w:r>
      </w:hyperlink>
      <w:r>
        <w:rPr>
          <w:rFonts w:ascii="Times New Roman" w:eastAsia="Arial" w:hAnsi="Times New Roman" w:cs="Times New Roman"/>
          <w:color w:val="000000"/>
          <w:sz w:val="24"/>
          <w:szCs w:val="24"/>
        </w:rPr>
        <w:t xml:space="preserve"> </w:t>
      </w:r>
    </w:p>
    <w:p w14:paraId="47BB75CA"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proofErr w:type="spellStart"/>
      <w:r>
        <w:rPr>
          <w:rFonts w:ascii="Times New Roman" w:eastAsia="Arial" w:hAnsi="Times New Roman" w:cs="Times New Roman"/>
          <w:color w:val="000000"/>
          <w:sz w:val="24"/>
          <w:szCs w:val="24"/>
        </w:rPr>
        <w:t>Wahaca</w:t>
      </w:r>
      <w:proofErr w:type="spellEnd"/>
      <w:r>
        <w:rPr>
          <w:rFonts w:ascii="Times New Roman" w:eastAsia="Arial" w:hAnsi="Times New Roman" w:cs="Times New Roman"/>
          <w:color w:val="000000"/>
          <w:sz w:val="24"/>
          <w:szCs w:val="24"/>
        </w:rPr>
        <w:t xml:space="preserve">, n.d. Three Focus Areas. Developed by </w:t>
      </w:r>
      <w:proofErr w:type="spellStart"/>
      <w:r>
        <w:rPr>
          <w:rFonts w:ascii="Times New Roman" w:eastAsia="Arial" w:hAnsi="Times New Roman" w:cs="Times New Roman"/>
          <w:i/>
          <w:iCs/>
          <w:color w:val="000000"/>
          <w:sz w:val="24"/>
          <w:szCs w:val="24"/>
        </w:rPr>
        <w:t>BuiltByGo</w:t>
      </w:r>
      <w:proofErr w:type="spellEnd"/>
      <w:r>
        <w:rPr>
          <w:rFonts w:ascii="Times New Roman" w:eastAsia="Arial" w:hAnsi="Times New Roman" w:cs="Times New Roman"/>
          <w:color w:val="000000"/>
          <w:sz w:val="24"/>
          <w:szCs w:val="24"/>
        </w:rPr>
        <w:t xml:space="preserve">. </w:t>
      </w:r>
      <w:hyperlink r:id="rId27" w:history="1">
        <w:r>
          <w:rPr>
            <w:rStyle w:val="Hyperlink"/>
            <w:rFonts w:ascii="Times New Roman" w:eastAsia="Arial" w:hAnsi="Times New Roman" w:cs="Times New Roman"/>
            <w:sz w:val="24"/>
            <w:szCs w:val="24"/>
          </w:rPr>
          <w:t>https://www.wahaca.co.uk/sustainability/environment/</w:t>
        </w:r>
      </w:hyperlink>
      <w:r>
        <w:rPr>
          <w:rFonts w:ascii="Times New Roman" w:eastAsia="Arial" w:hAnsi="Times New Roman" w:cs="Times New Roman"/>
          <w:color w:val="000000"/>
          <w:sz w:val="24"/>
          <w:szCs w:val="24"/>
        </w:rPr>
        <w:t xml:space="preserve"> </w:t>
      </w:r>
    </w:p>
    <w:p w14:paraId="7DA2B4AC" w14:textId="77777777" w:rsidR="007F40F7" w:rsidRDefault="00000000">
      <w:pPr>
        <w:spacing w:line="480" w:lineRule="auto"/>
        <w:ind w:left="720" w:hanging="720"/>
        <w:contextualSpacing/>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 xml:space="preserve">Yang, M. and Luo, S., 2021. Effects of rural restaurants’ outdoor dining environment dimensions on customers’ satisfaction: A consumer perspective. </w:t>
      </w:r>
      <w:r>
        <w:rPr>
          <w:rFonts w:ascii="Times New Roman" w:eastAsia="Arial" w:hAnsi="Times New Roman" w:cs="Times New Roman"/>
          <w:i/>
          <w:iCs/>
          <w:color w:val="000000"/>
          <w:sz w:val="24"/>
          <w:szCs w:val="24"/>
        </w:rPr>
        <w:t>Foods, 10</w:t>
      </w:r>
      <w:r>
        <w:rPr>
          <w:rFonts w:ascii="Times New Roman" w:eastAsia="Arial" w:hAnsi="Times New Roman" w:cs="Times New Roman"/>
          <w:color w:val="000000"/>
          <w:sz w:val="24"/>
          <w:szCs w:val="24"/>
        </w:rPr>
        <w:t xml:space="preserve">(9), p.2172. </w:t>
      </w:r>
      <w:hyperlink r:id="rId28" w:history="1">
        <w:r>
          <w:rPr>
            <w:rStyle w:val="Hyperlink"/>
            <w:rFonts w:ascii="Times New Roman" w:eastAsia="Arial" w:hAnsi="Times New Roman" w:cs="Times New Roman"/>
            <w:sz w:val="24"/>
            <w:szCs w:val="24"/>
          </w:rPr>
          <w:t>https://doi.org/10.3390/foods10092172</w:t>
        </w:r>
      </w:hyperlink>
      <w:r>
        <w:rPr>
          <w:rFonts w:ascii="Times New Roman" w:eastAsia="Arial" w:hAnsi="Times New Roman" w:cs="Times New Roman"/>
          <w:color w:val="000000"/>
          <w:sz w:val="24"/>
          <w:szCs w:val="24"/>
        </w:rPr>
        <w:t xml:space="preserve"> </w:t>
      </w:r>
    </w:p>
    <w:p w14:paraId="65FA3912" w14:textId="77777777" w:rsidR="007F40F7" w:rsidRDefault="00000000">
      <w:pP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br w:type="page"/>
      </w:r>
    </w:p>
    <w:p w14:paraId="4B6C5ADA" w14:textId="77777777" w:rsidR="007F40F7" w:rsidRDefault="00000000">
      <w:pPr>
        <w:spacing w:line="480" w:lineRule="auto"/>
        <w:ind w:left="720" w:hanging="720"/>
        <w:contextualSpacing/>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Appendix</w:t>
      </w:r>
    </w:p>
    <w:p w14:paraId="16E64BF1" w14:textId="77777777" w:rsidR="007F40F7" w:rsidRDefault="00000000">
      <w:pPr>
        <w:spacing w:line="480" w:lineRule="auto"/>
        <w:contextualSpacing/>
        <w:rPr>
          <w:rFonts w:ascii="Times New Roman" w:eastAsia="Arial" w:hAnsi="Times New Roman" w:cs="Times New Roman"/>
          <w:color w:val="000000"/>
          <w:sz w:val="24"/>
          <w:szCs w:val="24"/>
        </w:rPr>
      </w:pPr>
      <w:r>
        <w:rPr>
          <w:noProof/>
        </w:rPr>
        <w:drawing>
          <wp:inline distT="0" distB="0" distL="0" distR="0" wp14:anchorId="36307C84" wp14:editId="7D25ADFA">
            <wp:extent cx="5943600" cy="3180080"/>
            <wp:effectExtent l="0" t="0" r="0" b="1270"/>
            <wp:docPr id="859770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70657" name="Picture 1"/>
                    <pic:cNvPicPr>
                      <a:picLocks noChangeAspect="1"/>
                    </pic:cNvPicPr>
                  </pic:nvPicPr>
                  <pic:blipFill>
                    <a:blip r:embed="rId29"/>
                    <a:stretch>
                      <a:fillRect/>
                    </a:stretch>
                  </pic:blipFill>
                  <pic:spPr>
                    <a:xfrm>
                      <a:off x="0" y="0"/>
                      <a:ext cx="5943600" cy="3180080"/>
                    </a:xfrm>
                    <a:prstGeom prst="rect">
                      <a:avLst/>
                    </a:prstGeom>
                  </pic:spPr>
                </pic:pic>
              </a:graphicData>
            </a:graphic>
          </wp:inline>
        </w:drawing>
      </w:r>
    </w:p>
    <w:sectPr w:rsidR="007F40F7">
      <w:headerReference w:type="even" r:id="rId30"/>
      <w:headerReference w:type="default" r:id="rId31"/>
      <w:footerReference w:type="even" r:id="rId32"/>
      <w:footerReference w:type="default" r:id="rId33"/>
      <w:headerReference w:type="first" r:id="rId34"/>
      <w:footerReference w:type="first" r:id="rId3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04BC3" w14:textId="77777777" w:rsidR="00E720A7" w:rsidRDefault="00E720A7">
      <w:r>
        <w:separator/>
      </w:r>
    </w:p>
  </w:endnote>
  <w:endnote w:type="continuationSeparator" w:id="0">
    <w:p w14:paraId="0102DDD7" w14:textId="77777777" w:rsidR="00E720A7" w:rsidRDefault="00E72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54D1F" w14:textId="77777777" w:rsidR="007F40F7" w:rsidRDefault="007F40F7">
    <w:pP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365CF" w14:textId="77777777" w:rsidR="007F40F7" w:rsidRDefault="007F40F7">
    <w:pP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9E26E" w14:textId="77777777" w:rsidR="007F40F7" w:rsidRDefault="007F40F7">
    <w:pP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9B3FA" w14:textId="77777777" w:rsidR="00E720A7" w:rsidRDefault="00E720A7">
      <w:r>
        <w:separator/>
      </w:r>
    </w:p>
  </w:footnote>
  <w:footnote w:type="continuationSeparator" w:id="0">
    <w:p w14:paraId="48D1CA78" w14:textId="77777777" w:rsidR="00E720A7" w:rsidRDefault="00E72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8537C" w14:textId="77777777" w:rsidR="007F40F7" w:rsidRDefault="007F40F7">
    <w:pP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AF91" w14:textId="75846600" w:rsidR="007F40F7" w:rsidRDefault="007F40F7" w:rsidP="00BF7E75">
    <w:pPr>
      <w:tabs>
        <w:tab w:val="center" w:pos="4320"/>
        <w:tab w:val="right" w:pos="8640"/>
      </w:tabs>
      <w:spacing w:before="720"/>
      <w:rPr>
        <w:rFonts w:ascii="Times New Roman" w:eastAsia="Arial" w:hAnsi="Times New Roman" w:cs="Times New Roman"/>
        <w:sz w:val="24"/>
        <w:szCs w:val="24"/>
      </w:rPr>
    </w:pPr>
  </w:p>
  <w:p w14:paraId="5CFB1C59" w14:textId="77777777" w:rsidR="007F40F7" w:rsidRDefault="007F40F7">
    <w:pPr>
      <w:tabs>
        <w:tab w:val="center" w:pos="4320"/>
        <w:tab w:val="right" w:pos="8640"/>
      </w:tabs>
      <w:rPr>
        <w:rFonts w:ascii="Times New Roman" w:eastAsia="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21344" w14:textId="77777777" w:rsidR="007F40F7" w:rsidRDefault="007F40F7">
    <w:pP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QwMzMzNDI3srA0MrVQ0lEKTi0uzszPAykwqQUAs+pY6SwAAAA="/>
  </w:docVars>
  <w:rsids>
    <w:rsidRoot w:val="00AE02B8"/>
    <w:rsid w:val="00001F92"/>
    <w:rsid w:val="0000263C"/>
    <w:rsid w:val="00004116"/>
    <w:rsid w:val="000076A3"/>
    <w:rsid w:val="000210A0"/>
    <w:rsid w:val="00022885"/>
    <w:rsid w:val="000234C8"/>
    <w:rsid w:val="0003017C"/>
    <w:rsid w:val="0003040E"/>
    <w:rsid w:val="00032225"/>
    <w:rsid w:val="00033AC6"/>
    <w:rsid w:val="00034A5A"/>
    <w:rsid w:val="00036843"/>
    <w:rsid w:val="00036BFF"/>
    <w:rsid w:val="00037350"/>
    <w:rsid w:val="00050149"/>
    <w:rsid w:val="00050682"/>
    <w:rsid w:val="0005535D"/>
    <w:rsid w:val="000565B7"/>
    <w:rsid w:val="00056CCF"/>
    <w:rsid w:val="0006310C"/>
    <w:rsid w:val="000664B4"/>
    <w:rsid w:val="00072D42"/>
    <w:rsid w:val="00083B5B"/>
    <w:rsid w:val="000857FE"/>
    <w:rsid w:val="00087B13"/>
    <w:rsid w:val="00092F52"/>
    <w:rsid w:val="00093C1D"/>
    <w:rsid w:val="000A02A9"/>
    <w:rsid w:val="000B212B"/>
    <w:rsid w:val="000B317E"/>
    <w:rsid w:val="000B65D5"/>
    <w:rsid w:val="000C584B"/>
    <w:rsid w:val="000D1A99"/>
    <w:rsid w:val="000D1B8F"/>
    <w:rsid w:val="000D1D2C"/>
    <w:rsid w:val="000D3EFF"/>
    <w:rsid w:val="000D75D6"/>
    <w:rsid w:val="000D76CB"/>
    <w:rsid w:val="000E25D7"/>
    <w:rsid w:val="000E391B"/>
    <w:rsid w:val="000F0D23"/>
    <w:rsid w:val="000F270D"/>
    <w:rsid w:val="000F4DD2"/>
    <w:rsid w:val="000F51A8"/>
    <w:rsid w:val="000F6A52"/>
    <w:rsid w:val="000F73BC"/>
    <w:rsid w:val="0010249A"/>
    <w:rsid w:val="001032B9"/>
    <w:rsid w:val="00103E9A"/>
    <w:rsid w:val="001047F1"/>
    <w:rsid w:val="0010481D"/>
    <w:rsid w:val="0011115F"/>
    <w:rsid w:val="0011570D"/>
    <w:rsid w:val="001245C7"/>
    <w:rsid w:val="0012559A"/>
    <w:rsid w:val="0013655A"/>
    <w:rsid w:val="00136A8A"/>
    <w:rsid w:val="00136D67"/>
    <w:rsid w:val="001436CD"/>
    <w:rsid w:val="0014489F"/>
    <w:rsid w:val="00145850"/>
    <w:rsid w:val="00145AC5"/>
    <w:rsid w:val="00146D1A"/>
    <w:rsid w:val="00147C88"/>
    <w:rsid w:val="00163DEF"/>
    <w:rsid w:val="00171C18"/>
    <w:rsid w:val="00175C2F"/>
    <w:rsid w:val="00184A9F"/>
    <w:rsid w:val="001858FE"/>
    <w:rsid w:val="00191755"/>
    <w:rsid w:val="00194736"/>
    <w:rsid w:val="00194DA5"/>
    <w:rsid w:val="0019615A"/>
    <w:rsid w:val="00196EF2"/>
    <w:rsid w:val="001A04FE"/>
    <w:rsid w:val="001A34DA"/>
    <w:rsid w:val="001A3751"/>
    <w:rsid w:val="001A3E5A"/>
    <w:rsid w:val="001B21E8"/>
    <w:rsid w:val="001B284F"/>
    <w:rsid w:val="001B3BA2"/>
    <w:rsid w:val="001B3F67"/>
    <w:rsid w:val="001C26F9"/>
    <w:rsid w:val="001D0067"/>
    <w:rsid w:val="001D1207"/>
    <w:rsid w:val="001D2AD5"/>
    <w:rsid w:val="001D464F"/>
    <w:rsid w:val="001D5645"/>
    <w:rsid w:val="001D651F"/>
    <w:rsid w:val="001D6CA6"/>
    <w:rsid w:val="001E116D"/>
    <w:rsid w:val="001E1DED"/>
    <w:rsid w:val="001E4570"/>
    <w:rsid w:val="001E7426"/>
    <w:rsid w:val="001E75AB"/>
    <w:rsid w:val="001F32F7"/>
    <w:rsid w:val="001F3A8B"/>
    <w:rsid w:val="001F6A68"/>
    <w:rsid w:val="00202108"/>
    <w:rsid w:val="00202B96"/>
    <w:rsid w:val="00203E55"/>
    <w:rsid w:val="00207DBC"/>
    <w:rsid w:val="002110AC"/>
    <w:rsid w:val="00213BDF"/>
    <w:rsid w:val="00217110"/>
    <w:rsid w:val="002202C9"/>
    <w:rsid w:val="00220E32"/>
    <w:rsid w:val="002233CE"/>
    <w:rsid w:val="00227B15"/>
    <w:rsid w:val="00236B56"/>
    <w:rsid w:val="00240965"/>
    <w:rsid w:val="00243152"/>
    <w:rsid w:val="002441F0"/>
    <w:rsid w:val="00252263"/>
    <w:rsid w:val="00256AAA"/>
    <w:rsid w:val="00261919"/>
    <w:rsid w:val="00267903"/>
    <w:rsid w:val="00274CEA"/>
    <w:rsid w:val="00280435"/>
    <w:rsid w:val="0028051A"/>
    <w:rsid w:val="002932DD"/>
    <w:rsid w:val="002933B9"/>
    <w:rsid w:val="00294160"/>
    <w:rsid w:val="00294FFD"/>
    <w:rsid w:val="00295F12"/>
    <w:rsid w:val="00296530"/>
    <w:rsid w:val="002975FF"/>
    <w:rsid w:val="002A196E"/>
    <w:rsid w:val="002B1EB6"/>
    <w:rsid w:val="002B1F7C"/>
    <w:rsid w:val="002B1FD5"/>
    <w:rsid w:val="002B2343"/>
    <w:rsid w:val="002B2D2D"/>
    <w:rsid w:val="002B477A"/>
    <w:rsid w:val="002B5CF3"/>
    <w:rsid w:val="002C2A18"/>
    <w:rsid w:val="002C62DB"/>
    <w:rsid w:val="002C715F"/>
    <w:rsid w:val="002D13C2"/>
    <w:rsid w:val="002D19F1"/>
    <w:rsid w:val="002D24CD"/>
    <w:rsid w:val="002D2B85"/>
    <w:rsid w:val="002D5E72"/>
    <w:rsid w:val="002D7449"/>
    <w:rsid w:val="002E111E"/>
    <w:rsid w:val="002E3307"/>
    <w:rsid w:val="002E36AE"/>
    <w:rsid w:val="002E4A72"/>
    <w:rsid w:val="002F2A71"/>
    <w:rsid w:val="002F4F92"/>
    <w:rsid w:val="002F69FA"/>
    <w:rsid w:val="002F7655"/>
    <w:rsid w:val="00300D5D"/>
    <w:rsid w:val="003031E7"/>
    <w:rsid w:val="00303F72"/>
    <w:rsid w:val="00305042"/>
    <w:rsid w:val="003060ED"/>
    <w:rsid w:val="00306369"/>
    <w:rsid w:val="00306F15"/>
    <w:rsid w:val="00310199"/>
    <w:rsid w:val="0031068F"/>
    <w:rsid w:val="00312735"/>
    <w:rsid w:val="003139AA"/>
    <w:rsid w:val="00315DA5"/>
    <w:rsid w:val="00317709"/>
    <w:rsid w:val="00321FFF"/>
    <w:rsid w:val="0032321E"/>
    <w:rsid w:val="003353E9"/>
    <w:rsid w:val="003354C0"/>
    <w:rsid w:val="0033714A"/>
    <w:rsid w:val="00337B2D"/>
    <w:rsid w:val="003436E2"/>
    <w:rsid w:val="00343A6F"/>
    <w:rsid w:val="00343D37"/>
    <w:rsid w:val="00345D25"/>
    <w:rsid w:val="003463EF"/>
    <w:rsid w:val="00350C2B"/>
    <w:rsid w:val="00354CA2"/>
    <w:rsid w:val="0035781E"/>
    <w:rsid w:val="003609DB"/>
    <w:rsid w:val="003659B3"/>
    <w:rsid w:val="00365FBA"/>
    <w:rsid w:val="00366946"/>
    <w:rsid w:val="00380BC1"/>
    <w:rsid w:val="00381E68"/>
    <w:rsid w:val="00384DFB"/>
    <w:rsid w:val="00385845"/>
    <w:rsid w:val="00385D97"/>
    <w:rsid w:val="00390884"/>
    <w:rsid w:val="0039112B"/>
    <w:rsid w:val="00392DF5"/>
    <w:rsid w:val="0039370A"/>
    <w:rsid w:val="00395916"/>
    <w:rsid w:val="003974E6"/>
    <w:rsid w:val="00397A99"/>
    <w:rsid w:val="003A24B3"/>
    <w:rsid w:val="003A3BE4"/>
    <w:rsid w:val="003B1F49"/>
    <w:rsid w:val="003B3B0C"/>
    <w:rsid w:val="003B57A6"/>
    <w:rsid w:val="003B7E32"/>
    <w:rsid w:val="003C4243"/>
    <w:rsid w:val="003C524F"/>
    <w:rsid w:val="003C5811"/>
    <w:rsid w:val="003D1BB6"/>
    <w:rsid w:val="003D2FDD"/>
    <w:rsid w:val="003D5D86"/>
    <w:rsid w:val="003D6FCB"/>
    <w:rsid w:val="003E23DC"/>
    <w:rsid w:val="003E2B31"/>
    <w:rsid w:val="003E5225"/>
    <w:rsid w:val="003E763E"/>
    <w:rsid w:val="003F69BA"/>
    <w:rsid w:val="00405009"/>
    <w:rsid w:val="00413976"/>
    <w:rsid w:val="00420E47"/>
    <w:rsid w:val="004214F4"/>
    <w:rsid w:val="00431238"/>
    <w:rsid w:val="00437030"/>
    <w:rsid w:val="0043737C"/>
    <w:rsid w:val="00445D03"/>
    <w:rsid w:val="004500D8"/>
    <w:rsid w:val="00456CC0"/>
    <w:rsid w:val="00461BD5"/>
    <w:rsid w:val="00464ACB"/>
    <w:rsid w:val="00475878"/>
    <w:rsid w:val="00485A79"/>
    <w:rsid w:val="004909D9"/>
    <w:rsid w:val="00497DDD"/>
    <w:rsid w:val="004A14BA"/>
    <w:rsid w:val="004A2EAF"/>
    <w:rsid w:val="004A6C99"/>
    <w:rsid w:val="004A7784"/>
    <w:rsid w:val="004B0642"/>
    <w:rsid w:val="004B09EF"/>
    <w:rsid w:val="004B1471"/>
    <w:rsid w:val="004B441D"/>
    <w:rsid w:val="004B5131"/>
    <w:rsid w:val="004B581D"/>
    <w:rsid w:val="004C16B6"/>
    <w:rsid w:val="004C2991"/>
    <w:rsid w:val="004D089C"/>
    <w:rsid w:val="004D2C19"/>
    <w:rsid w:val="004D3603"/>
    <w:rsid w:val="004D3628"/>
    <w:rsid w:val="004D4665"/>
    <w:rsid w:val="004D7328"/>
    <w:rsid w:val="004E2D03"/>
    <w:rsid w:val="004E3001"/>
    <w:rsid w:val="004E5D58"/>
    <w:rsid w:val="004E67BE"/>
    <w:rsid w:val="004E69D3"/>
    <w:rsid w:val="004F0B5D"/>
    <w:rsid w:val="004F2E94"/>
    <w:rsid w:val="004F3843"/>
    <w:rsid w:val="004F5304"/>
    <w:rsid w:val="00500A75"/>
    <w:rsid w:val="00500E50"/>
    <w:rsid w:val="00515B73"/>
    <w:rsid w:val="00516F3A"/>
    <w:rsid w:val="0052673F"/>
    <w:rsid w:val="00530B38"/>
    <w:rsid w:val="0053191C"/>
    <w:rsid w:val="005331A7"/>
    <w:rsid w:val="0053332C"/>
    <w:rsid w:val="00534C3D"/>
    <w:rsid w:val="0053647E"/>
    <w:rsid w:val="00536E90"/>
    <w:rsid w:val="0053711D"/>
    <w:rsid w:val="00543B21"/>
    <w:rsid w:val="0054614B"/>
    <w:rsid w:val="00546728"/>
    <w:rsid w:val="00547A7A"/>
    <w:rsid w:val="00547E01"/>
    <w:rsid w:val="005546B0"/>
    <w:rsid w:val="00554F90"/>
    <w:rsid w:val="00573107"/>
    <w:rsid w:val="00576822"/>
    <w:rsid w:val="0058277F"/>
    <w:rsid w:val="005838EC"/>
    <w:rsid w:val="005950E3"/>
    <w:rsid w:val="005970A0"/>
    <w:rsid w:val="005A77B9"/>
    <w:rsid w:val="005B1FED"/>
    <w:rsid w:val="005B6C94"/>
    <w:rsid w:val="005C14EF"/>
    <w:rsid w:val="005C243F"/>
    <w:rsid w:val="005C3BAF"/>
    <w:rsid w:val="005C5091"/>
    <w:rsid w:val="005C5E9F"/>
    <w:rsid w:val="005D03E0"/>
    <w:rsid w:val="005D1DDD"/>
    <w:rsid w:val="005D207E"/>
    <w:rsid w:val="005D2EB0"/>
    <w:rsid w:val="005D3131"/>
    <w:rsid w:val="005D4153"/>
    <w:rsid w:val="005D48B3"/>
    <w:rsid w:val="005D7F3D"/>
    <w:rsid w:val="005E386C"/>
    <w:rsid w:val="005E3F30"/>
    <w:rsid w:val="005E70A5"/>
    <w:rsid w:val="005F1A83"/>
    <w:rsid w:val="005F6E49"/>
    <w:rsid w:val="00602163"/>
    <w:rsid w:val="00617517"/>
    <w:rsid w:val="00617F1E"/>
    <w:rsid w:val="0062082B"/>
    <w:rsid w:val="006244AD"/>
    <w:rsid w:val="00626619"/>
    <w:rsid w:val="00633A18"/>
    <w:rsid w:val="00634867"/>
    <w:rsid w:val="00637267"/>
    <w:rsid w:val="00641D52"/>
    <w:rsid w:val="00646E30"/>
    <w:rsid w:val="00647570"/>
    <w:rsid w:val="00654928"/>
    <w:rsid w:val="006571D4"/>
    <w:rsid w:val="00661C3F"/>
    <w:rsid w:val="00673D51"/>
    <w:rsid w:val="006745A3"/>
    <w:rsid w:val="006747D5"/>
    <w:rsid w:val="0068052E"/>
    <w:rsid w:val="00682EE8"/>
    <w:rsid w:val="00685050"/>
    <w:rsid w:val="00685480"/>
    <w:rsid w:val="0068586F"/>
    <w:rsid w:val="0068622C"/>
    <w:rsid w:val="00692775"/>
    <w:rsid w:val="00695652"/>
    <w:rsid w:val="00696393"/>
    <w:rsid w:val="006A0060"/>
    <w:rsid w:val="006A7DEC"/>
    <w:rsid w:val="006A7E11"/>
    <w:rsid w:val="006B062C"/>
    <w:rsid w:val="006B0882"/>
    <w:rsid w:val="006B4619"/>
    <w:rsid w:val="006B489B"/>
    <w:rsid w:val="006B4F52"/>
    <w:rsid w:val="006B6165"/>
    <w:rsid w:val="006C0647"/>
    <w:rsid w:val="006C1747"/>
    <w:rsid w:val="006C4649"/>
    <w:rsid w:val="006C4D26"/>
    <w:rsid w:val="006C67E1"/>
    <w:rsid w:val="006C70B8"/>
    <w:rsid w:val="006D095B"/>
    <w:rsid w:val="006D450E"/>
    <w:rsid w:val="006D45B3"/>
    <w:rsid w:val="006D6827"/>
    <w:rsid w:val="006E03E8"/>
    <w:rsid w:val="006E24CE"/>
    <w:rsid w:val="006E2EFD"/>
    <w:rsid w:val="006E44AA"/>
    <w:rsid w:val="006E7569"/>
    <w:rsid w:val="006E7CFF"/>
    <w:rsid w:val="006F0B6B"/>
    <w:rsid w:val="006F1D55"/>
    <w:rsid w:val="006F3029"/>
    <w:rsid w:val="006F3232"/>
    <w:rsid w:val="006F474E"/>
    <w:rsid w:val="006F7A52"/>
    <w:rsid w:val="006F7FCB"/>
    <w:rsid w:val="0070381A"/>
    <w:rsid w:val="007055B1"/>
    <w:rsid w:val="007068F7"/>
    <w:rsid w:val="00707F86"/>
    <w:rsid w:val="00712790"/>
    <w:rsid w:val="007139C5"/>
    <w:rsid w:val="00713BAF"/>
    <w:rsid w:val="007210CD"/>
    <w:rsid w:val="00721B61"/>
    <w:rsid w:val="00721C33"/>
    <w:rsid w:val="00727B06"/>
    <w:rsid w:val="007301C8"/>
    <w:rsid w:val="00730C2A"/>
    <w:rsid w:val="00735AD7"/>
    <w:rsid w:val="00735BB3"/>
    <w:rsid w:val="007378E8"/>
    <w:rsid w:val="0074644C"/>
    <w:rsid w:val="00750AE5"/>
    <w:rsid w:val="0075561E"/>
    <w:rsid w:val="00767F86"/>
    <w:rsid w:val="007710C1"/>
    <w:rsid w:val="007718DA"/>
    <w:rsid w:val="00772DA6"/>
    <w:rsid w:val="0077543F"/>
    <w:rsid w:val="00777CCC"/>
    <w:rsid w:val="0078059A"/>
    <w:rsid w:val="00781673"/>
    <w:rsid w:val="00787D4F"/>
    <w:rsid w:val="00790AAD"/>
    <w:rsid w:val="00792699"/>
    <w:rsid w:val="007A5DE3"/>
    <w:rsid w:val="007B0252"/>
    <w:rsid w:val="007B1529"/>
    <w:rsid w:val="007B3ADC"/>
    <w:rsid w:val="007B4100"/>
    <w:rsid w:val="007B6838"/>
    <w:rsid w:val="007C09DC"/>
    <w:rsid w:val="007C1F59"/>
    <w:rsid w:val="007C5282"/>
    <w:rsid w:val="007C663F"/>
    <w:rsid w:val="007C7FD9"/>
    <w:rsid w:val="007D4848"/>
    <w:rsid w:val="007E17FE"/>
    <w:rsid w:val="007E253B"/>
    <w:rsid w:val="007E4DEA"/>
    <w:rsid w:val="007F06ED"/>
    <w:rsid w:val="007F0D57"/>
    <w:rsid w:val="007F281D"/>
    <w:rsid w:val="007F40F7"/>
    <w:rsid w:val="007F7657"/>
    <w:rsid w:val="007F7E19"/>
    <w:rsid w:val="008039F5"/>
    <w:rsid w:val="008104ED"/>
    <w:rsid w:val="00810BF1"/>
    <w:rsid w:val="00814769"/>
    <w:rsid w:val="00814AF3"/>
    <w:rsid w:val="00815C1D"/>
    <w:rsid w:val="00816CC7"/>
    <w:rsid w:val="00825D5A"/>
    <w:rsid w:val="008265B3"/>
    <w:rsid w:val="00832289"/>
    <w:rsid w:val="00834E69"/>
    <w:rsid w:val="008445AC"/>
    <w:rsid w:val="00854E53"/>
    <w:rsid w:val="008553D0"/>
    <w:rsid w:val="00855DD1"/>
    <w:rsid w:val="00856807"/>
    <w:rsid w:val="00857420"/>
    <w:rsid w:val="00862302"/>
    <w:rsid w:val="0086328A"/>
    <w:rsid w:val="0086371F"/>
    <w:rsid w:val="00864896"/>
    <w:rsid w:val="00866195"/>
    <w:rsid w:val="0086666E"/>
    <w:rsid w:val="00866C0E"/>
    <w:rsid w:val="00870A8B"/>
    <w:rsid w:val="00873738"/>
    <w:rsid w:val="00876068"/>
    <w:rsid w:val="0087637A"/>
    <w:rsid w:val="008766B9"/>
    <w:rsid w:val="008769CB"/>
    <w:rsid w:val="0088255C"/>
    <w:rsid w:val="0088734C"/>
    <w:rsid w:val="00887887"/>
    <w:rsid w:val="008902E3"/>
    <w:rsid w:val="008932C6"/>
    <w:rsid w:val="008A0F1F"/>
    <w:rsid w:val="008A361E"/>
    <w:rsid w:val="008B58E4"/>
    <w:rsid w:val="008B6119"/>
    <w:rsid w:val="008C768D"/>
    <w:rsid w:val="008E198E"/>
    <w:rsid w:val="008E357F"/>
    <w:rsid w:val="008F2858"/>
    <w:rsid w:val="008F40A7"/>
    <w:rsid w:val="008F704F"/>
    <w:rsid w:val="0090307F"/>
    <w:rsid w:val="0090728E"/>
    <w:rsid w:val="00912880"/>
    <w:rsid w:val="0091389F"/>
    <w:rsid w:val="009138EE"/>
    <w:rsid w:val="00916666"/>
    <w:rsid w:val="00916CF7"/>
    <w:rsid w:val="0092345C"/>
    <w:rsid w:val="009249FA"/>
    <w:rsid w:val="009273E9"/>
    <w:rsid w:val="009303EB"/>
    <w:rsid w:val="00932CC1"/>
    <w:rsid w:val="00934E6A"/>
    <w:rsid w:val="00935440"/>
    <w:rsid w:val="00945485"/>
    <w:rsid w:val="00947D29"/>
    <w:rsid w:val="0095035B"/>
    <w:rsid w:val="0095717B"/>
    <w:rsid w:val="00960101"/>
    <w:rsid w:val="0096277C"/>
    <w:rsid w:val="009654E9"/>
    <w:rsid w:val="009721C9"/>
    <w:rsid w:val="009744E0"/>
    <w:rsid w:val="00980490"/>
    <w:rsid w:val="00980DD4"/>
    <w:rsid w:val="00984236"/>
    <w:rsid w:val="00985ED3"/>
    <w:rsid w:val="009916AB"/>
    <w:rsid w:val="00993837"/>
    <w:rsid w:val="00994564"/>
    <w:rsid w:val="009A0F54"/>
    <w:rsid w:val="009A3B37"/>
    <w:rsid w:val="009A50D5"/>
    <w:rsid w:val="009A51D3"/>
    <w:rsid w:val="009A6CA8"/>
    <w:rsid w:val="009B1410"/>
    <w:rsid w:val="009B2656"/>
    <w:rsid w:val="009B55E2"/>
    <w:rsid w:val="009B64B1"/>
    <w:rsid w:val="009B7AC6"/>
    <w:rsid w:val="009C64AB"/>
    <w:rsid w:val="009D2474"/>
    <w:rsid w:val="009D3073"/>
    <w:rsid w:val="009D4B3E"/>
    <w:rsid w:val="009E08B3"/>
    <w:rsid w:val="009E5399"/>
    <w:rsid w:val="009E5727"/>
    <w:rsid w:val="009F32BE"/>
    <w:rsid w:val="009F37C8"/>
    <w:rsid w:val="009F57C9"/>
    <w:rsid w:val="009F5819"/>
    <w:rsid w:val="00A01B7B"/>
    <w:rsid w:val="00A05961"/>
    <w:rsid w:val="00A0698F"/>
    <w:rsid w:val="00A07E1A"/>
    <w:rsid w:val="00A1011B"/>
    <w:rsid w:val="00A11560"/>
    <w:rsid w:val="00A23118"/>
    <w:rsid w:val="00A24CD5"/>
    <w:rsid w:val="00A266FE"/>
    <w:rsid w:val="00A304BF"/>
    <w:rsid w:val="00A3070A"/>
    <w:rsid w:val="00A33C87"/>
    <w:rsid w:val="00A35806"/>
    <w:rsid w:val="00A37483"/>
    <w:rsid w:val="00A377D5"/>
    <w:rsid w:val="00A40F23"/>
    <w:rsid w:val="00A4172D"/>
    <w:rsid w:val="00A42292"/>
    <w:rsid w:val="00A44A00"/>
    <w:rsid w:val="00A45651"/>
    <w:rsid w:val="00A5215D"/>
    <w:rsid w:val="00A52700"/>
    <w:rsid w:val="00A548E1"/>
    <w:rsid w:val="00A561F4"/>
    <w:rsid w:val="00A570AE"/>
    <w:rsid w:val="00A57177"/>
    <w:rsid w:val="00A63FFC"/>
    <w:rsid w:val="00A72D09"/>
    <w:rsid w:val="00A72F7D"/>
    <w:rsid w:val="00A737B6"/>
    <w:rsid w:val="00A82024"/>
    <w:rsid w:val="00A82361"/>
    <w:rsid w:val="00A87E38"/>
    <w:rsid w:val="00A95A98"/>
    <w:rsid w:val="00AA0AF4"/>
    <w:rsid w:val="00AA133C"/>
    <w:rsid w:val="00AA2326"/>
    <w:rsid w:val="00AA66C3"/>
    <w:rsid w:val="00AB10D3"/>
    <w:rsid w:val="00AB2A92"/>
    <w:rsid w:val="00AB5D1B"/>
    <w:rsid w:val="00AB72F7"/>
    <w:rsid w:val="00AC3032"/>
    <w:rsid w:val="00AC4EBF"/>
    <w:rsid w:val="00AD365B"/>
    <w:rsid w:val="00AD5609"/>
    <w:rsid w:val="00AD5CC3"/>
    <w:rsid w:val="00AE01A5"/>
    <w:rsid w:val="00AE02B8"/>
    <w:rsid w:val="00AE2603"/>
    <w:rsid w:val="00AE2695"/>
    <w:rsid w:val="00AE648E"/>
    <w:rsid w:val="00AF3B43"/>
    <w:rsid w:val="00AF5F76"/>
    <w:rsid w:val="00AF6750"/>
    <w:rsid w:val="00AF6801"/>
    <w:rsid w:val="00AF74B0"/>
    <w:rsid w:val="00AF7D10"/>
    <w:rsid w:val="00B00B99"/>
    <w:rsid w:val="00B00F1F"/>
    <w:rsid w:val="00B0200F"/>
    <w:rsid w:val="00B071C9"/>
    <w:rsid w:val="00B119A5"/>
    <w:rsid w:val="00B139BE"/>
    <w:rsid w:val="00B17F18"/>
    <w:rsid w:val="00B20426"/>
    <w:rsid w:val="00B244C4"/>
    <w:rsid w:val="00B24642"/>
    <w:rsid w:val="00B31755"/>
    <w:rsid w:val="00B31BCB"/>
    <w:rsid w:val="00B31CE1"/>
    <w:rsid w:val="00B325F3"/>
    <w:rsid w:val="00B32701"/>
    <w:rsid w:val="00B34668"/>
    <w:rsid w:val="00B40A01"/>
    <w:rsid w:val="00B41DAA"/>
    <w:rsid w:val="00B4467E"/>
    <w:rsid w:val="00B4546E"/>
    <w:rsid w:val="00B45E16"/>
    <w:rsid w:val="00B45E83"/>
    <w:rsid w:val="00B46E13"/>
    <w:rsid w:val="00B477D9"/>
    <w:rsid w:val="00B61421"/>
    <w:rsid w:val="00B6403A"/>
    <w:rsid w:val="00B6661E"/>
    <w:rsid w:val="00B66BA2"/>
    <w:rsid w:val="00B70FC7"/>
    <w:rsid w:val="00B7177D"/>
    <w:rsid w:val="00B753A4"/>
    <w:rsid w:val="00B75CB6"/>
    <w:rsid w:val="00B76E71"/>
    <w:rsid w:val="00B80752"/>
    <w:rsid w:val="00B84548"/>
    <w:rsid w:val="00B86B8F"/>
    <w:rsid w:val="00B87D41"/>
    <w:rsid w:val="00B9023E"/>
    <w:rsid w:val="00B90C5E"/>
    <w:rsid w:val="00B97814"/>
    <w:rsid w:val="00BA5104"/>
    <w:rsid w:val="00BA537C"/>
    <w:rsid w:val="00BA75D1"/>
    <w:rsid w:val="00BB2660"/>
    <w:rsid w:val="00BC2977"/>
    <w:rsid w:val="00BC2FD1"/>
    <w:rsid w:val="00BC38D7"/>
    <w:rsid w:val="00BD2097"/>
    <w:rsid w:val="00BD7FB4"/>
    <w:rsid w:val="00BE1146"/>
    <w:rsid w:val="00BE6DD1"/>
    <w:rsid w:val="00BF1211"/>
    <w:rsid w:val="00BF1B05"/>
    <w:rsid w:val="00BF5830"/>
    <w:rsid w:val="00BF5E86"/>
    <w:rsid w:val="00BF6FCC"/>
    <w:rsid w:val="00BF7D65"/>
    <w:rsid w:val="00BF7E75"/>
    <w:rsid w:val="00C02C84"/>
    <w:rsid w:val="00C0627F"/>
    <w:rsid w:val="00C06444"/>
    <w:rsid w:val="00C10ABC"/>
    <w:rsid w:val="00C11FAC"/>
    <w:rsid w:val="00C11FB8"/>
    <w:rsid w:val="00C12A77"/>
    <w:rsid w:val="00C159DD"/>
    <w:rsid w:val="00C16372"/>
    <w:rsid w:val="00C2086D"/>
    <w:rsid w:val="00C233DA"/>
    <w:rsid w:val="00C2421B"/>
    <w:rsid w:val="00C26893"/>
    <w:rsid w:val="00C321E3"/>
    <w:rsid w:val="00C334D6"/>
    <w:rsid w:val="00C33992"/>
    <w:rsid w:val="00C346F7"/>
    <w:rsid w:val="00C354F6"/>
    <w:rsid w:val="00C35DE0"/>
    <w:rsid w:val="00C37B28"/>
    <w:rsid w:val="00C37C9E"/>
    <w:rsid w:val="00C41C87"/>
    <w:rsid w:val="00C428C0"/>
    <w:rsid w:val="00C43617"/>
    <w:rsid w:val="00C44EA1"/>
    <w:rsid w:val="00C537C3"/>
    <w:rsid w:val="00C544A9"/>
    <w:rsid w:val="00C5518D"/>
    <w:rsid w:val="00C56BD7"/>
    <w:rsid w:val="00C62592"/>
    <w:rsid w:val="00C64928"/>
    <w:rsid w:val="00C70814"/>
    <w:rsid w:val="00C7271D"/>
    <w:rsid w:val="00C73A00"/>
    <w:rsid w:val="00C75FE1"/>
    <w:rsid w:val="00C76F58"/>
    <w:rsid w:val="00C80C74"/>
    <w:rsid w:val="00C81029"/>
    <w:rsid w:val="00C85132"/>
    <w:rsid w:val="00C8632D"/>
    <w:rsid w:val="00C87A5C"/>
    <w:rsid w:val="00C91D7B"/>
    <w:rsid w:val="00C979D4"/>
    <w:rsid w:val="00CA4F0A"/>
    <w:rsid w:val="00CA5694"/>
    <w:rsid w:val="00CA5FD6"/>
    <w:rsid w:val="00CB486A"/>
    <w:rsid w:val="00CC1791"/>
    <w:rsid w:val="00CC2A6E"/>
    <w:rsid w:val="00CC4BF6"/>
    <w:rsid w:val="00CC7130"/>
    <w:rsid w:val="00CD30CE"/>
    <w:rsid w:val="00CD50F1"/>
    <w:rsid w:val="00CD542F"/>
    <w:rsid w:val="00CD5B36"/>
    <w:rsid w:val="00CD5D21"/>
    <w:rsid w:val="00CD76A2"/>
    <w:rsid w:val="00CE0BCF"/>
    <w:rsid w:val="00CE16BD"/>
    <w:rsid w:val="00CE3C1A"/>
    <w:rsid w:val="00CE4DBF"/>
    <w:rsid w:val="00CE4EBA"/>
    <w:rsid w:val="00CE7ABA"/>
    <w:rsid w:val="00CF429C"/>
    <w:rsid w:val="00CF58D1"/>
    <w:rsid w:val="00CF7027"/>
    <w:rsid w:val="00CF702C"/>
    <w:rsid w:val="00D01707"/>
    <w:rsid w:val="00D06EDB"/>
    <w:rsid w:val="00D154E0"/>
    <w:rsid w:val="00D15D82"/>
    <w:rsid w:val="00D21586"/>
    <w:rsid w:val="00D221DA"/>
    <w:rsid w:val="00D222E0"/>
    <w:rsid w:val="00D2385D"/>
    <w:rsid w:val="00D255CC"/>
    <w:rsid w:val="00D32769"/>
    <w:rsid w:val="00D338E9"/>
    <w:rsid w:val="00D36708"/>
    <w:rsid w:val="00D40C24"/>
    <w:rsid w:val="00D52434"/>
    <w:rsid w:val="00D53A38"/>
    <w:rsid w:val="00D56F8D"/>
    <w:rsid w:val="00D61B4D"/>
    <w:rsid w:val="00D726B7"/>
    <w:rsid w:val="00D736E8"/>
    <w:rsid w:val="00D75A79"/>
    <w:rsid w:val="00D75E9E"/>
    <w:rsid w:val="00D75EE5"/>
    <w:rsid w:val="00D772D9"/>
    <w:rsid w:val="00D847E9"/>
    <w:rsid w:val="00D84E19"/>
    <w:rsid w:val="00D86228"/>
    <w:rsid w:val="00D87D46"/>
    <w:rsid w:val="00D920BA"/>
    <w:rsid w:val="00DA45BC"/>
    <w:rsid w:val="00DA5741"/>
    <w:rsid w:val="00DA619D"/>
    <w:rsid w:val="00DB099F"/>
    <w:rsid w:val="00DB2DF7"/>
    <w:rsid w:val="00DB4EF5"/>
    <w:rsid w:val="00DB7042"/>
    <w:rsid w:val="00DC0055"/>
    <w:rsid w:val="00DC01F4"/>
    <w:rsid w:val="00DC27F3"/>
    <w:rsid w:val="00DC2C93"/>
    <w:rsid w:val="00DC36CD"/>
    <w:rsid w:val="00DD11E0"/>
    <w:rsid w:val="00DD25A1"/>
    <w:rsid w:val="00DD40A8"/>
    <w:rsid w:val="00DD4DA7"/>
    <w:rsid w:val="00DE2948"/>
    <w:rsid w:val="00DE5D8A"/>
    <w:rsid w:val="00DE6D9D"/>
    <w:rsid w:val="00DF0544"/>
    <w:rsid w:val="00DF243E"/>
    <w:rsid w:val="00DF2A56"/>
    <w:rsid w:val="00DF5060"/>
    <w:rsid w:val="00DF7CA2"/>
    <w:rsid w:val="00E00CD3"/>
    <w:rsid w:val="00E0288A"/>
    <w:rsid w:val="00E04128"/>
    <w:rsid w:val="00E05153"/>
    <w:rsid w:val="00E27C1D"/>
    <w:rsid w:val="00E32407"/>
    <w:rsid w:val="00E3266E"/>
    <w:rsid w:val="00E32F0C"/>
    <w:rsid w:val="00E3594D"/>
    <w:rsid w:val="00E3718D"/>
    <w:rsid w:val="00E37D76"/>
    <w:rsid w:val="00E41A1F"/>
    <w:rsid w:val="00E42D4D"/>
    <w:rsid w:val="00E4415B"/>
    <w:rsid w:val="00E468CA"/>
    <w:rsid w:val="00E51F1B"/>
    <w:rsid w:val="00E535AD"/>
    <w:rsid w:val="00E54D6C"/>
    <w:rsid w:val="00E57782"/>
    <w:rsid w:val="00E61173"/>
    <w:rsid w:val="00E61F05"/>
    <w:rsid w:val="00E64A48"/>
    <w:rsid w:val="00E64C63"/>
    <w:rsid w:val="00E668ED"/>
    <w:rsid w:val="00E718AB"/>
    <w:rsid w:val="00E71CEC"/>
    <w:rsid w:val="00E720A7"/>
    <w:rsid w:val="00E72C01"/>
    <w:rsid w:val="00E747DE"/>
    <w:rsid w:val="00E824C6"/>
    <w:rsid w:val="00E82862"/>
    <w:rsid w:val="00E84C6B"/>
    <w:rsid w:val="00E860B9"/>
    <w:rsid w:val="00E86711"/>
    <w:rsid w:val="00E94533"/>
    <w:rsid w:val="00E9598B"/>
    <w:rsid w:val="00E977C1"/>
    <w:rsid w:val="00EA2077"/>
    <w:rsid w:val="00EA29D4"/>
    <w:rsid w:val="00EA5CF3"/>
    <w:rsid w:val="00EB0661"/>
    <w:rsid w:val="00EB1A14"/>
    <w:rsid w:val="00EB4116"/>
    <w:rsid w:val="00EC1193"/>
    <w:rsid w:val="00EC3CC3"/>
    <w:rsid w:val="00EC5C99"/>
    <w:rsid w:val="00EC7B97"/>
    <w:rsid w:val="00ED40B9"/>
    <w:rsid w:val="00ED5C04"/>
    <w:rsid w:val="00ED6A20"/>
    <w:rsid w:val="00ED7E7F"/>
    <w:rsid w:val="00EE0CA8"/>
    <w:rsid w:val="00EE71EA"/>
    <w:rsid w:val="00EF0CC9"/>
    <w:rsid w:val="00EF311B"/>
    <w:rsid w:val="00EF4892"/>
    <w:rsid w:val="00EF556D"/>
    <w:rsid w:val="00EF65A3"/>
    <w:rsid w:val="00EF75A9"/>
    <w:rsid w:val="00F0064C"/>
    <w:rsid w:val="00F00D90"/>
    <w:rsid w:val="00F00EE8"/>
    <w:rsid w:val="00F029FB"/>
    <w:rsid w:val="00F07BEC"/>
    <w:rsid w:val="00F131DE"/>
    <w:rsid w:val="00F1518B"/>
    <w:rsid w:val="00F154E9"/>
    <w:rsid w:val="00F27E18"/>
    <w:rsid w:val="00F31A0F"/>
    <w:rsid w:val="00F31D1A"/>
    <w:rsid w:val="00F32168"/>
    <w:rsid w:val="00F342AE"/>
    <w:rsid w:val="00F3744E"/>
    <w:rsid w:val="00F4079C"/>
    <w:rsid w:val="00F42423"/>
    <w:rsid w:val="00F45134"/>
    <w:rsid w:val="00F467A5"/>
    <w:rsid w:val="00F506CA"/>
    <w:rsid w:val="00F5248E"/>
    <w:rsid w:val="00F53637"/>
    <w:rsid w:val="00F6245D"/>
    <w:rsid w:val="00F62DCF"/>
    <w:rsid w:val="00F6349B"/>
    <w:rsid w:val="00F65A46"/>
    <w:rsid w:val="00F677FE"/>
    <w:rsid w:val="00F705E8"/>
    <w:rsid w:val="00F72891"/>
    <w:rsid w:val="00F76E45"/>
    <w:rsid w:val="00F76E66"/>
    <w:rsid w:val="00F8408F"/>
    <w:rsid w:val="00F906AB"/>
    <w:rsid w:val="00F921D3"/>
    <w:rsid w:val="00FA4D1F"/>
    <w:rsid w:val="00FA5BE9"/>
    <w:rsid w:val="00FB1D09"/>
    <w:rsid w:val="00FB36C9"/>
    <w:rsid w:val="00FB54E1"/>
    <w:rsid w:val="00FC5CD9"/>
    <w:rsid w:val="00FC5EF4"/>
    <w:rsid w:val="00FC75E8"/>
    <w:rsid w:val="00FD080E"/>
    <w:rsid w:val="00FD15F7"/>
    <w:rsid w:val="00FD2C63"/>
    <w:rsid w:val="00FD43AC"/>
    <w:rsid w:val="00FD549D"/>
    <w:rsid w:val="00FD560B"/>
    <w:rsid w:val="00FF411D"/>
    <w:rsid w:val="08CE1480"/>
    <w:rsid w:val="0919607C"/>
    <w:rsid w:val="0B655C41"/>
    <w:rsid w:val="14C671AC"/>
    <w:rsid w:val="18966EE7"/>
    <w:rsid w:val="19F55DAB"/>
    <w:rsid w:val="1D7C6086"/>
    <w:rsid w:val="2B45218A"/>
    <w:rsid w:val="3BCE04A2"/>
    <w:rsid w:val="3F21579C"/>
    <w:rsid w:val="3FC6532D"/>
    <w:rsid w:val="646002B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4D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uiPriority="0"/>
    <w:lsdException w:name="heading 4" w:uiPriority="0" w:qFormat="1"/>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pPr>
    <w:rPr>
      <w:lang w:val="en-CA" w:eastAsia="ru-RU"/>
    </w:rPr>
  </w:style>
  <w:style w:type="paragraph" w:styleId="Heading1">
    <w:name w:val="heading 1"/>
    <w:basedOn w:val="Normal"/>
    <w:next w:val="Normal"/>
    <w:qFormat/>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qFormat/>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imes New Roman" w:hAnsi="Times New Roman" w:cs="Times New Roman"/>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itle">
    <w:name w:val="Title"/>
    <w:basedOn w:val="Normal"/>
    <w:next w:val="Normal"/>
    <w:pPr>
      <w:keepNext/>
      <w:keepLines/>
      <w:spacing w:before="480" w:after="120"/>
      <w:contextualSpacing/>
    </w:pPr>
    <w:rPr>
      <w:b/>
      <w:sz w:val="72"/>
      <w:szCs w:val="72"/>
    </w:rPr>
  </w:style>
  <w:style w:type="table" w:customStyle="1" w:styleId="TableNormal1">
    <w:name w:val="Table Normal1"/>
    <w:qFormat/>
    <w:tblPr>
      <w:tblCellMar>
        <w:top w:w="0" w:type="dxa"/>
        <w:left w:w="0" w:type="dxa"/>
        <w:bottom w:w="0" w:type="dxa"/>
        <w:right w:w="0" w:type="dxa"/>
      </w:tblCellMar>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Times New Roman" w:hAnsi="Times New Roman" w:cs="Times New Roman"/>
      <w:sz w:val="18"/>
      <w:szCs w:val="18"/>
    </w:rPr>
  </w:style>
  <w:style w:type="character" w:customStyle="1" w:styleId="CommentTextChar">
    <w:name w:val="Comment Text Char"/>
    <w:basedOn w:val="DefaultParagraphFont"/>
    <w:link w:val="CommentText"/>
    <w:uiPriority w:val="99"/>
    <w:semiHidden/>
    <w:qFormat/>
  </w:style>
  <w:style w:type="character" w:customStyle="1" w:styleId="CommentSubjectChar">
    <w:name w:val="Comment Subject Char"/>
    <w:basedOn w:val="CommentTextChar"/>
    <w:link w:val="CommentSubject"/>
    <w:uiPriority w:val="99"/>
    <w:semiHidden/>
    <w:qFormat/>
    <w:rPr>
      <w:b/>
      <w:bCs/>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016/j.jclepro.2020.120390" TargetMode="External"/><Relationship Id="rId18" Type="http://schemas.openxmlformats.org/officeDocument/2006/relationships/hyperlink" Target="https://doi.org/10.3390/su14074283" TargetMode="External"/><Relationship Id="rId26" Type="http://schemas.openxmlformats.org/officeDocument/2006/relationships/hyperlink" Target="https://www.rivercafe.co.uk/" TargetMode="External"/><Relationship Id="rId21" Type="http://schemas.openxmlformats.org/officeDocument/2006/relationships/hyperlink" Target="http://dx.doi.org/10.6007/IJARBSS/v13-i3/16471" TargetMode="External"/><Relationship Id="rId34" Type="http://schemas.openxmlformats.org/officeDocument/2006/relationships/header" Target="header3.xml"/><Relationship Id="rId7" Type="http://schemas.openxmlformats.org/officeDocument/2006/relationships/hyperlink" Target="https://doi.org/10.1016/j.ijhm.2018.10.010" TargetMode="External"/><Relationship Id="rId12" Type="http://schemas.openxmlformats.org/officeDocument/2006/relationships/hyperlink" Target="https://doi.org/10.15728/bbr.2023.20.3.2.en" TargetMode="External"/><Relationship Id="rId17" Type="http://schemas.openxmlformats.org/officeDocument/2006/relationships/hyperlink" Target="https://doi.org/10.1016/j.ijme.2022.100703" TargetMode="External"/><Relationship Id="rId25" Type="http://schemas.openxmlformats.org/officeDocument/2006/relationships/hyperlink" Target="https://www.thepighotel.com/"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rivercottage.net/" TargetMode="External"/><Relationship Id="rId20" Type="http://schemas.openxmlformats.org/officeDocument/2006/relationships/hyperlink" Target="https://doi.org/10.1177/20597991211050477"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776/remo.vi19.7224" TargetMode="External"/><Relationship Id="rId24" Type="http://schemas.openxmlformats.org/officeDocument/2006/relationships/hyperlink" Target="https://ivycollection.com/restaurants/the-ivy-chelsea-garden/"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hs-conferences.org/articles/shsconf/pdf/2020/02/shsconf_glob2020_02010.pdf" TargetMode="External"/><Relationship Id="rId23" Type="http://schemas.openxmlformats.org/officeDocument/2006/relationships/hyperlink" Target="https://london.tastefestivals.com/" TargetMode="External"/><Relationship Id="rId28" Type="http://schemas.openxmlformats.org/officeDocument/2006/relationships/hyperlink" Target="https://doi.org/10.3390/foods10092172" TargetMode="External"/><Relationship Id="rId36" Type="http://schemas.openxmlformats.org/officeDocument/2006/relationships/fontTable" Target="fontTable.xml"/><Relationship Id="rId10" Type="http://schemas.openxmlformats.org/officeDocument/2006/relationships/hyperlink" Target="https://doi.org/10.1155/2022/1649160" TargetMode="External"/><Relationship Id="rId19" Type="http://schemas.openxmlformats.org/officeDocument/2006/relationships/hyperlink" Target="https://secretgardenkent.co.uk/"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i.org/10.3389/fpsyg.2021.751821" TargetMode="External"/><Relationship Id="rId14" Type="http://schemas.openxmlformats.org/officeDocument/2006/relationships/hyperlink" Target="https://www.e3s-conferences.org/articles/e3sconf/pdf/2021/51/e3sconf_eilcd2021_03007.pdf" TargetMode="External"/><Relationship Id="rId22" Type="http://schemas.openxmlformats.org/officeDocument/2006/relationships/hyperlink" Target="https://oulurepo.oulu.fi/bitstream/handle/10024/29204/nbnfi-fe202102124639.pdf?sequence=1" TargetMode="External"/><Relationship Id="rId27" Type="http://schemas.openxmlformats.org/officeDocument/2006/relationships/hyperlink" Target="https://www.wahaca.co.uk/sustainability/environment/"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doi.org/10.3390/su12051904"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TPYTeYTAd1XuXajvJegESKZN7Q==">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3317</Words>
  <Characters>18911</Characters>
  <Application>Microsoft Office Word</Application>
  <DocSecurity>0</DocSecurity>
  <Lines>157</Lines>
  <Paragraphs>44</Paragraphs>
  <ScaleCrop>false</ScaleCrop>
  <LinksUpToDate>false</LinksUpToDate>
  <CharactersWithSpaces>22184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2024-02-16T11:33:00Z</dcterms:created>
  <dcterms:modified xsi:type="dcterms:W3CDTF">2024-02-26T15:24:00Z</dcterms:modified>
</cp:coreProperties>
</file>