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99FC7" w14:textId="2BAF84C1" w:rsidR="00860940" w:rsidRPr="00144FAB" w:rsidRDefault="00067D57" w:rsidP="00C57FF5">
      <w:pPr>
        <w:spacing w:before="240" w:after="0" w:line="360" w:lineRule="auto"/>
        <w:rPr>
          <w:rFonts w:cs="Arial"/>
          <w:b/>
          <w:bCs/>
        </w:rPr>
      </w:pPr>
      <w:r w:rsidRPr="00144FAB">
        <w:rPr>
          <w:rFonts w:cs="Arial"/>
          <w:noProof/>
          <w:lang w:val="en-US"/>
        </w:rPr>
        <w:drawing>
          <wp:inline distT="0" distB="0" distL="0" distR="0" wp14:anchorId="6D34CA14" wp14:editId="1D39491E">
            <wp:extent cx="2623078" cy="116754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623078" cy="1167542"/>
                    </a:xfrm>
                    <a:prstGeom prst="rect">
                      <a:avLst/>
                    </a:prstGeom>
                    <a:ln/>
                  </pic:spPr>
                </pic:pic>
              </a:graphicData>
            </a:graphic>
          </wp:inline>
        </w:drawing>
      </w:r>
    </w:p>
    <w:p w14:paraId="12A39E0A" w14:textId="1090DD5D" w:rsidR="00860940" w:rsidRPr="00144FAB" w:rsidRDefault="00067D57" w:rsidP="00C57FF5">
      <w:pPr>
        <w:spacing w:before="240" w:after="0" w:line="360" w:lineRule="auto"/>
        <w:rPr>
          <w:rFonts w:cs="Arial"/>
          <w:b/>
          <w:bCs/>
          <w:sz w:val="32"/>
          <w:szCs w:val="32"/>
        </w:rPr>
      </w:pPr>
      <w:r w:rsidRPr="00144FAB">
        <w:rPr>
          <w:rFonts w:cs="Arial"/>
          <w:b/>
          <w:bCs/>
          <w:sz w:val="32"/>
          <w:szCs w:val="32"/>
        </w:rPr>
        <w:t xml:space="preserve">Name: </w:t>
      </w:r>
      <w:r w:rsidR="00805003" w:rsidRPr="00805003">
        <w:rPr>
          <w:rFonts w:cs="Arial"/>
          <w:b/>
          <w:bCs/>
          <w:sz w:val="32"/>
          <w:szCs w:val="32"/>
        </w:rPr>
        <w:t>Aroosa khan</w:t>
      </w:r>
    </w:p>
    <w:p w14:paraId="29F2AC24" w14:textId="75E807D0" w:rsidR="00860940" w:rsidRPr="00144FAB" w:rsidRDefault="00067D57" w:rsidP="00C57FF5">
      <w:pPr>
        <w:spacing w:before="240" w:after="0" w:line="360" w:lineRule="auto"/>
        <w:rPr>
          <w:rFonts w:cs="Arial"/>
          <w:b/>
          <w:bCs/>
          <w:sz w:val="32"/>
          <w:szCs w:val="32"/>
        </w:rPr>
      </w:pPr>
      <w:r w:rsidRPr="00144FAB">
        <w:rPr>
          <w:rFonts w:cs="Arial"/>
          <w:b/>
          <w:bCs/>
          <w:sz w:val="32"/>
          <w:szCs w:val="32"/>
        </w:rPr>
        <w:t xml:space="preserve">Student ID: </w:t>
      </w:r>
      <w:r w:rsidR="00805003" w:rsidRPr="00805003">
        <w:rPr>
          <w:rFonts w:cs="Arial"/>
          <w:b/>
          <w:bCs/>
          <w:sz w:val="32"/>
          <w:szCs w:val="32"/>
        </w:rPr>
        <w:t>2413354</w:t>
      </w:r>
    </w:p>
    <w:p w14:paraId="5DC2B7FE" w14:textId="77777777" w:rsidR="00860940" w:rsidRPr="00144FAB" w:rsidRDefault="00067D57" w:rsidP="00C57FF5">
      <w:pPr>
        <w:spacing w:before="240" w:after="0" w:line="360" w:lineRule="auto"/>
        <w:rPr>
          <w:rFonts w:cs="Arial"/>
          <w:b/>
          <w:bCs/>
          <w:sz w:val="32"/>
          <w:szCs w:val="32"/>
        </w:rPr>
      </w:pPr>
      <w:r w:rsidRPr="00144FAB">
        <w:rPr>
          <w:rFonts w:cs="Arial"/>
          <w:b/>
          <w:bCs/>
          <w:sz w:val="32"/>
          <w:szCs w:val="32"/>
        </w:rPr>
        <w:t xml:space="preserve">Module Code: </w:t>
      </w:r>
      <w:r w:rsidR="0013434A" w:rsidRPr="00144FAB">
        <w:rPr>
          <w:rFonts w:cs="Arial"/>
          <w:b/>
          <w:bCs/>
          <w:color w:val="000000"/>
          <w:sz w:val="32"/>
          <w:szCs w:val="32"/>
        </w:rPr>
        <w:t>LCHS4001</w:t>
      </w:r>
    </w:p>
    <w:p w14:paraId="12198017" w14:textId="77777777" w:rsidR="00860940" w:rsidRPr="00144FAB" w:rsidRDefault="00067D57" w:rsidP="00C57FF5">
      <w:pPr>
        <w:spacing w:before="240" w:after="0" w:line="360" w:lineRule="auto"/>
        <w:rPr>
          <w:rFonts w:cs="Arial"/>
          <w:b/>
          <w:bCs/>
          <w:sz w:val="32"/>
          <w:szCs w:val="32"/>
        </w:rPr>
      </w:pPr>
      <w:r w:rsidRPr="00144FAB">
        <w:rPr>
          <w:rFonts w:cs="Arial"/>
          <w:b/>
          <w:bCs/>
          <w:sz w:val="32"/>
          <w:szCs w:val="32"/>
        </w:rPr>
        <w:t xml:space="preserve">Module: </w:t>
      </w:r>
      <w:r w:rsidR="0013434A" w:rsidRPr="00144FAB">
        <w:rPr>
          <w:rFonts w:cs="Arial"/>
          <w:b/>
          <w:bCs/>
          <w:color w:val="000000"/>
          <w:sz w:val="32"/>
          <w:szCs w:val="32"/>
        </w:rPr>
        <w:t>Academic and Employability skills</w:t>
      </w:r>
    </w:p>
    <w:p w14:paraId="7753ACA6" w14:textId="064420C4" w:rsidR="00860940" w:rsidRPr="00144FAB" w:rsidRDefault="00067D57" w:rsidP="00C57FF5">
      <w:pPr>
        <w:spacing w:before="240" w:after="0" w:line="360" w:lineRule="auto"/>
        <w:rPr>
          <w:rFonts w:cs="Arial"/>
          <w:b/>
          <w:bCs/>
          <w:sz w:val="32"/>
          <w:szCs w:val="32"/>
        </w:rPr>
      </w:pPr>
      <w:r w:rsidRPr="00144FAB">
        <w:rPr>
          <w:rFonts w:cs="Arial"/>
          <w:b/>
          <w:bCs/>
          <w:sz w:val="32"/>
          <w:szCs w:val="32"/>
        </w:rPr>
        <w:t xml:space="preserve">Lecturer: </w:t>
      </w:r>
      <w:r w:rsidR="00805003" w:rsidRPr="00805003">
        <w:rPr>
          <w:rFonts w:cs="Arial"/>
          <w:b/>
          <w:bCs/>
          <w:sz w:val="32"/>
          <w:szCs w:val="32"/>
        </w:rPr>
        <w:t xml:space="preserve">Abdulla </w:t>
      </w:r>
      <w:r w:rsidR="00805003">
        <w:rPr>
          <w:rFonts w:cs="Arial"/>
          <w:b/>
          <w:bCs/>
          <w:sz w:val="32"/>
          <w:szCs w:val="32"/>
        </w:rPr>
        <w:t>Sodiq</w:t>
      </w:r>
      <w:r w:rsidR="00805003" w:rsidRPr="00805003">
        <w:rPr>
          <w:rFonts w:cs="Arial"/>
          <w:b/>
          <w:bCs/>
          <w:sz w:val="32"/>
          <w:szCs w:val="32"/>
        </w:rPr>
        <w:t xml:space="preserve"> </w:t>
      </w:r>
    </w:p>
    <w:p w14:paraId="60134248" w14:textId="77777777" w:rsidR="00860940" w:rsidRPr="00144FAB" w:rsidRDefault="00753C11" w:rsidP="00C57FF5">
      <w:pPr>
        <w:spacing w:before="240" w:after="0" w:line="360" w:lineRule="auto"/>
        <w:rPr>
          <w:rFonts w:cs="Arial"/>
          <w:b/>
          <w:sz w:val="32"/>
          <w:szCs w:val="32"/>
        </w:rPr>
      </w:pPr>
      <w:r w:rsidRPr="00144FAB">
        <w:rPr>
          <w:rFonts w:cs="Arial"/>
          <w:b/>
          <w:sz w:val="32"/>
          <w:szCs w:val="32"/>
        </w:rPr>
        <w:t>Assignment Title: Evaluating the Role and Essential Skills of Adult Social Workers in Health and Social Care</w:t>
      </w:r>
    </w:p>
    <w:p w14:paraId="19EA5D10" w14:textId="77777777" w:rsidR="00860940" w:rsidRPr="00144FAB" w:rsidRDefault="00860940" w:rsidP="00C57FF5">
      <w:pPr>
        <w:spacing w:before="240" w:after="0" w:line="360" w:lineRule="auto"/>
        <w:rPr>
          <w:rFonts w:cs="Arial"/>
          <w:sz w:val="28"/>
          <w:szCs w:val="28"/>
        </w:rPr>
      </w:pPr>
    </w:p>
    <w:p w14:paraId="4F00FFE2" w14:textId="1584B11A" w:rsidR="00860940" w:rsidRPr="00144FAB" w:rsidRDefault="00067D57" w:rsidP="00C57FF5">
      <w:pPr>
        <w:spacing w:before="240" w:after="0" w:line="360" w:lineRule="auto"/>
        <w:rPr>
          <w:rFonts w:cs="Arial"/>
          <w:sz w:val="28"/>
          <w:szCs w:val="28"/>
        </w:rPr>
      </w:pPr>
      <w:r w:rsidRPr="00144FAB">
        <w:rPr>
          <w:rFonts w:cs="Arial"/>
          <w:sz w:val="28"/>
          <w:szCs w:val="28"/>
        </w:rPr>
        <w:tab/>
      </w:r>
      <w:r w:rsidRPr="00144FAB">
        <w:rPr>
          <w:rFonts w:cs="Arial"/>
          <w:sz w:val="28"/>
          <w:szCs w:val="28"/>
        </w:rPr>
        <w:tab/>
      </w:r>
      <w:r w:rsidRPr="00144FAB">
        <w:rPr>
          <w:rFonts w:cs="Arial"/>
          <w:sz w:val="28"/>
          <w:szCs w:val="28"/>
        </w:rPr>
        <w:tab/>
      </w:r>
      <w:r w:rsidRPr="00144FAB">
        <w:rPr>
          <w:rFonts w:cs="Arial"/>
          <w:sz w:val="28"/>
          <w:szCs w:val="28"/>
        </w:rPr>
        <w:tab/>
        <w:t xml:space="preserve">Submitted on:   </w:t>
      </w:r>
      <w:r w:rsidR="00E3674C" w:rsidRPr="00E3674C">
        <w:rPr>
          <w:rFonts w:cs="Arial"/>
          <w:sz w:val="28"/>
          <w:szCs w:val="28"/>
        </w:rPr>
        <w:t>22/07/2026</w:t>
      </w:r>
      <w:r w:rsidRPr="00144FAB">
        <w:rPr>
          <w:rFonts w:cs="Arial"/>
          <w:sz w:val="28"/>
          <w:szCs w:val="28"/>
        </w:rPr>
        <w:t xml:space="preserve"> </w:t>
      </w:r>
    </w:p>
    <w:p w14:paraId="74656F78" w14:textId="77777777" w:rsidR="00860940" w:rsidRPr="00144FAB" w:rsidRDefault="00860940" w:rsidP="00C57FF5">
      <w:pPr>
        <w:spacing w:before="240" w:after="0" w:line="360" w:lineRule="auto"/>
        <w:rPr>
          <w:rFonts w:cs="Arial"/>
          <w:sz w:val="28"/>
          <w:szCs w:val="28"/>
        </w:rPr>
      </w:pPr>
    </w:p>
    <w:p w14:paraId="72723DC9" w14:textId="77777777" w:rsidR="00753C11" w:rsidRPr="00144FAB" w:rsidRDefault="00753C11" w:rsidP="00C57FF5">
      <w:pPr>
        <w:spacing w:before="240" w:after="0" w:line="360" w:lineRule="auto"/>
        <w:rPr>
          <w:rFonts w:cs="Arial"/>
          <w:color w:val="2F5496"/>
          <w:sz w:val="28"/>
          <w:szCs w:val="28"/>
        </w:rPr>
      </w:pPr>
      <w:r w:rsidRPr="00144FAB">
        <w:rPr>
          <w:rFonts w:cs="Arial"/>
          <w:color w:val="2F5496"/>
          <w:sz w:val="28"/>
          <w:szCs w:val="28"/>
        </w:rPr>
        <w:br w:type="page"/>
      </w:r>
    </w:p>
    <w:p w14:paraId="23B93724" w14:textId="77777777" w:rsidR="00860940" w:rsidRPr="00144FAB" w:rsidRDefault="00067D57" w:rsidP="00C57FF5">
      <w:pPr>
        <w:keepNext/>
        <w:keepLines/>
        <w:pBdr>
          <w:top w:val="nil"/>
          <w:left w:val="nil"/>
          <w:bottom w:val="nil"/>
          <w:right w:val="nil"/>
          <w:between w:val="nil"/>
        </w:pBdr>
        <w:spacing w:before="240" w:after="0" w:line="360" w:lineRule="auto"/>
        <w:rPr>
          <w:rFonts w:cs="Arial"/>
          <w:color w:val="2F5496"/>
          <w:sz w:val="28"/>
          <w:szCs w:val="28"/>
        </w:rPr>
      </w:pPr>
      <w:r w:rsidRPr="00144FAB">
        <w:rPr>
          <w:rFonts w:cs="Arial"/>
          <w:color w:val="2F5496"/>
          <w:sz w:val="28"/>
          <w:szCs w:val="28"/>
        </w:rPr>
        <w:lastRenderedPageBreak/>
        <w:t>Contents</w:t>
      </w:r>
    </w:p>
    <w:sdt>
      <w:sdtPr>
        <w:rPr>
          <w:rFonts w:cs="Arial"/>
        </w:rPr>
        <w:id w:val="339449861"/>
        <w:docPartObj>
          <w:docPartGallery w:val="Table of Contents"/>
          <w:docPartUnique/>
        </w:docPartObj>
      </w:sdtPr>
      <w:sdtEndPr/>
      <w:sdtContent>
        <w:p w14:paraId="7D9FADAC" w14:textId="360230E0" w:rsidR="00144FAB" w:rsidRPr="00144FAB" w:rsidRDefault="00067D57">
          <w:pPr>
            <w:pStyle w:val="TOC1"/>
            <w:tabs>
              <w:tab w:val="right" w:pos="9016"/>
            </w:tabs>
            <w:rPr>
              <w:rFonts w:eastAsiaTheme="minorEastAsia" w:cs="Arial"/>
              <w:noProof/>
              <w:szCs w:val="22"/>
              <w:lang w:val="en-US"/>
            </w:rPr>
          </w:pPr>
          <w:r w:rsidRPr="00144FAB">
            <w:rPr>
              <w:rFonts w:cs="Arial"/>
            </w:rPr>
            <w:fldChar w:fldCharType="begin"/>
          </w:r>
          <w:r w:rsidRPr="00144FAB">
            <w:rPr>
              <w:rFonts w:cs="Arial"/>
            </w:rPr>
            <w:instrText xml:space="preserve"> TOC \h \u \z \t "Heading 1,1,Heading 2,2,Heading 3,3,"</w:instrText>
          </w:r>
          <w:r w:rsidRPr="00144FAB">
            <w:rPr>
              <w:rFonts w:cs="Arial"/>
            </w:rPr>
            <w:fldChar w:fldCharType="separate"/>
          </w:r>
          <w:hyperlink w:anchor="_Toc235403352" w:history="1">
            <w:r w:rsidR="00144FAB" w:rsidRPr="00144FAB">
              <w:rPr>
                <w:rStyle w:val="Hyperlink"/>
                <w:rFonts w:cs="Arial"/>
                <w:noProof/>
              </w:rPr>
              <w:t>1.1 Introduction</w:t>
            </w:r>
            <w:r w:rsidR="00144FAB" w:rsidRPr="00144FAB">
              <w:rPr>
                <w:rFonts w:cs="Arial"/>
                <w:noProof/>
                <w:webHidden/>
              </w:rPr>
              <w:tab/>
            </w:r>
            <w:r w:rsidR="00144FAB" w:rsidRPr="00144FAB">
              <w:rPr>
                <w:rFonts w:cs="Arial"/>
                <w:noProof/>
                <w:webHidden/>
              </w:rPr>
              <w:fldChar w:fldCharType="begin"/>
            </w:r>
            <w:r w:rsidR="00144FAB" w:rsidRPr="00144FAB">
              <w:rPr>
                <w:rFonts w:cs="Arial"/>
                <w:noProof/>
                <w:webHidden/>
              </w:rPr>
              <w:instrText xml:space="preserve"> PAGEREF _Toc235403352 \h </w:instrText>
            </w:r>
            <w:r w:rsidR="00144FAB" w:rsidRPr="00144FAB">
              <w:rPr>
                <w:rFonts w:cs="Arial"/>
                <w:noProof/>
                <w:webHidden/>
              </w:rPr>
            </w:r>
            <w:r w:rsidR="00144FAB" w:rsidRPr="00144FAB">
              <w:rPr>
                <w:rFonts w:cs="Arial"/>
                <w:noProof/>
                <w:webHidden/>
              </w:rPr>
              <w:fldChar w:fldCharType="separate"/>
            </w:r>
            <w:r w:rsidR="00144FAB" w:rsidRPr="00144FAB">
              <w:rPr>
                <w:rFonts w:cs="Arial"/>
                <w:noProof/>
                <w:webHidden/>
              </w:rPr>
              <w:t>3</w:t>
            </w:r>
            <w:r w:rsidR="00144FAB" w:rsidRPr="00144FAB">
              <w:rPr>
                <w:rFonts w:cs="Arial"/>
                <w:noProof/>
                <w:webHidden/>
              </w:rPr>
              <w:fldChar w:fldCharType="end"/>
            </w:r>
          </w:hyperlink>
        </w:p>
        <w:p w14:paraId="71D69DBC" w14:textId="55228046" w:rsidR="00144FAB" w:rsidRPr="00144FAB" w:rsidRDefault="00E7507C">
          <w:pPr>
            <w:pStyle w:val="TOC1"/>
            <w:tabs>
              <w:tab w:val="right" w:pos="9016"/>
            </w:tabs>
            <w:rPr>
              <w:rFonts w:eastAsiaTheme="minorEastAsia" w:cs="Arial"/>
              <w:noProof/>
              <w:szCs w:val="22"/>
              <w:lang w:val="en-US"/>
            </w:rPr>
          </w:pPr>
          <w:hyperlink w:anchor="_Toc235403353" w:history="1">
            <w:r w:rsidR="00144FAB" w:rsidRPr="00144FAB">
              <w:rPr>
                <w:rStyle w:val="Hyperlink"/>
                <w:rFonts w:cs="Arial"/>
                <w:noProof/>
              </w:rPr>
              <w:t>1.2 Description of, and background to, Adult social worker in healthcare</w:t>
            </w:r>
            <w:r w:rsidR="00144FAB" w:rsidRPr="00144FAB">
              <w:rPr>
                <w:rFonts w:cs="Arial"/>
                <w:noProof/>
                <w:webHidden/>
              </w:rPr>
              <w:tab/>
            </w:r>
            <w:r w:rsidR="00144FAB" w:rsidRPr="00144FAB">
              <w:rPr>
                <w:rFonts w:cs="Arial"/>
                <w:noProof/>
                <w:webHidden/>
              </w:rPr>
              <w:fldChar w:fldCharType="begin"/>
            </w:r>
            <w:r w:rsidR="00144FAB" w:rsidRPr="00144FAB">
              <w:rPr>
                <w:rFonts w:cs="Arial"/>
                <w:noProof/>
                <w:webHidden/>
              </w:rPr>
              <w:instrText xml:space="preserve"> PAGEREF _Toc235403353 \h </w:instrText>
            </w:r>
            <w:r w:rsidR="00144FAB" w:rsidRPr="00144FAB">
              <w:rPr>
                <w:rFonts w:cs="Arial"/>
                <w:noProof/>
                <w:webHidden/>
              </w:rPr>
            </w:r>
            <w:r w:rsidR="00144FAB" w:rsidRPr="00144FAB">
              <w:rPr>
                <w:rFonts w:cs="Arial"/>
                <w:noProof/>
                <w:webHidden/>
              </w:rPr>
              <w:fldChar w:fldCharType="separate"/>
            </w:r>
            <w:r w:rsidR="00144FAB" w:rsidRPr="00144FAB">
              <w:rPr>
                <w:rFonts w:cs="Arial"/>
                <w:noProof/>
                <w:webHidden/>
              </w:rPr>
              <w:t>4</w:t>
            </w:r>
            <w:r w:rsidR="00144FAB" w:rsidRPr="00144FAB">
              <w:rPr>
                <w:rFonts w:cs="Arial"/>
                <w:noProof/>
                <w:webHidden/>
              </w:rPr>
              <w:fldChar w:fldCharType="end"/>
            </w:r>
          </w:hyperlink>
        </w:p>
        <w:p w14:paraId="516E380C" w14:textId="02E8EE31" w:rsidR="00144FAB" w:rsidRPr="00144FAB" w:rsidRDefault="00E7507C">
          <w:pPr>
            <w:pStyle w:val="TOC1"/>
            <w:tabs>
              <w:tab w:val="right" w:pos="9016"/>
            </w:tabs>
            <w:rPr>
              <w:rFonts w:eastAsiaTheme="minorEastAsia" w:cs="Arial"/>
              <w:noProof/>
              <w:szCs w:val="22"/>
              <w:lang w:val="en-US"/>
            </w:rPr>
          </w:pPr>
          <w:hyperlink w:anchor="_Toc235403354" w:history="1">
            <w:r w:rsidR="00144FAB" w:rsidRPr="00144FAB">
              <w:rPr>
                <w:rStyle w:val="Hyperlink"/>
                <w:rFonts w:cs="Arial"/>
                <w:noProof/>
              </w:rPr>
              <w:t>1.3 Evaluation of the skills needed for Adult social worker in healthcare</w:t>
            </w:r>
            <w:r w:rsidR="00144FAB" w:rsidRPr="00144FAB">
              <w:rPr>
                <w:rFonts w:cs="Arial"/>
                <w:noProof/>
                <w:webHidden/>
              </w:rPr>
              <w:tab/>
            </w:r>
            <w:r w:rsidR="00144FAB" w:rsidRPr="00144FAB">
              <w:rPr>
                <w:rFonts w:cs="Arial"/>
                <w:noProof/>
                <w:webHidden/>
              </w:rPr>
              <w:fldChar w:fldCharType="begin"/>
            </w:r>
            <w:r w:rsidR="00144FAB" w:rsidRPr="00144FAB">
              <w:rPr>
                <w:rFonts w:cs="Arial"/>
                <w:noProof/>
                <w:webHidden/>
              </w:rPr>
              <w:instrText xml:space="preserve"> PAGEREF _Toc235403354 \h </w:instrText>
            </w:r>
            <w:r w:rsidR="00144FAB" w:rsidRPr="00144FAB">
              <w:rPr>
                <w:rFonts w:cs="Arial"/>
                <w:noProof/>
                <w:webHidden/>
              </w:rPr>
            </w:r>
            <w:r w:rsidR="00144FAB" w:rsidRPr="00144FAB">
              <w:rPr>
                <w:rFonts w:cs="Arial"/>
                <w:noProof/>
                <w:webHidden/>
              </w:rPr>
              <w:fldChar w:fldCharType="separate"/>
            </w:r>
            <w:r w:rsidR="00144FAB" w:rsidRPr="00144FAB">
              <w:rPr>
                <w:rFonts w:cs="Arial"/>
                <w:noProof/>
                <w:webHidden/>
              </w:rPr>
              <w:t>4</w:t>
            </w:r>
            <w:r w:rsidR="00144FAB" w:rsidRPr="00144FAB">
              <w:rPr>
                <w:rFonts w:cs="Arial"/>
                <w:noProof/>
                <w:webHidden/>
              </w:rPr>
              <w:fldChar w:fldCharType="end"/>
            </w:r>
          </w:hyperlink>
        </w:p>
        <w:p w14:paraId="0C68FCDA" w14:textId="43079BB2" w:rsidR="00144FAB" w:rsidRPr="00144FAB" w:rsidRDefault="00E7507C">
          <w:pPr>
            <w:pStyle w:val="TOC1"/>
            <w:tabs>
              <w:tab w:val="right" w:pos="9016"/>
            </w:tabs>
            <w:rPr>
              <w:rFonts w:eastAsiaTheme="minorEastAsia" w:cs="Arial"/>
              <w:noProof/>
              <w:szCs w:val="22"/>
              <w:lang w:val="en-US"/>
            </w:rPr>
          </w:pPr>
          <w:hyperlink w:anchor="_Toc235403355" w:history="1">
            <w:r w:rsidR="00144FAB" w:rsidRPr="00144FAB">
              <w:rPr>
                <w:rStyle w:val="Hyperlink"/>
                <w:rFonts w:cs="Arial"/>
                <w:noProof/>
              </w:rPr>
              <w:t>1.4 Strategies to improve the skills for Adult social worker</w:t>
            </w:r>
            <w:r w:rsidR="00144FAB" w:rsidRPr="00144FAB">
              <w:rPr>
                <w:rFonts w:cs="Arial"/>
                <w:noProof/>
                <w:webHidden/>
              </w:rPr>
              <w:tab/>
            </w:r>
            <w:r w:rsidR="00144FAB" w:rsidRPr="00144FAB">
              <w:rPr>
                <w:rFonts w:cs="Arial"/>
                <w:noProof/>
                <w:webHidden/>
              </w:rPr>
              <w:fldChar w:fldCharType="begin"/>
            </w:r>
            <w:r w:rsidR="00144FAB" w:rsidRPr="00144FAB">
              <w:rPr>
                <w:rFonts w:cs="Arial"/>
                <w:noProof/>
                <w:webHidden/>
              </w:rPr>
              <w:instrText xml:space="preserve"> PAGEREF _Toc235403355 \h </w:instrText>
            </w:r>
            <w:r w:rsidR="00144FAB" w:rsidRPr="00144FAB">
              <w:rPr>
                <w:rFonts w:cs="Arial"/>
                <w:noProof/>
                <w:webHidden/>
              </w:rPr>
            </w:r>
            <w:r w:rsidR="00144FAB" w:rsidRPr="00144FAB">
              <w:rPr>
                <w:rFonts w:cs="Arial"/>
                <w:noProof/>
                <w:webHidden/>
              </w:rPr>
              <w:fldChar w:fldCharType="separate"/>
            </w:r>
            <w:r w:rsidR="00144FAB" w:rsidRPr="00144FAB">
              <w:rPr>
                <w:rFonts w:cs="Arial"/>
                <w:noProof/>
                <w:webHidden/>
              </w:rPr>
              <w:t>5</w:t>
            </w:r>
            <w:r w:rsidR="00144FAB" w:rsidRPr="00144FAB">
              <w:rPr>
                <w:rFonts w:cs="Arial"/>
                <w:noProof/>
                <w:webHidden/>
              </w:rPr>
              <w:fldChar w:fldCharType="end"/>
            </w:r>
          </w:hyperlink>
        </w:p>
        <w:p w14:paraId="32B8FE87" w14:textId="0D5AA82B" w:rsidR="00144FAB" w:rsidRPr="00144FAB" w:rsidRDefault="00E7507C">
          <w:pPr>
            <w:pStyle w:val="TOC1"/>
            <w:tabs>
              <w:tab w:val="right" w:pos="9016"/>
            </w:tabs>
            <w:rPr>
              <w:rFonts w:eastAsiaTheme="minorEastAsia" w:cs="Arial"/>
              <w:noProof/>
              <w:szCs w:val="22"/>
              <w:lang w:val="en-US"/>
            </w:rPr>
          </w:pPr>
          <w:hyperlink w:anchor="_Toc235403356" w:history="1">
            <w:r w:rsidR="00144FAB" w:rsidRPr="00144FAB">
              <w:rPr>
                <w:rStyle w:val="Hyperlink"/>
                <w:rFonts w:cs="Arial"/>
                <w:noProof/>
              </w:rPr>
              <w:t>1.4 Conclusion</w:t>
            </w:r>
            <w:r w:rsidR="00144FAB" w:rsidRPr="00144FAB">
              <w:rPr>
                <w:rFonts w:cs="Arial"/>
                <w:noProof/>
                <w:webHidden/>
              </w:rPr>
              <w:tab/>
            </w:r>
            <w:r w:rsidR="00144FAB" w:rsidRPr="00144FAB">
              <w:rPr>
                <w:rFonts w:cs="Arial"/>
                <w:noProof/>
                <w:webHidden/>
              </w:rPr>
              <w:fldChar w:fldCharType="begin"/>
            </w:r>
            <w:r w:rsidR="00144FAB" w:rsidRPr="00144FAB">
              <w:rPr>
                <w:rFonts w:cs="Arial"/>
                <w:noProof/>
                <w:webHidden/>
              </w:rPr>
              <w:instrText xml:space="preserve"> PAGEREF _Toc235403356 \h </w:instrText>
            </w:r>
            <w:r w:rsidR="00144FAB" w:rsidRPr="00144FAB">
              <w:rPr>
                <w:rFonts w:cs="Arial"/>
                <w:noProof/>
                <w:webHidden/>
              </w:rPr>
            </w:r>
            <w:r w:rsidR="00144FAB" w:rsidRPr="00144FAB">
              <w:rPr>
                <w:rFonts w:cs="Arial"/>
                <w:noProof/>
                <w:webHidden/>
              </w:rPr>
              <w:fldChar w:fldCharType="separate"/>
            </w:r>
            <w:r w:rsidR="00144FAB" w:rsidRPr="00144FAB">
              <w:rPr>
                <w:rFonts w:cs="Arial"/>
                <w:noProof/>
                <w:webHidden/>
              </w:rPr>
              <w:t>7</w:t>
            </w:r>
            <w:r w:rsidR="00144FAB" w:rsidRPr="00144FAB">
              <w:rPr>
                <w:rFonts w:cs="Arial"/>
                <w:noProof/>
                <w:webHidden/>
              </w:rPr>
              <w:fldChar w:fldCharType="end"/>
            </w:r>
          </w:hyperlink>
        </w:p>
        <w:p w14:paraId="7E0957E2" w14:textId="6DB8C0B0" w:rsidR="00144FAB" w:rsidRPr="00144FAB" w:rsidRDefault="00E7507C">
          <w:pPr>
            <w:pStyle w:val="TOC1"/>
            <w:tabs>
              <w:tab w:val="right" w:pos="9016"/>
            </w:tabs>
            <w:rPr>
              <w:rFonts w:eastAsiaTheme="minorEastAsia" w:cs="Arial"/>
              <w:noProof/>
              <w:szCs w:val="22"/>
              <w:lang w:val="en-US"/>
            </w:rPr>
          </w:pPr>
          <w:hyperlink w:anchor="_Toc235403357" w:history="1">
            <w:r w:rsidR="00144FAB" w:rsidRPr="00144FAB">
              <w:rPr>
                <w:rStyle w:val="Hyperlink"/>
                <w:rFonts w:cs="Arial"/>
                <w:noProof/>
              </w:rPr>
              <w:t>1.5 Reference List</w:t>
            </w:r>
            <w:r w:rsidR="00144FAB" w:rsidRPr="00144FAB">
              <w:rPr>
                <w:rFonts w:cs="Arial"/>
                <w:noProof/>
                <w:webHidden/>
              </w:rPr>
              <w:tab/>
            </w:r>
            <w:r w:rsidR="00144FAB" w:rsidRPr="00144FAB">
              <w:rPr>
                <w:rFonts w:cs="Arial"/>
                <w:noProof/>
                <w:webHidden/>
              </w:rPr>
              <w:fldChar w:fldCharType="begin"/>
            </w:r>
            <w:r w:rsidR="00144FAB" w:rsidRPr="00144FAB">
              <w:rPr>
                <w:rFonts w:cs="Arial"/>
                <w:noProof/>
                <w:webHidden/>
              </w:rPr>
              <w:instrText xml:space="preserve"> PAGEREF _Toc235403357 \h </w:instrText>
            </w:r>
            <w:r w:rsidR="00144FAB" w:rsidRPr="00144FAB">
              <w:rPr>
                <w:rFonts w:cs="Arial"/>
                <w:noProof/>
                <w:webHidden/>
              </w:rPr>
            </w:r>
            <w:r w:rsidR="00144FAB" w:rsidRPr="00144FAB">
              <w:rPr>
                <w:rFonts w:cs="Arial"/>
                <w:noProof/>
                <w:webHidden/>
              </w:rPr>
              <w:fldChar w:fldCharType="separate"/>
            </w:r>
            <w:r w:rsidR="00144FAB" w:rsidRPr="00144FAB">
              <w:rPr>
                <w:rFonts w:cs="Arial"/>
                <w:noProof/>
                <w:webHidden/>
              </w:rPr>
              <w:t>8</w:t>
            </w:r>
            <w:r w:rsidR="00144FAB" w:rsidRPr="00144FAB">
              <w:rPr>
                <w:rFonts w:cs="Arial"/>
                <w:noProof/>
                <w:webHidden/>
              </w:rPr>
              <w:fldChar w:fldCharType="end"/>
            </w:r>
          </w:hyperlink>
        </w:p>
        <w:p w14:paraId="45A108BC" w14:textId="477D66F2" w:rsidR="00860940" w:rsidRPr="00144FAB" w:rsidRDefault="00067D57" w:rsidP="00C57FF5">
          <w:pPr>
            <w:spacing w:before="240" w:after="0" w:line="360" w:lineRule="auto"/>
            <w:rPr>
              <w:rFonts w:cs="Arial"/>
            </w:rPr>
          </w:pPr>
          <w:r w:rsidRPr="00144FAB">
            <w:rPr>
              <w:rFonts w:cs="Arial"/>
            </w:rPr>
            <w:fldChar w:fldCharType="end"/>
          </w:r>
        </w:p>
      </w:sdtContent>
    </w:sdt>
    <w:p w14:paraId="4DD8DCC1" w14:textId="77777777" w:rsidR="00860940" w:rsidRPr="00144FAB" w:rsidRDefault="00860940" w:rsidP="00C57FF5">
      <w:pPr>
        <w:spacing w:before="240" w:after="0" w:line="360" w:lineRule="auto"/>
        <w:rPr>
          <w:rFonts w:cs="Arial"/>
          <w:b/>
          <w:bCs/>
          <w:sz w:val="28"/>
          <w:szCs w:val="28"/>
        </w:rPr>
      </w:pPr>
    </w:p>
    <w:p w14:paraId="1399A465" w14:textId="77777777" w:rsidR="00860940" w:rsidRPr="00144FAB" w:rsidRDefault="00860940" w:rsidP="00C57FF5">
      <w:pPr>
        <w:spacing w:before="240" w:after="0" w:line="360" w:lineRule="auto"/>
        <w:rPr>
          <w:rFonts w:cs="Arial"/>
          <w:b/>
          <w:bCs/>
          <w:sz w:val="28"/>
          <w:szCs w:val="28"/>
        </w:rPr>
      </w:pPr>
    </w:p>
    <w:p w14:paraId="084466B9" w14:textId="77777777" w:rsidR="00860940" w:rsidRPr="00144FAB" w:rsidRDefault="00860940" w:rsidP="00C57FF5">
      <w:pPr>
        <w:spacing w:before="240" w:after="0" w:line="360" w:lineRule="auto"/>
        <w:rPr>
          <w:rFonts w:cs="Arial"/>
          <w:b/>
          <w:bCs/>
          <w:sz w:val="28"/>
          <w:szCs w:val="28"/>
        </w:rPr>
      </w:pPr>
    </w:p>
    <w:p w14:paraId="43258B3E" w14:textId="77777777" w:rsidR="00860940" w:rsidRPr="00144FAB" w:rsidRDefault="00860940" w:rsidP="00C57FF5">
      <w:pPr>
        <w:spacing w:before="240" w:after="0" w:line="360" w:lineRule="auto"/>
        <w:rPr>
          <w:rFonts w:cs="Arial"/>
          <w:b/>
          <w:bCs/>
          <w:sz w:val="28"/>
          <w:szCs w:val="28"/>
        </w:rPr>
      </w:pPr>
    </w:p>
    <w:p w14:paraId="125BA0AB" w14:textId="77777777" w:rsidR="00860940" w:rsidRPr="00144FAB" w:rsidRDefault="00860940" w:rsidP="00C57FF5">
      <w:pPr>
        <w:spacing w:before="240" w:after="0" w:line="360" w:lineRule="auto"/>
        <w:rPr>
          <w:rFonts w:cs="Arial"/>
          <w:b/>
          <w:bCs/>
          <w:sz w:val="28"/>
          <w:szCs w:val="28"/>
        </w:rPr>
      </w:pPr>
    </w:p>
    <w:p w14:paraId="602F7D1C" w14:textId="77777777" w:rsidR="00860940" w:rsidRPr="00144FAB" w:rsidRDefault="00860940" w:rsidP="00C57FF5">
      <w:pPr>
        <w:spacing w:before="240" w:after="0" w:line="360" w:lineRule="auto"/>
        <w:rPr>
          <w:rFonts w:cs="Arial"/>
          <w:b/>
          <w:bCs/>
          <w:sz w:val="28"/>
          <w:szCs w:val="28"/>
        </w:rPr>
      </w:pPr>
    </w:p>
    <w:p w14:paraId="18DF95D5" w14:textId="77777777" w:rsidR="00860940" w:rsidRPr="00144FAB" w:rsidRDefault="00860940" w:rsidP="00C57FF5">
      <w:pPr>
        <w:spacing w:before="240" w:after="0" w:line="360" w:lineRule="auto"/>
        <w:rPr>
          <w:rFonts w:cs="Arial"/>
          <w:b/>
          <w:bCs/>
          <w:sz w:val="28"/>
          <w:szCs w:val="28"/>
        </w:rPr>
      </w:pPr>
    </w:p>
    <w:p w14:paraId="5483CD1E" w14:textId="77777777" w:rsidR="00860940" w:rsidRPr="00144FAB" w:rsidRDefault="00860940" w:rsidP="00C57FF5">
      <w:pPr>
        <w:spacing w:before="240" w:after="0" w:line="360" w:lineRule="auto"/>
        <w:rPr>
          <w:rFonts w:cs="Arial"/>
          <w:b/>
          <w:bCs/>
          <w:sz w:val="28"/>
          <w:szCs w:val="28"/>
        </w:rPr>
      </w:pPr>
    </w:p>
    <w:p w14:paraId="5F60CF57" w14:textId="77777777" w:rsidR="00860940" w:rsidRPr="00144FAB" w:rsidRDefault="00860940" w:rsidP="00C57FF5">
      <w:pPr>
        <w:spacing w:before="240" w:after="0" w:line="360" w:lineRule="auto"/>
        <w:rPr>
          <w:rFonts w:cs="Arial"/>
        </w:rPr>
      </w:pPr>
    </w:p>
    <w:p w14:paraId="1FFF1579" w14:textId="77777777" w:rsidR="00860940" w:rsidRPr="00144FAB" w:rsidRDefault="00067D57" w:rsidP="00C57FF5">
      <w:pPr>
        <w:spacing w:before="240" w:after="0" w:line="360" w:lineRule="auto"/>
        <w:rPr>
          <w:rFonts w:cs="Arial"/>
          <w:b/>
          <w:bCs/>
          <w:sz w:val="21"/>
          <w:szCs w:val="21"/>
        </w:rPr>
      </w:pPr>
      <w:r w:rsidRPr="00144FAB">
        <w:rPr>
          <w:rFonts w:cs="Arial"/>
        </w:rPr>
        <w:br w:type="page"/>
      </w:r>
    </w:p>
    <w:p w14:paraId="17E786C5" w14:textId="77777777" w:rsidR="00860940" w:rsidRPr="00144FAB" w:rsidRDefault="00067D57" w:rsidP="00C57FF5">
      <w:pPr>
        <w:pStyle w:val="Heading1"/>
        <w:spacing w:line="360" w:lineRule="auto"/>
        <w:rPr>
          <w:rFonts w:ascii="Arial" w:hAnsi="Arial" w:cs="Arial"/>
        </w:rPr>
      </w:pPr>
      <w:bookmarkStart w:id="0" w:name="_Toc235403352"/>
      <w:r w:rsidRPr="00144FAB">
        <w:rPr>
          <w:rFonts w:ascii="Arial" w:hAnsi="Arial" w:cs="Arial"/>
        </w:rPr>
        <w:lastRenderedPageBreak/>
        <w:t>1.1 Introduction</w:t>
      </w:r>
      <w:bookmarkEnd w:id="0"/>
    </w:p>
    <w:p w14:paraId="2829F5CE" w14:textId="3CEB0EAB" w:rsidR="00860940" w:rsidRPr="00144FAB" w:rsidRDefault="004010EC" w:rsidP="00C57FF5">
      <w:pPr>
        <w:spacing w:before="240" w:after="0" w:line="360" w:lineRule="auto"/>
        <w:rPr>
          <w:rFonts w:cs="Arial"/>
          <w:sz w:val="24"/>
          <w:szCs w:val="24"/>
        </w:rPr>
      </w:pPr>
      <w:r w:rsidRPr="00144FAB">
        <w:rPr>
          <w:rFonts w:cs="Arial"/>
          <w:color w:val="000000"/>
          <w:szCs w:val="22"/>
        </w:rPr>
        <w:t xml:space="preserve">This report will focus on </w:t>
      </w:r>
      <w:r w:rsidR="00C804D2" w:rsidRPr="00144FAB">
        <w:rPr>
          <w:rFonts w:cs="Arial"/>
          <w:color w:val="000000"/>
          <w:szCs w:val="22"/>
        </w:rPr>
        <w:t>the</w:t>
      </w:r>
      <w:r w:rsidRPr="00144FAB">
        <w:rPr>
          <w:rFonts w:cs="Arial"/>
          <w:color w:val="000000"/>
          <w:szCs w:val="22"/>
        </w:rPr>
        <w:t xml:space="preserve"> adult social worker who is providing their social work in a health care environment. This role has been selected as adults within the social work sector might be experiencing disability, long-term illness, mental health difficulties, abuse, neglect or a decrease in their independence. It has some relevance and importance to safe and effective working in health and social care, which is dependent on the following: Accurate assessment of individuals and lawful decision-making process, Safeguarding and co-ordinated support.</w:t>
      </w:r>
      <w:r w:rsidR="00566EDF" w:rsidRPr="00144FAB">
        <w:rPr>
          <w:rFonts w:cs="Arial"/>
          <w:color w:val="000000"/>
          <w:szCs w:val="22"/>
        </w:rPr>
        <w:t xml:space="preserve"> The report will outline the job and its history, discuss the competencies required, and explain how professional practice and service outcomes can be enhanced.</w:t>
      </w:r>
    </w:p>
    <w:p w14:paraId="6CC7A930" w14:textId="77777777" w:rsidR="00743197" w:rsidRPr="00144FAB" w:rsidRDefault="00743197" w:rsidP="00C57FF5">
      <w:pPr>
        <w:spacing w:before="240" w:after="0" w:line="360" w:lineRule="auto"/>
        <w:rPr>
          <w:rFonts w:cs="Arial"/>
          <w:color w:val="2F5496"/>
          <w:sz w:val="28"/>
          <w:szCs w:val="28"/>
        </w:rPr>
      </w:pPr>
      <w:r w:rsidRPr="00144FAB">
        <w:rPr>
          <w:rFonts w:cs="Arial"/>
        </w:rPr>
        <w:br w:type="page"/>
      </w:r>
    </w:p>
    <w:p w14:paraId="42B28FF9" w14:textId="77777777" w:rsidR="00860940" w:rsidRPr="00144FAB" w:rsidRDefault="00067D57" w:rsidP="00C57FF5">
      <w:pPr>
        <w:pStyle w:val="Heading1"/>
        <w:spacing w:line="360" w:lineRule="auto"/>
        <w:rPr>
          <w:rFonts w:ascii="Arial" w:hAnsi="Arial" w:cs="Arial"/>
        </w:rPr>
      </w:pPr>
      <w:bookmarkStart w:id="1" w:name="_Toc235403353"/>
      <w:r w:rsidRPr="00144FAB">
        <w:rPr>
          <w:rFonts w:ascii="Arial" w:hAnsi="Arial" w:cs="Arial"/>
        </w:rPr>
        <w:lastRenderedPageBreak/>
        <w:t xml:space="preserve">1.2 Description of, and background </w:t>
      </w:r>
      <w:r w:rsidR="00915CCF" w:rsidRPr="00144FAB">
        <w:rPr>
          <w:rFonts w:ascii="Arial" w:hAnsi="Arial" w:cs="Arial"/>
        </w:rPr>
        <w:t>to,</w:t>
      </w:r>
      <w:r w:rsidRPr="00144FAB">
        <w:rPr>
          <w:rFonts w:ascii="Arial" w:hAnsi="Arial" w:cs="Arial"/>
        </w:rPr>
        <w:t xml:space="preserve"> </w:t>
      </w:r>
      <w:r w:rsidR="004010EC" w:rsidRPr="00144FAB">
        <w:rPr>
          <w:rFonts w:ascii="Arial" w:hAnsi="Arial" w:cs="Arial"/>
        </w:rPr>
        <w:t xml:space="preserve">Adult social worker </w:t>
      </w:r>
      <w:r w:rsidRPr="00144FAB">
        <w:rPr>
          <w:rFonts w:ascii="Arial" w:hAnsi="Arial" w:cs="Arial"/>
        </w:rPr>
        <w:t>in healthcare</w:t>
      </w:r>
      <w:bookmarkEnd w:id="1"/>
      <w:r w:rsidRPr="00144FAB">
        <w:rPr>
          <w:rFonts w:ascii="Arial" w:hAnsi="Arial" w:cs="Arial"/>
        </w:rPr>
        <w:t xml:space="preserve"> </w:t>
      </w:r>
    </w:p>
    <w:p w14:paraId="574A0EE9" w14:textId="77777777" w:rsidR="004010EC" w:rsidRPr="00144FAB" w:rsidRDefault="004010EC" w:rsidP="00C57FF5">
      <w:pPr>
        <w:spacing w:before="240" w:after="0" w:line="360" w:lineRule="auto"/>
        <w:rPr>
          <w:rFonts w:eastAsia="Times New Roman" w:cs="Arial"/>
          <w:szCs w:val="22"/>
          <w:lang w:val="en-US"/>
        </w:rPr>
      </w:pPr>
      <w:r w:rsidRPr="00144FAB">
        <w:rPr>
          <w:rFonts w:cs="Arial"/>
          <w:color w:val="000000"/>
          <w:szCs w:val="22"/>
        </w:rPr>
        <w:t>Adult social workers work in various settings such as local authorities, hospitals, mental health services, community teams, residential homes and safeguarding services. Their roles are primarily to assess care and support needs, identify strengths and those in the individual's/family's support networks, to prepare a person-centred plan for care, arrange care, review outcomes, support caring, advocate for rights and keep and coordinate notes and/or work with other provider professionals such as nurses, doctors, occupational therapists, care staff, housing and voluntary providers. Legislation and professional standards underpin the practice of adult social work, with an emphasis on wellbeing, dignity, choice and independence being at the heart of care and support</w:t>
      </w:r>
      <w:r w:rsidR="0083534C" w:rsidRPr="00144FAB">
        <w:rPr>
          <w:rFonts w:cs="Arial"/>
          <w:color w:val="000000"/>
          <w:szCs w:val="22"/>
        </w:rPr>
        <w:t xml:space="preserve"> </w:t>
      </w:r>
      <w:r w:rsidR="0083534C" w:rsidRPr="00144FAB">
        <w:rPr>
          <w:rFonts w:eastAsia="Times New Roman" w:cs="Arial"/>
          <w:szCs w:val="22"/>
          <w:lang w:val="en-US"/>
        </w:rPr>
        <w:t xml:space="preserve">(Bohren </w:t>
      </w:r>
      <w:r w:rsidR="0083534C" w:rsidRPr="00144FAB">
        <w:rPr>
          <w:rFonts w:eastAsia="Times New Roman" w:cs="Arial"/>
          <w:i/>
          <w:iCs/>
          <w:szCs w:val="22"/>
          <w:lang w:val="en-US"/>
        </w:rPr>
        <w:t>et al.</w:t>
      </w:r>
      <w:r w:rsidR="0083534C" w:rsidRPr="00144FAB">
        <w:rPr>
          <w:rFonts w:eastAsia="Times New Roman" w:cs="Arial"/>
          <w:szCs w:val="22"/>
          <w:lang w:val="en-US"/>
        </w:rPr>
        <w:t>, 2022)</w:t>
      </w:r>
      <w:r w:rsidRPr="00144FAB">
        <w:rPr>
          <w:rFonts w:cs="Arial"/>
          <w:color w:val="000000"/>
          <w:szCs w:val="22"/>
        </w:rPr>
        <w:t>.</w:t>
      </w:r>
    </w:p>
    <w:p w14:paraId="4F2AD71C" w14:textId="08D06CF3" w:rsidR="00860940" w:rsidRPr="00144FAB" w:rsidRDefault="004010EC" w:rsidP="00C57FF5">
      <w:pPr>
        <w:spacing w:before="240" w:after="0" w:line="360" w:lineRule="auto"/>
        <w:rPr>
          <w:rFonts w:eastAsia="Times New Roman" w:cs="Arial"/>
          <w:szCs w:val="22"/>
          <w:lang w:val="en-US"/>
        </w:rPr>
      </w:pPr>
      <w:r w:rsidRPr="00144FAB">
        <w:rPr>
          <w:rFonts w:cs="Arial"/>
          <w:color w:val="000000"/>
          <w:szCs w:val="22"/>
        </w:rPr>
        <w:t>The welfare and safety of an adult is crucial and must be considered when treating the adult with individual autonomy, rights and personal choice. Safeguarding is paramount as abuse and neglect can be physical, emotional, sexual, financial, discriminatory, organisational or relating to self-neglect. But any protective measure should be proportional and individual-centred. It is important for adult social workers to understand potential harm, collect evidence and act appropriately in line with that evidence, and to include the adult in decision-making, as far as possible</w:t>
      </w:r>
      <w:r w:rsidR="00507DB9" w:rsidRPr="00144FAB">
        <w:rPr>
          <w:rFonts w:cs="Arial"/>
          <w:color w:val="000000"/>
          <w:szCs w:val="22"/>
        </w:rPr>
        <w:t xml:space="preserve"> </w:t>
      </w:r>
      <w:r w:rsidR="007C56BB" w:rsidRPr="00144FAB">
        <w:rPr>
          <w:rFonts w:eastAsia="Times New Roman" w:cs="Arial"/>
          <w:szCs w:val="22"/>
          <w:lang w:val="en-US"/>
        </w:rPr>
        <w:t xml:space="preserve">(Masterson </w:t>
      </w:r>
      <w:r w:rsidR="007C56BB" w:rsidRPr="00144FAB">
        <w:rPr>
          <w:rFonts w:eastAsia="Times New Roman" w:cs="Arial"/>
          <w:i/>
          <w:iCs/>
          <w:szCs w:val="22"/>
          <w:lang w:val="en-US"/>
        </w:rPr>
        <w:t>et al.</w:t>
      </w:r>
      <w:r w:rsidR="007C56BB" w:rsidRPr="00144FAB">
        <w:rPr>
          <w:rFonts w:eastAsia="Times New Roman" w:cs="Arial"/>
          <w:szCs w:val="22"/>
          <w:lang w:val="en-US"/>
        </w:rPr>
        <w:t>, 2022)</w:t>
      </w:r>
      <w:r w:rsidR="00915CCF" w:rsidRPr="00144FAB">
        <w:rPr>
          <w:rFonts w:eastAsia="Times New Roman" w:cs="Arial"/>
          <w:szCs w:val="22"/>
          <w:lang w:val="en-US"/>
        </w:rPr>
        <w:t>.</w:t>
      </w:r>
    </w:p>
    <w:p w14:paraId="398B3E8A" w14:textId="77777777" w:rsidR="00860940" w:rsidRPr="00144FAB" w:rsidRDefault="00067D57" w:rsidP="00C57FF5">
      <w:pPr>
        <w:pStyle w:val="Heading1"/>
        <w:spacing w:line="360" w:lineRule="auto"/>
        <w:rPr>
          <w:rFonts w:ascii="Arial" w:hAnsi="Arial" w:cs="Arial"/>
          <w:color w:val="000000"/>
          <w:sz w:val="21"/>
          <w:szCs w:val="21"/>
        </w:rPr>
      </w:pPr>
      <w:bookmarkStart w:id="2" w:name="_Toc235403354"/>
      <w:r w:rsidRPr="00144FAB">
        <w:rPr>
          <w:rFonts w:ascii="Arial" w:hAnsi="Arial" w:cs="Arial"/>
        </w:rPr>
        <w:t xml:space="preserve">1.3 Evaluation of the skills needed for </w:t>
      </w:r>
      <w:r w:rsidR="004010EC" w:rsidRPr="00144FAB">
        <w:rPr>
          <w:rFonts w:ascii="Arial" w:hAnsi="Arial" w:cs="Arial"/>
        </w:rPr>
        <w:t xml:space="preserve">Adult social worker </w:t>
      </w:r>
      <w:r w:rsidRPr="00144FAB">
        <w:rPr>
          <w:rFonts w:ascii="Arial" w:hAnsi="Arial" w:cs="Arial"/>
        </w:rPr>
        <w:t>in healthcare</w:t>
      </w:r>
      <w:bookmarkEnd w:id="2"/>
    </w:p>
    <w:p w14:paraId="2DEB0728" w14:textId="28954354" w:rsidR="004010EC" w:rsidRPr="00144FAB" w:rsidRDefault="004010EC" w:rsidP="00C57FF5">
      <w:pPr>
        <w:spacing w:before="240" w:after="0" w:line="360" w:lineRule="auto"/>
        <w:rPr>
          <w:rFonts w:eastAsia="Times New Roman" w:cs="Arial"/>
          <w:szCs w:val="22"/>
          <w:lang w:val="en-US"/>
        </w:rPr>
      </w:pPr>
      <w:r w:rsidRPr="00144FAB">
        <w:rPr>
          <w:rFonts w:cs="Arial"/>
          <w:color w:val="000000"/>
          <w:szCs w:val="22"/>
        </w:rPr>
        <w:t>In the opinion of the three—communication and active listening, critical thinking and professional judgement and multidisciplinary teamwork—are the three most important skills needed by an adult social worker. These skills have been chosen as they are necessary at all the stages of social work practice, assessment, safeguarding, care planning and care review. Communication is vital as adult social workers are likely to be talking about issues which involve high levels of sensitivity, e.g. disability, mental health, abuse, neglect, family conflict and loss of independence</w:t>
      </w:r>
      <w:r w:rsidR="0083534C" w:rsidRPr="00144FAB">
        <w:rPr>
          <w:rFonts w:cs="Arial"/>
          <w:color w:val="000000"/>
          <w:szCs w:val="22"/>
        </w:rPr>
        <w:t xml:space="preserve"> </w:t>
      </w:r>
      <w:r w:rsidR="0083534C" w:rsidRPr="00144FAB">
        <w:rPr>
          <w:rFonts w:eastAsia="Times New Roman" w:cs="Arial"/>
          <w:szCs w:val="22"/>
          <w:lang w:val="en-US"/>
        </w:rPr>
        <w:t xml:space="preserve">(Chemali </w:t>
      </w:r>
      <w:r w:rsidR="0083534C" w:rsidRPr="00144FAB">
        <w:rPr>
          <w:rFonts w:eastAsia="Times New Roman" w:cs="Arial"/>
          <w:i/>
          <w:iCs/>
          <w:szCs w:val="22"/>
          <w:lang w:val="en-US"/>
        </w:rPr>
        <w:t>et al.</w:t>
      </w:r>
      <w:r w:rsidR="0083534C" w:rsidRPr="00144FAB">
        <w:rPr>
          <w:rFonts w:eastAsia="Times New Roman" w:cs="Arial"/>
          <w:szCs w:val="22"/>
          <w:lang w:val="en-US"/>
        </w:rPr>
        <w:t>, 2022)</w:t>
      </w:r>
      <w:r w:rsidRPr="00144FAB">
        <w:rPr>
          <w:rFonts w:cs="Arial"/>
          <w:color w:val="000000"/>
          <w:szCs w:val="22"/>
        </w:rPr>
        <w:t xml:space="preserve">. For instance, an adult might express readiness to resume his or her home environment during an evaluation at the time of discharge from the hospital, yet may express worry about caring for his or her personal needs and medications. Applying careful questioning techniques will allow for the identification of any concerns that may remain and to ensure nurses, carers and support workers can offer safer assistance. If communication is not effective, key details will not </w:t>
      </w:r>
      <w:r w:rsidRPr="00144FAB">
        <w:rPr>
          <w:rFonts w:cs="Arial"/>
          <w:color w:val="000000"/>
          <w:szCs w:val="22"/>
        </w:rPr>
        <w:lastRenderedPageBreak/>
        <w:t>always be shared, which could result in the inappropriate discharge of a person, cause distress or lead to a care plan that is inappropriate</w:t>
      </w:r>
      <w:r w:rsidR="007C56BB" w:rsidRPr="00144FAB">
        <w:rPr>
          <w:rFonts w:cs="Arial"/>
          <w:color w:val="000000"/>
          <w:szCs w:val="22"/>
        </w:rPr>
        <w:t xml:space="preserve"> </w:t>
      </w:r>
      <w:r w:rsidR="007C56BB" w:rsidRPr="00144FAB">
        <w:rPr>
          <w:rFonts w:eastAsia="Times New Roman" w:cs="Arial"/>
          <w:szCs w:val="22"/>
          <w:lang w:val="en-US"/>
        </w:rPr>
        <w:t xml:space="preserve">(Isidori </w:t>
      </w:r>
      <w:r w:rsidR="007C56BB" w:rsidRPr="00144FAB">
        <w:rPr>
          <w:rFonts w:eastAsia="Times New Roman" w:cs="Arial"/>
          <w:i/>
          <w:iCs/>
          <w:szCs w:val="22"/>
          <w:lang w:val="en-US"/>
        </w:rPr>
        <w:t>et al.</w:t>
      </w:r>
      <w:r w:rsidR="007C56BB" w:rsidRPr="00144FAB">
        <w:rPr>
          <w:rFonts w:eastAsia="Times New Roman" w:cs="Arial"/>
          <w:szCs w:val="22"/>
          <w:lang w:val="en-US"/>
        </w:rPr>
        <w:t>, 2022)</w:t>
      </w:r>
      <w:r w:rsidRPr="00144FAB">
        <w:rPr>
          <w:rFonts w:cs="Arial"/>
          <w:color w:val="000000"/>
          <w:szCs w:val="22"/>
        </w:rPr>
        <w:t>.</w:t>
      </w:r>
    </w:p>
    <w:p w14:paraId="2C7E46E6" w14:textId="0144C21D" w:rsidR="004010EC" w:rsidRPr="00144FAB" w:rsidRDefault="004010EC" w:rsidP="00C57FF5">
      <w:pPr>
        <w:spacing w:before="240" w:after="0" w:line="360" w:lineRule="auto"/>
        <w:rPr>
          <w:rFonts w:eastAsia="Times New Roman" w:cs="Arial"/>
          <w:szCs w:val="22"/>
          <w:lang w:val="en-US"/>
        </w:rPr>
      </w:pPr>
      <w:r w:rsidRPr="00144FAB">
        <w:rPr>
          <w:rFonts w:cs="Arial"/>
          <w:color w:val="000000"/>
          <w:szCs w:val="22"/>
        </w:rPr>
        <w:t>But critical thinking and professional judgement are both equally important, as adult social workers are required to analyse complex and, at times, conflicting information. This helps staff to distinguish fact from opinion, to sift out the levels of risk, to take into account mental capacity and to make lawful and proportionate decisions. It also provides information for nurses/carers/support workers regarding risks, responsibilities and agreed actions. Some signs of financial abuse or financial coercion are: unexplained bank withdrawals, poor nutrition, and fearfulness around a family member</w:t>
      </w:r>
      <w:r w:rsidR="007C56BB" w:rsidRPr="00144FAB">
        <w:rPr>
          <w:rFonts w:cs="Arial"/>
          <w:color w:val="000000"/>
          <w:szCs w:val="22"/>
        </w:rPr>
        <w:t xml:space="preserve"> </w:t>
      </w:r>
      <w:r w:rsidR="007C56BB" w:rsidRPr="00144FAB">
        <w:rPr>
          <w:rFonts w:eastAsia="Times New Roman" w:cs="Arial"/>
          <w:szCs w:val="22"/>
          <w:lang w:val="en-US"/>
        </w:rPr>
        <w:t xml:space="preserve">(Mugumbate </w:t>
      </w:r>
      <w:r w:rsidR="007C56BB" w:rsidRPr="00144FAB">
        <w:rPr>
          <w:rFonts w:eastAsia="Times New Roman" w:cs="Arial"/>
          <w:i/>
          <w:iCs/>
          <w:szCs w:val="22"/>
          <w:lang w:val="en-US"/>
        </w:rPr>
        <w:t>et al.</w:t>
      </w:r>
      <w:r w:rsidR="007C56BB" w:rsidRPr="00144FAB">
        <w:rPr>
          <w:rFonts w:eastAsia="Times New Roman" w:cs="Arial"/>
          <w:szCs w:val="22"/>
          <w:lang w:val="en-US"/>
        </w:rPr>
        <w:t>, 2023)</w:t>
      </w:r>
      <w:r w:rsidRPr="00144FAB">
        <w:rPr>
          <w:rFonts w:cs="Arial"/>
          <w:color w:val="000000"/>
          <w:szCs w:val="22"/>
        </w:rPr>
        <w:t xml:space="preserve">.There will be many consequential outcomes if professional judgment fails, including bad records, unnecessary referrals and a loss of confidence </w:t>
      </w:r>
      <w:r w:rsidR="0083534C" w:rsidRPr="00144FAB">
        <w:rPr>
          <w:rFonts w:eastAsia="Times New Roman" w:cs="Arial"/>
          <w:szCs w:val="22"/>
          <w:lang w:val="en-US"/>
        </w:rPr>
        <w:t xml:space="preserve">(Brazier </w:t>
      </w:r>
      <w:r w:rsidR="0083534C" w:rsidRPr="00144FAB">
        <w:rPr>
          <w:rFonts w:eastAsia="Times New Roman" w:cs="Arial"/>
          <w:i/>
          <w:iCs/>
          <w:szCs w:val="22"/>
          <w:lang w:val="en-US"/>
        </w:rPr>
        <w:t>et al.</w:t>
      </w:r>
      <w:r w:rsidR="0083534C" w:rsidRPr="00144FAB">
        <w:rPr>
          <w:rFonts w:eastAsia="Times New Roman" w:cs="Arial"/>
          <w:szCs w:val="22"/>
          <w:lang w:val="en-US"/>
        </w:rPr>
        <w:t>, 2022)</w:t>
      </w:r>
      <w:r w:rsidRPr="00144FAB">
        <w:rPr>
          <w:rFonts w:cs="Arial"/>
          <w:color w:val="000000"/>
          <w:szCs w:val="22"/>
        </w:rPr>
        <w:t>.</w:t>
      </w:r>
    </w:p>
    <w:p w14:paraId="0372B655" w14:textId="4CE6A4FD" w:rsidR="00860940" w:rsidRPr="00144FAB" w:rsidRDefault="004010EC" w:rsidP="00C57FF5">
      <w:pPr>
        <w:spacing w:before="240" w:after="0" w:line="360" w:lineRule="auto"/>
        <w:rPr>
          <w:rFonts w:cs="Arial"/>
          <w:color w:val="000000"/>
          <w:szCs w:val="22"/>
        </w:rPr>
      </w:pPr>
      <w:r w:rsidRPr="00144FAB">
        <w:rPr>
          <w:rFonts w:cs="Arial"/>
          <w:color w:val="000000"/>
          <w:szCs w:val="22"/>
        </w:rPr>
        <w:t>Multidisciplinary team working is the third key skill, as adults may have several health and social care needs. The effective teamworking enables all social workers, nurses, doctors, occupational therapists</w:t>
      </w:r>
      <w:r w:rsidR="00507DB9" w:rsidRPr="00144FAB">
        <w:rPr>
          <w:rFonts w:cs="Arial"/>
          <w:color w:val="000000"/>
          <w:szCs w:val="22"/>
        </w:rPr>
        <w:t xml:space="preserve"> </w:t>
      </w:r>
      <w:r w:rsidR="00863D55" w:rsidRPr="00144FAB">
        <w:rPr>
          <w:rFonts w:eastAsia="Times New Roman" w:cs="Arial"/>
          <w:szCs w:val="22"/>
          <w:lang w:val="en-US"/>
        </w:rPr>
        <w:t>(Westwood, 2022)</w:t>
      </w:r>
      <w:r w:rsidRPr="00144FAB">
        <w:rPr>
          <w:rFonts w:cs="Arial"/>
          <w:color w:val="000000"/>
          <w:szCs w:val="22"/>
        </w:rPr>
        <w:t>.</w:t>
      </w:r>
    </w:p>
    <w:p w14:paraId="47546A55" w14:textId="0F4ED5F6" w:rsidR="00B12988" w:rsidRPr="00144FAB" w:rsidRDefault="00B12988" w:rsidP="00C57FF5">
      <w:pPr>
        <w:spacing w:before="240" w:after="0" w:line="360" w:lineRule="auto"/>
        <w:rPr>
          <w:rFonts w:eastAsia="Times New Roman" w:cs="Arial"/>
          <w:szCs w:val="22"/>
          <w:lang w:val="en-US"/>
        </w:rPr>
      </w:pPr>
      <w:r w:rsidRPr="00144FAB">
        <w:rPr>
          <w:rFonts w:eastAsia="Times New Roman" w:cs="Arial"/>
          <w:szCs w:val="22"/>
          <w:lang w:val="en-US"/>
        </w:rPr>
        <w:t>These skills are essential for the adult social worker to provide safe and sound support in the absence of them, the adult social worker may find it difficult to provide safe and effective support. Without nice communication, information might be lost or care plans may be inappropriate. Inadequate critical thinking can lead to suboptimal decision making or risks not being identified or mitigated. Poor information sharing and gaps in care can result from poor teamwork. Overall, this could contribute to a diminished quality of support and impacts on professional practice.</w:t>
      </w:r>
    </w:p>
    <w:p w14:paraId="62C98703" w14:textId="77777777" w:rsidR="00860940" w:rsidRPr="00144FAB" w:rsidRDefault="00067D57" w:rsidP="00C57FF5">
      <w:pPr>
        <w:pStyle w:val="Heading1"/>
        <w:spacing w:line="360" w:lineRule="auto"/>
        <w:rPr>
          <w:rFonts w:ascii="Arial" w:hAnsi="Arial" w:cs="Arial"/>
        </w:rPr>
      </w:pPr>
      <w:bookmarkStart w:id="3" w:name="_Toc235403355"/>
      <w:r w:rsidRPr="00144FAB">
        <w:rPr>
          <w:rFonts w:ascii="Arial" w:hAnsi="Arial" w:cs="Arial"/>
        </w:rPr>
        <w:t xml:space="preserve">1.4 Strategies to improve the skills for </w:t>
      </w:r>
      <w:r w:rsidR="004010EC" w:rsidRPr="00144FAB">
        <w:rPr>
          <w:rFonts w:ascii="Arial" w:hAnsi="Arial" w:cs="Arial"/>
        </w:rPr>
        <w:t>Adult social worker</w:t>
      </w:r>
      <w:bookmarkEnd w:id="3"/>
    </w:p>
    <w:p w14:paraId="684D5767" w14:textId="7993CC9A" w:rsidR="004010EC" w:rsidRPr="00144FAB" w:rsidRDefault="004010EC" w:rsidP="00C57FF5">
      <w:pPr>
        <w:spacing w:before="240" w:after="0" w:line="360" w:lineRule="auto"/>
        <w:rPr>
          <w:rFonts w:eastAsia="Times New Roman" w:cs="Arial"/>
          <w:szCs w:val="22"/>
          <w:lang w:val="en-US"/>
        </w:rPr>
      </w:pPr>
      <w:r w:rsidRPr="00144FAB">
        <w:rPr>
          <w:rFonts w:eastAsia="Times New Roman" w:cs="Arial"/>
          <w:color w:val="000000"/>
          <w:szCs w:val="22"/>
          <w:lang w:val="en-US"/>
        </w:rPr>
        <w:t>The first one is structured continuing professional development—or CPD, as it's popularly known. Social workers who are working with adults can access training relating to safeguarding, communicating with adults, mental capacity, risk assessment and changes in legislation. CPD is essential to maintain, enhance and update knowledge to encourage communication, critical thinking and decision making. For instance, an individual who finds talking about self-neglect challenging may take a communication course and learn and practise motivational interviewing. This may assist the worker to ask respectful questions, listen actively and involve the adult in a plan for support that is safe for the adult. This is relevant due to several factors – for example, social work law, policy and practice can vary over time</w:t>
      </w:r>
      <w:r w:rsidR="0083534C" w:rsidRPr="00144FAB">
        <w:rPr>
          <w:rFonts w:eastAsia="Times New Roman" w:cs="Arial"/>
          <w:color w:val="000000"/>
          <w:szCs w:val="22"/>
          <w:lang w:val="en-US"/>
        </w:rPr>
        <w:t xml:space="preserve"> </w:t>
      </w:r>
      <w:r w:rsidR="0083534C" w:rsidRPr="00144FAB">
        <w:rPr>
          <w:rFonts w:eastAsia="Times New Roman" w:cs="Arial"/>
          <w:szCs w:val="22"/>
          <w:lang w:val="en-US"/>
        </w:rPr>
        <w:t>(Edelman, 2022)</w:t>
      </w:r>
      <w:r w:rsidRPr="00144FAB">
        <w:rPr>
          <w:rFonts w:eastAsia="Times New Roman" w:cs="Arial"/>
          <w:color w:val="000000"/>
          <w:szCs w:val="22"/>
          <w:lang w:val="en-US"/>
        </w:rPr>
        <w:t>.</w:t>
      </w:r>
    </w:p>
    <w:p w14:paraId="7A1EF809" w14:textId="77777777" w:rsidR="004010EC" w:rsidRPr="00144FAB" w:rsidRDefault="004010EC" w:rsidP="00C57FF5">
      <w:pPr>
        <w:spacing w:before="240" w:after="0" w:line="360" w:lineRule="auto"/>
        <w:rPr>
          <w:rFonts w:eastAsia="Times New Roman" w:cs="Arial"/>
          <w:szCs w:val="22"/>
          <w:lang w:val="en-US"/>
        </w:rPr>
      </w:pPr>
      <w:r w:rsidRPr="00144FAB">
        <w:rPr>
          <w:rFonts w:eastAsia="Times New Roman" w:cs="Arial"/>
          <w:color w:val="000000"/>
          <w:szCs w:val="22"/>
          <w:lang w:val="en-US"/>
        </w:rPr>
        <w:lastRenderedPageBreak/>
        <w:t>The second one is a regular reflective supervision and constructive feedback. Supervision provides opportunities to discuss difficult cases, ethical issues, emotional reactions and professional decisions with another person, whether a manager or other experienced person. It can be used for the identification of bias, judgement and support staff wellbeing. An adult might want to stay in his/her own home while family members seek out a nursing home for care. As part of the supervision, the social worker can review the evidence, take into account the adult's rights and wishes and mental capacity, as well as safety. Opinions of colleagues and service users can also provide information which highlights areas of miscommunication, incorrect listening skills or gaps within case recording. The reason for this is to minimise the effect of stress and assumptions on professional decisions, with the use of reflection</w:t>
      </w:r>
      <w:r w:rsidR="0083534C" w:rsidRPr="00144FAB">
        <w:rPr>
          <w:rFonts w:eastAsia="Times New Roman" w:cs="Arial"/>
          <w:color w:val="000000"/>
          <w:szCs w:val="22"/>
          <w:lang w:val="en-US"/>
        </w:rPr>
        <w:t xml:space="preserve"> </w:t>
      </w:r>
      <w:r w:rsidR="0083534C" w:rsidRPr="00144FAB">
        <w:rPr>
          <w:rFonts w:eastAsia="Times New Roman" w:cs="Arial"/>
          <w:szCs w:val="22"/>
          <w:lang w:val="en-US"/>
        </w:rPr>
        <w:t xml:space="preserve">(Farooqi </w:t>
      </w:r>
      <w:r w:rsidR="0083534C" w:rsidRPr="00144FAB">
        <w:rPr>
          <w:rFonts w:eastAsia="Times New Roman" w:cs="Arial"/>
          <w:i/>
          <w:iCs/>
          <w:szCs w:val="22"/>
          <w:lang w:val="en-US"/>
        </w:rPr>
        <w:t>et al.</w:t>
      </w:r>
      <w:r w:rsidR="0083534C" w:rsidRPr="00144FAB">
        <w:rPr>
          <w:rFonts w:eastAsia="Times New Roman" w:cs="Arial"/>
          <w:szCs w:val="22"/>
          <w:lang w:val="en-US"/>
        </w:rPr>
        <w:t>, 2022)</w:t>
      </w:r>
      <w:r w:rsidRPr="00144FAB">
        <w:rPr>
          <w:rFonts w:eastAsia="Times New Roman" w:cs="Arial"/>
          <w:color w:val="000000"/>
          <w:szCs w:val="22"/>
          <w:lang w:val="en-US"/>
        </w:rPr>
        <w:t>.</w:t>
      </w:r>
    </w:p>
    <w:p w14:paraId="111E6782" w14:textId="456755A6" w:rsidR="004010EC" w:rsidRPr="00144FAB" w:rsidRDefault="004010EC" w:rsidP="00C57FF5">
      <w:pPr>
        <w:spacing w:before="240" w:after="0" w:line="360" w:lineRule="auto"/>
        <w:rPr>
          <w:rFonts w:eastAsia="Times New Roman" w:cs="Arial"/>
          <w:szCs w:val="22"/>
          <w:lang w:val="en-US"/>
        </w:rPr>
      </w:pPr>
      <w:r w:rsidRPr="00144FAB">
        <w:rPr>
          <w:rFonts w:eastAsia="Times New Roman" w:cs="Arial"/>
          <w:color w:val="000000"/>
          <w:szCs w:val="22"/>
          <w:lang w:val="en-US"/>
        </w:rPr>
        <w:t>In the third one, the strategy is Practice-based learning, role play, shadowing and multi-disciplinary case review. Role play can be used to rehearse challenging conversations and defusing skills in a safe setting. A social worker shadow experience may offer an insight into how assessments, the management of safeguarding meetings and disagreements are conducted. Multidisciplinary reviews also enable social workers to gain an understanding of the roles of the nurses, carers, occupational therapists, and support workers. An example of an adult with dementia and mobility issues who would require planning support on hospital discharge could be a simulated hospital discharge meeting. It may be helpful to review the activity and see if the group's responsibilities seem to be defined, if communication issues are found and if risks have not been identified. The decision to use this approach was made because repeating practice and providing appropriate feedback can make theoretical knowledge come to life</w:t>
      </w:r>
      <w:r w:rsidR="00B12988" w:rsidRPr="00144FAB">
        <w:rPr>
          <w:rFonts w:eastAsia="Times New Roman" w:cs="Arial"/>
          <w:color w:val="000000"/>
          <w:szCs w:val="22"/>
          <w:lang w:val="en-US"/>
        </w:rPr>
        <w:t xml:space="preserve"> </w:t>
      </w:r>
      <w:r w:rsidR="007C56BB" w:rsidRPr="00144FAB">
        <w:rPr>
          <w:rFonts w:eastAsia="Times New Roman" w:cs="Arial"/>
          <w:szCs w:val="22"/>
          <w:lang w:val="en-US"/>
        </w:rPr>
        <w:t xml:space="preserve">(Husereau </w:t>
      </w:r>
      <w:r w:rsidR="007C56BB" w:rsidRPr="00144FAB">
        <w:rPr>
          <w:rFonts w:eastAsia="Times New Roman" w:cs="Arial"/>
          <w:i/>
          <w:iCs/>
          <w:szCs w:val="22"/>
          <w:lang w:val="en-US"/>
        </w:rPr>
        <w:t>et al.</w:t>
      </w:r>
      <w:r w:rsidR="007C56BB" w:rsidRPr="00144FAB">
        <w:rPr>
          <w:rFonts w:eastAsia="Times New Roman" w:cs="Arial"/>
          <w:szCs w:val="22"/>
          <w:lang w:val="en-US"/>
        </w:rPr>
        <w:t>, 2022)</w:t>
      </w:r>
      <w:r w:rsidRPr="00144FAB">
        <w:rPr>
          <w:rFonts w:eastAsia="Times New Roman" w:cs="Arial"/>
          <w:color w:val="000000"/>
          <w:szCs w:val="22"/>
          <w:lang w:val="en-US"/>
        </w:rPr>
        <w:t>.</w:t>
      </w:r>
    </w:p>
    <w:p w14:paraId="5675B1FA" w14:textId="77777777" w:rsidR="00860940" w:rsidRPr="00144FAB" w:rsidRDefault="00860940" w:rsidP="00C57FF5">
      <w:pPr>
        <w:spacing w:before="240" w:after="0" w:line="360" w:lineRule="auto"/>
        <w:rPr>
          <w:rFonts w:cs="Arial"/>
          <w:sz w:val="21"/>
          <w:szCs w:val="21"/>
        </w:rPr>
      </w:pPr>
    </w:p>
    <w:p w14:paraId="7C39B628" w14:textId="77777777" w:rsidR="007C56BB" w:rsidRPr="00144FAB" w:rsidRDefault="007C56BB" w:rsidP="00C57FF5">
      <w:pPr>
        <w:spacing w:before="240" w:after="0" w:line="360" w:lineRule="auto"/>
        <w:rPr>
          <w:rFonts w:cs="Arial"/>
          <w:b/>
          <w:bCs/>
          <w:color w:val="2F5496"/>
          <w:sz w:val="28"/>
          <w:szCs w:val="28"/>
        </w:rPr>
      </w:pPr>
      <w:r w:rsidRPr="00144FAB">
        <w:rPr>
          <w:rFonts w:cs="Arial"/>
          <w:b/>
          <w:bCs/>
        </w:rPr>
        <w:br w:type="page"/>
      </w:r>
    </w:p>
    <w:p w14:paraId="4D0E23C7" w14:textId="77777777" w:rsidR="00860940" w:rsidRPr="00144FAB" w:rsidRDefault="00067D57" w:rsidP="00C57FF5">
      <w:pPr>
        <w:pStyle w:val="Heading1"/>
        <w:spacing w:line="360" w:lineRule="auto"/>
        <w:rPr>
          <w:rFonts w:ascii="Arial" w:hAnsi="Arial" w:cs="Arial"/>
        </w:rPr>
      </w:pPr>
      <w:bookmarkStart w:id="4" w:name="_Toc235403356"/>
      <w:r w:rsidRPr="00144FAB">
        <w:rPr>
          <w:rFonts w:ascii="Arial" w:hAnsi="Arial" w:cs="Arial"/>
        </w:rPr>
        <w:lastRenderedPageBreak/>
        <w:t>1.4 Conclusion</w:t>
      </w:r>
      <w:bookmarkEnd w:id="4"/>
    </w:p>
    <w:p w14:paraId="327F5DE3" w14:textId="77777777" w:rsidR="004010EC" w:rsidRPr="00144FAB" w:rsidRDefault="004010EC" w:rsidP="00C57FF5">
      <w:pPr>
        <w:pStyle w:val="NormalWeb"/>
        <w:spacing w:before="240" w:beforeAutospacing="0" w:after="0" w:afterAutospacing="0" w:line="360" w:lineRule="auto"/>
        <w:rPr>
          <w:rFonts w:ascii="Arial" w:hAnsi="Arial" w:cs="Arial"/>
          <w:sz w:val="22"/>
          <w:szCs w:val="22"/>
        </w:rPr>
      </w:pPr>
      <w:r w:rsidRPr="00144FAB">
        <w:rPr>
          <w:rFonts w:ascii="Arial" w:hAnsi="Arial" w:cs="Arial"/>
          <w:color w:val="000000"/>
          <w:sz w:val="22"/>
          <w:szCs w:val="22"/>
        </w:rPr>
        <w:t>Adult social work has a vital contribution in delivering safe, effective and person-centred health and social care. It involves the application of effective communication skills, critical thinking and multidisciplinary team working in the evaluation of needs, management of risks, adult protection from harm and the co-ordination and provision of appropriate help/assistance. This means that these skills may be lacking, which could result in wrong choices, breakdowns in communication, slow services, and unsafe care. Continuing professional development, reflective supervision and practice-based learning can be useful approaches to enhance a professional's knowledge, judgment and teamwork. These skills contribute to adults having the best possible outcomes</w:t>
      </w:r>
      <w:r w:rsidR="00753C11" w:rsidRPr="00144FAB">
        <w:rPr>
          <w:rFonts w:ascii="Arial" w:hAnsi="Arial" w:cs="Arial"/>
          <w:color w:val="000000"/>
          <w:sz w:val="22"/>
          <w:szCs w:val="22"/>
        </w:rPr>
        <w:t>.</w:t>
      </w:r>
    </w:p>
    <w:p w14:paraId="5B41AA13" w14:textId="77777777" w:rsidR="00743197" w:rsidRPr="00144FAB" w:rsidRDefault="00743197" w:rsidP="00C57FF5">
      <w:pPr>
        <w:spacing w:before="240" w:after="0" w:line="360" w:lineRule="auto"/>
        <w:rPr>
          <w:rFonts w:cs="Arial"/>
          <w:color w:val="2F5496"/>
          <w:sz w:val="28"/>
          <w:szCs w:val="28"/>
        </w:rPr>
      </w:pPr>
      <w:r w:rsidRPr="00144FAB">
        <w:rPr>
          <w:rFonts w:cs="Arial"/>
        </w:rPr>
        <w:br w:type="page"/>
      </w:r>
    </w:p>
    <w:p w14:paraId="0126883A" w14:textId="77777777" w:rsidR="00860940" w:rsidRPr="00144FAB" w:rsidRDefault="00067D57" w:rsidP="00C57FF5">
      <w:pPr>
        <w:pStyle w:val="Heading1"/>
        <w:spacing w:line="360" w:lineRule="auto"/>
        <w:rPr>
          <w:rFonts w:ascii="Arial" w:hAnsi="Arial" w:cs="Arial"/>
        </w:rPr>
      </w:pPr>
      <w:bookmarkStart w:id="5" w:name="_Toc235403357"/>
      <w:r w:rsidRPr="00144FAB">
        <w:rPr>
          <w:rFonts w:ascii="Arial" w:hAnsi="Arial" w:cs="Arial"/>
        </w:rPr>
        <w:lastRenderedPageBreak/>
        <w:t>1.5 Reference List</w:t>
      </w:r>
      <w:bookmarkEnd w:id="5"/>
    </w:p>
    <w:p w14:paraId="41D58DC8" w14:textId="77777777" w:rsidR="00C804D2" w:rsidRPr="00144FAB" w:rsidRDefault="00C804D2" w:rsidP="00C57FF5">
      <w:pPr>
        <w:spacing w:before="240" w:after="0" w:line="360" w:lineRule="auto"/>
        <w:rPr>
          <w:rFonts w:eastAsia="Times New Roman" w:cs="Arial"/>
          <w:szCs w:val="24"/>
          <w:lang w:val="en-US"/>
        </w:rPr>
      </w:pPr>
      <w:r w:rsidRPr="00144FAB">
        <w:rPr>
          <w:rFonts w:eastAsia="Times New Roman" w:cs="Arial"/>
          <w:szCs w:val="24"/>
          <w:lang w:val="en-US"/>
        </w:rPr>
        <w:t xml:space="preserve">Bohren, M. A., Corona, M. V., Odiase, O. J., Wilson, A. N., Sudhinaraset, M., Diamond-Smith, N., Berryman, J., Tunçalp, Ö., and Afulani, P. A. (2022). Strategies to reduce stigma and discrimination in sexual and reproductive healthcare settings: A mixed-methods systematic review. </w:t>
      </w:r>
      <w:r w:rsidRPr="00144FAB">
        <w:rPr>
          <w:rFonts w:eastAsia="Times New Roman" w:cs="Arial"/>
          <w:i/>
          <w:iCs/>
          <w:szCs w:val="24"/>
          <w:lang w:val="en-US"/>
        </w:rPr>
        <w:t>PLOS Global Public Health</w:t>
      </w:r>
      <w:r w:rsidRPr="00144FAB">
        <w:rPr>
          <w:rFonts w:eastAsia="Times New Roman" w:cs="Arial"/>
          <w:szCs w:val="24"/>
          <w:lang w:val="en-US"/>
        </w:rPr>
        <w:t xml:space="preserve">, </w:t>
      </w:r>
      <w:r w:rsidRPr="00144FAB">
        <w:rPr>
          <w:rFonts w:eastAsia="Times New Roman" w:cs="Arial"/>
          <w:i/>
          <w:iCs/>
          <w:szCs w:val="24"/>
          <w:lang w:val="en-US"/>
        </w:rPr>
        <w:t>2</w:t>
      </w:r>
      <w:r w:rsidRPr="00144FAB">
        <w:rPr>
          <w:rFonts w:eastAsia="Times New Roman" w:cs="Arial"/>
          <w:szCs w:val="24"/>
          <w:lang w:val="en-US"/>
        </w:rPr>
        <w:t xml:space="preserve">(6), e0000582. </w:t>
      </w:r>
      <w:hyperlink r:id="rId8" w:history="1">
        <w:r w:rsidRPr="00144FAB">
          <w:rPr>
            <w:rStyle w:val="Hyperlink"/>
            <w:rFonts w:eastAsia="Times New Roman" w:cs="Arial"/>
            <w:szCs w:val="24"/>
            <w:lang w:val="en-US"/>
          </w:rPr>
          <w:t>https://doi.org/10.1371/journal.pgph.0000582</w:t>
        </w:r>
      </w:hyperlink>
      <w:r w:rsidRPr="00144FAB">
        <w:rPr>
          <w:rFonts w:eastAsia="Times New Roman" w:cs="Arial"/>
          <w:szCs w:val="24"/>
          <w:lang w:val="en-US"/>
        </w:rPr>
        <w:t xml:space="preserve"> </w:t>
      </w:r>
    </w:p>
    <w:p w14:paraId="38ACFB89" w14:textId="77777777" w:rsidR="00C804D2" w:rsidRPr="00144FAB" w:rsidRDefault="00C804D2" w:rsidP="00C57FF5">
      <w:pPr>
        <w:spacing w:before="240" w:after="0" w:line="360" w:lineRule="auto"/>
        <w:rPr>
          <w:rFonts w:eastAsia="Times New Roman" w:cs="Arial"/>
          <w:szCs w:val="24"/>
          <w:lang w:val="en-US"/>
        </w:rPr>
      </w:pPr>
      <w:r w:rsidRPr="00144FAB">
        <w:rPr>
          <w:rFonts w:eastAsia="Times New Roman" w:cs="Arial"/>
          <w:szCs w:val="24"/>
          <w:lang w:val="en-US"/>
        </w:rPr>
        <w:t xml:space="preserve">Brazier, J., Peasgood, T., Mukuria, C., Marten, O., Kreimeier, S., Luo, N., Mulhern, B., Pickard, A. S., Augustovski, F., Greiner, W., Engel, L., Belizan, M., Yang, Z., Monteiro, A., Kuharic, M., Gibbons, L., Ludwig, K., Carlton, J., Connell, J and Rejon-Parrilla, J. C. (2022). The EQ-HWB: Overview of the development of a measure of health and wellbeing and key results. </w:t>
      </w:r>
      <w:r w:rsidRPr="00144FAB">
        <w:rPr>
          <w:rFonts w:eastAsia="Times New Roman" w:cs="Arial"/>
          <w:i/>
          <w:iCs/>
          <w:szCs w:val="24"/>
          <w:lang w:val="en-US"/>
        </w:rPr>
        <w:t>Value in Health</w:t>
      </w:r>
      <w:r w:rsidRPr="00144FAB">
        <w:rPr>
          <w:rFonts w:eastAsia="Times New Roman" w:cs="Arial"/>
          <w:szCs w:val="24"/>
          <w:lang w:val="en-US"/>
        </w:rPr>
        <w:t xml:space="preserve">, </w:t>
      </w:r>
      <w:r w:rsidRPr="00144FAB">
        <w:rPr>
          <w:rFonts w:eastAsia="Times New Roman" w:cs="Arial"/>
          <w:i/>
          <w:iCs/>
          <w:szCs w:val="24"/>
          <w:lang w:val="en-US"/>
        </w:rPr>
        <w:t>25</w:t>
      </w:r>
      <w:r w:rsidRPr="00144FAB">
        <w:rPr>
          <w:rFonts w:eastAsia="Times New Roman" w:cs="Arial"/>
          <w:szCs w:val="24"/>
          <w:lang w:val="en-US"/>
        </w:rPr>
        <w:t xml:space="preserve">(4), 482–491. </w:t>
      </w:r>
      <w:hyperlink r:id="rId9" w:history="1">
        <w:r w:rsidRPr="00144FAB">
          <w:rPr>
            <w:rStyle w:val="Hyperlink"/>
            <w:rFonts w:eastAsia="Times New Roman" w:cs="Arial"/>
            <w:szCs w:val="24"/>
            <w:lang w:val="en-US"/>
          </w:rPr>
          <w:t>https://doi.org/10.1016/j.jval.2022.01.009</w:t>
        </w:r>
      </w:hyperlink>
      <w:r w:rsidRPr="00144FAB">
        <w:rPr>
          <w:rFonts w:eastAsia="Times New Roman" w:cs="Arial"/>
          <w:szCs w:val="24"/>
          <w:lang w:val="en-US"/>
        </w:rPr>
        <w:t xml:space="preserve"> </w:t>
      </w:r>
    </w:p>
    <w:p w14:paraId="5F3A945A" w14:textId="77777777" w:rsidR="00C804D2" w:rsidRPr="00144FAB" w:rsidRDefault="00C804D2" w:rsidP="00C57FF5">
      <w:pPr>
        <w:spacing w:before="240" w:after="0" w:line="360" w:lineRule="auto"/>
        <w:rPr>
          <w:rFonts w:eastAsia="Times New Roman" w:cs="Arial"/>
          <w:szCs w:val="24"/>
          <w:lang w:val="en-US"/>
        </w:rPr>
      </w:pPr>
      <w:r w:rsidRPr="00144FAB">
        <w:rPr>
          <w:rFonts w:eastAsia="Times New Roman" w:cs="Arial"/>
          <w:szCs w:val="24"/>
          <w:lang w:val="en-US"/>
        </w:rPr>
        <w:t xml:space="preserve">Chemali, S., Mari-Sáez, A., Bcheraoui, C. E., and Weishaar, H. (2022). Health care workers’ experiences during the COVID-19 pandemic: a scoping review. </w:t>
      </w:r>
      <w:r w:rsidRPr="00144FAB">
        <w:rPr>
          <w:rFonts w:eastAsia="Times New Roman" w:cs="Arial"/>
          <w:i/>
          <w:iCs/>
          <w:szCs w:val="24"/>
          <w:lang w:val="en-US"/>
        </w:rPr>
        <w:t>Human Resources for Health</w:t>
      </w:r>
      <w:r w:rsidRPr="00144FAB">
        <w:rPr>
          <w:rFonts w:eastAsia="Times New Roman" w:cs="Arial"/>
          <w:szCs w:val="24"/>
          <w:lang w:val="en-US"/>
        </w:rPr>
        <w:t xml:space="preserve">, </w:t>
      </w:r>
      <w:r w:rsidRPr="00144FAB">
        <w:rPr>
          <w:rFonts w:eastAsia="Times New Roman" w:cs="Arial"/>
          <w:i/>
          <w:iCs/>
          <w:szCs w:val="24"/>
          <w:lang w:val="en-US"/>
        </w:rPr>
        <w:t>20</w:t>
      </w:r>
      <w:r w:rsidRPr="00144FAB">
        <w:rPr>
          <w:rFonts w:eastAsia="Times New Roman" w:cs="Arial"/>
          <w:szCs w:val="24"/>
          <w:lang w:val="en-US"/>
        </w:rPr>
        <w:t xml:space="preserve">(1), 27. </w:t>
      </w:r>
      <w:hyperlink r:id="rId10" w:history="1">
        <w:r w:rsidRPr="00144FAB">
          <w:rPr>
            <w:rStyle w:val="Hyperlink"/>
            <w:rFonts w:eastAsia="Times New Roman" w:cs="Arial"/>
            <w:szCs w:val="24"/>
            <w:lang w:val="en-US"/>
          </w:rPr>
          <w:t>https://doi.org/10.1186/s12960-022-00724-1</w:t>
        </w:r>
      </w:hyperlink>
      <w:r w:rsidRPr="00144FAB">
        <w:rPr>
          <w:rFonts w:eastAsia="Times New Roman" w:cs="Arial"/>
          <w:szCs w:val="24"/>
          <w:lang w:val="en-US"/>
        </w:rPr>
        <w:t xml:space="preserve"> </w:t>
      </w:r>
    </w:p>
    <w:p w14:paraId="655A3BE0" w14:textId="77777777" w:rsidR="00C804D2" w:rsidRPr="00144FAB" w:rsidRDefault="00C804D2" w:rsidP="00C57FF5">
      <w:pPr>
        <w:spacing w:before="240" w:after="0" w:line="360" w:lineRule="auto"/>
        <w:rPr>
          <w:rFonts w:eastAsia="Times New Roman" w:cs="Arial"/>
          <w:szCs w:val="24"/>
          <w:lang w:val="en-US"/>
        </w:rPr>
      </w:pPr>
      <w:r w:rsidRPr="00144FAB">
        <w:rPr>
          <w:rFonts w:eastAsia="Times New Roman" w:cs="Arial"/>
          <w:szCs w:val="24"/>
          <w:lang w:val="en-US"/>
        </w:rPr>
        <w:t xml:space="preserve">Edelman, N. L. (2022). Trauma and resilience informed research principles and practice: A framework to improve the inclusion and experience of disadvantaged populations in health and social care research. </w:t>
      </w:r>
      <w:r w:rsidRPr="00144FAB">
        <w:rPr>
          <w:rFonts w:eastAsia="Times New Roman" w:cs="Arial"/>
          <w:i/>
          <w:iCs/>
          <w:szCs w:val="24"/>
          <w:lang w:val="en-US"/>
        </w:rPr>
        <w:t>Journal of Health Services Research &amp; Policy</w:t>
      </w:r>
      <w:r w:rsidRPr="00144FAB">
        <w:rPr>
          <w:rFonts w:eastAsia="Times New Roman" w:cs="Arial"/>
          <w:szCs w:val="24"/>
          <w:lang w:val="en-US"/>
        </w:rPr>
        <w:t xml:space="preserve">, </w:t>
      </w:r>
      <w:r w:rsidRPr="00144FAB">
        <w:rPr>
          <w:rFonts w:eastAsia="Times New Roman" w:cs="Arial"/>
          <w:i/>
          <w:iCs/>
          <w:szCs w:val="24"/>
          <w:lang w:val="en-US"/>
        </w:rPr>
        <w:t>28</w:t>
      </w:r>
      <w:r w:rsidRPr="00144FAB">
        <w:rPr>
          <w:rFonts w:eastAsia="Times New Roman" w:cs="Arial"/>
          <w:szCs w:val="24"/>
          <w:lang w:val="en-US"/>
        </w:rPr>
        <w:t xml:space="preserve">(1), 66–75. </w:t>
      </w:r>
      <w:hyperlink r:id="rId11" w:history="1">
        <w:r w:rsidRPr="00144FAB">
          <w:rPr>
            <w:rStyle w:val="Hyperlink"/>
            <w:rFonts w:eastAsia="Times New Roman" w:cs="Arial"/>
            <w:szCs w:val="24"/>
            <w:lang w:val="en-US"/>
          </w:rPr>
          <w:t>https://doi.org/10.1177/13558196221124740</w:t>
        </w:r>
      </w:hyperlink>
      <w:r w:rsidRPr="00144FAB">
        <w:rPr>
          <w:rFonts w:eastAsia="Times New Roman" w:cs="Arial"/>
          <w:szCs w:val="24"/>
          <w:lang w:val="en-US"/>
        </w:rPr>
        <w:t xml:space="preserve"> </w:t>
      </w:r>
    </w:p>
    <w:p w14:paraId="51B7F1E4" w14:textId="77777777" w:rsidR="00C804D2" w:rsidRPr="00144FAB" w:rsidRDefault="00C804D2" w:rsidP="00C57FF5">
      <w:pPr>
        <w:spacing w:before="240" w:after="0" w:line="360" w:lineRule="auto"/>
        <w:rPr>
          <w:rFonts w:eastAsia="Times New Roman" w:cs="Arial"/>
          <w:szCs w:val="24"/>
          <w:lang w:val="en-US"/>
        </w:rPr>
      </w:pPr>
      <w:r w:rsidRPr="00144FAB">
        <w:rPr>
          <w:rFonts w:eastAsia="Times New Roman" w:cs="Arial"/>
          <w:szCs w:val="24"/>
          <w:lang w:val="en-US"/>
        </w:rPr>
        <w:t xml:space="preserve">Farooqi, A., Jutlla, K., Raghavan, R., Wilson, A., Uddin, M. S., Akroyd, C., Patel, N., Campbell-Morris, P. P., and Farooqi, A. T. (2022). Developing a toolkit for increasing the participation of black, Asian and minority ethnic communities in health and social care research. </w:t>
      </w:r>
      <w:r w:rsidRPr="00144FAB">
        <w:rPr>
          <w:rFonts w:eastAsia="Times New Roman" w:cs="Arial"/>
          <w:i/>
          <w:iCs/>
          <w:szCs w:val="24"/>
          <w:lang w:val="en-US"/>
        </w:rPr>
        <w:t>BMC Medical Research Methodology</w:t>
      </w:r>
      <w:r w:rsidRPr="00144FAB">
        <w:rPr>
          <w:rFonts w:eastAsia="Times New Roman" w:cs="Arial"/>
          <w:szCs w:val="24"/>
          <w:lang w:val="en-US"/>
        </w:rPr>
        <w:t xml:space="preserve">, </w:t>
      </w:r>
      <w:r w:rsidRPr="00144FAB">
        <w:rPr>
          <w:rFonts w:eastAsia="Times New Roman" w:cs="Arial"/>
          <w:i/>
          <w:iCs/>
          <w:szCs w:val="24"/>
          <w:lang w:val="en-US"/>
        </w:rPr>
        <w:t>22</w:t>
      </w:r>
      <w:r w:rsidRPr="00144FAB">
        <w:rPr>
          <w:rFonts w:eastAsia="Times New Roman" w:cs="Arial"/>
          <w:szCs w:val="24"/>
          <w:lang w:val="en-US"/>
        </w:rPr>
        <w:t xml:space="preserve">(1), 17. </w:t>
      </w:r>
      <w:hyperlink r:id="rId12" w:history="1">
        <w:r w:rsidRPr="00144FAB">
          <w:rPr>
            <w:rStyle w:val="Hyperlink"/>
            <w:rFonts w:eastAsia="Times New Roman" w:cs="Arial"/>
            <w:szCs w:val="24"/>
            <w:lang w:val="en-US"/>
          </w:rPr>
          <w:t>https://doi.org/10.1186/s12874-021-01489-2</w:t>
        </w:r>
      </w:hyperlink>
      <w:r w:rsidRPr="00144FAB">
        <w:rPr>
          <w:rFonts w:eastAsia="Times New Roman" w:cs="Arial"/>
          <w:szCs w:val="24"/>
          <w:lang w:val="en-US"/>
        </w:rPr>
        <w:t xml:space="preserve"> </w:t>
      </w:r>
    </w:p>
    <w:p w14:paraId="18C798CA" w14:textId="77777777" w:rsidR="00C804D2" w:rsidRPr="00144FAB" w:rsidRDefault="00C804D2" w:rsidP="00C57FF5">
      <w:pPr>
        <w:spacing w:before="240" w:after="0" w:line="360" w:lineRule="auto"/>
        <w:rPr>
          <w:rFonts w:eastAsia="Times New Roman" w:cs="Arial"/>
          <w:szCs w:val="24"/>
          <w:lang w:val="en-US"/>
        </w:rPr>
      </w:pPr>
      <w:r w:rsidRPr="00144FAB">
        <w:rPr>
          <w:rFonts w:eastAsia="Times New Roman" w:cs="Arial"/>
          <w:szCs w:val="24"/>
          <w:lang w:val="en-US"/>
        </w:rPr>
        <w:t xml:space="preserve">Husereau, D., Drummond, M., Augustovski, F., De Bekker-Grob, E., Briggs, A. H., Carswell, C., Caulley, L., Chaiyakunapruk, N., Greenberg, D., Loder, E., Mauskopf, J., Mullins, C. D., Petrou, S., Pwu, R., and Staniszewska, S. (2022). Consolidated Health Economic Evaluation Reporting Standards 2022 (CHEERS 2022) statement: updated reporting guidance for health economic evaluations. </w:t>
      </w:r>
      <w:r w:rsidRPr="00144FAB">
        <w:rPr>
          <w:rFonts w:eastAsia="Times New Roman" w:cs="Arial"/>
          <w:i/>
          <w:iCs/>
          <w:szCs w:val="24"/>
          <w:lang w:val="en-US"/>
        </w:rPr>
        <w:t>MDM Policy &amp; Practice</w:t>
      </w:r>
      <w:r w:rsidRPr="00144FAB">
        <w:rPr>
          <w:rFonts w:eastAsia="Times New Roman" w:cs="Arial"/>
          <w:szCs w:val="24"/>
          <w:lang w:val="en-US"/>
        </w:rPr>
        <w:t xml:space="preserve">, </w:t>
      </w:r>
      <w:r w:rsidRPr="00144FAB">
        <w:rPr>
          <w:rFonts w:eastAsia="Times New Roman" w:cs="Arial"/>
          <w:i/>
          <w:iCs/>
          <w:szCs w:val="24"/>
          <w:lang w:val="en-US"/>
        </w:rPr>
        <w:t>7</w:t>
      </w:r>
      <w:r w:rsidRPr="00144FAB">
        <w:rPr>
          <w:rFonts w:eastAsia="Times New Roman" w:cs="Arial"/>
          <w:szCs w:val="24"/>
          <w:lang w:val="en-US"/>
        </w:rPr>
        <w:t xml:space="preserve">(1), 23814683211061097. </w:t>
      </w:r>
      <w:hyperlink r:id="rId13" w:history="1">
        <w:r w:rsidRPr="00144FAB">
          <w:rPr>
            <w:rStyle w:val="Hyperlink"/>
            <w:rFonts w:eastAsia="Times New Roman" w:cs="Arial"/>
            <w:szCs w:val="24"/>
            <w:lang w:val="en-US"/>
          </w:rPr>
          <w:t>https://doi.org/10.1177/23814683211061097</w:t>
        </w:r>
      </w:hyperlink>
      <w:r w:rsidRPr="00144FAB">
        <w:rPr>
          <w:rFonts w:eastAsia="Times New Roman" w:cs="Arial"/>
          <w:szCs w:val="24"/>
          <w:lang w:val="en-US"/>
        </w:rPr>
        <w:t xml:space="preserve"> </w:t>
      </w:r>
    </w:p>
    <w:p w14:paraId="3C3D3282" w14:textId="77777777" w:rsidR="00C804D2" w:rsidRPr="00144FAB" w:rsidRDefault="00C804D2" w:rsidP="00C57FF5">
      <w:pPr>
        <w:spacing w:before="240" w:after="0" w:line="360" w:lineRule="auto"/>
        <w:rPr>
          <w:rFonts w:eastAsia="Times New Roman" w:cs="Arial"/>
          <w:szCs w:val="24"/>
          <w:lang w:val="en-US"/>
        </w:rPr>
      </w:pPr>
      <w:r w:rsidRPr="00144FAB">
        <w:rPr>
          <w:rFonts w:eastAsia="Times New Roman" w:cs="Arial"/>
          <w:szCs w:val="24"/>
          <w:lang w:val="en-US"/>
        </w:rPr>
        <w:t xml:space="preserve">Isidori, V., Diamanti, F., Gios, L., Malfatti, G., Perini, F., Nicolini, A., Longhini, J., Forti, S., Fraschini, F., Bizzarri, G., Brancorsini, S., and Gaudino, A. (2022). Digital Technologies and the Role of Health Care Professionals: Scoping Review exploring nurses’ skills in the digital </w:t>
      </w:r>
      <w:r w:rsidRPr="00144FAB">
        <w:rPr>
          <w:rFonts w:eastAsia="Times New Roman" w:cs="Arial"/>
          <w:szCs w:val="24"/>
          <w:lang w:val="en-US"/>
        </w:rPr>
        <w:lastRenderedPageBreak/>
        <w:t xml:space="preserve">era and in the light of the COVID-19 pandemic. </w:t>
      </w:r>
      <w:r w:rsidRPr="00144FAB">
        <w:rPr>
          <w:rFonts w:eastAsia="Times New Roman" w:cs="Arial"/>
          <w:i/>
          <w:iCs/>
          <w:szCs w:val="24"/>
          <w:lang w:val="en-US"/>
        </w:rPr>
        <w:t>JMIR Nursing</w:t>
      </w:r>
      <w:r w:rsidRPr="00144FAB">
        <w:rPr>
          <w:rFonts w:eastAsia="Times New Roman" w:cs="Arial"/>
          <w:szCs w:val="24"/>
          <w:lang w:val="en-US"/>
        </w:rPr>
        <w:t xml:space="preserve">, </w:t>
      </w:r>
      <w:r w:rsidRPr="00144FAB">
        <w:rPr>
          <w:rFonts w:eastAsia="Times New Roman" w:cs="Arial"/>
          <w:i/>
          <w:iCs/>
          <w:szCs w:val="24"/>
          <w:lang w:val="en-US"/>
        </w:rPr>
        <w:t>5</w:t>
      </w:r>
      <w:r w:rsidRPr="00144FAB">
        <w:rPr>
          <w:rFonts w:eastAsia="Times New Roman" w:cs="Arial"/>
          <w:szCs w:val="24"/>
          <w:lang w:val="en-US"/>
        </w:rPr>
        <w:t xml:space="preserve">(1), e37631. </w:t>
      </w:r>
      <w:hyperlink r:id="rId14" w:history="1">
        <w:r w:rsidRPr="00144FAB">
          <w:rPr>
            <w:rStyle w:val="Hyperlink"/>
            <w:rFonts w:eastAsia="Times New Roman" w:cs="Arial"/>
            <w:szCs w:val="24"/>
            <w:lang w:val="en-US"/>
          </w:rPr>
          <w:t>https://doi.org/10.2196/37631</w:t>
        </w:r>
      </w:hyperlink>
      <w:r w:rsidRPr="00144FAB">
        <w:rPr>
          <w:rFonts w:eastAsia="Times New Roman" w:cs="Arial"/>
          <w:szCs w:val="24"/>
          <w:lang w:val="en-US"/>
        </w:rPr>
        <w:t xml:space="preserve"> </w:t>
      </w:r>
    </w:p>
    <w:p w14:paraId="12C776C0" w14:textId="77777777" w:rsidR="00C804D2" w:rsidRPr="00144FAB" w:rsidRDefault="00C804D2" w:rsidP="00C57FF5">
      <w:pPr>
        <w:spacing w:before="240" w:after="0" w:line="360" w:lineRule="auto"/>
        <w:rPr>
          <w:rFonts w:eastAsia="Times New Roman" w:cs="Arial"/>
          <w:szCs w:val="24"/>
          <w:lang w:val="en-US"/>
        </w:rPr>
      </w:pPr>
      <w:r w:rsidRPr="00144FAB">
        <w:rPr>
          <w:rFonts w:eastAsia="Times New Roman" w:cs="Arial"/>
          <w:szCs w:val="24"/>
          <w:lang w:val="en-US"/>
        </w:rPr>
        <w:t>Masterson, D., Josefsson, K. A., Robert, G., Nylander, E., and Kjellström, S. (2022). Mapping definitions of co</w:t>
      </w:r>
      <w:r w:rsidRPr="00144FAB">
        <w:rPr>
          <w:rFonts w:ascii="Cambria Math" w:eastAsia="Times New Roman" w:hAnsi="Cambria Math" w:cs="Cambria Math"/>
          <w:szCs w:val="24"/>
          <w:lang w:val="en-US"/>
        </w:rPr>
        <w:t>‐</w:t>
      </w:r>
      <w:r w:rsidRPr="00144FAB">
        <w:rPr>
          <w:rFonts w:eastAsia="Times New Roman" w:cs="Arial"/>
          <w:szCs w:val="24"/>
          <w:lang w:val="en-US"/>
        </w:rPr>
        <w:t>production and co</w:t>
      </w:r>
      <w:r w:rsidRPr="00144FAB">
        <w:rPr>
          <w:rFonts w:ascii="Cambria Math" w:eastAsia="Times New Roman" w:hAnsi="Cambria Math" w:cs="Cambria Math"/>
          <w:szCs w:val="24"/>
          <w:lang w:val="en-US"/>
        </w:rPr>
        <w:t>‐</w:t>
      </w:r>
      <w:r w:rsidRPr="00144FAB">
        <w:rPr>
          <w:rFonts w:eastAsia="Times New Roman" w:cs="Arial"/>
          <w:szCs w:val="24"/>
          <w:lang w:val="en-US"/>
        </w:rPr>
        <w:t xml:space="preserve">design in health and social care: A systematic scoping review providing lessons for the future. </w:t>
      </w:r>
      <w:r w:rsidRPr="00144FAB">
        <w:rPr>
          <w:rFonts w:eastAsia="Times New Roman" w:cs="Arial"/>
          <w:i/>
          <w:iCs/>
          <w:szCs w:val="24"/>
          <w:lang w:val="en-US"/>
        </w:rPr>
        <w:t>Health Expectations</w:t>
      </w:r>
      <w:r w:rsidRPr="00144FAB">
        <w:rPr>
          <w:rFonts w:eastAsia="Times New Roman" w:cs="Arial"/>
          <w:szCs w:val="24"/>
          <w:lang w:val="en-US"/>
        </w:rPr>
        <w:t xml:space="preserve">, </w:t>
      </w:r>
      <w:r w:rsidRPr="00144FAB">
        <w:rPr>
          <w:rFonts w:eastAsia="Times New Roman" w:cs="Arial"/>
          <w:i/>
          <w:iCs/>
          <w:szCs w:val="24"/>
          <w:lang w:val="en-US"/>
        </w:rPr>
        <w:t>25</w:t>
      </w:r>
      <w:r w:rsidRPr="00144FAB">
        <w:rPr>
          <w:rFonts w:eastAsia="Times New Roman" w:cs="Arial"/>
          <w:szCs w:val="24"/>
          <w:lang w:val="en-US"/>
        </w:rPr>
        <w:t xml:space="preserve">(3), 902–913. </w:t>
      </w:r>
      <w:hyperlink r:id="rId15" w:history="1">
        <w:r w:rsidRPr="00144FAB">
          <w:rPr>
            <w:rStyle w:val="Hyperlink"/>
            <w:rFonts w:eastAsia="Times New Roman" w:cs="Arial"/>
            <w:szCs w:val="24"/>
            <w:lang w:val="en-US"/>
          </w:rPr>
          <w:t>https://doi.org/10.1111/hex.13470</w:t>
        </w:r>
      </w:hyperlink>
      <w:r w:rsidRPr="00144FAB">
        <w:rPr>
          <w:rFonts w:eastAsia="Times New Roman" w:cs="Arial"/>
          <w:szCs w:val="24"/>
          <w:lang w:val="en-US"/>
        </w:rPr>
        <w:t xml:space="preserve"> </w:t>
      </w:r>
    </w:p>
    <w:p w14:paraId="09236F35" w14:textId="77777777" w:rsidR="00C804D2" w:rsidRPr="00144FAB" w:rsidRDefault="00C804D2" w:rsidP="00C57FF5">
      <w:pPr>
        <w:spacing w:before="240" w:after="0" w:line="360" w:lineRule="auto"/>
        <w:rPr>
          <w:rFonts w:eastAsia="Times New Roman" w:cs="Arial"/>
          <w:szCs w:val="24"/>
          <w:lang w:val="en-US"/>
        </w:rPr>
      </w:pPr>
      <w:r w:rsidRPr="00144FAB">
        <w:rPr>
          <w:rFonts w:eastAsia="Times New Roman" w:cs="Arial"/>
          <w:szCs w:val="24"/>
          <w:lang w:val="en-US"/>
        </w:rPr>
        <w:t xml:space="preserve">Mugumbate, J. R., Mupedziswa, R., Twikirize, J. M., Mthethwa, E., Desta, A. A., and Oyinlola, O. (2023). Understanding Ubuntu and its contribution to social work education in Africa and other regions of the world. </w:t>
      </w:r>
      <w:r w:rsidRPr="00144FAB">
        <w:rPr>
          <w:rFonts w:eastAsia="Times New Roman" w:cs="Arial"/>
          <w:i/>
          <w:iCs/>
          <w:szCs w:val="24"/>
          <w:lang w:val="en-US"/>
        </w:rPr>
        <w:t>Social Work Education</w:t>
      </w:r>
      <w:r w:rsidRPr="00144FAB">
        <w:rPr>
          <w:rFonts w:eastAsia="Times New Roman" w:cs="Arial"/>
          <w:szCs w:val="24"/>
          <w:lang w:val="en-US"/>
        </w:rPr>
        <w:t xml:space="preserve">, </w:t>
      </w:r>
      <w:r w:rsidRPr="00144FAB">
        <w:rPr>
          <w:rFonts w:eastAsia="Times New Roman" w:cs="Arial"/>
          <w:i/>
          <w:iCs/>
          <w:szCs w:val="24"/>
          <w:lang w:val="en-US"/>
        </w:rPr>
        <w:t>43</w:t>
      </w:r>
      <w:r w:rsidRPr="00144FAB">
        <w:rPr>
          <w:rFonts w:eastAsia="Times New Roman" w:cs="Arial"/>
          <w:szCs w:val="24"/>
          <w:lang w:val="en-US"/>
        </w:rPr>
        <w:t xml:space="preserve">(4), 1123–1139. </w:t>
      </w:r>
      <w:hyperlink r:id="rId16" w:history="1">
        <w:r w:rsidRPr="00144FAB">
          <w:rPr>
            <w:rStyle w:val="Hyperlink"/>
            <w:rFonts w:eastAsia="Times New Roman" w:cs="Arial"/>
            <w:szCs w:val="24"/>
            <w:lang w:val="en-US"/>
          </w:rPr>
          <w:t>https://doi.org/10.1080/02615479.2023.2168638</w:t>
        </w:r>
      </w:hyperlink>
      <w:r w:rsidRPr="00144FAB">
        <w:rPr>
          <w:rFonts w:eastAsia="Times New Roman" w:cs="Arial"/>
          <w:szCs w:val="24"/>
          <w:lang w:val="en-US"/>
        </w:rPr>
        <w:t xml:space="preserve"> </w:t>
      </w:r>
    </w:p>
    <w:p w14:paraId="2F6DF45C" w14:textId="77777777" w:rsidR="00C804D2" w:rsidRPr="00144FAB" w:rsidRDefault="00C804D2" w:rsidP="00C57FF5">
      <w:pPr>
        <w:spacing w:before="240" w:after="0" w:line="360" w:lineRule="auto"/>
        <w:rPr>
          <w:rFonts w:eastAsia="Times New Roman" w:cs="Arial"/>
          <w:szCs w:val="24"/>
          <w:lang w:val="en-US"/>
        </w:rPr>
      </w:pPr>
      <w:r w:rsidRPr="00144FAB">
        <w:rPr>
          <w:rFonts w:eastAsia="Times New Roman" w:cs="Arial"/>
          <w:szCs w:val="24"/>
          <w:lang w:val="en-US"/>
        </w:rPr>
        <w:t>Westwood, S. (2022). Religious</w:t>
      </w:r>
      <w:r w:rsidRPr="00144FAB">
        <w:rPr>
          <w:rFonts w:ascii="Cambria Math" w:eastAsia="Times New Roman" w:hAnsi="Cambria Math" w:cs="Cambria Math"/>
          <w:szCs w:val="24"/>
          <w:lang w:val="en-US"/>
        </w:rPr>
        <w:t>‐</w:t>
      </w:r>
      <w:r w:rsidRPr="00144FAB">
        <w:rPr>
          <w:rFonts w:eastAsia="Times New Roman" w:cs="Arial"/>
          <w:szCs w:val="24"/>
          <w:lang w:val="en-US"/>
        </w:rPr>
        <w:t xml:space="preserve">based negative attitudes towards LGBTQ people among healthcare, social care and social work students and professionals: A review of the international literature. </w:t>
      </w:r>
      <w:r w:rsidRPr="00144FAB">
        <w:rPr>
          <w:rFonts w:eastAsia="Times New Roman" w:cs="Arial"/>
          <w:i/>
          <w:iCs/>
          <w:szCs w:val="24"/>
          <w:lang w:val="en-US"/>
        </w:rPr>
        <w:t>Health &amp; Social Care in the Community</w:t>
      </w:r>
      <w:r w:rsidRPr="00144FAB">
        <w:rPr>
          <w:rFonts w:eastAsia="Times New Roman" w:cs="Arial"/>
          <w:szCs w:val="24"/>
          <w:lang w:val="en-US"/>
        </w:rPr>
        <w:t xml:space="preserve">, </w:t>
      </w:r>
      <w:r w:rsidRPr="00144FAB">
        <w:rPr>
          <w:rFonts w:eastAsia="Times New Roman" w:cs="Arial"/>
          <w:i/>
          <w:iCs/>
          <w:szCs w:val="24"/>
          <w:lang w:val="en-US"/>
        </w:rPr>
        <w:t>30</w:t>
      </w:r>
      <w:r w:rsidRPr="00144FAB">
        <w:rPr>
          <w:rFonts w:eastAsia="Times New Roman" w:cs="Arial"/>
          <w:szCs w:val="24"/>
          <w:lang w:val="en-US"/>
        </w:rPr>
        <w:t xml:space="preserve">(5), e1449–e1470. </w:t>
      </w:r>
      <w:hyperlink r:id="rId17" w:history="1">
        <w:r w:rsidRPr="00144FAB">
          <w:rPr>
            <w:rStyle w:val="Hyperlink"/>
            <w:rFonts w:eastAsia="Times New Roman" w:cs="Arial"/>
            <w:szCs w:val="24"/>
            <w:lang w:val="en-US"/>
          </w:rPr>
          <w:t>https://doi.org/10.1111/hsc.13812</w:t>
        </w:r>
      </w:hyperlink>
      <w:r w:rsidRPr="00144FAB">
        <w:rPr>
          <w:rFonts w:eastAsia="Times New Roman" w:cs="Arial"/>
          <w:szCs w:val="24"/>
          <w:lang w:val="en-US"/>
        </w:rPr>
        <w:t xml:space="preserve"> </w:t>
      </w:r>
    </w:p>
    <w:p w14:paraId="2FB927B3" w14:textId="77777777" w:rsidR="00860940" w:rsidRPr="00144FAB" w:rsidRDefault="00860940" w:rsidP="00C57FF5">
      <w:pPr>
        <w:spacing w:before="240" w:after="0" w:line="360" w:lineRule="auto"/>
        <w:rPr>
          <w:rFonts w:cs="Arial"/>
          <w:color w:val="FF0000"/>
          <w:sz w:val="24"/>
          <w:szCs w:val="24"/>
        </w:rPr>
      </w:pPr>
    </w:p>
    <w:sectPr w:rsidR="00860940" w:rsidRPr="00144FAB">
      <w:footerReference w:type="default" r:id="rId1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EF0FB" w14:textId="77777777" w:rsidR="00E7507C" w:rsidRDefault="00E7507C" w:rsidP="00743197">
      <w:pPr>
        <w:spacing w:after="0" w:line="240" w:lineRule="auto"/>
      </w:pPr>
      <w:r>
        <w:separator/>
      </w:r>
    </w:p>
  </w:endnote>
  <w:endnote w:type="continuationSeparator" w:id="0">
    <w:p w14:paraId="5E6EC2F6" w14:textId="77777777" w:rsidR="00E7507C" w:rsidRDefault="00E7507C" w:rsidP="00743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Quattrocento Sans">
    <w:altName w:val="Calibri"/>
    <w:charset w:val="00"/>
    <w:family w:val="auto"/>
    <w:pitch w:val="default"/>
    <w:embedRegular r:id="rId1" w:fontKey="{6098508D-8FDC-47DE-AEFA-33645A97A53E}"/>
    <w:embedBold r:id="rId2" w:fontKey="{1D79E3B8-39D6-4A38-A70B-18476C9BB0B3}"/>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F515B8AE-5926-43B0-8C59-AA1CD461968F}"/>
  </w:font>
  <w:font w:name="Georgia">
    <w:panose1 w:val="02040502050405020303"/>
    <w:charset w:val="00"/>
    <w:family w:val="roman"/>
    <w:pitch w:val="variable"/>
    <w:sig w:usb0="00000287" w:usb1="00000000" w:usb2="00000000" w:usb3="00000000" w:csb0="0000009F" w:csb1="00000000"/>
    <w:embedItalic r:id="rId4" w:fontKey="{2D482C03-47A9-41EF-BA9F-51668B03160F}"/>
  </w:font>
  <w:font w:name="Tahoma">
    <w:panose1 w:val="020B0604030504040204"/>
    <w:charset w:val="00"/>
    <w:family w:val="swiss"/>
    <w:pitch w:val="variable"/>
    <w:sig w:usb0="E1002EFF" w:usb1="C000605B" w:usb2="00000029" w:usb3="00000000" w:csb0="000101FF" w:csb1="00000000"/>
    <w:embedRegular r:id="rId5" w:fontKey="{84EB08D8-2C87-4AEF-8EE6-A9355932E595}"/>
  </w:font>
  <w:font w:name="Cambria Math">
    <w:panose1 w:val="02040503050406030204"/>
    <w:charset w:val="00"/>
    <w:family w:val="roman"/>
    <w:pitch w:val="variable"/>
    <w:sig w:usb0="E00006FF" w:usb1="420024FF" w:usb2="02000000" w:usb3="00000000" w:csb0="0000019F" w:csb1="00000000"/>
    <w:embedRegular r:id="rId6" w:fontKey="{9FBA3E7E-50C5-4EA8-8934-E59248A01776}"/>
  </w:font>
  <w:font w:name="Cambria">
    <w:panose1 w:val="02040503050406030204"/>
    <w:charset w:val="00"/>
    <w:family w:val="roman"/>
    <w:pitch w:val="variable"/>
    <w:sig w:usb0="E00006FF" w:usb1="420024FF" w:usb2="02000000" w:usb3="00000000" w:csb0="0000019F" w:csb1="00000000"/>
    <w:embedRegular r:id="rId7" w:fontKey="{6721EC93-9CC9-4A96-9BEF-A12A5F906D8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1700109"/>
      <w:docPartObj>
        <w:docPartGallery w:val="Page Numbers (Bottom of Page)"/>
        <w:docPartUnique/>
      </w:docPartObj>
    </w:sdtPr>
    <w:sdtEndPr>
      <w:rPr>
        <w:noProof/>
      </w:rPr>
    </w:sdtEndPr>
    <w:sdtContent>
      <w:p w14:paraId="31D9615C" w14:textId="77777777" w:rsidR="00743197" w:rsidRDefault="00743197">
        <w:pPr>
          <w:pStyle w:val="Footer"/>
          <w:jc w:val="center"/>
        </w:pPr>
        <w:r>
          <w:fldChar w:fldCharType="begin"/>
        </w:r>
        <w:r>
          <w:instrText xml:space="preserve"> PAGE   \* MERGEFORMAT </w:instrText>
        </w:r>
        <w:r>
          <w:fldChar w:fldCharType="separate"/>
        </w:r>
        <w:r w:rsidR="00566EDF">
          <w:rPr>
            <w:noProof/>
          </w:rPr>
          <w:t>5</w:t>
        </w:r>
        <w:r>
          <w:rPr>
            <w:noProof/>
          </w:rPr>
          <w:fldChar w:fldCharType="end"/>
        </w:r>
      </w:p>
    </w:sdtContent>
  </w:sdt>
  <w:p w14:paraId="7B78C702" w14:textId="77777777" w:rsidR="00743197" w:rsidRDefault="007431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602E4" w14:textId="77777777" w:rsidR="00E7507C" w:rsidRDefault="00E7507C" w:rsidP="00743197">
      <w:pPr>
        <w:spacing w:after="0" w:line="240" w:lineRule="auto"/>
      </w:pPr>
      <w:r>
        <w:separator/>
      </w:r>
    </w:p>
  </w:footnote>
  <w:footnote w:type="continuationSeparator" w:id="0">
    <w:p w14:paraId="4865B0DE" w14:textId="77777777" w:rsidR="00E7507C" w:rsidRDefault="00E7507C" w:rsidP="007431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03EAB"/>
    <w:multiLevelType w:val="multilevel"/>
    <w:tmpl w:val="F24AC9F6"/>
    <w:lvl w:ilvl="0">
      <w:start w:val="1"/>
      <w:numFmt w:val="decimal"/>
      <w:lvlText w:val="%1."/>
      <w:lvlJc w:val="left"/>
      <w:pPr>
        <w:ind w:left="720" w:hanging="360"/>
      </w:pPr>
      <w:rPr>
        <w:rFonts w:ascii="Quattrocento Sans" w:eastAsia="Quattrocento Sans" w:hAnsi="Quattrocento Sans" w:cs="Quattrocento San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2B86FF8"/>
    <w:multiLevelType w:val="multilevel"/>
    <w:tmpl w:val="A62C7E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6E07804"/>
    <w:multiLevelType w:val="multilevel"/>
    <w:tmpl w:val="1AA6AD3C"/>
    <w:lvl w:ilvl="0">
      <w:start w:val="1"/>
      <w:numFmt w:val="decimal"/>
      <w:lvlText w:val="%1."/>
      <w:lvlJc w:val="left"/>
      <w:pPr>
        <w:ind w:left="720" w:hanging="360"/>
      </w:pPr>
      <w:rPr>
        <w:b w:val="0"/>
        <w:bCs w:val="0"/>
      </w:rPr>
    </w:lvl>
    <w:lvl w:ilvl="1">
      <w:start w:val="3"/>
      <w:numFmt w:val="decimal"/>
      <w:lvlText w:val="%1.%2"/>
      <w:lvlJc w:val="left"/>
      <w:pPr>
        <w:ind w:left="795" w:hanging="43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3" w15:restartNumberingAfterBreak="0">
    <w:nsid w:val="41BA4026"/>
    <w:multiLevelType w:val="multilevel"/>
    <w:tmpl w:val="40CE8756"/>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58101A2"/>
    <w:multiLevelType w:val="multilevel"/>
    <w:tmpl w:val="94AE7F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0940"/>
    <w:rsid w:val="00067D57"/>
    <w:rsid w:val="0013434A"/>
    <w:rsid w:val="00144FAB"/>
    <w:rsid w:val="001903F1"/>
    <w:rsid w:val="003A2794"/>
    <w:rsid w:val="004010EC"/>
    <w:rsid w:val="00507DB9"/>
    <w:rsid w:val="00511E87"/>
    <w:rsid w:val="00566EDF"/>
    <w:rsid w:val="006F169A"/>
    <w:rsid w:val="00743197"/>
    <w:rsid w:val="00753C11"/>
    <w:rsid w:val="007A760A"/>
    <w:rsid w:val="007C56BB"/>
    <w:rsid w:val="00805003"/>
    <w:rsid w:val="0083534C"/>
    <w:rsid w:val="00860940"/>
    <w:rsid w:val="00863D55"/>
    <w:rsid w:val="008B2571"/>
    <w:rsid w:val="00904557"/>
    <w:rsid w:val="00915CCF"/>
    <w:rsid w:val="00975FDA"/>
    <w:rsid w:val="00AA4FBF"/>
    <w:rsid w:val="00B12988"/>
    <w:rsid w:val="00B35656"/>
    <w:rsid w:val="00BC2BDB"/>
    <w:rsid w:val="00BC6EDC"/>
    <w:rsid w:val="00C03263"/>
    <w:rsid w:val="00C57FF5"/>
    <w:rsid w:val="00C804D2"/>
    <w:rsid w:val="00D20AAD"/>
    <w:rsid w:val="00DB7920"/>
    <w:rsid w:val="00E3674C"/>
    <w:rsid w:val="00E75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940F0"/>
  <w15:docId w15:val="{39650050-C23B-4E23-95DF-0D30741D0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Quattrocento Sans" w:eastAsia="Quattrocento Sans" w:hAnsi="Quattrocento Sans" w:cs="Quattrocento Sans"/>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920"/>
    <w:pPr>
      <w:jc w:val="both"/>
    </w:pPr>
    <w:rPr>
      <w:rFonts w:ascii="Arial" w:hAnsi="Arial"/>
      <w:sz w:val="22"/>
    </w:rPr>
  </w:style>
  <w:style w:type="paragraph" w:styleId="Heading1">
    <w:name w:val="heading 1"/>
    <w:basedOn w:val="Normal"/>
    <w:next w:val="Normal"/>
    <w:uiPriority w:val="9"/>
    <w:qFormat/>
    <w:rsid w:val="00BC6EDC"/>
    <w:pPr>
      <w:keepNext/>
      <w:keepLines/>
      <w:spacing w:before="240" w:after="0"/>
      <w:outlineLvl w:val="0"/>
    </w:pPr>
    <w:rPr>
      <w:rFonts w:ascii="Times New Roman" w:hAnsi="Times New Roman"/>
      <w:b/>
      <w:bCs/>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8"/>
      <w:szCs w:val="28"/>
    </w:rPr>
  </w:style>
  <w:style w:type="paragraph" w:styleId="Heading3">
    <w:name w:val="heading 3"/>
    <w:basedOn w:val="Normal"/>
    <w:next w:val="Normal"/>
    <w:uiPriority w:val="9"/>
    <w:semiHidden/>
    <w:unhideWhenUsed/>
    <w:qFormat/>
    <w:pPr>
      <w:keepNext/>
      <w:keepLines/>
      <w:spacing w:before="40" w:after="0"/>
      <w:outlineLvl w:val="2"/>
    </w:pPr>
    <w:rPr>
      <w:rFonts w:ascii="Calibri" w:eastAsia="Calibri" w:hAnsi="Calibri" w:cs="Calibri"/>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NormalWeb">
    <w:name w:val="Normal (Web)"/>
    <w:basedOn w:val="Normal"/>
    <w:uiPriority w:val="99"/>
    <w:semiHidden/>
    <w:unhideWhenUsed/>
    <w:rsid w:val="004010EC"/>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2">
    <w:name w:val="toc 2"/>
    <w:basedOn w:val="Normal"/>
    <w:next w:val="Normal"/>
    <w:autoRedefine/>
    <w:uiPriority w:val="39"/>
    <w:unhideWhenUsed/>
    <w:rsid w:val="00743197"/>
    <w:pPr>
      <w:spacing w:after="100"/>
      <w:ind w:left="200"/>
    </w:pPr>
  </w:style>
  <w:style w:type="character" w:styleId="Hyperlink">
    <w:name w:val="Hyperlink"/>
    <w:basedOn w:val="DefaultParagraphFont"/>
    <w:uiPriority w:val="99"/>
    <w:unhideWhenUsed/>
    <w:rsid w:val="00743197"/>
    <w:rPr>
      <w:color w:val="0000FF" w:themeColor="hyperlink"/>
      <w:u w:val="single"/>
    </w:rPr>
  </w:style>
  <w:style w:type="paragraph" w:styleId="Header">
    <w:name w:val="header"/>
    <w:basedOn w:val="Normal"/>
    <w:link w:val="HeaderChar"/>
    <w:uiPriority w:val="99"/>
    <w:unhideWhenUsed/>
    <w:rsid w:val="007431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3197"/>
  </w:style>
  <w:style w:type="paragraph" w:styleId="Footer">
    <w:name w:val="footer"/>
    <w:basedOn w:val="Normal"/>
    <w:link w:val="FooterChar"/>
    <w:uiPriority w:val="99"/>
    <w:unhideWhenUsed/>
    <w:rsid w:val="007431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197"/>
  </w:style>
  <w:style w:type="character" w:customStyle="1" w:styleId="url">
    <w:name w:val="url"/>
    <w:basedOn w:val="DefaultParagraphFont"/>
    <w:rsid w:val="00BC2BDB"/>
  </w:style>
  <w:style w:type="character" w:customStyle="1" w:styleId="UnresolvedMention1">
    <w:name w:val="Unresolved Mention1"/>
    <w:basedOn w:val="DefaultParagraphFont"/>
    <w:uiPriority w:val="99"/>
    <w:semiHidden/>
    <w:unhideWhenUsed/>
    <w:rsid w:val="00AA4FBF"/>
    <w:rPr>
      <w:color w:val="605E5C"/>
      <w:shd w:val="clear" w:color="auto" w:fill="E1DFDD"/>
    </w:rPr>
  </w:style>
  <w:style w:type="paragraph" w:styleId="TOC1">
    <w:name w:val="toc 1"/>
    <w:basedOn w:val="Normal"/>
    <w:next w:val="Normal"/>
    <w:autoRedefine/>
    <w:uiPriority w:val="39"/>
    <w:unhideWhenUsed/>
    <w:rsid w:val="00BC6EDC"/>
    <w:pPr>
      <w:spacing w:after="100"/>
    </w:pPr>
  </w:style>
  <w:style w:type="paragraph" w:styleId="BalloonText">
    <w:name w:val="Balloon Text"/>
    <w:basedOn w:val="Normal"/>
    <w:link w:val="BalloonTextChar"/>
    <w:uiPriority w:val="99"/>
    <w:semiHidden/>
    <w:unhideWhenUsed/>
    <w:rsid w:val="00753C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3C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488964">
      <w:bodyDiv w:val="1"/>
      <w:marLeft w:val="0"/>
      <w:marRight w:val="0"/>
      <w:marTop w:val="0"/>
      <w:marBottom w:val="0"/>
      <w:divBdr>
        <w:top w:val="none" w:sz="0" w:space="0" w:color="auto"/>
        <w:left w:val="none" w:sz="0" w:space="0" w:color="auto"/>
        <w:bottom w:val="none" w:sz="0" w:space="0" w:color="auto"/>
        <w:right w:val="none" w:sz="0" w:space="0" w:color="auto"/>
      </w:divBdr>
    </w:div>
    <w:div w:id="792139234">
      <w:bodyDiv w:val="1"/>
      <w:marLeft w:val="0"/>
      <w:marRight w:val="0"/>
      <w:marTop w:val="0"/>
      <w:marBottom w:val="0"/>
      <w:divBdr>
        <w:top w:val="none" w:sz="0" w:space="0" w:color="auto"/>
        <w:left w:val="none" w:sz="0" w:space="0" w:color="auto"/>
        <w:bottom w:val="none" w:sz="0" w:space="0" w:color="auto"/>
        <w:right w:val="none" w:sz="0" w:space="0" w:color="auto"/>
      </w:divBdr>
    </w:div>
    <w:div w:id="854227954">
      <w:bodyDiv w:val="1"/>
      <w:marLeft w:val="0"/>
      <w:marRight w:val="0"/>
      <w:marTop w:val="0"/>
      <w:marBottom w:val="0"/>
      <w:divBdr>
        <w:top w:val="none" w:sz="0" w:space="0" w:color="auto"/>
        <w:left w:val="none" w:sz="0" w:space="0" w:color="auto"/>
        <w:bottom w:val="none" w:sz="0" w:space="0" w:color="auto"/>
        <w:right w:val="none" w:sz="0" w:space="0" w:color="auto"/>
      </w:divBdr>
    </w:div>
    <w:div w:id="865749174">
      <w:bodyDiv w:val="1"/>
      <w:marLeft w:val="0"/>
      <w:marRight w:val="0"/>
      <w:marTop w:val="0"/>
      <w:marBottom w:val="0"/>
      <w:divBdr>
        <w:top w:val="none" w:sz="0" w:space="0" w:color="auto"/>
        <w:left w:val="none" w:sz="0" w:space="0" w:color="auto"/>
        <w:bottom w:val="none" w:sz="0" w:space="0" w:color="auto"/>
        <w:right w:val="none" w:sz="0" w:space="0" w:color="auto"/>
      </w:divBdr>
    </w:div>
    <w:div w:id="909729864">
      <w:bodyDiv w:val="1"/>
      <w:marLeft w:val="0"/>
      <w:marRight w:val="0"/>
      <w:marTop w:val="0"/>
      <w:marBottom w:val="0"/>
      <w:divBdr>
        <w:top w:val="none" w:sz="0" w:space="0" w:color="auto"/>
        <w:left w:val="none" w:sz="0" w:space="0" w:color="auto"/>
        <w:bottom w:val="none" w:sz="0" w:space="0" w:color="auto"/>
        <w:right w:val="none" w:sz="0" w:space="0" w:color="auto"/>
      </w:divBdr>
    </w:div>
    <w:div w:id="954167513">
      <w:bodyDiv w:val="1"/>
      <w:marLeft w:val="0"/>
      <w:marRight w:val="0"/>
      <w:marTop w:val="0"/>
      <w:marBottom w:val="0"/>
      <w:divBdr>
        <w:top w:val="none" w:sz="0" w:space="0" w:color="auto"/>
        <w:left w:val="none" w:sz="0" w:space="0" w:color="auto"/>
        <w:bottom w:val="none" w:sz="0" w:space="0" w:color="auto"/>
        <w:right w:val="none" w:sz="0" w:space="0" w:color="auto"/>
      </w:divBdr>
    </w:div>
    <w:div w:id="1402294521">
      <w:bodyDiv w:val="1"/>
      <w:marLeft w:val="0"/>
      <w:marRight w:val="0"/>
      <w:marTop w:val="0"/>
      <w:marBottom w:val="0"/>
      <w:divBdr>
        <w:top w:val="none" w:sz="0" w:space="0" w:color="auto"/>
        <w:left w:val="none" w:sz="0" w:space="0" w:color="auto"/>
        <w:bottom w:val="none" w:sz="0" w:space="0" w:color="auto"/>
        <w:right w:val="none" w:sz="0" w:space="0" w:color="auto"/>
      </w:divBdr>
    </w:div>
    <w:div w:id="1415321612">
      <w:bodyDiv w:val="1"/>
      <w:marLeft w:val="0"/>
      <w:marRight w:val="0"/>
      <w:marTop w:val="0"/>
      <w:marBottom w:val="0"/>
      <w:divBdr>
        <w:top w:val="none" w:sz="0" w:space="0" w:color="auto"/>
        <w:left w:val="none" w:sz="0" w:space="0" w:color="auto"/>
        <w:bottom w:val="none" w:sz="0" w:space="0" w:color="auto"/>
        <w:right w:val="none" w:sz="0" w:space="0" w:color="auto"/>
      </w:divBdr>
    </w:div>
    <w:div w:id="1469014326">
      <w:bodyDiv w:val="1"/>
      <w:marLeft w:val="0"/>
      <w:marRight w:val="0"/>
      <w:marTop w:val="0"/>
      <w:marBottom w:val="0"/>
      <w:divBdr>
        <w:top w:val="none" w:sz="0" w:space="0" w:color="auto"/>
        <w:left w:val="none" w:sz="0" w:space="0" w:color="auto"/>
        <w:bottom w:val="none" w:sz="0" w:space="0" w:color="auto"/>
        <w:right w:val="none" w:sz="0" w:space="0" w:color="auto"/>
      </w:divBdr>
    </w:div>
    <w:div w:id="1506749305">
      <w:bodyDiv w:val="1"/>
      <w:marLeft w:val="0"/>
      <w:marRight w:val="0"/>
      <w:marTop w:val="0"/>
      <w:marBottom w:val="0"/>
      <w:divBdr>
        <w:top w:val="none" w:sz="0" w:space="0" w:color="auto"/>
        <w:left w:val="none" w:sz="0" w:space="0" w:color="auto"/>
        <w:bottom w:val="none" w:sz="0" w:space="0" w:color="auto"/>
        <w:right w:val="none" w:sz="0" w:space="0" w:color="auto"/>
      </w:divBdr>
    </w:div>
    <w:div w:id="1591235275">
      <w:bodyDiv w:val="1"/>
      <w:marLeft w:val="0"/>
      <w:marRight w:val="0"/>
      <w:marTop w:val="0"/>
      <w:marBottom w:val="0"/>
      <w:divBdr>
        <w:top w:val="none" w:sz="0" w:space="0" w:color="auto"/>
        <w:left w:val="none" w:sz="0" w:space="0" w:color="auto"/>
        <w:bottom w:val="none" w:sz="0" w:space="0" w:color="auto"/>
        <w:right w:val="none" w:sz="0" w:space="0" w:color="auto"/>
      </w:divBdr>
    </w:div>
    <w:div w:id="1634097676">
      <w:bodyDiv w:val="1"/>
      <w:marLeft w:val="0"/>
      <w:marRight w:val="0"/>
      <w:marTop w:val="0"/>
      <w:marBottom w:val="0"/>
      <w:divBdr>
        <w:top w:val="none" w:sz="0" w:space="0" w:color="auto"/>
        <w:left w:val="none" w:sz="0" w:space="0" w:color="auto"/>
        <w:bottom w:val="none" w:sz="0" w:space="0" w:color="auto"/>
        <w:right w:val="none" w:sz="0" w:space="0" w:color="auto"/>
      </w:divBdr>
    </w:div>
    <w:div w:id="1655379031">
      <w:bodyDiv w:val="1"/>
      <w:marLeft w:val="0"/>
      <w:marRight w:val="0"/>
      <w:marTop w:val="0"/>
      <w:marBottom w:val="0"/>
      <w:divBdr>
        <w:top w:val="none" w:sz="0" w:space="0" w:color="auto"/>
        <w:left w:val="none" w:sz="0" w:space="0" w:color="auto"/>
        <w:bottom w:val="none" w:sz="0" w:space="0" w:color="auto"/>
        <w:right w:val="none" w:sz="0" w:space="0" w:color="auto"/>
      </w:divBdr>
      <w:divsChild>
        <w:div w:id="269630621">
          <w:marLeft w:val="-720"/>
          <w:marRight w:val="0"/>
          <w:marTop w:val="0"/>
          <w:marBottom w:val="0"/>
          <w:divBdr>
            <w:top w:val="none" w:sz="0" w:space="0" w:color="auto"/>
            <w:left w:val="none" w:sz="0" w:space="0" w:color="auto"/>
            <w:bottom w:val="none" w:sz="0" w:space="0" w:color="auto"/>
            <w:right w:val="none" w:sz="0" w:space="0" w:color="auto"/>
          </w:divBdr>
        </w:div>
      </w:divsChild>
    </w:div>
    <w:div w:id="1899852862">
      <w:bodyDiv w:val="1"/>
      <w:marLeft w:val="0"/>
      <w:marRight w:val="0"/>
      <w:marTop w:val="0"/>
      <w:marBottom w:val="0"/>
      <w:divBdr>
        <w:top w:val="none" w:sz="0" w:space="0" w:color="auto"/>
        <w:left w:val="none" w:sz="0" w:space="0" w:color="auto"/>
        <w:bottom w:val="none" w:sz="0" w:space="0" w:color="auto"/>
        <w:right w:val="none" w:sz="0" w:space="0" w:color="auto"/>
      </w:divBdr>
    </w:div>
    <w:div w:id="19180078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371/journal.pgph.0000582" TargetMode="External"/><Relationship Id="rId13" Type="http://schemas.openxmlformats.org/officeDocument/2006/relationships/hyperlink" Target="https://doi.org/10.1177/23814683211061097"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86/s12874-021-01489-2" TargetMode="External"/><Relationship Id="rId17" Type="http://schemas.openxmlformats.org/officeDocument/2006/relationships/hyperlink" Target="https://doi.org/10.1111/hsc.13812" TargetMode="External"/><Relationship Id="rId2" Type="http://schemas.openxmlformats.org/officeDocument/2006/relationships/styles" Target="styles.xml"/><Relationship Id="rId16" Type="http://schemas.openxmlformats.org/officeDocument/2006/relationships/hyperlink" Target="https://doi.org/10.1080/02615479.2023.216863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13558196221124740" TargetMode="External"/><Relationship Id="rId5" Type="http://schemas.openxmlformats.org/officeDocument/2006/relationships/footnotes" Target="footnotes.xml"/><Relationship Id="rId15" Type="http://schemas.openxmlformats.org/officeDocument/2006/relationships/hyperlink" Target="https://doi.org/10.1111/hex.13470" TargetMode="External"/><Relationship Id="rId10" Type="http://schemas.openxmlformats.org/officeDocument/2006/relationships/hyperlink" Target="https://doi.org/10.1186/s12960-022-00724-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jval.2022.01.009" TargetMode="External"/><Relationship Id="rId14" Type="http://schemas.openxmlformats.org/officeDocument/2006/relationships/hyperlink" Target="https://doi.org/10.2196/3763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9</Pages>
  <Words>2065</Words>
  <Characters>11777</Characters>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2026-07-19T09:56:00Z</dcterms:created>
  <dcterms:modified xsi:type="dcterms:W3CDTF">2026-07-22T11:31:00Z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e90d16b5-9db0-49ed-a2c7-fdd20043e320</vt:lpwstr>
  </property>
</Properties>
</file>