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15000" cy="189547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715000" cy="189547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ind w:left="720" w:firstLine="0"/>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3">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4">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5">
      <w:pPr>
        <w:widowControl w:val="0"/>
        <w:spacing w:before="9"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1"/>
        <w:tblW w:w="9360.0" w:type="dxa"/>
        <w:jc w:val="left"/>
        <w:tblInd w:w="115.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2970"/>
        <w:gridCol w:w="6390"/>
        <w:tblGridChange w:id="0">
          <w:tblGrid>
            <w:gridCol w:w="2970"/>
            <w:gridCol w:w="6390"/>
          </w:tblGrid>
        </w:tblGridChange>
      </w:tblGrid>
      <w:tr>
        <w:trPr>
          <w:cantSplit w:val="0"/>
          <w:trHeight w:val="645" w:hRule="atLeast"/>
          <w:tblHeader w:val="0"/>
        </w:trPr>
        <w:tc>
          <w:tcPr/>
          <w:p w:rsidR="00000000" w:rsidDel="00000000" w:rsidP="00000000" w:rsidRDefault="00000000" w:rsidRPr="00000000" w14:paraId="00000006">
            <w:pPr>
              <w:widowControl w:val="0"/>
              <w:spacing w:before="101" w:line="360" w:lineRule="auto"/>
              <w:ind w:left="112"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STUDENT NAME</w:t>
            </w:r>
          </w:p>
        </w:tc>
        <w:tc>
          <w:tcPr/>
          <w:p w:rsidR="00000000" w:rsidDel="00000000" w:rsidP="00000000" w:rsidRDefault="00000000" w:rsidRPr="00000000" w14:paraId="00000007">
            <w:pPr>
              <w:widowControl w:val="0"/>
              <w:spacing w:before="101" w:line="360" w:lineRule="auto"/>
              <w:ind w:left="112"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ARIFF ESKANDAR BIN SULAIMAN</w:t>
            </w:r>
          </w:p>
        </w:tc>
      </w:tr>
      <w:tr>
        <w:trPr>
          <w:cantSplit w:val="0"/>
          <w:trHeight w:val="645" w:hRule="atLeast"/>
          <w:tblHeader w:val="0"/>
        </w:trPr>
        <w:tc>
          <w:tcPr/>
          <w:p w:rsidR="00000000" w:rsidDel="00000000" w:rsidP="00000000" w:rsidRDefault="00000000" w:rsidRPr="00000000" w14:paraId="00000008">
            <w:pPr>
              <w:widowControl w:val="0"/>
              <w:spacing w:before="101" w:line="360" w:lineRule="auto"/>
              <w:ind w:left="112"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STUDENT ID NUMBER</w:t>
            </w:r>
          </w:p>
        </w:tc>
        <w:tc>
          <w:tcPr/>
          <w:p w:rsidR="00000000" w:rsidDel="00000000" w:rsidP="00000000" w:rsidRDefault="00000000" w:rsidRPr="00000000" w14:paraId="00000009">
            <w:pPr>
              <w:widowControl w:val="0"/>
              <w:spacing w:before="101" w:line="360" w:lineRule="auto"/>
              <w:ind w:left="112"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2118692</w:t>
            </w:r>
          </w:p>
        </w:tc>
      </w:tr>
      <w:tr>
        <w:trPr>
          <w:cantSplit w:val="0"/>
          <w:trHeight w:val="660" w:hRule="atLeast"/>
          <w:tblHeader w:val="0"/>
        </w:trPr>
        <w:tc>
          <w:tcPr/>
          <w:p w:rsidR="00000000" w:rsidDel="00000000" w:rsidP="00000000" w:rsidRDefault="00000000" w:rsidRPr="00000000" w14:paraId="0000000A">
            <w:pPr>
              <w:widowControl w:val="0"/>
              <w:spacing w:before="116" w:line="360" w:lineRule="auto"/>
              <w:ind w:left="112"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PROGRAMME</w:t>
            </w:r>
          </w:p>
        </w:tc>
        <w:tc>
          <w:tcPr/>
          <w:p w:rsidR="00000000" w:rsidDel="00000000" w:rsidP="00000000" w:rsidRDefault="00000000" w:rsidRPr="00000000" w14:paraId="0000000B">
            <w:pPr>
              <w:widowControl w:val="0"/>
              <w:spacing w:before="116" w:line="360" w:lineRule="auto"/>
              <w:ind w:left="112"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BACHELOR OF ACCOUNTING (HONS)</w:t>
            </w:r>
          </w:p>
        </w:tc>
      </w:tr>
      <w:tr>
        <w:trPr>
          <w:cantSplit w:val="0"/>
          <w:trHeight w:val="645" w:hRule="atLeast"/>
          <w:tblHeader w:val="0"/>
        </w:trPr>
        <w:tc>
          <w:tcPr/>
          <w:p w:rsidR="00000000" w:rsidDel="00000000" w:rsidP="00000000" w:rsidRDefault="00000000" w:rsidRPr="00000000" w14:paraId="0000000C">
            <w:pPr>
              <w:widowControl w:val="0"/>
              <w:spacing w:before="101" w:line="360" w:lineRule="auto"/>
              <w:ind w:left="112"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MODULE NAME</w:t>
            </w:r>
          </w:p>
        </w:tc>
        <w:tc>
          <w:tcPr/>
          <w:p w:rsidR="00000000" w:rsidDel="00000000" w:rsidP="00000000" w:rsidRDefault="00000000" w:rsidRPr="00000000" w14:paraId="0000000D">
            <w:pPr>
              <w:widowControl w:val="0"/>
              <w:spacing w:before="101" w:line="360" w:lineRule="auto"/>
              <w:ind w:left="112"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Strategic Marketing</w:t>
            </w:r>
          </w:p>
        </w:tc>
      </w:tr>
      <w:tr>
        <w:trPr>
          <w:cantSplit w:val="0"/>
          <w:trHeight w:val="810" w:hRule="atLeast"/>
          <w:tblHeader w:val="0"/>
        </w:trPr>
        <w:tc>
          <w:tcPr/>
          <w:p w:rsidR="00000000" w:rsidDel="00000000" w:rsidP="00000000" w:rsidRDefault="00000000" w:rsidRPr="00000000" w14:paraId="0000000E">
            <w:pPr>
              <w:widowControl w:val="0"/>
              <w:spacing w:before="116" w:line="360" w:lineRule="auto"/>
              <w:ind w:left="112"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MODULE CODE</w:t>
            </w:r>
          </w:p>
        </w:tc>
        <w:tc>
          <w:tcPr/>
          <w:p w:rsidR="00000000" w:rsidDel="00000000" w:rsidP="00000000" w:rsidRDefault="00000000" w:rsidRPr="00000000" w14:paraId="0000000F">
            <w:pPr>
              <w:widowControl w:val="0"/>
              <w:spacing w:before="106" w:line="360" w:lineRule="auto"/>
              <w:ind w:left="112"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BMBM6016</w:t>
            </w:r>
          </w:p>
        </w:tc>
      </w:tr>
      <w:tr>
        <w:trPr>
          <w:cantSplit w:val="0"/>
          <w:trHeight w:val="810" w:hRule="atLeast"/>
          <w:tblHeader w:val="0"/>
        </w:trPr>
        <w:tc>
          <w:tcPr/>
          <w:p w:rsidR="00000000" w:rsidDel="00000000" w:rsidP="00000000" w:rsidRDefault="00000000" w:rsidRPr="00000000" w14:paraId="00000010">
            <w:pPr>
              <w:widowControl w:val="0"/>
              <w:spacing w:before="116" w:line="360" w:lineRule="auto"/>
              <w:ind w:left="112"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LECTURER’S NAME</w:t>
            </w:r>
          </w:p>
        </w:tc>
        <w:tc>
          <w:tcPr/>
          <w:p w:rsidR="00000000" w:rsidDel="00000000" w:rsidP="00000000" w:rsidRDefault="00000000" w:rsidRPr="00000000" w14:paraId="00000011">
            <w:pPr>
              <w:widowControl w:val="0"/>
              <w:spacing w:before="106" w:line="360" w:lineRule="auto"/>
              <w:ind w:left="112"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Lisa Knight</w:t>
            </w:r>
          </w:p>
        </w:tc>
      </w:tr>
      <w:tr>
        <w:trPr>
          <w:cantSplit w:val="0"/>
          <w:trHeight w:val="645" w:hRule="atLeast"/>
          <w:tblHeader w:val="0"/>
        </w:trPr>
        <w:tc>
          <w:tcPr/>
          <w:p w:rsidR="00000000" w:rsidDel="00000000" w:rsidP="00000000" w:rsidRDefault="00000000" w:rsidRPr="00000000" w14:paraId="00000012">
            <w:pPr>
              <w:widowControl w:val="0"/>
              <w:spacing w:before="101" w:line="360" w:lineRule="auto"/>
              <w:ind w:left="112"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DATE OF SUBMISSION</w:t>
            </w:r>
          </w:p>
        </w:tc>
        <w:tc>
          <w:tcPr/>
          <w:p w:rsidR="00000000" w:rsidDel="00000000" w:rsidP="00000000" w:rsidRDefault="00000000" w:rsidRPr="00000000" w14:paraId="00000013">
            <w:pPr>
              <w:widowControl w:val="0"/>
              <w:spacing w:before="101" w:line="360" w:lineRule="auto"/>
              <w:ind w:left="112"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18th March 2022</w:t>
            </w:r>
          </w:p>
        </w:tc>
      </w:tr>
    </w:tbl>
    <w:p w:rsidR="00000000" w:rsidDel="00000000" w:rsidP="00000000" w:rsidRDefault="00000000" w:rsidRPr="00000000" w14:paraId="00000014">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6">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of contents</w:t>
      </w:r>
    </w:p>
    <w:p w:rsidR="00000000" w:rsidDel="00000000" w:rsidP="00000000" w:rsidRDefault="00000000" w:rsidRPr="00000000" w14:paraId="00000017">
      <w:pPr>
        <w:spacing w:line="360" w:lineRule="auto"/>
        <w:jc w:val="both"/>
        <w:rPr>
          <w:rFonts w:ascii="Times New Roman" w:cs="Times New Roman" w:eastAsia="Times New Roman" w:hAnsi="Times New Roman"/>
          <w:b w:val="1"/>
          <w:sz w:val="24"/>
          <w:szCs w:val="24"/>
        </w:rPr>
      </w:pPr>
      <w:r w:rsidDel="00000000" w:rsidR="00000000" w:rsidRPr="00000000">
        <w:rPr>
          <w:rtl w:val="0"/>
        </w:rPr>
      </w:r>
    </w:p>
    <w:tbl>
      <w:tblPr>
        <w:tblStyle w:val="Table2"/>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765"/>
        <w:gridCol w:w="6300"/>
        <w:gridCol w:w="2295"/>
        <w:tblGridChange w:id="0">
          <w:tblGrid>
            <w:gridCol w:w="765"/>
            <w:gridCol w:w="6300"/>
            <w:gridCol w:w="229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Title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Page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Executive summary</w:t>
            </w:r>
          </w:p>
        </w:tc>
        <w:tc>
          <w:tcPr>
            <w:shd w:fill="auto" w:val="clear"/>
            <w:tcMar>
              <w:top w:w="100.0" w:type="dxa"/>
              <w:left w:w="100.0" w:type="dxa"/>
              <w:bottom w:w="100.0" w:type="dxa"/>
              <w:right w:w="100.0" w:type="dxa"/>
            </w:tcMar>
            <w:vAlign w:val="top"/>
          </w:tcPr>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3</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Introduction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3.0</w:t>
            </w:r>
          </w:p>
        </w:tc>
        <w:tc>
          <w:tcPr>
            <w:shd w:fill="auto" w:val="clear"/>
            <w:tcMar>
              <w:top w:w="100.0" w:type="dxa"/>
              <w:left w:w="100.0" w:type="dxa"/>
              <w:bottom w:w="100.0" w:type="dxa"/>
              <w:right w:w="100.0" w:type="dxa"/>
            </w:tcMar>
            <w:vAlign w:val="top"/>
          </w:tcPr>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PESTLE Analysis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5</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4.0</w:t>
            </w:r>
          </w:p>
        </w:tc>
        <w:tc>
          <w:tcPr>
            <w:shd w:fill="auto" w:val="clear"/>
            <w:tcMar>
              <w:top w:w="100.0" w:type="dxa"/>
              <w:left w:w="100.0" w:type="dxa"/>
              <w:bottom w:w="100.0" w:type="dxa"/>
              <w:right w:w="100.0" w:type="dxa"/>
            </w:tcMar>
            <w:vAlign w:val="top"/>
          </w:tcPr>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SWOT Analysis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7</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5.0</w:t>
            </w:r>
          </w:p>
        </w:tc>
        <w:tc>
          <w:tcPr>
            <w:shd w:fill="auto" w:val="clear"/>
            <w:tcMar>
              <w:top w:w="100.0" w:type="dxa"/>
              <w:left w:w="100.0" w:type="dxa"/>
              <w:bottom w:w="100.0" w:type="dxa"/>
              <w:right w:w="100.0" w:type="dxa"/>
            </w:tcMar>
            <w:vAlign w:val="top"/>
          </w:tcPr>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Porter’s Five Forces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9</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6.0</w:t>
            </w:r>
          </w:p>
        </w:tc>
        <w:tc>
          <w:tcPr>
            <w:shd w:fill="auto" w:val="clear"/>
            <w:tcMar>
              <w:top w:w="100.0" w:type="dxa"/>
              <w:left w:w="100.0" w:type="dxa"/>
              <w:bottom w:w="100.0" w:type="dxa"/>
              <w:right w:w="100.0" w:type="dxa"/>
            </w:tcMar>
            <w:vAlign w:val="top"/>
          </w:tcPr>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McKinsey 7S Framework</w:t>
            </w:r>
          </w:p>
        </w:tc>
        <w:tc>
          <w:tcPr>
            <w:shd w:fill="auto" w:val="clear"/>
            <w:tcMar>
              <w:top w:w="100.0" w:type="dxa"/>
              <w:left w:w="100.0" w:type="dxa"/>
              <w:bottom w:w="100.0" w:type="dxa"/>
              <w:right w:w="100.0" w:type="dxa"/>
            </w:tcMar>
            <w:vAlign w:val="top"/>
          </w:tcPr>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11</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7.0</w:t>
            </w:r>
          </w:p>
        </w:tc>
        <w:tc>
          <w:tcPr>
            <w:shd w:fill="auto" w:val="clear"/>
            <w:tcMar>
              <w:top w:w="100.0" w:type="dxa"/>
              <w:left w:w="100.0" w:type="dxa"/>
              <w:bottom w:w="100.0" w:type="dxa"/>
              <w:right w:w="100.0" w:type="dxa"/>
            </w:tcMar>
            <w:vAlign w:val="top"/>
          </w:tcPr>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Recommendations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13</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8.0</w:t>
            </w:r>
          </w:p>
        </w:tc>
        <w:tc>
          <w:tcPr>
            <w:shd w:fill="auto" w:val="clear"/>
            <w:tcMar>
              <w:top w:w="100.0" w:type="dxa"/>
              <w:left w:w="100.0" w:type="dxa"/>
              <w:bottom w:w="100.0" w:type="dxa"/>
              <w:right w:w="100.0" w:type="dxa"/>
            </w:tcMar>
            <w:vAlign w:val="top"/>
          </w:tcPr>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Conclusion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14</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9.0</w:t>
            </w:r>
          </w:p>
        </w:tc>
        <w:tc>
          <w:tcPr>
            <w:shd w:fill="auto" w:val="clear"/>
            <w:tcMar>
              <w:top w:w="100.0" w:type="dxa"/>
              <w:left w:w="100.0" w:type="dxa"/>
              <w:bottom w:w="100.0" w:type="dxa"/>
              <w:right w:w="100.0" w:type="dxa"/>
            </w:tcMar>
            <w:vAlign w:val="top"/>
          </w:tcPr>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15</w:t>
            </w:r>
          </w:p>
        </w:tc>
      </w:tr>
    </w:tbl>
    <w:p w:rsidR="00000000" w:rsidDel="00000000" w:rsidP="00000000" w:rsidRDefault="00000000" w:rsidRPr="00000000" w14:paraId="00000036">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7">
      <w:pPr>
        <w:pStyle w:val="Heading1"/>
        <w:spacing w:line="360" w:lineRule="auto"/>
        <w:jc w:val="both"/>
        <w:rPr>
          <w:rFonts w:ascii="Times New Roman" w:cs="Times New Roman" w:eastAsia="Times New Roman" w:hAnsi="Times New Roman"/>
          <w:b w:val="1"/>
          <w:sz w:val="24"/>
          <w:szCs w:val="24"/>
        </w:rPr>
      </w:pPr>
      <w:bookmarkStart w:colFirst="0" w:colLast="0" w:name="_2oongaxoi3nc" w:id="0"/>
      <w:bookmarkEnd w:id="0"/>
      <w:r w:rsidDel="00000000" w:rsidR="00000000" w:rsidRPr="00000000">
        <w:br w:type="page"/>
      </w:r>
      <w:r w:rsidDel="00000000" w:rsidR="00000000" w:rsidRPr="00000000">
        <w:rPr>
          <w:rtl w:val="0"/>
        </w:rPr>
      </w:r>
    </w:p>
    <w:p w:rsidR="00000000" w:rsidDel="00000000" w:rsidP="00000000" w:rsidRDefault="00000000" w:rsidRPr="00000000" w14:paraId="00000038">
      <w:pPr>
        <w:pStyle w:val="Heading1"/>
        <w:spacing w:line="360" w:lineRule="auto"/>
        <w:jc w:val="both"/>
        <w:rPr>
          <w:rFonts w:ascii="Times New Roman" w:cs="Times New Roman" w:eastAsia="Times New Roman" w:hAnsi="Times New Roman"/>
          <w:b w:val="1"/>
          <w:sz w:val="24"/>
          <w:szCs w:val="24"/>
        </w:rPr>
      </w:pPr>
      <w:bookmarkStart w:colFirst="0" w:colLast="0" w:name="_uku89r2x673m" w:id="1"/>
      <w:bookmarkEnd w:id="1"/>
      <w:r w:rsidDel="00000000" w:rsidR="00000000" w:rsidRPr="00000000">
        <w:rPr>
          <w:rFonts w:ascii="Times New Roman" w:cs="Times New Roman" w:eastAsia="Times New Roman" w:hAnsi="Times New Roman"/>
          <w:b w:val="1"/>
          <w:sz w:val="24"/>
          <w:szCs w:val="24"/>
          <w:rtl w:val="0"/>
        </w:rPr>
        <w:t xml:space="preserve">1.0 Executive summary</w:t>
      </w:r>
    </w:p>
    <w:p w:rsidR="00000000" w:rsidDel="00000000" w:rsidP="00000000" w:rsidRDefault="00000000" w:rsidRPr="00000000" w14:paraId="0000003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purpose of this paper is to identify the strategic forces influencing the hospitality sector. Hilton will be the subject of the study's examination. The hotel industry's top dog, Hilton, is clearly in the driver's seat. Hilton used a variety of business methods to get an edge over its competitors. It is clear that the company's digital content authoring and social media competence were lacking. The Covid-19 epidemic is also causing significant issues for the firm. A critical assessment of both external and internal settings will be conducted in this study.</w:t>
      </w:r>
      <w:r w:rsidDel="00000000" w:rsidR="00000000" w:rsidRPr="00000000">
        <w:rPr>
          <w:rtl w:val="0"/>
        </w:rPr>
      </w:r>
    </w:p>
    <w:p w:rsidR="00000000" w:rsidDel="00000000" w:rsidP="00000000" w:rsidRDefault="00000000" w:rsidRPr="00000000" w14:paraId="0000003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C">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2.0 Introduction</w:t>
      </w:r>
      <w:r w:rsidDel="00000000" w:rsidR="00000000" w:rsidRPr="00000000">
        <w:rPr>
          <w:rtl w:val="0"/>
        </w:rPr>
      </w:r>
    </w:p>
    <w:p w:rsidR="00000000" w:rsidDel="00000000" w:rsidP="00000000" w:rsidRDefault="00000000" w:rsidRPr="00000000" w14:paraId="0000003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early 2020s, the epidemic brought the world to a halt, and the global economy was severely affected. Obviously, the pandemic's impact on the travel and hotel industry has been significant, with travel restrictions and social segregation implemented all across the world. Travel for pleasure, business, and religious purposes have all been significantly hampered as a result of border closures in a number of nations. During COVID-19, governments across the world are scrambling to figure out how to best support the tourist industry. In 2020, the GDP of travel and tourism fell by $2.1 trillion, a 23% decrease from 2019. In 2020, the number of employment in the travel and tourism industry is expected to fall by up to 75 million. Virus repercussions may be seen in practically every part of hospitality's value chain, making its worldwide economic impact much more devastating than that caused by the global financial crisis of 2008. Events were cancelled, attractions were shut down, and businesses such as stores and restaurants were forced to shutter for extended periods of time. When governments implemented the rules, it had a significant influence on the operations of the hotel business, which included companies such as Hilton Worldwide Inc. With the epidemic well under control, the economy is rebounding, and the hotel business is figuring out how to survive and thrive in the new environment. The occupancy rate at the Hilton hotel was lower than usual during the start of the epidemic, and the amount represented in financial reports was much lower. Hilton has implemented a number of tactics to cope with the problem in the aftermath of the pandemic (e.g., digital hotel development). </w:t>
      </w:r>
    </w:p>
    <w:p w:rsidR="00000000" w:rsidDel="00000000" w:rsidP="00000000" w:rsidRDefault="00000000" w:rsidRPr="00000000" w14:paraId="0000003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41">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3.0 PESTLE Analysis</w:t>
      </w:r>
    </w:p>
    <w:p w:rsidR="00000000" w:rsidDel="00000000" w:rsidP="00000000" w:rsidRDefault="00000000" w:rsidRPr="00000000" w14:paraId="0000004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Using PESTLE Analysis, Hilton's business practices are examined. As a part of its PESTLE analysis, Hilton takes into account the many external variables (political, economic, social, and technical) that have a direct influence on its operations. The PESTLE Analysis identifies the many external factors that have an influence on a brand's business. Hilton relies on the PESTLE framework to better analyse market dynamics and make constant improvements to its operations. In this study we will take a look at the political and technological factors for the Hilton Hotels.</w:t>
      </w:r>
    </w:p>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5">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3.1 Political Factors</w:t>
      </w:r>
    </w:p>
    <w:p w:rsidR="00000000" w:rsidDel="00000000" w:rsidP="00000000" w:rsidRDefault="00000000" w:rsidRPr="00000000" w14:paraId="0000004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political factors in the Hilton PESTLE Analysis can be explained as follows:</w:t>
      </w:r>
    </w:p>
    <w:p w:rsidR="00000000" w:rsidDel="00000000" w:rsidP="00000000" w:rsidRDefault="00000000" w:rsidRPr="00000000" w14:paraId="0000004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It's no secret that Hilton is one of the world's most popular hotel brands. The stability of the nation in which a hotel is operating is critical to its capacity to deal with the political climate in other countries. People are less likely to travel for pleasure or business if a country's political climate is unstable, which reduces the amount of tourists and, as a result, the hotel's income. Hilton hotels are located in a variety of nations, which means that the company is subject to a wide range of political hazards. In the wake of the UK's decision to leave the European Union, hotel revenues in the UK are expected to decline. Hostel operations and profitability will be affected by the current trade war between many nations. Due to lockdowns enforced by nations throughout the world, the hotel business is now in an extremely difficult situation.. However, several nations are progressively lifting their lockdowns, which will assist the hotel business to flourish and enhance their income. The Hilton guesthouse is concerned about their lack of participation in social events because of COVID-19, people are reluctant to interact with others, therefore they stay at home. </w:t>
      </w:r>
    </w:p>
    <w:p w:rsidR="00000000" w:rsidDel="00000000" w:rsidP="00000000" w:rsidRDefault="00000000" w:rsidRPr="00000000" w14:paraId="0000004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4B">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3.2 Technological factors</w:t>
      </w:r>
    </w:p>
    <w:p w:rsidR="00000000" w:rsidDel="00000000" w:rsidP="00000000" w:rsidRDefault="00000000" w:rsidRPr="00000000" w14:paraId="0000004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Hilton's PESTLE analysis includes a number of technological elements, such as:</w:t>
      </w:r>
    </w:p>
    <w:p w:rsidR="00000000" w:rsidDel="00000000" w:rsidP="00000000" w:rsidRDefault="00000000" w:rsidRPr="00000000" w14:paraId="0000004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Technological progress is constant in today's environment of intense competition. In order to compete with other firms, a company can't afford to disregard these critical factors. In order to better serve its customers, the Hilton hotel must invest in new technologies. Adopting technology that disrupts the company is essential since it may save money and improve customer happiness at the same time. In today's digital world, having a hotel that takes all kinds of payment is more important than ever. Because of the rise of social media and the development of several websites, customers may now book hotels at any time and from any place. Hotel bookings are becoming more and more complicated as a result of this.</w:t>
      </w:r>
    </w:p>
    <w:p w:rsidR="00000000" w:rsidDel="00000000" w:rsidP="00000000" w:rsidRDefault="00000000" w:rsidRPr="00000000" w14:paraId="0000004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Governments in a number of nations have also passed legislation aimed at preventing the spread of COVID-19, such as requiring social space between individuals and sanitising hotel rooms. The hotel's operating costs have risen as a result of these factors, which will have an impact on the company's profitability.</w:t>
      </w:r>
    </w:p>
    <w:p w:rsidR="00000000" w:rsidDel="00000000" w:rsidP="00000000" w:rsidRDefault="00000000" w:rsidRPr="00000000" w14:paraId="0000005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2">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53">
      <w:pPr>
        <w:spacing w:line="360" w:lineRule="auto"/>
        <w:jc w:val="both"/>
        <w:rPr>
          <w:rFonts w:ascii="Times New Roman" w:cs="Times New Roman" w:eastAsia="Times New Roman" w:hAnsi="Times New Roman"/>
          <w:b w:val="1"/>
          <w:sz w:val="24"/>
          <w:szCs w:val="24"/>
          <w:shd w:fill="f9cb9c" w:val="clear"/>
        </w:rPr>
      </w:pPr>
      <w:r w:rsidDel="00000000" w:rsidR="00000000" w:rsidRPr="00000000">
        <w:rPr>
          <w:rFonts w:ascii="Times New Roman" w:cs="Times New Roman" w:eastAsia="Times New Roman" w:hAnsi="Times New Roman"/>
          <w:b w:val="1"/>
          <w:sz w:val="24"/>
          <w:szCs w:val="24"/>
          <w:rtl w:val="0"/>
        </w:rPr>
        <w:t xml:space="preserve">4.0 SWOT Analysis</w:t>
      </w:r>
      <w:r w:rsidDel="00000000" w:rsidR="00000000" w:rsidRPr="00000000">
        <w:rPr>
          <w:rtl w:val="0"/>
        </w:rPr>
      </w:r>
    </w:p>
    <w:p w:rsidR="00000000" w:rsidDel="00000000" w:rsidP="00000000" w:rsidRDefault="00000000" w:rsidRPr="00000000" w14:paraId="00000054">
      <w:pPr>
        <w:spacing w:line="360" w:lineRule="auto"/>
        <w:jc w:val="both"/>
        <w:rPr>
          <w:rFonts w:ascii="Times New Roman" w:cs="Times New Roman" w:eastAsia="Times New Roman" w:hAnsi="Times New Roman"/>
          <w:sz w:val="24"/>
          <w:szCs w:val="24"/>
          <w:shd w:fill="f9cb9c" w:val="clear"/>
        </w:rPr>
      </w:pPr>
      <w:r w:rsidDel="00000000" w:rsidR="00000000" w:rsidRPr="00000000">
        <w:rPr>
          <w:rtl w:val="0"/>
        </w:rPr>
      </w:r>
    </w:p>
    <w:p w:rsidR="00000000" w:rsidDel="00000000" w:rsidP="00000000" w:rsidRDefault="00000000" w:rsidRPr="00000000" w14:paraId="0000005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Hilton's SWOT analysis examines the company's assets, liabilities, strengths, weaknesses, opportunities, and threats (opportunities and threats). Strengths and weaknesses are considered internal aspects in the SWOT analysis of Hilton, whilst opportunities and threats are considered external. Here we will take a look at the threats the Hilton Hotels have to face.</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7">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4.1 Threats </w:t>
      </w:r>
    </w:p>
    <w:p w:rsidR="00000000" w:rsidDel="00000000" w:rsidP="00000000" w:rsidRDefault="00000000" w:rsidRPr="00000000" w14:paraId="0000005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Hilton Worldwide Holding suffered greatly as a result of the covid-19 epidemic. A 54.43 percent revenue reduction and an 181.16 percent net income drop have been recorded in 2020 for the firm in question. It is due to company closures around the globe.</w:t>
      </w:r>
    </w:p>
    <w:p w:rsidR="00000000" w:rsidDel="00000000" w:rsidP="00000000" w:rsidRDefault="00000000" w:rsidRPr="00000000" w14:paraId="0000005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the pandemic, Hilton faced a few lawsuits regarding their actions. This can be seen with the case of Mechanical Contractors Association of America Inc. v. Hilton Franchise Holding LLC. In this case, the MCAA had to cancel their annual meeting due to the coronavirus pandemic which was booked at a BRE Iconic Holdings LLC hotel which is under the Hilton franchise. But BRE did not have enough money to refund them so MCAA paid an additional $1 million to get their reimbursements. Rather than refunding the $1 million, BRE allegedly retained the money and billed the organisation for an extra $679,295 in cancellation costs, according to the complaint filed against the company. In light of both Hilton and its franchisees' actions, the MCAA is dismayed. Even if the hotel business was devastated by COVID-19, MCAA does not have the right to refuse to restore the deposits for rooms cancelled owing to COVID-19.</w:t>
      </w:r>
    </w:p>
    <w:p w:rsidR="00000000" w:rsidDel="00000000" w:rsidP="00000000" w:rsidRDefault="00000000" w:rsidRPr="00000000" w14:paraId="0000005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Some Hilton hotel guests have also posted negative remarks about the corporation on social media. They complain about the brand's terrible customer service and toxic working atmosphere. Such negative feedback is contagious.</w:t>
      </w:r>
    </w:p>
    <w:p w:rsidR="00000000" w:rsidDel="00000000" w:rsidP="00000000" w:rsidRDefault="00000000" w:rsidRPr="00000000" w14:paraId="0000005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Hilton's industry competition might be described as fierce. Hotel chains like Marriott, Carlsen and Hyatt are among Hilton's rivals. All of these hotels are priced similarly and provide essentially the same amenities. They're seeing fast expansion and growth in the hotel sector. The firms compete with each other by enticing their clients to transfer from one to the other and by slashing their prices. If the chain hotel brand fails to keep up with its speed, it might pose a serious danger to the corporation. Additionally, the Covid epidemic has taken a toll on the sector, and this has intensified competition amongst the hotel chains. </w:t>
      </w:r>
    </w:p>
    <w:p w:rsidR="00000000" w:rsidDel="00000000" w:rsidP="00000000" w:rsidRDefault="00000000" w:rsidRPr="00000000" w14:paraId="0000005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 extraordinary obstacles posed by the COVID-19 pandemic, Hilton produced leading guest innovations and achieved key growth milestones to set itself apart from its rivals. After the outbreak of the COVID-19 pandemic, Hilton CleanStay, an industry-leading standard of cleanliness and disinfection for Hilton hotels, was launched. This includes contactless options such as digital keys through their mobile app for rooms, and the increased disinfection of the most frequently touched areas of guests' rooms and public spaces.</w:t>
      </w:r>
    </w:p>
    <w:p w:rsidR="00000000" w:rsidDel="00000000" w:rsidP="00000000" w:rsidRDefault="00000000" w:rsidRPr="00000000" w14:paraId="0000006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 have established that Hilton is one of the world's biggest hotel and resort chains after doing a thorough swot analysis. There are several obstacles to overcome, such as the covid-19 pandemic, the economic slump, expensive litigation, investor mistrust, and competition. This is why Hilton has to form alliances and collaborations in order to solve these concerns.</w:t>
      </w:r>
    </w:p>
    <w:p w:rsidR="00000000" w:rsidDel="00000000" w:rsidP="00000000" w:rsidRDefault="00000000" w:rsidRPr="00000000" w14:paraId="0000006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6">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67">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5.0 The Porter's Five Forces Analysis</w:t>
      </w:r>
    </w:p>
    <w:p w:rsidR="00000000" w:rsidDel="00000000" w:rsidP="00000000" w:rsidRDefault="00000000" w:rsidRPr="00000000" w14:paraId="0000006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Porter's Five Forces Analysis of Hilton looks at both the company's industry and the competition it faces. Analyzing a company's position in relation to factors like as new entrants, substitutes, buyer and supplier bargaining power, and competitive rivalry is at the heart of this study. Based on aspects including rivals, customers, suppliers, financial strength, and alternative solutions, Hilton Five Forces study helps to evaluate its present position in the market. In this study, we will take a look at the threat of new entrants for Hilton Hotels.</w:t>
      </w:r>
    </w:p>
    <w:p w:rsidR="00000000" w:rsidDel="00000000" w:rsidP="00000000" w:rsidRDefault="00000000" w:rsidRPr="00000000" w14:paraId="0000006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B">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5.1 Threat of new entrants</w:t>
      </w:r>
      <w:r w:rsidDel="00000000" w:rsidR="00000000" w:rsidRPr="00000000">
        <w:rPr>
          <w:rtl w:val="0"/>
        </w:rPr>
      </w:r>
    </w:p>
    <w:p w:rsidR="00000000" w:rsidDel="00000000" w:rsidP="00000000" w:rsidRDefault="00000000" w:rsidRPr="00000000" w14:paraId="0000006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Hilton hotel chain is well-known and well-liked. The danger of fresh competition for Hilton is minimal. When it comes to hotels, resorts, and private homes, Hilton has a wide range of options. It will need a large investment in infrastructure and promotion to get a new company off the ground in this area. For a new startup, coming up with this type of cash is difficult. Businesses have also shifted to allowing employees to work from home after the Covid epidemic. This might be a devastating blow to the hotel sector, which relies heavily on big corporations for business travel. As a result, no one considering joining this market will do so. To build a hotel in a foreign country, an international corporation may confront strict restrictions and regulations. As a result, it would be very difficult for a newcomer to get a foothold in the five-star hotel market.</w:t>
      </w:r>
    </w:p>
    <w:p w:rsidR="00000000" w:rsidDel="00000000" w:rsidP="00000000" w:rsidRDefault="00000000" w:rsidRPr="00000000" w14:paraId="0000006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potential danger from new competitors for Hilton is obtaining economies of scale in the business where Hilton works is a difficult task. Those who are creating and expanding large capacities will be able to profit from this in a more straightforward manner. As a result of COVID 19, the hotel sector is confronted with a wide range of concerns and obstacles that severely limit its ability to function. compared to Hilton and other worldwide hotels, there is no fear of competition at this moment because of the pandemic crisis.</w:t>
      </w:r>
    </w:p>
    <w:p w:rsidR="00000000" w:rsidDel="00000000" w:rsidP="00000000" w:rsidRDefault="00000000" w:rsidRPr="00000000" w14:paraId="0000006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the coronavirus outbreak, the hotel business was severely impacted, with cancellations, revenue declines, and other concerns. In addition, a number of other hotels have shut down, and others have been converted into quarantine facilities for persons who have been afflicted. As a result of people working from home, 5 star hotels like Hilton have seen a decrease in business. If a visitor is looking for a luxurious vacation, they'll stay at a high-end hotel or resort. AirBnB, on the other hand, is gaining traction in the premium hotel industry. Ingenious and one-of-a-kind ideas like Icelandic bubble rooms, a New Zealand silo, tree houses, underwater residences, and ice residences are gaining popularity because they provide tourists with both luxury and an unforgettable experience. Consequently, hotels like Hilton, which are known for their comfort and elegance but provide little opportunities for outside exploration, may see a decline in their market share. However, because of Hilton's great brand value, it continues to be favoured by its regular customers who anticipate standard and quality service without having to go through the effort of seeking for a new accommodation.</w:t>
      </w:r>
    </w:p>
    <w:p w:rsidR="00000000" w:rsidDel="00000000" w:rsidP="00000000" w:rsidRDefault="00000000" w:rsidRPr="00000000" w14:paraId="00000071">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72">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6.0 The Mckinsey 7S model</w:t>
      </w:r>
    </w:p>
    <w:p w:rsidR="00000000" w:rsidDel="00000000" w:rsidP="00000000" w:rsidRDefault="00000000" w:rsidRPr="00000000" w14:paraId="0000007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 organization's present condition and areas for improvement may be analysed using the Mckinsey 7S model, which offers a multidimensional framework. Mckinsey 7S framework is primarily a tool for strategic planning. As a result, we'll focus on the personnel file in our investigation. When it comes to human resources management, staff are the individuals who are employed by a company. This includes the people who are hired and trained by the company as well as the people who are promoted within the company.</w:t>
      </w:r>
    </w:p>
    <w:p w:rsidR="00000000" w:rsidDel="00000000" w:rsidP="00000000" w:rsidRDefault="00000000" w:rsidRPr="00000000" w14:paraId="0000007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6">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6.1 Staff</w:t>
      </w:r>
    </w:p>
    <w:p w:rsidR="00000000" w:rsidDel="00000000" w:rsidP="00000000" w:rsidRDefault="00000000" w:rsidRPr="00000000" w14:paraId="0000007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it comes to wages in the hotel sector, there isn't often much you can do. As a firm, you may show your staff that you care by creating incentive programmes. Studies reveal that millennials and members of Generation Z want more from their jobs than simply a paycheck. Instead, they're looking for a job where they can take advantage of corporate benefits and incentives.</w:t>
      </w:r>
    </w:p>
    <w:p w:rsidR="00000000" w:rsidDel="00000000" w:rsidP="00000000" w:rsidRDefault="00000000" w:rsidRPr="00000000" w14:paraId="0000007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It's not only the workers that gain from a well implemented incentive scheme. There are numerous reward programmes for customers and visitors in the hospitality industry. If you want happier customers, you should focus on making your employees happier, as happier employees lead to more satisfied customers and possibly repeat business, as well as improved employee productivity and financial benefits for the company's bottom line. Employee recognition systems, like as awards based on customer happiness or bonuses for workers who fulfil their objectives, might be employed as well.</w:t>
      </w:r>
    </w:p>
    <w:p w:rsidR="00000000" w:rsidDel="00000000" w:rsidP="00000000" w:rsidRDefault="00000000" w:rsidRPr="00000000" w14:paraId="0000007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Providing opportunities for individuals at all levels of the hierarchy to engage in conversation with one other. It will aid in the development of a culture of openness and transparency by allowing senior management to connect directly with their subordinates.</w:t>
      </w:r>
    </w:p>
    <w:p w:rsidR="00000000" w:rsidDel="00000000" w:rsidP="00000000" w:rsidRDefault="00000000" w:rsidRPr="00000000" w14:paraId="0000007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possible to return to a more routine workweek with post-corona goals and methods. Working from home or on the go will continue to be an option in the future, but it has to be further defined in the development of new work techniques and ideas. It is impossible to replace personal training, at least for the time being, but it may be pushed. Hilton Worldwide should develop a remote onboarding system that includes a library of short movies, small group interaction, and technological demos to make the atmosphere more inclusive for new workers. A gradual resumption of staff training is necessary after the epidemic. Our lives are going to be affected by the current scenario, thus it's imperative that we keep our knowledge and abilities up-to-date.</w:t>
      </w:r>
    </w:p>
    <w:p w:rsidR="00000000" w:rsidDel="00000000" w:rsidP="00000000" w:rsidRDefault="00000000" w:rsidRPr="00000000" w14:paraId="0000007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F">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80">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7.0 Recommendations</w:t>
      </w:r>
      <w:r w:rsidDel="00000000" w:rsidR="00000000" w:rsidRPr="00000000">
        <w:rPr>
          <w:rtl w:val="0"/>
        </w:rPr>
      </w:r>
    </w:p>
    <w:p w:rsidR="00000000" w:rsidDel="00000000" w:rsidP="00000000" w:rsidRDefault="00000000" w:rsidRPr="00000000" w14:paraId="0000008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Post-pandemic visitors' behaviours.</w:t>
      </w:r>
    </w:p>
    <w:p w:rsidR="00000000" w:rsidDel="00000000" w:rsidP="00000000" w:rsidRDefault="00000000" w:rsidRPr="00000000" w14:paraId="0000008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a few years now, the hotel industry has been preparing for a more guest-centered approach to hospitality. Customers' needs were taken into account by hoteliers, who adapted the services they provided in response.</w:t>
      </w:r>
    </w:p>
    <w:p w:rsidR="00000000" w:rsidDel="00000000" w:rsidP="00000000" w:rsidRDefault="00000000" w:rsidRPr="00000000" w14:paraId="0000008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After COVID-19, these requirements have changed dramatically. Guests are more aware than ever of the importance of eco-friendliness and a positive impact on the local economy, according to recent research. In contrast, many business travellers, who were formerly the bread and butter of certain hotels, are likely to travel less often or not at all.</w:t>
      </w:r>
    </w:p>
    <w:p w:rsidR="00000000" w:rsidDel="00000000" w:rsidP="00000000" w:rsidRDefault="00000000" w:rsidRPr="00000000" w14:paraId="0000008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All of these shifts in traveller behaviour will have a long-term effect on hotels. Hoteliers must get a thorough knowledge of their visitors in order to live up to the new standards that have been set for them. The most important thing to keep in mind is that no matter how elaborate your short-term goals are, they are nothing without the support of your visitors, who are the foundation of your long-term vision. In order to design a successful recovery plan, all you have to do is ask them.</w:t>
      </w:r>
    </w:p>
    <w:p w:rsidR="00000000" w:rsidDel="00000000" w:rsidP="00000000" w:rsidRDefault="00000000" w:rsidRPr="00000000" w14:paraId="0000008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Prioritize the use of digital technology</w:t>
      </w:r>
    </w:p>
    <w:p w:rsidR="00000000" w:rsidDel="00000000" w:rsidP="00000000" w:rsidRDefault="00000000" w:rsidRPr="00000000" w14:paraId="0000008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e-commerce business has reaped the most benefits from the epidemic. People have become used to purchasing products and services through the internet when stranded at home, and hotel rooms are no different. It is impossible for hotels to depend only on third-party platforms in a post-COVID tourism industry.</w:t>
      </w:r>
    </w:p>
    <w:p w:rsidR="00000000" w:rsidDel="00000000" w:rsidP="00000000" w:rsidRDefault="00000000" w:rsidRPr="00000000" w14:paraId="0000008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Hilton hotels has already unveiled a new cleaning and customer service programme for meetings and events in the middle of the coronavirus epidemic. EventReady with CleanStay was developed after significant study and feedback from meetings, conventions or entertainment events.</w:t>
      </w:r>
    </w:p>
    <w:p w:rsidR="00000000" w:rsidDel="00000000" w:rsidP="00000000" w:rsidRDefault="00000000" w:rsidRPr="00000000" w14:paraId="0000008D">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8E">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8.0 Conclusion</w:t>
      </w:r>
    </w:p>
    <w:p w:rsidR="00000000" w:rsidDel="00000000" w:rsidP="00000000" w:rsidRDefault="00000000" w:rsidRPr="00000000" w14:paraId="0000008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summary, Hilton has had poor operating circumstances during the COVID-19, with sales plummeting substantially and earnings and shareholder's equity falling to negative levels. In light of these findings, we conclude that Hilton is experiencing a development bottleneck under the current business model. It is essential to continue the company's strategic transformation, particularly in the wake of the COVID-19.</w:t>
      </w:r>
    </w:p>
    <w:p w:rsidR="00000000" w:rsidDel="00000000" w:rsidP="00000000" w:rsidRDefault="00000000" w:rsidRPr="00000000" w14:paraId="0000009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critical in the hotel sector to keep up with technological advancements since it is a rapidly changing, contemporary industry that demands new technology to save time and perform more effectively. The use of technology in Hilton hotels allows consumers to get more tailored services, allowing them to better react to a highly competitive market climate. The development of digital hotels is expedited, particularly under the auspices of COVID-19. COVID19 clients are drawn to the contactless check-in, check-out, and delivery services offered by the company, which will play a significant part in slowing or stopping the spread of the disease. Hilton must continue to create digital hotels by implementing new initiatives, such as digital keys, mobile applications, and delivery robots, into the company's everyday operations and operations management. Essentially, they are all exemplary examples of the digital strategic transformation of organisations.</w:t>
      </w:r>
    </w:p>
    <w:p w:rsidR="00000000" w:rsidDel="00000000" w:rsidP="00000000" w:rsidRDefault="00000000" w:rsidRPr="00000000" w14:paraId="0000009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covid-19 will not only have an influence on Hilton, but it will also pose a significant threat to the whole global hotel business. These findings provide guidance to Hilton on how to adapt its strategy, and they may serve as a model for other worldwide hotels looking to make strategic modifications of their own.</w:t>
      </w:r>
    </w:p>
    <w:p w:rsidR="00000000" w:rsidDel="00000000" w:rsidP="00000000" w:rsidRDefault="00000000" w:rsidRPr="00000000" w14:paraId="0000009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6">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9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9.0 References</w:t>
      </w:r>
      <w:r w:rsidDel="00000000" w:rsidR="00000000" w:rsidRPr="00000000">
        <w:rPr>
          <w:rtl w:val="0"/>
        </w:rPr>
      </w:r>
    </w:p>
    <w:p w:rsidR="00000000" w:rsidDel="00000000" w:rsidP="00000000" w:rsidRDefault="00000000" w:rsidRPr="00000000" w14:paraId="0000009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Aljadir, A., and Alnemsh, M., 2020.Exploration of the COVID-19 pandemic about the healthcare industry Supply Chain.</w:t>
      </w:r>
    </w:p>
    <w:p w:rsidR="00000000" w:rsidDel="00000000" w:rsidP="00000000" w:rsidRDefault="00000000" w:rsidRPr="00000000" w14:paraId="0000009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Barrero, J.M., Bloom, N., and Davis, S.J., 2020. Covid-19 is also a reallocation shock (No. w27137). National Bureau of Economic Research.</w:t>
      </w:r>
    </w:p>
    <w:p w:rsidR="00000000" w:rsidDel="00000000" w:rsidP="00000000" w:rsidRDefault="00000000" w:rsidRPr="00000000" w14:paraId="0000009C">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Bloomberg, B. (2018). </w:t>
      </w:r>
      <w:r w:rsidDel="00000000" w:rsidR="00000000" w:rsidRPr="00000000">
        <w:rPr>
          <w:rFonts w:ascii="Times New Roman" w:cs="Times New Roman" w:eastAsia="Times New Roman" w:hAnsi="Times New Roman"/>
          <w:i w:val="1"/>
          <w:sz w:val="24"/>
          <w:szCs w:val="24"/>
          <w:rtl w:val="0"/>
        </w:rPr>
        <w:t xml:space="preserve">Hilton CEO Says Brexit Is Hurting London Hotels</w:t>
      </w:r>
      <w:r w:rsidDel="00000000" w:rsidR="00000000" w:rsidRPr="00000000">
        <w:rPr>
          <w:rFonts w:ascii="Times New Roman" w:cs="Times New Roman" w:eastAsia="Times New Roman" w:hAnsi="Times New Roman"/>
          <w:sz w:val="24"/>
          <w:szCs w:val="24"/>
          <w:rtl w:val="0"/>
        </w:rPr>
        <w:t xml:space="preserve">. [online] Skift. Available at: https://skift.com/2018/03/06/hilton-ceo-says-brexit-is-hurting-london-hotels/.</w:t>
      </w:r>
    </w:p>
    <w:p w:rsidR="00000000" w:rsidDel="00000000" w:rsidP="00000000" w:rsidRDefault="00000000" w:rsidRPr="00000000" w14:paraId="0000009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Chang, Y.C., Ku, C.H., and Chen, C.H., 2019. Social media analytics: Extracting and visualizing Hilton hotel ratings and reviews from TripAdvisor. International Journal of Information Management, 48, pp.263-279.</w:t>
      </w:r>
    </w:p>
    <w:p w:rsidR="00000000" w:rsidDel="00000000" w:rsidP="00000000" w:rsidRDefault="00000000" w:rsidRPr="00000000" w14:paraId="0000009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Ebrahim, A.H., and Buheji, M., 2020. A Pursuit for a ‘Holistic Social Responsibility Strategic Framework’Addressing COVID-19 Pandemic Needs. American Journal of Economics, 10(5), pp.293-304.</w:t>
      </w:r>
    </w:p>
    <w:p w:rsidR="00000000" w:rsidDel="00000000" w:rsidP="00000000" w:rsidRDefault="00000000" w:rsidRPr="00000000" w14:paraId="000000A0">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1">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Hilton (2020a). </w:t>
      </w:r>
      <w:r w:rsidDel="00000000" w:rsidR="00000000" w:rsidRPr="00000000">
        <w:rPr>
          <w:rFonts w:ascii="Times New Roman" w:cs="Times New Roman" w:eastAsia="Times New Roman" w:hAnsi="Times New Roman"/>
          <w:i w:val="1"/>
          <w:sz w:val="24"/>
          <w:szCs w:val="24"/>
          <w:rtl w:val="0"/>
        </w:rPr>
        <w:t xml:space="preserve">Hilton CleanStay Brings New Standard of Cleanliness Worldwide in Time for Summer Travel</w:t>
      </w:r>
      <w:r w:rsidDel="00000000" w:rsidR="00000000" w:rsidRPr="00000000">
        <w:rPr>
          <w:rFonts w:ascii="Times New Roman" w:cs="Times New Roman" w:eastAsia="Times New Roman" w:hAnsi="Times New Roman"/>
          <w:sz w:val="24"/>
          <w:szCs w:val="24"/>
          <w:rtl w:val="0"/>
        </w:rPr>
        <w:t xml:space="preserve">. [online] Hilton Press Center. Available at: https://newsroom.hilton.com/corporate/news/hilton-cleanstay-a-new-standard-of-cleanliness.</w:t>
      </w:r>
    </w:p>
    <w:p w:rsidR="00000000" w:rsidDel="00000000" w:rsidP="00000000" w:rsidRDefault="00000000" w:rsidRPr="00000000" w14:paraId="000000A2">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Hilton (2020b). </w:t>
      </w:r>
      <w:r w:rsidDel="00000000" w:rsidR="00000000" w:rsidRPr="00000000">
        <w:rPr>
          <w:rFonts w:ascii="Times New Roman" w:cs="Times New Roman" w:eastAsia="Times New Roman" w:hAnsi="Times New Roman"/>
          <w:i w:val="1"/>
          <w:sz w:val="24"/>
          <w:szCs w:val="24"/>
          <w:rtl w:val="0"/>
        </w:rPr>
        <w:t xml:space="preserve">In a Year Like No Other, Hilton Grows to Milestone 1 Million Rooms and Responds to Pandemic with Innovations for Guests, Positive Impact for Communities</w:t>
      </w:r>
      <w:r w:rsidDel="00000000" w:rsidR="00000000" w:rsidRPr="00000000">
        <w:rPr>
          <w:rFonts w:ascii="Times New Roman" w:cs="Times New Roman" w:eastAsia="Times New Roman" w:hAnsi="Times New Roman"/>
          <w:sz w:val="24"/>
          <w:szCs w:val="24"/>
          <w:rtl w:val="0"/>
        </w:rPr>
        <w:t xml:space="preserve">. [online] Hilton Press Center. Available at: https://newsroom.hilton.com/corporate/news/hilton-successfully-navigates-year-like-no-other.</w:t>
      </w:r>
    </w:p>
    <w:p w:rsidR="00000000" w:rsidDel="00000000" w:rsidP="00000000" w:rsidRDefault="00000000" w:rsidRPr="00000000" w14:paraId="000000A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Huang, A., Makridis, C., Baker, M., Medeiros, M., and Guo, Z., 2020.Understanding the Impact of COVID-19 Intervention Policies on the Labor Market of the Hospitality and Retail Industries. Available at SSRN 3637766.</w:t>
      </w:r>
    </w:p>
    <w:p w:rsidR="00000000" w:rsidDel="00000000" w:rsidP="00000000" w:rsidRDefault="00000000" w:rsidRPr="00000000" w14:paraId="000000A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Hwang, E.S., Balch, C.M., Balch, G.C., Feldman, S.M., Golshan, M., Grobmyer, S.R., Libutti, S.K., Margenthaler, J.A., Sasidhar, M., Turaga, K.K. and Wong, S.L., 2020. Surgical Oncologists and the COVID-19 Pandemic: Guiding Cancer Patients Effectively through Turbulence and Change. Annals of Surgical Oncology, pp.1-14.</w:t>
      </w:r>
    </w:p>
    <w:p w:rsidR="00000000" w:rsidDel="00000000" w:rsidP="00000000" w:rsidRDefault="00000000" w:rsidRPr="00000000" w14:paraId="000000A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Itunes, H., Ndiaye, N., Giroux, C., George, R., Attias, M., and Gamhewage, G., 2020. Global Reach of an Online COVID-19 Course in Multiple Languages on OpenWHO in the First Quarter of 2020: Analysis of Platform Use Data. Journal of Medical Internet Research, 22(4), p.e19076.</w:t>
      </w:r>
    </w:p>
    <w:p w:rsidR="00000000" w:rsidDel="00000000" w:rsidP="00000000" w:rsidRDefault="00000000" w:rsidRPr="00000000" w14:paraId="000000A8">
      <w:pPr>
        <w:spacing w:after="240" w:before="240"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Kinnersley , H. (2020, June 30). </w:t>
      </w:r>
      <w:r w:rsidDel="00000000" w:rsidR="00000000" w:rsidRPr="00000000">
        <w:rPr>
          <w:rFonts w:ascii="Times New Roman" w:cs="Times New Roman" w:eastAsia="Times New Roman" w:hAnsi="Times New Roman"/>
          <w:i w:val="1"/>
          <w:sz w:val="24"/>
          <w:szCs w:val="24"/>
          <w:rtl w:val="0"/>
        </w:rPr>
        <w:t xml:space="preserve">Association sues Hilton property in Covid-related contract dispute</w:t>
      </w:r>
      <w:r w:rsidDel="00000000" w:rsidR="00000000" w:rsidRPr="00000000">
        <w:rPr>
          <w:rFonts w:ascii="Times New Roman" w:cs="Times New Roman" w:eastAsia="Times New Roman" w:hAnsi="Times New Roman"/>
          <w:sz w:val="24"/>
          <w:szCs w:val="24"/>
          <w:rtl w:val="0"/>
        </w:rPr>
        <w:t xml:space="preserve">. MeetingsNet. Retrieved March 18, 2022, from https://www.meetingsnet.com/association-conventions-and-expos/association-sues-hilton-property-covid-related-contract-dispute</w:t>
      </w:r>
    </w:p>
    <w:p w:rsidR="00000000" w:rsidDel="00000000" w:rsidP="00000000" w:rsidRDefault="00000000" w:rsidRPr="00000000" w14:paraId="000000A9">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Law360 (2020). </w:t>
      </w:r>
      <w:r w:rsidDel="00000000" w:rsidR="00000000" w:rsidRPr="00000000">
        <w:rPr>
          <w:rFonts w:ascii="Times New Roman" w:cs="Times New Roman" w:eastAsia="Times New Roman" w:hAnsi="Times New Roman"/>
          <w:i w:val="1"/>
          <w:sz w:val="24"/>
          <w:szCs w:val="24"/>
          <w:rtl w:val="0"/>
        </w:rPr>
        <w:t xml:space="preserve">Mechanical Contractors Association of America, Inc. v. Hilton Franchise Holding LLC</w:t>
      </w:r>
      <w:r w:rsidDel="00000000" w:rsidR="00000000" w:rsidRPr="00000000">
        <w:rPr>
          <w:rFonts w:ascii="Times New Roman" w:cs="Times New Roman" w:eastAsia="Times New Roman" w:hAnsi="Times New Roman"/>
          <w:sz w:val="24"/>
          <w:szCs w:val="24"/>
          <w:rtl w:val="0"/>
        </w:rPr>
        <w:t xml:space="preserve">. [online] www.law360.com. Available at: https://www.law360.com/cases/5ede3db939c2c304b20cf34b [Accessed 18 Mar. 2022].</w:t>
      </w:r>
    </w:p>
    <w:p w:rsidR="00000000" w:rsidDel="00000000" w:rsidP="00000000" w:rsidRDefault="00000000" w:rsidRPr="00000000" w14:paraId="000000A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Leonardi, M., Horne, A.W., Vincent, K., Sinclair, J., Sherman, K.A., Ciccia, D., Condous, G., Johnson, N.P., and Armour, M., 2020. Self-management strategies to consider to combat endometriosis symptoms during the COVID-19 pandemic. Human Reproduction Open, 2020(2), p.hoaa028.</w:t>
      </w:r>
    </w:p>
    <w:p w:rsidR="00000000" w:rsidDel="00000000" w:rsidP="00000000" w:rsidRDefault="00000000" w:rsidRPr="00000000" w14:paraId="000000A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Luo, W., Li, Y.X., Jiang, L.J., Chen, Q., Wang, T., and Ye, D.W., 2020.Targeting JAK-STAT signaling to control cytokine release syndrome in COVID-19. Trends in Pharmacological Sciences.</w:t>
      </w:r>
    </w:p>
    <w:p w:rsidR="00000000" w:rsidDel="00000000" w:rsidP="00000000" w:rsidRDefault="00000000" w:rsidRPr="00000000" w14:paraId="000000A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Nicola, M., Alsafi, Z., Sohrabi, C., Kerwan, A., Al-Jabir, A., Iosifidis, C., Agha, M., and Agha, R., 2020. The socio-economic implications of the coronavirus and COVID-19 pandemic: a review. International Journal of Surgery.</w:t>
      </w:r>
    </w:p>
    <w:p w:rsidR="00000000" w:rsidDel="00000000" w:rsidP="00000000" w:rsidRDefault="00000000" w:rsidRPr="00000000" w14:paraId="000000A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Nicola, M., Alsafi, Z., Sohrabi, C., Kerwan, A., Al-Jabir, A., Iosifidis, C., Agha, M., and Agha, R., 2020. The socio-economic implications of the coronavirus pandemic (COVID-19): A review. International journal of surgery (London, England), 78, p.185.</w:t>
      </w:r>
    </w:p>
    <w:p w:rsidR="00000000" w:rsidDel="00000000" w:rsidP="00000000" w:rsidRDefault="00000000" w:rsidRPr="00000000" w14:paraId="000000B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Pettenuzzo, D., Sabbatucci, R., and Timmermann, A., 2020. Dividend Suspensions and Cash Flow Risk during the Covid-19 Pandemic. Available at SSRN 3628608.</w:t>
      </w:r>
    </w:p>
    <w:p w:rsidR="00000000" w:rsidDel="00000000" w:rsidP="00000000" w:rsidRDefault="00000000" w:rsidRPr="00000000" w14:paraId="000000B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Ponjavić, M., Karabegović, A., Ferhatbegović, E., Tahirović, E., Uzunović, S., Travar, M., Pilav, A., Mulić, M., Karakaš, S., Avdić, N. and Mulabdić, Z., 2020.Spatio-temporal data visualization for monitoring of control measures in the prevention of the spread of COVID-19 in Bosnia and Herzegovina. Med Glas (Zenica), 17(2).</w:t>
      </w:r>
    </w:p>
    <w:p w:rsidR="00000000" w:rsidDel="00000000" w:rsidP="00000000" w:rsidRDefault="00000000" w:rsidRPr="00000000" w14:paraId="000000B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Reimers, F., Schleicher, A., Saavedra, J., and Tuominen, S., 2020. Supporting the continuation of teaching and learning during the COVID-19 Pandemic.</w:t>
      </w:r>
    </w:p>
    <w:p w:rsidR="00000000" w:rsidDel="00000000" w:rsidP="00000000" w:rsidRDefault="00000000" w:rsidRPr="00000000" w14:paraId="000000B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Shawar, Y.R., and Shiffman, J., 2017. Generation of global political priority for early childhood development: the challenges of framing and governance. The Lancet, 389(10064), pp.119-124.</w:t>
      </w:r>
    </w:p>
    <w:p w:rsidR="00000000" w:rsidDel="00000000" w:rsidP="00000000" w:rsidRDefault="00000000" w:rsidRPr="00000000" w14:paraId="000000B9">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Simon, E. (2020). </w:t>
      </w:r>
      <w:r w:rsidDel="00000000" w:rsidR="00000000" w:rsidRPr="00000000">
        <w:rPr>
          <w:rFonts w:ascii="Times New Roman" w:cs="Times New Roman" w:eastAsia="Times New Roman" w:hAnsi="Times New Roman"/>
          <w:i w:val="1"/>
          <w:sz w:val="24"/>
          <w:szCs w:val="24"/>
          <w:rtl w:val="0"/>
        </w:rPr>
        <w:t xml:space="preserve">Hilton shares Q1 impact of COVID-19</w:t>
      </w:r>
      <w:r w:rsidDel="00000000" w:rsidR="00000000" w:rsidRPr="00000000">
        <w:rPr>
          <w:rFonts w:ascii="Times New Roman" w:cs="Times New Roman" w:eastAsia="Times New Roman" w:hAnsi="Times New Roman"/>
          <w:sz w:val="24"/>
          <w:szCs w:val="24"/>
          <w:rtl w:val="0"/>
        </w:rPr>
        <w:t xml:space="preserve">. [online] Hotel Management. Available at: https://www.hotelmanagement.net/own/hilton-shares-q1-impact-covid-19.</w:t>
      </w:r>
    </w:p>
    <w:p w:rsidR="00000000" w:rsidDel="00000000" w:rsidP="00000000" w:rsidRDefault="00000000" w:rsidRPr="00000000" w14:paraId="000000B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Sönmez, S., Apostolopoulos, Y., Lemke, M.K., and Hsieh, Y.C.J., 2020.Understanding the effects of COVID-19 on the health and safety of immigrant hospitality workers in the United States. Tourism Management Perspectives, 35, p.100717.</w:t>
      </w:r>
    </w:p>
    <w:p w:rsidR="00000000" w:rsidDel="00000000" w:rsidP="00000000" w:rsidRDefault="00000000" w:rsidRPr="00000000" w14:paraId="000000B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Vandebroek, I., Pieroni, A., Stepp, J.R., Hanazaki, N., Ladio, A., Alves, R.R.N., Picking, D., Delgoda, R., Maori, A., van Andel, T. and Quave, C.L., 2020. Reshaping the future of ethnobiology research after the COVID-19 pandemic. Nature Plants, 6(7), pp.723-730.</w:t>
      </w:r>
    </w:p>
    <w:p w:rsidR="00000000" w:rsidDel="00000000" w:rsidP="00000000" w:rsidRDefault="00000000" w:rsidRPr="00000000" w14:paraId="000000BD">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E">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Wood, D. (2021). </w:t>
      </w:r>
      <w:r w:rsidDel="00000000" w:rsidR="00000000" w:rsidRPr="00000000">
        <w:rPr>
          <w:rFonts w:ascii="Times New Roman" w:cs="Times New Roman" w:eastAsia="Times New Roman" w:hAnsi="Times New Roman"/>
          <w:i w:val="1"/>
          <w:sz w:val="24"/>
          <w:szCs w:val="24"/>
          <w:rtl w:val="0"/>
        </w:rPr>
        <w:t xml:space="preserve">Hilton CEO Discusses Impact of COVID-19, Plans for Future</w:t>
      </w:r>
      <w:r w:rsidDel="00000000" w:rsidR="00000000" w:rsidRPr="00000000">
        <w:rPr>
          <w:rFonts w:ascii="Times New Roman" w:cs="Times New Roman" w:eastAsia="Times New Roman" w:hAnsi="Times New Roman"/>
          <w:sz w:val="24"/>
          <w:szCs w:val="24"/>
          <w:rtl w:val="0"/>
        </w:rPr>
        <w:t xml:space="preserve">. [online] TravelPulse. Available at: https://www.travelpulse.com/news/hotels-and-resorts/hilton-ceo-discusses-impact-of-covid-19-plans-for-future.html.</w:t>
      </w:r>
    </w:p>
    <w:p w:rsidR="00000000" w:rsidDel="00000000" w:rsidP="00000000" w:rsidRDefault="00000000" w:rsidRPr="00000000" w14:paraId="000000BF">
      <w:pPr>
        <w:spacing w:after="240" w:before="240" w:line="360" w:lineRule="auto"/>
        <w:ind w:left="0" w:firstLine="0"/>
        <w:jc w:val="both"/>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24"/>
          <w:szCs w:val="24"/>
          <w:rtl w:val="0"/>
        </w:rPr>
        <w:t xml:space="preserve">Woodyard, C., &amp; Oliver, D. (2020, July 22). </w:t>
      </w:r>
      <w:r w:rsidDel="00000000" w:rsidR="00000000" w:rsidRPr="00000000">
        <w:rPr>
          <w:rFonts w:ascii="Times New Roman" w:cs="Times New Roman" w:eastAsia="Times New Roman" w:hAnsi="Times New Roman"/>
          <w:i w:val="1"/>
          <w:sz w:val="24"/>
          <w:szCs w:val="24"/>
          <w:rtl w:val="0"/>
        </w:rPr>
        <w:t xml:space="preserve">'do you belong here?': Lawsuits allege Hilton, other hotels discriminated against Black Guests</w:t>
      </w:r>
      <w:r w:rsidDel="00000000" w:rsidR="00000000" w:rsidRPr="00000000">
        <w:rPr>
          <w:rFonts w:ascii="Times New Roman" w:cs="Times New Roman" w:eastAsia="Times New Roman" w:hAnsi="Times New Roman"/>
          <w:sz w:val="24"/>
          <w:szCs w:val="24"/>
          <w:rtl w:val="0"/>
        </w:rPr>
        <w:t xml:space="preserve">. USA Today. Retrieved March 18, 2022, from https://eu.usatoday.com/story/travel/hotels/2020/07/21/hilton-discrimination-lawsuits-black-guests-allege-racism-hotels/5405270002/ </w:t>
      </w:r>
      <w:r w:rsidDel="00000000" w:rsidR="00000000" w:rsidRPr="00000000">
        <w:rPr>
          <w:rtl w:val="0"/>
        </w:rPr>
      </w:r>
    </w:p>
    <w:p w:rsidR="00000000" w:rsidDel="00000000" w:rsidP="00000000" w:rsidRDefault="00000000" w:rsidRPr="00000000" w14:paraId="000000C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Zaidi, S.R.H., 2020. CHALLENGES REVEALED TO PAKISTAN IN THE WAKE OF COVID 19. Pakistan Armed Forces Medical Journal, 70(1), pp.S421-23.</w:t>
      </w:r>
    </w:p>
    <w:p w:rsidR="00000000" w:rsidDel="00000000" w:rsidP="00000000" w:rsidRDefault="00000000" w:rsidRPr="00000000" w14:paraId="000000C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Zeng, Z., Chen, P.J., and Lew, A.A., 2020. From high-touch to high-tech: COVID-19 drives robotics adoption. Tourism Geographies, pp.1-11.</w:t>
      </w:r>
    </w:p>
    <w:p w:rsidR="00000000" w:rsidDel="00000000" w:rsidP="00000000" w:rsidRDefault="00000000" w:rsidRPr="00000000" w14:paraId="000000C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Zhu, B., Zheng, X., Liu, H., Li, J., and Wang, P., 2020. Analysis of spatiotemporal characteristics of big data on social media sentiment with COVID-19 epidemic topics. Chaos, Solitons&amp; Fractals, 140, p.110123.</w:t>
      </w:r>
    </w:p>
    <w:p w:rsidR="00000000" w:rsidDel="00000000" w:rsidP="00000000" w:rsidRDefault="00000000" w:rsidRPr="00000000" w14:paraId="000000C5">
      <w:pPr>
        <w:spacing w:line="360" w:lineRule="auto"/>
        <w:jc w:val="both"/>
        <w:rPr>
          <w:rFonts w:ascii="Times New Roman" w:cs="Times New Roman" w:eastAsia="Times New Roman" w:hAnsi="Times New Roman"/>
          <w:sz w:val="24"/>
          <w:szCs w:val="24"/>
        </w:rPr>
      </w:pP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6">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