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1936374"/>
        <w:docPartObj>
          <w:docPartGallery w:val="Cover Pages"/>
          <w:docPartUnique/>
        </w:docPartObj>
      </w:sdtPr>
      <w:sdtContent>
        <w:p w14:paraId="77543FE6" w14:textId="3B3D69AD" w:rsidR="00F216A6" w:rsidRDefault="00F216A6">
          <w:r>
            <w:rPr>
              <w:noProof/>
            </w:rPr>
            <mc:AlternateContent>
              <mc:Choice Requires="wpg">
                <w:drawing>
                  <wp:anchor distT="0" distB="0" distL="114300" distR="114300" simplePos="0" relativeHeight="251659264" behindDoc="1" locked="0" layoutInCell="1" allowOverlap="1" wp14:anchorId="76244879" wp14:editId="18862FA7">
                    <wp:simplePos x="0" y="0"/>
                    <wp:positionH relativeFrom="page">
                      <wp:align>center</wp:align>
                    </wp:positionH>
                    <wp:positionV relativeFrom="page">
                      <wp:align>center</wp:align>
                    </wp:positionV>
                    <wp:extent cx="6864626" cy="9352999"/>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352999"/>
                              <a:chOff x="0" y="0"/>
                              <a:chExt cx="6864626" cy="935299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410"/>
                                <a:ext cx="6858000" cy="499158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D54332" w14:textId="6E77AF24" w:rsidR="00F216A6" w:rsidRDefault="00F216A6">
                                      <w:pPr>
                                        <w:pStyle w:val="NoSpacing"/>
                                        <w:spacing w:before="120"/>
                                        <w:jc w:val="center"/>
                                        <w:rPr>
                                          <w:color w:val="FFFFFF" w:themeColor="background1"/>
                                        </w:rPr>
                                      </w:pPr>
                                      <w:r>
                                        <w:rPr>
                                          <w:color w:val="FFFFFF" w:themeColor="background1"/>
                                        </w:rPr>
                                        <w:t>Kimberley Collins (2223837)</w:t>
                                      </w:r>
                                    </w:p>
                                  </w:sdtContent>
                                </w:sdt>
                                <w:p w14:paraId="337FE434" w14:textId="4DB6B5CD" w:rsidR="00F216A6" w:rsidRDefault="00F216A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3"/>
                                <a:ext cx="6858000" cy="270236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626F4A" w14:textId="1CD750D1" w:rsidR="00F216A6" w:rsidRPr="00F216A6" w:rsidRDefault="00F216A6">
                                      <w:pPr>
                                        <w:pStyle w:val="NoSpacing"/>
                                        <w:jc w:val="cente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16A6">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Criminal Behavior: A Comparative Analysis of General Strain Theory and Social Control Theory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6244879" id="Group 31" o:spid="_x0000_s1026" style="position:absolute;margin-left:0;margin-top:0;width:540.5pt;height:736.45pt;z-index:-251657216;mso-width-percent:882;mso-position-horizontal:center;mso-position-horizontal-relative:page;mso-position-vertical:center;mso-position-vertical-relative:page;mso-width-percent:882" coordsize="68646,935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3614;width:68580;height:499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D54332" w14:textId="6E77AF24" w:rsidR="00F216A6" w:rsidRDefault="00F216A6">
                                <w:pPr>
                                  <w:pStyle w:val="NoSpacing"/>
                                  <w:spacing w:before="120"/>
                                  <w:jc w:val="center"/>
                                  <w:rPr>
                                    <w:color w:val="FFFFFF" w:themeColor="background1"/>
                                  </w:rPr>
                                </w:pPr>
                                <w:r>
                                  <w:rPr>
                                    <w:color w:val="FFFFFF" w:themeColor="background1"/>
                                  </w:rPr>
                                  <w:t>Kimberley Collins (2223837)</w:t>
                                </w:r>
                              </w:p>
                            </w:sdtContent>
                          </w:sdt>
                          <w:p w14:paraId="337FE434" w14:textId="4DB6B5CD" w:rsidR="00F216A6" w:rsidRDefault="00F216A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2702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626F4A" w14:textId="1CD750D1" w:rsidR="00F216A6" w:rsidRPr="00F216A6" w:rsidRDefault="00F216A6">
                                <w:pPr>
                                  <w:pStyle w:val="NoSpacing"/>
                                  <w:jc w:val="center"/>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16A6">
                                  <w:rPr>
                                    <w:rFonts w:asciiTheme="majorHAnsi" w:eastAsiaTheme="majorEastAsia" w:hAnsiTheme="majorHAnsi" w:cstheme="majorBid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Criminal Behavior: A Comparative Analysis of General Strain Theory and Social Control Theory</w:t>
                                </w:r>
                              </w:p>
                            </w:sdtContent>
                          </w:sdt>
                        </w:txbxContent>
                      </v:textbox>
                    </v:shape>
                    <w10:wrap anchorx="page" anchory="page"/>
                  </v:group>
                </w:pict>
              </mc:Fallback>
            </mc:AlternateContent>
          </w:r>
        </w:p>
        <w:p w14:paraId="4CB12FD8" w14:textId="77777777" w:rsidR="00F216A6" w:rsidRDefault="00F216A6" w:rsidP="00F216A6">
          <w:r>
            <w:br w:type="page"/>
          </w:r>
        </w:p>
        <w:p w14:paraId="7AFC1C96" w14:textId="34E1922A" w:rsidR="00F216A6" w:rsidRDefault="00F216A6" w:rsidP="00F216A6"/>
      </w:sdtContent>
    </w:sdt>
    <w:p w14:paraId="6C406D47" w14:textId="1D5257B9" w:rsidR="00A47BF2" w:rsidRDefault="00A47BF2" w:rsidP="00F216A6">
      <w:r>
        <w:t xml:space="preserve">The study of criminal </w:t>
      </w:r>
      <w:r>
        <w:t>behaviour</w:t>
      </w:r>
      <w:r>
        <w:t xml:space="preserve"> encompasses a multitude of theories aimed at unravel</w:t>
      </w:r>
      <w:r>
        <w:t>l</w:t>
      </w:r>
      <w:r>
        <w:t>ing the complexities behind individuals' deviant actions. Among these, the General Strain Theory and Social Control Theory stand as prominent frameworks for understanding the motivations and societal influences that lead individuals down the path of criminality. By examining the case of Ted Bundy, notorious for his heinous crimes, we can explore how these theories provide distinct yet complementary perspectives on the factors contributing to criminal behavio</w:t>
      </w:r>
      <w:r>
        <w:t>u</w:t>
      </w:r>
      <w:r>
        <w:t>r.</w:t>
      </w:r>
    </w:p>
    <w:p w14:paraId="7EAD1E6C" w14:textId="77777777" w:rsidR="00A47BF2" w:rsidRDefault="00A47BF2" w:rsidP="00162EA8">
      <w:pPr>
        <w:spacing w:line="360" w:lineRule="auto"/>
        <w:jc w:val="both"/>
      </w:pPr>
    </w:p>
    <w:p w14:paraId="6EECD0A4" w14:textId="6E30D61A" w:rsidR="00A47BF2" w:rsidRDefault="00A47BF2" w:rsidP="00162EA8">
      <w:pPr>
        <w:spacing w:line="360" w:lineRule="auto"/>
        <w:jc w:val="both"/>
      </w:pPr>
      <w:r>
        <w:t>The G</w:t>
      </w:r>
      <w:r>
        <w:t xml:space="preserve">eneral </w:t>
      </w:r>
      <w:r>
        <w:t>S</w:t>
      </w:r>
      <w:r>
        <w:t xml:space="preserve">train </w:t>
      </w:r>
      <w:r>
        <w:t>T</w:t>
      </w:r>
      <w:r>
        <w:t>heory</w:t>
      </w:r>
      <w:r>
        <w:t>, proposed by Robert Agnew</w:t>
      </w:r>
      <w:r>
        <w:t xml:space="preserve"> (2001)</w:t>
      </w:r>
      <w:r>
        <w:t>, posits that individuals engage in criminal behavio</w:t>
      </w:r>
      <w:r>
        <w:t>u</w:t>
      </w:r>
      <w:r>
        <w:t xml:space="preserve">r as a coping mechanism to alleviate perceived strain or stressors. </w:t>
      </w:r>
      <w:r w:rsidR="003633CB">
        <w:t xml:space="preserve">These strains and stressors can stem from financial issues, relationship problems, and community challenges then leading to negative emotions such as anger and frustration (Brezina, 2017). </w:t>
      </w:r>
      <w:r>
        <w:t xml:space="preserve">Bundy's life story presents a compelling narrative for the application of </w:t>
      </w:r>
      <w:r w:rsidR="003633CB">
        <w:t xml:space="preserve">the </w:t>
      </w:r>
      <w:r>
        <w:t>G</w:t>
      </w:r>
      <w:r>
        <w:t xml:space="preserve">eneral </w:t>
      </w:r>
      <w:r>
        <w:t>S</w:t>
      </w:r>
      <w:r>
        <w:t xml:space="preserve">train </w:t>
      </w:r>
      <w:r>
        <w:t>T</w:t>
      </w:r>
      <w:r>
        <w:t>heory</w:t>
      </w:r>
      <w:r>
        <w:t>, with his troubled upbringing marked by significant childhood trauma and family instability</w:t>
      </w:r>
      <w:r w:rsidR="003633CB">
        <w:t xml:space="preserve"> (Sastry, 2020)</w:t>
      </w:r>
      <w:r>
        <w:t>. The absence of his biological father and allegations of abuse within his family underscore</w:t>
      </w:r>
      <w:r>
        <w:t>s</w:t>
      </w:r>
      <w:r>
        <w:t xml:space="preserve"> the early life experiences that may have contributed to Bundy's feelings of strain and psychological distress. Furthermore, the loss of positive stimuli, such as job opportunities and romantic relationships, compounded Bundy's sense of inadequacy and instability, potentially </w:t>
      </w:r>
      <w:r>
        <w:t>fuelling</w:t>
      </w:r>
      <w:r>
        <w:t xml:space="preserve"> his criminal behavio</w:t>
      </w:r>
      <w:r>
        <w:t>u</w:t>
      </w:r>
      <w:r>
        <w:t>r</w:t>
      </w:r>
      <w:r w:rsidR="003633CB">
        <w:t xml:space="preserve"> (Sastry, 2020)</w:t>
      </w:r>
      <w:r>
        <w:t>. While G</w:t>
      </w:r>
      <w:r>
        <w:t xml:space="preserve">eneral </w:t>
      </w:r>
      <w:r>
        <w:t>S</w:t>
      </w:r>
      <w:r>
        <w:t xml:space="preserve">train </w:t>
      </w:r>
      <w:r>
        <w:t>T</w:t>
      </w:r>
      <w:r>
        <w:t>heory</w:t>
      </w:r>
      <w:r>
        <w:t>'s emphasis on negative emotions as mediators between strain and criminal behavio</w:t>
      </w:r>
      <w:r>
        <w:t>u</w:t>
      </w:r>
      <w:r>
        <w:t>r provides valuable insight into Bundy's actions, critics argue that the theory's over-reliance on these emotions may overlook other factors influencing criminal behavio</w:t>
      </w:r>
      <w:r>
        <w:t>u</w:t>
      </w:r>
      <w:r>
        <w:t>r, such as excitement or thrill-seeking tendencies</w:t>
      </w:r>
      <w:r w:rsidR="003633CB">
        <w:t xml:space="preserve"> (Broidy, 2001)</w:t>
      </w:r>
      <w:r>
        <w:t>.</w:t>
      </w:r>
    </w:p>
    <w:p w14:paraId="0E0D1B9E" w14:textId="77777777" w:rsidR="00A47BF2" w:rsidRDefault="00A47BF2" w:rsidP="00162EA8">
      <w:pPr>
        <w:spacing w:line="360" w:lineRule="auto"/>
        <w:jc w:val="both"/>
      </w:pPr>
    </w:p>
    <w:p w14:paraId="70F77A7E" w14:textId="77777777" w:rsidR="00A47BF2" w:rsidRDefault="00A47BF2" w:rsidP="00162EA8">
      <w:pPr>
        <w:spacing w:line="360" w:lineRule="auto"/>
        <w:jc w:val="both"/>
      </w:pPr>
    </w:p>
    <w:p w14:paraId="1D040136" w14:textId="77777777" w:rsidR="00A47BF2" w:rsidRDefault="00A47BF2" w:rsidP="00162EA8">
      <w:pPr>
        <w:spacing w:line="360" w:lineRule="auto"/>
        <w:jc w:val="both"/>
      </w:pPr>
    </w:p>
    <w:p w14:paraId="07AFA3B5" w14:textId="77777777" w:rsidR="00A47BF2" w:rsidRDefault="00A47BF2" w:rsidP="00162EA8">
      <w:pPr>
        <w:spacing w:line="360" w:lineRule="auto"/>
        <w:jc w:val="both"/>
      </w:pPr>
    </w:p>
    <w:p w14:paraId="3450DD45" w14:textId="77777777" w:rsidR="00A47BF2" w:rsidRDefault="00A47BF2" w:rsidP="00162EA8">
      <w:pPr>
        <w:spacing w:line="360" w:lineRule="auto"/>
        <w:jc w:val="both"/>
      </w:pPr>
    </w:p>
    <w:p w14:paraId="0A7CEC53" w14:textId="77777777" w:rsidR="00A47BF2" w:rsidRDefault="00A47BF2" w:rsidP="00162EA8">
      <w:pPr>
        <w:spacing w:line="360" w:lineRule="auto"/>
        <w:jc w:val="both"/>
      </w:pPr>
    </w:p>
    <w:p w14:paraId="371508D2" w14:textId="77777777" w:rsidR="00A47BF2" w:rsidRDefault="00A47BF2" w:rsidP="00162EA8">
      <w:pPr>
        <w:spacing w:line="360" w:lineRule="auto"/>
        <w:jc w:val="both"/>
      </w:pPr>
    </w:p>
    <w:p w14:paraId="48D4C2ED" w14:textId="77777777" w:rsidR="00A47BF2" w:rsidRDefault="00A47BF2" w:rsidP="00162EA8">
      <w:pPr>
        <w:spacing w:line="360" w:lineRule="auto"/>
        <w:jc w:val="both"/>
      </w:pPr>
    </w:p>
    <w:p w14:paraId="37CD36D3" w14:textId="6ADF426B" w:rsidR="00A47BF2" w:rsidRDefault="00A47BF2" w:rsidP="00162EA8">
      <w:pPr>
        <w:spacing w:line="360" w:lineRule="auto"/>
        <w:jc w:val="both"/>
      </w:pPr>
      <w:r>
        <w:lastRenderedPageBreak/>
        <w:t xml:space="preserve">Critics of </w:t>
      </w:r>
      <w:r>
        <w:t xml:space="preserve">the </w:t>
      </w:r>
      <w:r>
        <w:t>G</w:t>
      </w:r>
      <w:r>
        <w:t xml:space="preserve">eneral </w:t>
      </w:r>
      <w:r>
        <w:t>S</w:t>
      </w:r>
      <w:r>
        <w:t xml:space="preserve">train </w:t>
      </w:r>
      <w:r>
        <w:t>T</w:t>
      </w:r>
      <w:r>
        <w:t>heory</w:t>
      </w:r>
      <w:r>
        <w:t xml:space="preserve"> highlight its over-emphasis on negative emotions and its potential failure to capture the complexities of cases like Bundy's. Bundy's ability to exhibit charm and manipulation alongside his violent tendencies challenges the straightforward application of </w:t>
      </w:r>
      <w:r>
        <w:t xml:space="preserve">the </w:t>
      </w:r>
      <w:r>
        <w:t>G</w:t>
      </w:r>
      <w:r>
        <w:t xml:space="preserve">eneral </w:t>
      </w:r>
      <w:r>
        <w:t>S</w:t>
      </w:r>
      <w:r>
        <w:t xml:space="preserve">train </w:t>
      </w:r>
      <w:r>
        <w:t>T</w:t>
      </w:r>
      <w:r>
        <w:t>heory</w:t>
      </w:r>
      <w:r>
        <w:t xml:space="preserve">, which primarily focuses on anger, frustration, and depression as mediators of criminal </w:t>
      </w:r>
      <w:r w:rsidR="003633CB">
        <w:t>behaviour (Broidy, 2001)</w:t>
      </w:r>
      <w:r>
        <w:t xml:space="preserve">. Additionally, </w:t>
      </w:r>
      <w:r w:rsidR="003633CB">
        <w:t xml:space="preserve">the </w:t>
      </w:r>
      <w:r>
        <w:t>G</w:t>
      </w:r>
      <w:r>
        <w:t xml:space="preserve">eneral </w:t>
      </w:r>
      <w:r>
        <w:t>S</w:t>
      </w:r>
      <w:r>
        <w:t xml:space="preserve">train </w:t>
      </w:r>
      <w:r>
        <w:t>T</w:t>
      </w:r>
      <w:r>
        <w:t>heory</w:t>
      </w:r>
      <w:r>
        <w:t>'s treatment of gender differences may not fully encapsulate Bundy's experiences, as societal expectations of masculinity and femininity likely influenced his interactions with victims and his behavio</w:t>
      </w:r>
      <w:r>
        <w:t>u</w:t>
      </w:r>
      <w:r>
        <w:t>r</w:t>
      </w:r>
      <w:r w:rsidR="003633CB">
        <w:t xml:space="preserve"> (Mazerolle, 2000)</w:t>
      </w:r>
      <w:r>
        <w:t>. Moreover, the theory may underestimate the role of class-based strain in Bundy's case, as his privileged background and sense of entitlement may have contributed to his criminal behavio</w:t>
      </w:r>
      <w:r>
        <w:t>u</w:t>
      </w:r>
      <w:r>
        <w:t xml:space="preserve">r in ways not fully accounted for by </w:t>
      </w:r>
      <w:r>
        <w:t xml:space="preserve">the </w:t>
      </w:r>
      <w:r>
        <w:t>G</w:t>
      </w:r>
      <w:r>
        <w:t xml:space="preserve">eneral </w:t>
      </w:r>
      <w:r>
        <w:t>S</w:t>
      </w:r>
      <w:r>
        <w:t xml:space="preserve">train </w:t>
      </w:r>
      <w:r>
        <w:t>T</w:t>
      </w:r>
      <w:r>
        <w:t>heory</w:t>
      </w:r>
      <w:r w:rsidR="00162EA8">
        <w:t xml:space="preserve"> (Aseltine, 2000)</w:t>
      </w:r>
      <w:r>
        <w:t>.</w:t>
      </w:r>
    </w:p>
    <w:p w14:paraId="56BD0867" w14:textId="77777777" w:rsidR="00A47BF2" w:rsidRDefault="00A47BF2" w:rsidP="00162EA8">
      <w:pPr>
        <w:spacing w:line="360" w:lineRule="auto"/>
        <w:jc w:val="both"/>
      </w:pPr>
    </w:p>
    <w:p w14:paraId="4C32785C" w14:textId="30CFE922" w:rsidR="00A47BF2" w:rsidRDefault="00A47BF2" w:rsidP="00162EA8">
      <w:pPr>
        <w:spacing w:line="360" w:lineRule="auto"/>
        <w:jc w:val="both"/>
      </w:pPr>
      <w:r>
        <w:t xml:space="preserve">However, despite these criticisms, </w:t>
      </w:r>
      <w:r>
        <w:t xml:space="preserve">the </w:t>
      </w:r>
      <w:r>
        <w:t>G</w:t>
      </w:r>
      <w:r>
        <w:t xml:space="preserve">eneral </w:t>
      </w:r>
      <w:r>
        <w:t>S</w:t>
      </w:r>
      <w:r>
        <w:t xml:space="preserve">train </w:t>
      </w:r>
      <w:r>
        <w:t>T</w:t>
      </w:r>
      <w:r>
        <w:t>heory</w:t>
      </w:r>
      <w:r>
        <w:t xml:space="preserve"> offers valuable insights into Bundy's motivations and actions. By illuminating the various stressors and challenges Bundy faced throughout his life, including his tumultuous childhood and social alienation, </w:t>
      </w:r>
      <w:r>
        <w:t xml:space="preserve">the </w:t>
      </w:r>
      <w:r>
        <w:t>G</w:t>
      </w:r>
      <w:r>
        <w:t xml:space="preserve">eneral </w:t>
      </w:r>
      <w:r>
        <w:t>S</w:t>
      </w:r>
      <w:r>
        <w:t xml:space="preserve">train </w:t>
      </w:r>
      <w:r>
        <w:t>T</w:t>
      </w:r>
      <w:r>
        <w:t>heory</w:t>
      </w:r>
      <w:r>
        <w:t xml:space="preserve"> provides a nuanced understanding of the factors contributing to his criminal </w:t>
      </w:r>
      <w:r>
        <w:t>behaviour</w:t>
      </w:r>
      <w:r w:rsidR="00162EA8">
        <w:t xml:space="preserve"> (Cullet et al., 2017)</w:t>
      </w:r>
      <w:r>
        <w:t>. Furthermore, the theory's focus on individual characteristics, social environments, and situational contexts helps elucidate the complex interplay of factors shaping Bundy's trajectory towards criminality</w:t>
      </w:r>
      <w:r w:rsidR="00162EA8">
        <w:t xml:space="preserve"> (Cullen et al., 2017)</w:t>
      </w:r>
      <w:r>
        <w:t>. Through G</w:t>
      </w:r>
      <w:r>
        <w:t xml:space="preserve">eneral </w:t>
      </w:r>
      <w:r>
        <w:t>S</w:t>
      </w:r>
      <w:r>
        <w:t xml:space="preserve">train </w:t>
      </w:r>
      <w:r>
        <w:t>T</w:t>
      </w:r>
      <w:r>
        <w:t>heory</w:t>
      </w:r>
      <w:r>
        <w:t>, we gain insight into the psychological mechanisms underlying Bundy's actions, shedding light on his internal turmoil and negative emotions that may have driven his predatory behavio</w:t>
      </w:r>
      <w:r>
        <w:t>u</w:t>
      </w:r>
      <w:r>
        <w:t>r</w:t>
      </w:r>
      <w:r w:rsidR="00162EA8">
        <w:t xml:space="preserve"> (Barbieri et al., 2019)</w:t>
      </w:r>
      <w:r>
        <w:t>.</w:t>
      </w:r>
    </w:p>
    <w:p w14:paraId="474035F1" w14:textId="77777777" w:rsidR="00A47BF2" w:rsidRDefault="00A47BF2" w:rsidP="00162EA8">
      <w:pPr>
        <w:spacing w:line="360" w:lineRule="auto"/>
        <w:jc w:val="both"/>
      </w:pPr>
    </w:p>
    <w:p w14:paraId="27757F47" w14:textId="77777777" w:rsidR="00A47BF2" w:rsidRDefault="00A47BF2" w:rsidP="00162EA8">
      <w:pPr>
        <w:spacing w:line="360" w:lineRule="auto"/>
        <w:jc w:val="both"/>
      </w:pPr>
    </w:p>
    <w:p w14:paraId="68E0884D" w14:textId="77777777" w:rsidR="00A47BF2" w:rsidRDefault="00A47BF2" w:rsidP="00162EA8">
      <w:pPr>
        <w:spacing w:line="360" w:lineRule="auto"/>
        <w:jc w:val="both"/>
      </w:pPr>
    </w:p>
    <w:p w14:paraId="52CF2145" w14:textId="77777777" w:rsidR="00162EA8" w:rsidRDefault="00162EA8" w:rsidP="00162EA8">
      <w:pPr>
        <w:spacing w:line="360" w:lineRule="auto"/>
        <w:jc w:val="both"/>
      </w:pPr>
    </w:p>
    <w:p w14:paraId="4C1F1F69" w14:textId="77777777" w:rsidR="00F216A6" w:rsidRDefault="00F216A6" w:rsidP="00162EA8">
      <w:pPr>
        <w:spacing w:line="360" w:lineRule="auto"/>
        <w:jc w:val="both"/>
      </w:pPr>
    </w:p>
    <w:p w14:paraId="10D73ACD" w14:textId="77777777" w:rsidR="00F216A6" w:rsidRDefault="00F216A6" w:rsidP="00162EA8">
      <w:pPr>
        <w:spacing w:line="360" w:lineRule="auto"/>
        <w:jc w:val="both"/>
      </w:pPr>
    </w:p>
    <w:p w14:paraId="26F6B607" w14:textId="77777777" w:rsidR="00A47BF2" w:rsidRDefault="00A47BF2" w:rsidP="00162EA8">
      <w:pPr>
        <w:spacing w:line="360" w:lineRule="auto"/>
        <w:jc w:val="both"/>
      </w:pPr>
    </w:p>
    <w:p w14:paraId="5B24CF02" w14:textId="77777777" w:rsidR="00A47BF2" w:rsidRDefault="00A47BF2" w:rsidP="00162EA8">
      <w:pPr>
        <w:spacing w:line="360" w:lineRule="auto"/>
        <w:jc w:val="both"/>
      </w:pPr>
    </w:p>
    <w:p w14:paraId="23792D3F" w14:textId="14132AC2" w:rsidR="00A47BF2" w:rsidRDefault="00A47BF2" w:rsidP="00162EA8">
      <w:pPr>
        <w:spacing w:line="360" w:lineRule="auto"/>
        <w:jc w:val="both"/>
      </w:pPr>
      <w:r>
        <w:lastRenderedPageBreak/>
        <w:t xml:space="preserve">In contrast to </w:t>
      </w:r>
      <w:r w:rsidR="00162EA8">
        <w:t xml:space="preserve">the </w:t>
      </w:r>
      <w:r>
        <w:t>G</w:t>
      </w:r>
      <w:r>
        <w:t xml:space="preserve">eneral </w:t>
      </w:r>
      <w:r>
        <w:t>S</w:t>
      </w:r>
      <w:r>
        <w:t xml:space="preserve">train </w:t>
      </w:r>
      <w:r>
        <w:t>T</w:t>
      </w:r>
      <w:r>
        <w:t>heory</w:t>
      </w:r>
      <w:r>
        <w:t>, Social Control Theory, developed by Travis Hirschi</w:t>
      </w:r>
      <w:r w:rsidR="00162EA8">
        <w:t xml:space="preserve"> (1969)</w:t>
      </w:r>
      <w:r>
        <w:t>, emphasizes the role of social bonds in deterring criminal behavio</w:t>
      </w:r>
      <w:r>
        <w:t>u</w:t>
      </w:r>
      <w:r>
        <w:t xml:space="preserve">r. Bundy's case can also be </w:t>
      </w:r>
      <w:r>
        <w:t>analysed</w:t>
      </w:r>
      <w:r>
        <w:t xml:space="preserve"> through the lens of Social Control Theory, particularly focusing on his poor social integration and lack of attachment to conventional institutions</w:t>
      </w:r>
      <w:r w:rsidR="00162EA8">
        <w:t xml:space="preserve"> (Wells et al., 2011)</w:t>
      </w:r>
      <w:r>
        <w:t>. Bundy's unstable upbringing, characterized by family instability and frequent relocations, likely contributed to his difficulties in forming lasting attachments and developing a sense of belonging</w:t>
      </w:r>
      <w:r w:rsidR="00162EA8">
        <w:t xml:space="preserve"> (Sastry, 2020)</w:t>
      </w:r>
      <w:r>
        <w:t>. As Bundy grew older, his struggles with relationships became more pronounced, with his romantic involvements often marked by manipulation and deceit. Furthermore, Bundy's unstable employment history added to his sense of alienation from society, as he lacked a stable career path or long-term employment commitments. This detachment from mainstream societal structures diminished Bundy's sense of responsibility and accountability, making him more susceptible to criminal behavio</w:t>
      </w:r>
      <w:r>
        <w:t>u</w:t>
      </w:r>
      <w:r>
        <w:t>r</w:t>
      </w:r>
      <w:r w:rsidR="00162EA8">
        <w:t xml:space="preserve"> (Costello et al., 2019)</w:t>
      </w:r>
      <w:r>
        <w:t>.</w:t>
      </w:r>
    </w:p>
    <w:p w14:paraId="7AC97D82" w14:textId="77777777" w:rsidR="00A47BF2" w:rsidRDefault="00A47BF2" w:rsidP="00162EA8">
      <w:pPr>
        <w:spacing w:line="360" w:lineRule="auto"/>
        <w:jc w:val="both"/>
      </w:pPr>
    </w:p>
    <w:p w14:paraId="358577AD" w14:textId="5EA53130" w:rsidR="00A47BF2" w:rsidRDefault="00A47BF2" w:rsidP="00162EA8">
      <w:pPr>
        <w:spacing w:line="360" w:lineRule="auto"/>
        <w:jc w:val="both"/>
      </w:pPr>
      <w:r>
        <w:t>Despite its strengths, Social Control Theory faces criticisms regarding its narrow focus on social bonds as the primary deterrent of criminal behavio</w:t>
      </w:r>
      <w:r>
        <w:t>u</w:t>
      </w:r>
      <w:r>
        <w:t xml:space="preserve">r. Critics argue that the theory overlooks broader societal factors such as socioeconomic conditions and structural inequalities, which may contribute to criminal </w:t>
      </w:r>
      <w:r>
        <w:t>behaviour</w:t>
      </w:r>
      <w:r>
        <w:t xml:space="preserve"> independent of social bonds</w:t>
      </w:r>
      <w:r w:rsidR="00162EA8">
        <w:t xml:space="preserve"> (Lacombe, 1996)</w:t>
      </w:r>
      <w:r>
        <w:t>. Additionally, the theory's reliance on traditional gender roles and cultural norms may lead to bias and exclusion, potentially overlooking the experiences of marginalized groups whose social bonds and opportunities for social integration are constrained by systemic inequalities</w:t>
      </w:r>
      <w:r w:rsidR="00162EA8">
        <w:t xml:space="preserve"> (Heimer, 1996).</w:t>
      </w:r>
    </w:p>
    <w:p w14:paraId="5C4CF6D2" w14:textId="77777777" w:rsidR="00A47BF2" w:rsidRDefault="00A47BF2" w:rsidP="00162EA8">
      <w:pPr>
        <w:spacing w:line="360" w:lineRule="auto"/>
        <w:jc w:val="both"/>
      </w:pPr>
    </w:p>
    <w:p w14:paraId="426B64BA" w14:textId="77777777" w:rsidR="00162EA8" w:rsidRDefault="00162EA8" w:rsidP="00162EA8">
      <w:pPr>
        <w:spacing w:line="360" w:lineRule="auto"/>
        <w:jc w:val="both"/>
      </w:pPr>
    </w:p>
    <w:p w14:paraId="1060B3DD" w14:textId="77777777" w:rsidR="00162EA8" w:rsidRDefault="00162EA8" w:rsidP="00162EA8">
      <w:pPr>
        <w:spacing w:line="360" w:lineRule="auto"/>
        <w:jc w:val="both"/>
      </w:pPr>
    </w:p>
    <w:p w14:paraId="17ABA2B3" w14:textId="77777777" w:rsidR="00162EA8" w:rsidRDefault="00162EA8" w:rsidP="00162EA8">
      <w:pPr>
        <w:spacing w:line="360" w:lineRule="auto"/>
        <w:jc w:val="both"/>
      </w:pPr>
    </w:p>
    <w:p w14:paraId="03F7E14B" w14:textId="77777777" w:rsidR="00162EA8" w:rsidRDefault="00162EA8" w:rsidP="00162EA8">
      <w:pPr>
        <w:spacing w:line="360" w:lineRule="auto"/>
        <w:jc w:val="both"/>
      </w:pPr>
    </w:p>
    <w:p w14:paraId="7E822083" w14:textId="77777777" w:rsidR="00162EA8" w:rsidRDefault="00162EA8" w:rsidP="00162EA8">
      <w:pPr>
        <w:spacing w:line="360" w:lineRule="auto"/>
        <w:jc w:val="both"/>
      </w:pPr>
    </w:p>
    <w:p w14:paraId="14D64D90" w14:textId="77777777" w:rsidR="00162EA8" w:rsidRDefault="00162EA8" w:rsidP="00162EA8">
      <w:pPr>
        <w:spacing w:line="360" w:lineRule="auto"/>
        <w:jc w:val="both"/>
      </w:pPr>
    </w:p>
    <w:p w14:paraId="15B9DABC" w14:textId="77777777" w:rsidR="00162EA8" w:rsidRDefault="00162EA8" w:rsidP="00162EA8">
      <w:pPr>
        <w:spacing w:line="360" w:lineRule="auto"/>
        <w:jc w:val="both"/>
      </w:pPr>
    </w:p>
    <w:p w14:paraId="74ED559A" w14:textId="77777777" w:rsidR="00162EA8" w:rsidRDefault="00162EA8" w:rsidP="00162EA8">
      <w:pPr>
        <w:spacing w:line="360" w:lineRule="auto"/>
        <w:jc w:val="both"/>
      </w:pPr>
    </w:p>
    <w:p w14:paraId="12D656A4" w14:textId="0B1977DE" w:rsidR="00A47BF2" w:rsidRDefault="00A47BF2" w:rsidP="00162EA8">
      <w:pPr>
        <w:spacing w:line="360" w:lineRule="auto"/>
        <w:jc w:val="both"/>
      </w:pPr>
      <w:r>
        <w:lastRenderedPageBreak/>
        <w:t>However, Social Control Theory offers valuable insights into Bundy's actions by highlighting the importance of strong social bonds in preventing criminal behavio</w:t>
      </w:r>
      <w:r>
        <w:t>u</w:t>
      </w:r>
      <w:r>
        <w:t>r</w:t>
      </w:r>
      <w:r w:rsidR="00162EA8">
        <w:t xml:space="preserve"> (Triplett et al., 2003)</w:t>
      </w:r>
      <w:r>
        <w:t>. By emphasizing individuals' attachments to family, friends, and community, the theory underscores the significance of social integration in shaping conformity to societal norms</w:t>
      </w:r>
      <w:r w:rsidR="00162EA8">
        <w:t xml:space="preserve"> (Triplett et al., 2003)</w:t>
      </w:r>
      <w:r>
        <w:t>. Additionally, Social Control Theory provides a comprehensive explanation for criminal behavio</w:t>
      </w:r>
      <w:r>
        <w:t>u</w:t>
      </w:r>
      <w:r>
        <w:t xml:space="preserve">r by considering multiple factors, including individual characteristics, social environments, and moral beliefs. This holistic approach enables a deeper understanding of the complexities inherent in criminal conduct, allowing for tailored interventions to address specific risk factors and protective factors relevant to different </w:t>
      </w:r>
      <w:r>
        <w:t>populations.</w:t>
      </w:r>
      <w:r w:rsidR="00162EA8">
        <w:t xml:space="preserve"> It is also supported by empirical evidence showing associations between weak social bonds and higher rates of delinquency and crime then enhancing the theory’s credibility (Cullen et al., 2017).</w:t>
      </w:r>
    </w:p>
    <w:p w14:paraId="77A7CBD2" w14:textId="77777777" w:rsidR="00162EA8" w:rsidRDefault="00162EA8" w:rsidP="00162EA8">
      <w:pPr>
        <w:spacing w:line="360" w:lineRule="auto"/>
        <w:jc w:val="both"/>
      </w:pPr>
    </w:p>
    <w:p w14:paraId="0209F25C" w14:textId="37933DA9" w:rsidR="00234CBD" w:rsidRDefault="00A47BF2" w:rsidP="00162EA8">
      <w:pPr>
        <w:spacing w:line="360" w:lineRule="auto"/>
        <w:jc w:val="both"/>
      </w:pPr>
      <w:r>
        <w:t>In conclusion, the General Strain Theory and Social Control Theory provide valuable frameworks for understanding the complexities of criminal behavio</w:t>
      </w:r>
      <w:r>
        <w:t>u</w:t>
      </w:r>
      <w:r>
        <w:t>r, as exemplified by the case of Ted Bundy. While G</w:t>
      </w:r>
      <w:r>
        <w:t xml:space="preserve">eneral </w:t>
      </w:r>
      <w:r>
        <w:t>S</w:t>
      </w:r>
      <w:r>
        <w:t xml:space="preserve">train </w:t>
      </w:r>
      <w:r>
        <w:t>T</w:t>
      </w:r>
      <w:r>
        <w:t>heory</w:t>
      </w:r>
      <w:r>
        <w:t xml:space="preserve"> highlights the role of strain and negative emotions in motivating criminal behavio</w:t>
      </w:r>
      <w:r>
        <w:t>u</w:t>
      </w:r>
      <w:r>
        <w:t>r, Social Control Theory emphasizes the importance of social bonds in deterring such behavio</w:t>
      </w:r>
      <w:r>
        <w:t>u</w:t>
      </w:r>
      <w:r>
        <w:t>r. By critically examining both theories and their application to Bundy's case, we gain a comprehensive understanding of the multifaceted factors contributing to criminality. Moving forward, continued research and refinement of these theories will enhance our understanding of criminal behavio</w:t>
      </w:r>
      <w:r>
        <w:t>u</w:t>
      </w:r>
      <w:r>
        <w:t>r and inform more effective strategies for prevention and intervention.</w:t>
      </w:r>
    </w:p>
    <w:p w14:paraId="33E5AEFF" w14:textId="77777777" w:rsidR="00A47BF2" w:rsidRDefault="00A47BF2" w:rsidP="00A47BF2"/>
    <w:p w14:paraId="1FB2C08C" w14:textId="77777777" w:rsidR="006D06BE" w:rsidRDefault="006D06BE" w:rsidP="00A47BF2"/>
    <w:p w14:paraId="12176159" w14:textId="77777777" w:rsidR="006D06BE" w:rsidRDefault="006D06BE" w:rsidP="00A47BF2"/>
    <w:p w14:paraId="2728C249" w14:textId="77777777" w:rsidR="006D06BE" w:rsidRDefault="006D06BE" w:rsidP="00A47BF2"/>
    <w:p w14:paraId="0E0999B4" w14:textId="77777777" w:rsidR="006D06BE" w:rsidRDefault="006D06BE" w:rsidP="00A47BF2"/>
    <w:p w14:paraId="1D72C0C6" w14:textId="77777777" w:rsidR="006D06BE" w:rsidRDefault="006D06BE" w:rsidP="00A47BF2"/>
    <w:p w14:paraId="5B5F5FD9" w14:textId="77777777" w:rsidR="006D06BE" w:rsidRDefault="006D06BE" w:rsidP="00A47BF2"/>
    <w:p w14:paraId="3FA2C942" w14:textId="77777777" w:rsidR="006D06BE" w:rsidRDefault="006D06BE" w:rsidP="00A47BF2"/>
    <w:p w14:paraId="6F4CD69D" w14:textId="77777777" w:rsidR="006D06BE" w:rsidRDefault="006D06BE" w:rsidP="00A47BF2"/>
    <w:p w14:paraId="260B3CB5" w14:textId="77777777" w:rsidR="006D06BE" w:rsidRDefault="006D06BE" w:rsidP="00A47BF2"/>
    <w:p w14:paraId="54EE3333" w14:textId="77777777" w:rsidR="006D06BE" w:rsidRDefault="006D06BE" w:rsidP="00A47BF2"/>
    <w:p w14:paraId="181548F9" w14:textId="77777777" w:rsidR="006D06BE" w:rsidRDefault="006D06BE" w:rsidP="00A47BF2"/>
    <w:p w14:paraId="407B4B7A" w14:textId="77777777" w:rsidR="006D06BE" w:rsidRDefault="006D06BE" w:rsidP="006D06BE">
      <w:pPr>
        <w:spacing w:after="240" w:line="540" w:lineRule="atLeast"/>
        <w:outlineLvl w:val="0"/>
      </w:pPr>
    </w:p>
    <w:p w14:paraId="410DDE64" w14:textId="1F1695BE" w:rsidR="006D06BE" w:rsidRPr="006D06BE" w:rsidRDefault="006D06BE" w:rsidP="006D06BE">
      <w:pPr>
        <w:spacing w:after="240" w:line="540" w:lineRule="atLeast"/>
        <w:outlineLvl w:val="0"/>
        <w:rPr>
          <w:rFonts w:ascii="Times New Roman" w:eastAsia="Times New Roman" w:hAnsi="Times New Roman" w:cs="Times New Roman"/>
          <w:b/>
          <w:bCs/>
          <w:color w:val="000000"/>
          <w:kern w:val="36"/>
          <w:sz w:val="36"/>
          <w:szCs w:val="36"/>
          <w:u w:val="single"/>
          <w:lang w:eastAsia="en-GB"/>
          <w14:ligatures w14:val="none"/>
        </w:rPr>
      </w:pPr>
      <w:r w:rsidRPr="006D06BE">
        <w:rPr>
          <w:rFonts w:ascii="Times New Roman" w:eastAsia="Times New Roman" w:hAnsi="Times New Roman" w:cs="Times New Roman"/>
          <w:b/>
          <w:bCs/>
          <w:color w:val="000000"/>
          <w:kern w:val="36"/>
          <w:sz w:val="36"/>
          <w:szCs w:val="36"/>
          <w:u w:val="single"/>
          <w:lang w:eastAsia="en-GB"/>
          <w14:ligatures w14:val="none"/>
        </w:rPr>
        <w:lastRenderedPageBreak/>
        <w:t>Reference list</w:t>
      </w:r>
    </w:p>
    <w:p w14:paraId="4C198622"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Agnew, R. (2001). Building on the Foundation of General Strain Theory: Specifying the Types of Strain Most Likely to Lead to Crime and Delinquency. </w:t>
      </w:r>
      <w:r w:rsidRPr="006D06BE">
        <w:rPr>
          <w:rFonts w:ascii="Times New Roman" w:eastAsia="Times New Roman" w:hAnsi="Times New Roman" w:cs="Times New Roman"/>
          <w:i/>
          <w:iCs/>
          <w:color w:val="000000"/>
          <w:kern w:val="0"/>
          <w:lang w:eastAsia="en-GB"/>
          <w14:ligatures w14:val="none"/>
        </w:rPr>
        <w:t>Journal of Research in Crime and Delinquency</w:t>
      </w:r>
      <w:r w:rsidRPr="006D06BE">
        <w:rPr>
          <w:rFonts w:ascii="Times New Roman" w:eastAsia="Times New Roman" w:hAnsi="Times New Roman" w:cs="Times New Roman"/>
          <w:color w:val="000000"/>
          <w:kern w:val="0"/>
          <w:lang w:eastAsia="en-GB"/>
          <w14:ligatures w14:val="none"/>
        </w:rPr>
        <w:t xml:space="preserve">, [online] 38(4), pp.319–361.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://doi.org/10.1177/0022427801038004001</w:t>
      </w:r>
      <w:proofErr w:type="gramEnd"/>
      <w:r w:rsidRPr="006D06BE">
        <w:rPr>
          <w:rFonts w:ascii="Times New Roman" w:eastAsia="Times New Roman" w:hAnsi="Times New Roman" w:cs="Times New Roman"/>
          <w:color w:val="000000"/>
          <w:kern w:val="0"/>
          <w:lang w:eastAsia="en-GB"/>
          <w14:ligatures w14:val="none"/>
        </w:rPr>
        <w:t>.</w:t>
      </w:r>
    </w:p>
    <w:p w14:paraId="0A3B9E19"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Aseltine, R.H., Gore, S. and Gordon, J. (2000). Life Stress, Anger and Anxiety, and Delinquency: An Empirical Test of General Strain Theory. </w:t>
      </w:r>
      <w:r w:rsidRPr="006D06BE">
        <w:rPr>
          <w:rFonts w:ascii="Times New Roman" w:eastAsia="Times New Roman" w:hAnsi="Times New Roman" w:cs="Times New Roman"/>
          <w:i/>
          <w:iCs/>
          <w:color w:val="000000"/>
          <w:kern w:val="0"/>
          <w:lang w:eastAsia="en-GB"/>
          <w14:ligatures w14:val="none"/>
        </w:rPr>
        <w:t xml:space="preserve">Journal of Health and Social </w:t>
      </w:r>
      <w:proofErr w:type="spellStart"/>
      <w:r w:rsidRPr="006D06BE">
        <w:rPr>
          <w:rFonts w:ascii="Times New Roman" w:eastAsia="Times New Roman" w:hAnsi="Times New Roman" w:cs="Times New Roman"/>
          <w:i/>
          <w:iCs/>
          <w:color w:val="000000"/>
          <w:kern w:val="0"/>
          <w:lang w:eastAsia="en-GB"/>
          <w14:ligatures w14:val="none"/>
        </w:rPr>
        <w:t>Behavior</w:t>
      </w:r>
      <w:proofErr w:type="spellEnd"/>
      <w:r w:rsidRPr="006D06BE">
        <w:rPr>
          <w:rFonts w:ascii="Times New Roman" w:eastAsia="Times New Roman" w:hAnsi="Times New Roman" w:cs="Times New Roman"/>
          <w:color w:val="000000"/>
          <w:kern w:val="0"/>
          <w:lang w:eastAsia="en-GB"/>
          <w14:ligatures w14:val="none"/>
        </w:rPr>
        <w:t xml:space="preserve">, [online] 41(3), p.256.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://doi.org/10.2307/2676320</w:t>
      </w:r>
      <w:proofErr w:type="gramEnd"/>
      <w:r w:rsidRPr="006D06BE">
        <w:rPr>
          <w:rFonts w:ascii="Times New Roman" w:eastAsia="Times New Roman" w:hAnsi="Times New Roman" w:cs="Times New Roman"/>
          <w:color w:val="000000"/>
          <w:kern w:val="0"/>
          <w:lang w:eastAsia="en-GB"/>
          <w14:ligatures w14:val="none"/>
        </w:rPr>
        <w:t>.</w:t>
      </w:r>
    </w:p>
    <w:p w14:paraId="2C2CCD18"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Barbieri, N., Clipper, S.J., </w:t>
      </w:r>
      <w:proofErr w:type="spellStart"/>
      <w:r w:rsidRPr="006D06BE">
        <w:rPr>
          <w:rFonts w:ascii="Times New Roman" w:eastAsia="Times New Roman" w:hAnsi="Times New Roman" w:cs="Times New Roman"/>
          <w:color w:val="000000"/>
          <w:kern w:val="0"/>
          <w:lang w:eastAsia="en-GB"/>
          <w14:ligatures w14:val="none"/>
        </w:rPr>
        <w:t>Narvey</w:t>
      </w:r>
      <w:proofErr w:type="spellEnd"/>
      <w:r w:rsidRPr="006D06BE">
        <w:rPr>
          <w:rFonts w:ascii="Times New Roman" w:eastAsia="Times New Roman" w:hAnsi="Times New Roman" w:cs="Times New Roman"/>
          <w:color w:val="000000"/>
          <w:kern w:val="0"/>
          <w:lang w:eastAsia="en-GB"/>
          <w14:ligatures w14:val="none"/>
        </w:rPr>
        <w:t>, C., Rude, A., Craig, J.M. and Piquero, N.L. (2019). Assessing general strain theory and measures of victimization, 2002–2018. </w:t>
      </w:r>
      <w:r w:rsidRPr="006D06BE">
        <w:rPr>
          <w:rFonts w:ascii="Times New Roman" w:eastAsia="Times New Roman" w:hAnsi="Times New Roman" w:cs="Times New Roman"/>
          <w:i/>
          <w:iCs/>
          <w:color w:val="000000"/>
          <w:kern w:val="0"/>
          <w:lang w:eastAsia="en-GB"/>
          <w14:ligatures w14:val="none"/>
        </w:rPr>
        <w:t xml:space="preserve">Aggression and Violent </w:t>
      </w:r>
      <w:proofErr w:type="spellStart"/>
      <w:r w:rsidRPr="006D06BE">
        <w:rPr>
          <w:rFonts w:ascii="Times New Roman" w:eastAsia="Times New Roman" w:hAnsi="Times New Roman" w:cs="Times New Roman"/>
          <w:i/>
          <w:iCs/>
          <w:color w:val="000000"/>
          <w:kern w:val="0"/>
          <w:lang w:eastAsia="en-GB"/>
          <w14:ligatures w14:val="none"/>
        </w:rPr>
        <w:t>Behavior</w:t>
      </w:r>
      <w:proofErr w:type="spellEnd"/>
      <w:r w:rsidRPr="006D06BE">
        <w:rPr>
          <w:rFonts w:ascii="Times New Roman" w:eastAsia="Times New Roman" w:hAnsi="Times New Roman" w:cs="Times New Roman"/>
          <w:color w:val="000000"/>
          <w:kern w:val="0"/>
          <w:lang w:eastAsia="en-GB"/>
          <w14:ligatures w14:val="none"/>
        </w:rPr>
        <w:t xml:space="preserve">, 49(49), p.101304.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://doi.org/10.1016/j.avb.2019.06.005</w:t>
      </w:r>
      <w:proofErr w:type="gramEnd"/>
      <w:r w:rsidRPr="006D06BE">
        <w:rPr>
          <w:rFonts w:ascii="Times New Roman" w:eastAsia="Times New Roman" w:hAnsi="Times New Roman" w:cs="Times New Roman"/>
          <w:color w:val="000000"/>
          <w:kern w:val="0"/>
          <w:lang w:eastAsia="en-GB"/>
          <w14:ligatures w14:val="none"/>
        </w:rPr>
        <w:t>.</w:t>
      </w:r>
    </w:p>
    <w:p w14:paraId="4DC4EB68"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Brezina, T. (2017). General Strain Theory. </w:t>
      </w:r>
      <w:r w:rsidRPr="006D06BE">
        <w:rPr>
          <w:rFonts w:ascii="Times New Roman" w:eastAsia="Times New Roman" w:hAnsi="Times New Roman" w:cs="Times New Roman"/>
          <w:i/>
          <w:iCs/>
          <w:color w:val="000000"/>
          <w:kern w:val="0"/>
          <w:lang w:eastAsia="en-GB"/>
          <w14:ligatures w14:val="none"/>
        </w:rPr>
        <w:t xml:space="preserve">Oxford Research </w:t>
      </w:r>
      <w:proofErr w:type="spellStart"/>
      <w:r w:rsidRPr="006D06BE">
        <w:rPr>
          <w:rFonts w:ascii="Times New Roman" w:eastAsia="Times New Roman" w:hAnsi="Times New Roman" w:cs="Times New Roman"/>
          <w:i/>
          <w:iCs/>
          <w:color w:val="000000"/>
          <w:kern w:val="0"/>
          <w:lang w:eastAsia="en-GB"/>
          <w14:ligatures w14:val="none"/>
        </w:rPr>
        <w:t>Encyclopedia</w:t>
      </w:r>
      <w:proofErr w:type="spellEnd"/>
      <w:r w:rsidRPr="006D06BE">
        <w:rPr>
          <w:rFonts w:ascii="Times New Roman" w:eastAsia="Times New Roman" w:hAnsi="Times New Roman" w:cs="Times New Roman"/>
          <w:i/>
          <w:iCs/>
          <w:color w:val="000000"/>
          <w:kern w:val="0"/>
          <w:lang w:eastAsia="en-GB"/>
          <w14:ligatures w14:val="none"/>
        </w:rPr>
        <w:t xml:space="preserve"> of Criminology and Criminal Justice</w:t>
      </w:r>
      <w:r w:rsidRPr="006D06BE">
        <w:rPr>
          <w:rFonts w:ascii="Times New Roman" w:eastAsia="Times New Roman" w:hAnsi="Times New Roman" w:cs="Times New Roman"/>
          <w:color w:val="000000"/>
          <w:kern w:val="0"/>
          <w:lang w:eastAsia="en-GB"/>
          <w14:ligatures w14:val="none"/>
        </w:rPr>
        <w:t xml:space="preserve">. [online]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://doi.org/10.1093/</w:t>
      </w:r>
      <w:proofErr w:type="spellStart"/>
      <w:r w:rsidRPr="006D06BE">
        <w:rPr>
          <w:rFonts w:ascii="Times New Roman" w:eastAsia="Times New Roman" w:hAnsi="Times New Roman" w:cs="Times New Roman"/>
          <w:color w:val="000000"/>
          <w:kern w:val="0"/>
          <w:lang w:eastAsia="en-GB"/>
          <w14:ligatures w14:val="none"/>
        </w:rPr>
        <w:t>acrefore</w:t>
      </w:r>
      <w:proofErr w:type="spellEnd"/>
      <w:r w:rsidRPr="006D06BE">
        <w:rPr>
          <w:rFonts w:ascii="Times New Roman" w:eastAsia="Times New Roman" w:hAnsi="Times New Roman" w:cs="Times New Roman"/>
          <w:color w:val="000000"/>
          <w:kern w:val="0"/>
          <w:lang w:eastAsia="en-GB"/>
          <w14:ligatures w14:val="none"/>
        </w:rPr>
        <w:t>/9780190264079.013.249</w:t>
      </w:r>
      <w:proofErr w:type="gramEnd"/>
      <w:r w:rsidRPr="006D06BE">
        <w:rPr>
          <w:rFonts w:ascii="Times New Roman" w:eastAsia="Times New Roman" w:hAnsi="Times New Roman" w:cs="Times New Roman"/>
          <w:color w:val="000000"/>
          <w:kern w:val="0"/>
          <w:lang w:eastAsia="en-GB"/>
          <w14:ligatures w14:val="none"/>
        </w:rPr>
        <w:t>.</w:t>
      </w:r>
    </w:p>
    <w:p w14:paraId="1687DEE2"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Broidy, L.M. (2001). A test of general strain theory. </w:t>
      </w:r>
      <w:r w:rsidRPr="006D06BE">
        <w:rPr>
          <w:rFonts w:ascii="Times New Roman" w:eastAsia="Times New Roman" w:hAnsi="Times New Roman" w:cs="Times New Roman"/>
          <w:i/>
          <w:iCs/>
          <w:color w:val="000000"/>
          <w:kern w:val="0"/>
          <w:lang w:eastAsia="en-GB"/>
          <w14:ligatures w14:val="none"/>
        </w:rPr>
        <w:t>Criminology</w:t>
      </w:r>
      <w:r w:rsidRPr="006D06BE">
        <w:rPr>
          <w:rFonts w:ascii="Times New Roman" w:eastAsia="Times New Roman" w:hAnsi="Times New Roman" w:cs="Times New Roman"/>
          <w:color w:val="000000"/>
          <w:kern w:val="0"/>
          <w:lang w:eastAsia="en-GB"/>
          <w14:ligatures w14:val="none"/>
        </w:rPr>
        <w:t xml:space="preserve">, 39(1), pp.9–36.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://doi.org/10.1111/j.1745-9125.2001.tb00915.x</w:t>
      </w:r>
      <w:proofErr w:type="gramEnd"/>
      <w:r w:rsidRPr="006D06BE">
        <w:rPr>
          <w:rFonts w:ascii="Times New Roman" w:eastAsia="Times New Roman" w:hAnsi="Times New Roman" w:cs="Times New Roman"/>
          <w:color w:val="000000"/>
          <w:kern w:val="0"/>
          <w:lang w:eastAsia="en-GB"/>
          <w14:ligatures w14:val="none"/>
        </w:rPr>
        <w:t>.</w:t>
      </w:r>
    </w:p>
    <w:p w14:paraId="757E3F5E"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Costello, B.J. and </w:t>
      </w:r>
      <w:proofErr w:type="spellStart"/>
      <w:r w:rsidRPr="006D06BE">
        <w:rPr>
          <w:rFonts w:ascii="Times New Roman" w:eastAsia="Times New Roman" w:hAnsi="Times New Roman" w:cs="Times New Roman"/>
          <w:color w:val="000000"/>
          <w:kern w:val="0"/>
          <w:lang w:eastAsia="en-GB"/>
          <w14:ligatures w14:val="none"/>
        </w:rPr>
        <w:t>Laub</w:t>
      </w:r>
      <w:proofErr w:type="spellEnd"/>
      <w:r w:rsidRPr="006D06BE">
        <w:rPr>
          <w:rFonts w:ascii="Times New Roman" w:eastAsia="Times New Roman" w:hAnsi="Times New Roman" w:cs="Times New Roman"/>
          <w:color w:val="000000"/>
          <w:kern w:val="0"/>
          <w:lang w:eastAsia="en-GB"/>
          <w14:ligatures w14:val="none"/>
        </w:rPr>
        <w:t>, J.H. (2019). Social Control Theory: The Legacy of Travis Hirschi’s Causes of Delinquency. </w:t>
      </w:r>
      <w:r w:rsidRPr="006D06BE">
        <w:rPr>
          <w:rFonts w:ascii="Times New Roman" w:eastAsia="Times New Roman" w:hAnsi="Times New Roman" w:cs="Times New Roman"/>
          <w:i/>
          <w:iCs/>
          <w:color w:val="000000"/>
          <w:kern w:val="0"/>
          <w:lang w:eastAsia="en-GB"/>
          <w14:ligatures w14:val="none"/>
        </w:rPr>
        <w:t>Annual Review of Criminology</w:t>
      </w:r>
      <w:r w:rsidRPr="006D06BE">
        <w:rPr>
          <w:rFonts w:ascii="Times New Roman" w:eastAsia="Times New Roman" w:hAnsi="Times New Roman" w:cs="Times New Roman"/>
          <w:color w:val="000000"/>
          <w:kern w:val="0"/>
          <w:lang w:eastAsia="en-GB"/>
          <w14:ligatures w14:val="none"/>
        </w:rPr>
        <w:t xml:space="preserve">, [online] 3(1), pp.21–41.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://doi.org/10.1146/annurev-criminol-011419-041527</w:t>
      </w:r>
      <w:proofErr w:type="gramEnd"/>
      <w:r w:rsidRPr="006D06BE">
        <w:rPr>
          <w:rFonts w:ascii="Times New Roman" w:eastAsia="Times New Roman" w:hAnsi="Times New Roman" w:cs="Times New Roman"/>
          <w:color w:val="000000"/>
          <w:kern w:val="0"/>
          <w:lang w:eastAsia="en-GB"/>
          <w14:ligatures w14:val="none"/>
        </w:rPr>
        <w:t>.</w:t>
      </w:r>
    </w:p>
    <w:p w14:paraId="0751ECFE" w14:textId="3585A869"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Cullen, F.T., Wilcox, P., </w:t>
      </w:r>
      <w:proofErr w:type="spellStart"/>
      <w:r w:rsidRPr="006D06BE">
        <w:rPr>
          <w:rFonts w:ascii="Times New Roman" w:eastAsia="Times New Roman" w:hAnsi="Times New Roman" w:cs="Times New Roman"/>
          <w:color w:val="000000"/>
          <w:kern w:val="0"/>
          <w:lang w:eastAsia="en-GB"/>
          <w14:ligatures w14:val="none"/>
        </w:rPr>
        <w:t>Samspon</w:t>
      </w:r>
      <w:proofErr w:type="spellEnd"/>
      <w:r w:rsidRPr="006D06BE">
        <w:rPr>
          <w:rFonts w:ascii="Times New Roman" w:eastAsia="Times New Roman" w:hAnsi="Times New Roman" w:cs="Times New Roman"/>
          <w:color w:val="000000"/>
          <w:kern w:val="0"/>
          <w:lang w:eastAsia="en-GB"/>
          <w14:ligatures w14:val="none"/>
        </w:rPr>
        <w:t>, R.J. and Dooley, B.D. (2017). </w:t>
      </w:r>
      <w:r w:rsidRPr="006D06BE">
        <w:rPr>
          <w:rFonts w:ascii="Times New Roman" w:eastAsia="Times New Roman" w:hAnsi="Times New Roman" w:cs="Times New Roman"/>
          <w:i/>
          <w:iCs/>
          <w:color w:val="000000"/>
          <w:kern w:val="0"/>
          <w:lang w:eastAsia="en-GB"/>
          <w14:ligatures w14:val="none"/>
        </w:rPr>
        <w:t xml:space="preserve">Challenging Criminological Theory: The Legacy of Ruth Rosner </w:t>
      </w:r>
      <w:proofErr w:type="spellStart"/>
      <w:r w:rsidRPr="006D06BE">
        <w:rPr>
          <w:rFonts w:ascii="Times New Roman" w:eastAsia="Times New Roman" w:hAnsi="Times New Roman" w:cs="Times New Roman"/>
          <w:i/>
          <w:iCs/>
          <w:color w:val="000000"/>
          <w:kern w:val="0"/>
          <w:lang w:eastAsia="en-GB"/>
          <w14:ligatures w14:val="none"/>
        </w:rPr>
        <w:t>Kornhauser</w:t>
      </w:r>
      <w:proofErr w:type="spellEnd"/>
      <w:r w:rsidRPr="006D06BE">
        <w:rPr>
          <w:rFonts w:ascii="Times New Roman" w:eastAsia="Times New Roman" w:hAnsi="Times New Roman" w:cs="Times New Roman"/>
          <w:color w:val="000000"/>
          <w:kern w:val="0"/>
          <w:lang w:eastAsia="en-GB"/>
          <w14:ligatures w14:val="none"/>
        </w:rPr>
        <w:t>. [online] </w:t>
      </w:r>
      <w:r w:rsidRPr="006D06BE">
        <w:rPr>
          <w:rFonts w:ascii="Times New Roman" w:eastAsia="Times New Roman" w:hAnsi="Times New Roman" w:cs="Times New Roman"/>
          <w:i/>
          <w:iCs/>
          <w:color w:val="000000"/>
          <w:kern w:val="0"/>
          <w:lang w:eastAsia="en-GB"/>
          <w14:ligatures w14:val="none"/>
        </w:rPr>
        <w:t>Google Books</w:t>
      </w:r>
      <w:r w:rsidRPr="006D06BE">
        <w:rPr>
          <w:rFonts w:ascii="Times New Roman" w:eastAsia="Times New Roman" w:hAnsi="Times New Roman" w:cs="Times New Roman"/>
          <w:color w:val="000000"/>
          <w:kern w:val="0"/>
          <w:lang w:eastAsia="en-GB"/>
          <w14:ligatures w14:val="none"/>
        </w:rPr>
        <w:t>. Routledge. Available at:</w:t>
      </w:r>
      <w:r>
        <w:rPr>
          <w:rFonts w:ascii="Times New Roman" w:eastAsia="Times New Roman" w:hAnsi="Times New Roman" w:cs="Times New Roman"/>
          <w:color w:val="000000"/>
          <w:kern w:val="0"/>
          <w:lang w:eastAsia="en-GB"/>
          <w14:ligatures w14:val="none"/>
        </w:rPr>
        <w:t xml:space="preserve"> </w:t>
      </w:r>
      <w:r w:rsidRPr="006D06BE">
        <w:rPr>
          <w:rFonts w:ascii="Times New Roman" w:eastAsia="Times New Roman" w:hAnsi="Times New Roman" w:cs="Times New Roman"/>
          <w:color w:val="000000"/>
          <w:kern w:val="0"/>
          <w:lang w:eastAsia="en-GB"/>
          <w14:ligatures w14:val="none"/>
        </w:rPr>
        <w:t>https://books.google.co.uk/books?hl=en&amp;lr=&amp;id=vFYPEAAAQBAJ&amp;oi=fnd&amp;pg=PA145&amp;dq=general+strain+theory+criticism&amp;ots=SMS6IMd2Y1&amp;sig=n7ZWGGkRYsdBjUyeMoL5u9KDy14&amp;redir_esc=y#v=onepage&amp;q=general%20strain%20theory%20criticism&amp;f=false [Accessed 26 Feb. 2024].</w:t>
      </w:r>
    </w:p>
    <w:p w14:paraId="6CFD78B4"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Heimer, K. (1996). Gender, Interaction, and Delinquency: Testing a Theory of Differential Social Control. </w:t>
      </w:r>
      <w:r w:rsidRPr="006D06BE">
        <w:rPr>
          <w:rFonts w:ascii="Times New Roman" w:eastAsia="Times New Roman" w:hAnsi="Times New Roman" w:cs="Times New Roman"/>
          <w:i/>
          <w:iCs/>
          <w:color w:val="000000"/>
          <w:kern w:val="0"/>
          <w:lang w:eastAsia="en-GB"/>
          <w14:ligatures w14:val="none"/>
        </w:rPr>
        <w:t>Social Psychology Quarterly</w:t>
      </w:r>
      <w:r w:rsidRPr="006D06BE">
        <w:rPr>
          <w:rFonts w:ascii="Times New Roman" w:eastAsia="Times New Roman" w:hAnsi="Times New Roman" w:cs="Times New Roman"/>
          <w:color w:val="000000"/>
          <w:kern w:val="0"/>
          <w:lang w:eastAsia="en-GB"/>
          <w14:ligatures w14:val="none"/>
        </w:rPr>
        <w:t xml:space="preserve">, 59(1), p.39.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://doi.org/10.2307/2787118</w:t>
      </w:r>
      <w:proofErr w:type="gramEnd"/>
      <w:r w:rsidRPr="006D06BE">
        <w:rPr>
          <w:rFonts w:ascii="Times New Roman" w:eastAsia="Times New Roman" w:hAnsi="Times New Roman" w:cs="Times New Roman"/>
          <w:color w:val="000000"/>
          <w:kern w:val="0"/>
          <w:lang w:eastAsia="en-GB"/>
          <w14:ligatures w14:val="none"/>
        </w:rPr>
        <w:t>.</w:t>
      </w:r>
    </w:p>
    <w:p w14:paraId="530C8694"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Hirschi, T. (1969). </w:t>
      </w:r>
      <w:r w:rsidRPr="006D06BE">
        <w:rPr>
          <w:rFonts w:ascii="Times New Roman" w:eastAsia="Times New Roman" w:hAnsi="Times New Roman" w:cs="Times New Roman"/>
          <w:i/>
          <w:iCs/>
          <w:color w:val="000000"/>
          <w:kern w:val="0"/>
          <w:lang w:eastAsia="en-GB"/>
          <w14:ligatures w14:val="none"/>
        </w:rPr>
        <w:t>Causes of Delinquency</w:t>
      </w:r>
      <w:r w:rsidRPr="006D06BE">
        <w:rPr>
          <w:rFonts w:ascii="Times New Roman" w:eastAsia="Times New Roman" w:hAnsi="Times New Roman" w:cs="Times New Roman"/>
          <w:color w:val="000000"/>
          <w:kern w:val="0"/>
          <w:lang w:eastAsia="en-GB"/>
          <w14:ligatures w14:val="none"/>
        </w:rPr>
        <w:t>. Routledge.</w:t>
      </w:r>
    </w:p>
    <w:p w14:paraId="2293B8E7"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Lacombe, D. (1996). Reforming Foucault: </w:t>
      </w:r>
      <w:proofErr w:type="gramStart"/>
      <w:r w:rsidRPr="006D06BE">
        <w:rPr>
          <w:rFonts w:ascii="Times New Roman" w:eastAsia="Times New Roman" w:hAnsi="Times New Roman" w:cs="Times New Roman"/>
          <w:color w:val="000000"/>
          <w:kern w:val="0"/>
          <w:lang w:eastAsia="en-GB"/>
          <w14:ligatures w14:val="none"/>
        </w:rPr>
        <w:t>a</w:t>
      </w:r>
      <w:proofErr w:type="gramEnd"/>
      <w:r w:rsidRPr="006D06BE">
        <w:rPr>
          <w:rFonts w:ascii="Times New Roman" w:eastAsia="Times New Roman" w:hAnsi="Times New Roman" w:cs="Times New Roman"/>
          <w:color w:val="000000"/>
          <w:kern w:val="0"/>
          <w:lang w:eastAsia="en-GB"/>
          <w14:ligatures w14:val="none"/>
        </w:rPr>
        <w:t xml:space="preserve"> Critique of the Social Control Thesis. </w:t>
      </w:r>
      <w:r w:rsidRPr="006D06BE">
        <w:rPr>
          <w:rFonts w:ascii="Times New Roman" w:eastAsia="Times New Roman" w:hAnsi="Times New Roman" w:cs="Times New Roman"/>
          <w:i/>
          <w:iCs/>
          <w:color w:val="000000"/>
          <w:kern w:val="0"/>
          <w:lang w:eastAsia="en-GB"/>
          <w14:ligatures w14:val="none"/>
        </w:rPr>
        <w:t>The British Journal of Sociology</w:t>
      </w:r>
      <w:r w:rsidRPr="006D06BE">
        <w:rPr>
          <w:rFonts w:ascii="Times New Roman" w:eastAsia="Times New Roman" w:hAnsi="Times New Roman" w:cs="Times New Roman"/>
          <w:color w:val="000000"/>
          <w:kern w:val="0"/>
          <w:lang w:eastAsia="en-GB"/>
          <w14:ligatures w14:val="none"/>
        </w:rPr>
        <w:t xml:space="preserve">, [online] 47(2), p.332.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://doi.org/10.2307/591730</w:t>
      </w:r>
      <w:proofErr w:type="gramEnd"/>
      <w:r w:rsidRPr="006D06BE">
        <w:rPr>
          <w:rFonts w:ascii="Times New Roman" w:eastAsia="Times New Roman" w:hAnsi="Times New Roman" w:cs="Times New Roman"/>
          <w:color w:val="000000"/>
          <w:kern w:val="0"/>
          <w:lang w:eastAsia="en-GB"/>
          <w14:ligatures w14:val="none"/>
        </w:rPr>
        <w:t>.</w:t>
      </w:r>
    </w:p>
    <w:p w14:paraId="1829474B"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lastRenderedPageBreak/>
        <w:t xml:space="preserve">Mazerolle, P., Burton, V.S., Cullen, F.T., Evans, </w:t>
      </w:r>
      <w:proofErr w:type="spellStart"/>
      <w:proofErr w:type="gramStart"/>
      <w:r w:rsidRPr="006D06BE">
        <w:rPr>
          <w:rFonts w:ascii="Times New Roman" w:eastAsia="Times New Roman" w:hAnsi="Times New Roman" w:cs="Times New Roman"/>
          <w:color w:val="000000"/>
          <w:kern w:val="0"/>
          <w:lang w:eastAsia="en-GB"/>
          <w14:ligatures w14:val="none"/>
        </w:rPr>
        <w:t>T.David</w:t>
      </w:r>
      <w:proofErr w:type="spellEnd"/>
      <w:proofErr w:type="gramEnd"/>
      <w:r w:rsidRPr="006D06BE">
        <w:rPr>
          <w:rFonts w:ascii="Times New Roman" w:eastAsia="Times New Roman" w:hAnsi="Times New Roman" w:cs="Times New Roman"/>
          <w:color w:val="000000"/>
          <w:kern w:val="0"/>
          <w:lang w:eastAsia="en-GB"/>
          <w14:ligatures w14:val="none"/>
        </w:rPr>
        <w:t>. and Payne, G.L. (2000). Strain, anger, and delinquent adaptations Specifying general strain theory. </w:t>
      </w:r>
      <w:r w:rsidRPr="006D06BE">
        <w:rPr>
          <w:rFonts w:ascii="Times New Roman" w:eastAsia="Times New Roman" w:hAnsi="Times New Roman" w:cs="Times New Roman"/>
          <w:i/>
          <w:iCs/>
          <w:color w:val="000000"/>
          <w:kern w:val="0"/>
          <w:lang w:eastAsia="en-GB"/>
          <w14:ligatures w14:val="none"/>
        </w:rPr>
        <w:t>Journal of Criminal Justice</w:t>
      </w:r>
      <w:r w:rsidRPr="006D06BE">
        <w:rPr>
          <w:rFonts w:ascii="Times New Roman" w:eastAsia="Times New Roman" w:hAnsi="Times New Roman" w:cs="Times New Roman"/>
          <w:color w:val="000000"/>
          <w:kern w:val="0"/>
          <w:lang w:eastAsia="en-GB"/>
          <w14:ligatures w14:val="none"/>
        </w:rPr>
        <w:t xml:space="preserve">, 28(2), pp.89–101.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://doi.org/10.1016/s0047-2352(99)00041-0</w:t>
      </w:r>
      <w:proofErr w:type="gramEnd"/>
      <w:r w:rsidRPr="006D06BE">
        <w:rPr>
          <w:rFonts w:ascii="Times New Roman" w:eastAsia="Times New Roman" w:hAnsi="Times New Roman" w:cs="Times New Roman"/>
          <w:color w:val="000000"/>
          <w:kern w:val="0"/>
          <w:lang w:eastAsia="en-GB"/>
          <w14:ligatures w14:val="none"/>
        </w:rPr>
        <w:t>.</w:t>
      </w:r>
    </w:p>
    <w:p w14:paraId="02A0C5C4"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Sastry, D.V.V.L.N. (2020). </w:t>
      </w:r>
      <w:r w:rsidRPr="006D06BE">
        <w:rPr>
          <w:rFonts w:ascii="Times New Roman" w:eastAsia="Times New Roman" w:hAnsi="Times New Roman" w:cs="Times New Roman"/>
          <w:i/>
          <w:iCs/>
          <w:color w:val="000000"/>
          <w:kern w:val="0"/>
          <w:lang w:eastAsia="en-GB"/>
          <w14:ligatures w14:val="none"/>
        </w:rPr>
        <w:t>Serial Killer Ted Bundy</w:t>
      </w:r>
      <w:r w:rsidRPr="006D06BE">
        <w:rPr>
          <w:rFonts w:ascii="Times New Roman" w:eastAsia="Times New Roman" w:hAnsi="Times New Roman" w:cs="Times New Roman"/>
          <w:color w:val="000000"/>
          <w:kern w:val="0"/>
          <w:lang w:eastAsia="en-GB"/>
          <w14:ligatures w14:val="none"/>
        </w:rPr>
        <w:t>. [online] </w:t>
      </w:r>
      <w:r w:rsidRPr="006D06BE">
        <w:rPr>
          <w:rFonts w:ascii="Times New Roman" w:eastAsia="Times New Roman" w:hAnsi="Times New Roman" w:cs="Times New Roman"/>
          <w:i/>
          <w:iCs/>
          <w:color w:val="000000"/>
          <w:kern w:val="0"/>
          <w:lang w:eastAsia="en-GB"/>
          <w14:ligatures w14:val="none"/>
        </w:rPr>
        <w:t>Google Books</w:t>
      </w:r>
      <w:r w:rsidRPr="006D06BE">
        <w:rPr>
          <w:rFonts w:ascii="Times New Roman" w:eastAsia="Times New Roman" w:hAnsi="Times New Roman" w:cs="Times New Roman"/>
          <w:color w:val="000000"/>
          <w:kern w:val="0"/>
          <w:lang w:eastAsia="en-GB"/>
          <w14:ligatures w14:val="none"/>
        </w:rPr>
        <w:t xml:space="preserve">. </w:t>
      </w:r>
      <w:proofErr w:type="spellStart"/>
      <w:r w:rsidRPr="006D06BE">
        <w:rPr>
          <w:rFonts w:ascii="Times New Roman" w:eastAsia="Times New Roman" w:hAnsi="Times New Roman" w:cs="Times New Roman"/>
          <w:color w:val="000000"/>
          <w:kern w:val="0"/>
          <w:lang w:eastAsia="en-GB"/>
          <w14:ligatures w14:val="none"/>
        </w:rPr>
        <w:t>Dr.</w:t>
      </w:r>
      <w:proofErr w:type="spellEnd"/>
      <w:r w:rsidRPr="006D06BE">
        <w:rPr>
          <w:rFonts w:ascii="Times New Roman" w:eastAsia="Times New Roman" w:hAnsi="Times New Roman" w:cs="Times New Roman"/>
          <w:color w:val="000000"/>
          <w:kern w:val="0"/>
          <w:lang w:eastAsia="en-GB"/>
          <w14:ligatures w14:val="none"/>
        </w:rPr>
        <w:t xml:space="preserve"> V.V.L.N. Sastry. Available at: https://books.google.co.uk/books?hl=en&amp;lr=&amp;id=n03sDwAAQBAJ&amp;oi=fnd&amp;pg=PP1&amp;dq=ted+bundy+life+&amp;ots=vJkH-qNdgd&amp;sig=B8dgA29dr-u9LHbQpuGHz_q_JXI&amp;redir_esc=y#v=onepage&amp;q=ted%20bundy%20life&amp;f=false [Accessed 15 Mar. 2024].</w:t>
      </w:r>
    </w:p>
    <w:p w14:paraId="6CCFA88C"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Triplett, R.A., Gainey, </w:t>
      </w:r>
      <w:proofErr w:type="gramStart"/>
      <w:r w:rsidRPr="006D06BE">
        <w:rPr>
          <w:rFonts w:ascii="Times New Roman" w:eastAsia="Times New Roman" w:hAnsi="Times New Roman" w:cs="Times New Roman"/>
          <w:color w:val="000000"/>
          <w:kern w:val="0"/>
          <w:lang w:eastAsia="en-GB"/>
          <w14:ligatures w14:val="none"/>
        </w:rPr>
        <w:t>R.R.</w:t>
      </w:r>
      <w:proofErr w:type="gramEnd"/>
      <w:r w:rsidRPr="006D06BE">
        <w:rPr>
          <w:rFonts w:ascii="Times New Roman" w:eastAsia="Times New Roman" w:hAnsi="Times New Roman" w:cs="Times New Roman"/>
          <w:color w:val="000000"/>
          <w:kern w:val="0"/>
          <w:lang w:eastAsia="en-GB"/>
          <w14:ligatures w14:val="none"/>
        </w:rPr>
        <w:t xml:space="preserve"> and Sun, I.Y. (2003). Institutional Strength, Social Control and </w:t>
      </w:r>
      <w:proofErr w:type="spellStart"/>
      <w:r w:rsidRPr="006D06BE">
        <w:rPr>
          <w:rFonts w:ascii="Times New Roman" w:eastAsia="Times New Roman" w:hAnsi="Times New Roman" w:cs="Times New Roman"/>
          <w:color w:val="000000"/>
          <w:kern w:val="0"/>
          <w:lang w:eastAsia="en-GB"/>
          <w14:ligatures w14:val="none"/>
        </w:rPr>
        <w:t>Neighborhood</w:t>
      </w:r>
      <w:proofErr w:type="spellEnd"/>
      <w:r w:rsidRPr="006D06BE">
        <w:rPr>
          <w:rFonts w:ascii="Times New Roman" w:eastAsia="Times New Roman" w:hAnsi="Times New Roman" w:cs="Times New Roman"/>
          <w:color w:val="000000"/>
          <w:kern w:val="0"/>
          <w:lang w:eastAsia="en-GB"/>
          <w14:ligatures w14:val="none"/>
        </w:rPr>
        <w:t xml:space="preserve"> Crime Rates. </w:t>
      </w:r>
      <w:r w:rsidRPr="006D06BE">
        <w:rPr>
          <w:rFonts w:ascii="Times New Roman" w:eastAsia="Times New Roman" w:hAnsi="Times New Roman" w:cs="Times New Roman"/>
          <w:i/>
          <w:iCs/>
          <w:color w:val="000000"/>
          <w:kern w:val="0"/>
          <w:lang w:eastAsia="en-GB"/>
          <w14:ligatures w14:val="none"/>
        </w:rPr>
        <w:t>Theoretical Criminology</w:t>
      </w:r>
      <w:r w:rsidRPr="006D06BE">
        <w:rPr>
          <w:rFonts w:ascii="Times New Roman" w:eastAsia="Times New Roman" w:hAnsi="Times New Roman" w:cs="Times New Roman"/>
          <w:color w:val="000000"/>
          <w:kern w:val="0"/>
          <w:lang w:eastAsia="en-GB"/>
          <w14:ligatures w14:val="none"/>
        </w:rPr>
        <w:t xml:space="preserve">, 7(4), pp.439–467. </w:t>
      </w:r>
      <w:proofErr w:type="spellStart"/>
      <w:proofErr w:type="gramStart"/>
      <w:r w:rsidRPr="006D06BE">
        <w:rPr>
          <w:rFonts w:ascii="Times New Roman" w:eastAsia="Times New Roman" w:hAnsi="Times New Roman" w:cs="Times New Roman"/>
          <w:color w:val="000000"/>
          <w:kern w:val="0"/>
          <w:lang w:eastAsia="en-GB"/>
          <w14:ligatures w14:val="none"/>
        </w:rPr>
        <w:t>doi:https</w:t>
      </w:r>
      <w:proofErr w:type="spellEnd"/>
      <w:r w:rsidRPr="006D06BE">
        <w:rPr>
          <w:rFonts w:ascii="Times New Roman" w:eastAsia="Times New Roman" w:hAnsi="Times New Roman" w:cs="Times New Roman"/>
          <w:color w:val="000000"/>
          <w:kern w:val="0"/>
          <w:lang w:eastAsia="en-GB"/>
          <w14:ligatures w14:val="none"/>
        </w:rPr>
        <w:t>://doi.org/10.1177/13624806030074003</w:t>
      </w:r>
      <w:proofErr w:type="gramEnd"/>
      <w:r w:rsidRPr="006D06BE">
        <w:rPr>
          <w:rFonts w:ascii="Times New Roman" w:eastAsia="Times New Roman" w:hAnsi="Times New Roman" w:cs="Times New Roman"/>
          <w:color w:val="000000"/>
          <w:kern w:val="0"/>
          <w:lang w:eastAsia="en-GB"/>
          <w14:ligatures w14:val="none"/>
        </w:rPr>
        <w:t>.</w:t>
      </w:r>
    </w:p>
    <w:p w14:paraId="7581F37A" w14:textId="77777777" w:rsidR="006D06BE" w:rsidRPr="006D06BE" w:rsidRDefault="006D06BE" w:rsidP="006D06BE">
      <w:pPr>
        <w:spacing w:after="240" w:line="360" w:lineRule="atLeast"/>
        <w:rPr>
          <w:rFonts w:ascii="Times New Roman" w:eastAsia="Times New Roman" w:hAnsi="Times New Roman" w:cs="Times New Roman"/>
          <w:color w:val="000000"/>
          <w:kern w:val="0"/>
          <w:lang w:eastAsia="en-GB"/>
          <w14:ligatures w14:val="none"/>
        </w:rPr>
      </w:pPr>
      <w:r w:rsidRPr="006D06BE">
        <w:rPr>
          <w:rFonts w:ascii="Times New Roman" w:eastAsia="Times New Roman" w:hAnsi="Times New Roman" w:cs="Times New Roman"/>
          <w:color w:val="000000"/>
          <w:kern w:val="0"/>
          <w:lang w:eastAsia="en-GB"/>
          <w14:ligatures w14:val="none"/>
        </w:rPr>
        <w:t xml:space="preserve">Wells, </w:t>
      </w:r>
      <w:proofErr w:type="spellStart"/>
      <w:proofErr w:type="gramStart"/>
      <w:r w:rsidRPr="006D06BE">
        <w:rPr>
          <w:rFonts w:ascii="Times New Roman" w:eastAsia="Times New Roman" w:hAnsi="Times New Roman" w:cs="Times New Roman"/>
          <w:color w:val="000000"/>
          <w:kern w:val="0"/>
          <w:lang w:eastAsia="en-GB"/>
          <w14:ligatures w14:val="none"/>
        </w:rPr>
        <w:t>L.Edward</w:t>
      </w:r>
      <w:proofErr w:type="spellEnd"/>
      <w:proofErr w:type="gramEnd"/>
      <w:r w:rsidRPr="006D06BE">
        <w:rPr>
          <w:rFonts w:ascii="Times New Roman" w:eastAsia="Times New Roman" w:hAnsi="Times New Roman" w:cs="Times New Roman"/>
          <w:color w:val="000000"/>
          <w:kern w:val="0"/>
          <w:lang w:eastAsia="en-GB"/>
          <w14:ligatures w14:val="none"/>
        </w:rPr>
        <w:t>., Rankin, J.H. and Henry, S. (2011). </w:t>
      </w:r>
      <w:r w:rsidRPr="006D06BE">
        <w:rPr>
          <w:rFonts w:ascii="Times New Roman" w:eastAsia="Times New Roman" w:hAnsi="Times New Roman" w:cs="Times New Roman"/>
          <w:i/>
          <w:iCs/>
          <w:color w:val="000000"/>
          <w:kern w:val="0"/>
          <w:lang w:eastAsia="en-GB"/>
          <w14:ligatures w14:val="none"/>
        </w:rPr>
        <w:t>Social Control and Self-Control Theories of Crime and Deviance</w:t>
      </w:r>
      <w:r w:rsidRPr="006D06BE">
        <w:rPr>
          <w:rFonts w:ascii="Times New Roman" w:eastAsia="Times New Roman" w:hAnsi="Times New Roman" w:cs="Times New Roman"/>
          <w:color w:val="000000"/>
          <w:kern w:val="0"/>
          <w:lang w:eastAsia="en-GB"/>
          <w14:ligatures w14:val="none"/>
        </w:rPr>
        <w:t>. Brookfield: Taylor and Francis.</w:t>
      </w:r>
    </w:p>
    <w:p w14:paraId="757BF8F6" w14:textId="77777777" w:rsidR="006D06BE" w:rsidRDefault="006D06BE" w:rsidP="00A47BF2"/>
    <w:sectPr w:rsidR="006D06BE" w:rsidSect="00AB29A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39C0F" w14:textId="77777777" w:rsidR="00AB29A2" w:rsidRDefault="00AB29A2" w:rsidP="00A47BF2">
      <w:r>
        <w:separator/>
      </w:r>
    </w:p>
  </w:endnote>
  <w:endnote w:type="continuationSeparator" w:id="0">
    <w:p w14:paraId="525267F7" w14:textId="77777777" w:rsidR="00AB29A2" w:rsidRDefault="00AB29A2" w:rsidP="00A47B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3837C" w14:textId="77777777" w:rsidR="00AB29A2" w:rsidRDefault="00AB29A2" w:rsidP="00A47BF2">
      <w:r>
        <w:separator/>
      </w:r>
    </w:p>
  </w:footnote>
  <w:footnote w:type="continuationSeparator" w:id="0">
    <w:p w14:paraId="02AE374A" w14:textId="77777777" w:rsidR="00AB29A2" w:rsidRDefault="00AB29A2" w:rsidP="00A47B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BF2"/>
    <w:rsid w:val="00003009"/>
    <w:rsid w:val="00162EA8"/>
    <w:rsid w:val="00234CBD"/>
    <w:rsid w:val="002F4234"/>
    <w:rsid w:val="003633CB"/>
    <w:rsid w:val="006D06BE"/>
    <w:rsid w:val="00A47BF2"/>
    <w:rsid w:val="00AB29A2"/>
    <w:rsid w:val="00F21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ECA6E"/>
  <w15:chartTrackingRefBased/>
  <w15:docId w15:val="{75679F2A-AE54-D645-9436-1CC3EB631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BF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BF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BF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BF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BF2"/>
    <w:rPr>
      <w:rFonts w:eastAsiaTheme="majorEastAsia" w:cstheme="majorBidi"/>
      <w:color w:val="272727" w:themeColor="text1" w:themeTint="D8"/>
    </w:rPr>
  </w:style>
  <w:style w:type="paragraph" w:styleId="Title">
    <w:name w:val="Title"/>
    <w:basedOn w:val="Normal"/>
    <w:next w:val="Normal"/>
    <w:link w:val="TitleChar"/>
    <w:uiPriority w:val="10"/>
    <w:qFormat/>
    <w:rsid w:val="00A47BF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BF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B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7BF2"/>
    <w:rPr>
      <w:i/>
      <w:iCs/>
      <w:color w:val="404040" w:themeColor="text1" w:themeTint="BF"/>
    </w:rPr>
  </w:style>
  <w:style w:type="paragraph" w:styleId="ListParagraph">
    <w:name w:val="List Paragraph"/>
    <w:basedOn w:val="Normal"/>
    <w:uiPriority w:val="34"/>
    <w:qFormat/>
    <w:rsid w:val="00A47BF2"/>
    <w:pPr>
      <w:ind w:left="720"/>
      <w:contextualSpacing/>
    </w:pPr>
  </w:style>
  <w:style w:type="character" w:styleId="IntenseEmphasis">
    <w:name w:val="Intense Emphasis"/>
    <w:basedOn w:val="DefaultParagraphFont"/>
    <w:uiPriority w:val="21"/>
    <w:qFormat/>
    <w:rsid w:val="00A47BF2"/>
    <w:rPr>
      <w:i/>
      <w:iCs/>
      <w:color w:val="0F4761" w:themeColor="accent1" w:themeShade="BF"/>
    </w:rPr>
  </w:style>
  <w:style w:type="paragraph" w:styleId="IntenseQuote">
    <w:name w:val="Intense Quote"/>
    <w:basedOn w:val="Normal"/>
    <w:next w:val="Normal"/>
    <w:link w:val="IntenseQuoteChar"/>
    <w:uiPriority w:val="30"/>
    <w:qFormat/>
    <w:rsid w:val="00A47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BF2"/>
    <w:rPr>
      <w:i/>
      <w:iCs/>
      <w:color w:val="0F4761" w:themeColor="accent1" w:themeShade="BF"/>
    </w:rPr>
  </w:style>
  <w:style w:type="character" w:styleId="IntenseReference">
    <w:name w:val="Intense Reference"/>
    <w:basedOn w:val="DefaultParagraphFont"/>
    <w:uiPriority w:val="32"/>
    <w:qFormat/>
    <w:rsid w:val="00A47BF2"/>
    <w:rPr>
      <w:b/>
      <w:bCs/>
      <w:smallCaps/>
      <w:color w:val="0F4761" w:themeColor="accent1" w:themeShade="BF"/>
      <w:spacing w:val="5"/>
    </w:rPr>
  </w:style>
  <w:style w:type="paragraph" w:styleId="NoSpacing">
    <w:name w:val="No Spacing"/>
    <w:link w:val="NoSpacingChar"/>
    <w:uiPriority w:val="1"/>
    <w:qFormat/>
    <w:rsid w:val="00A47BF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47BF2"/>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A47BF2"/>
    <w:pPr>
      <w:tabs>
        <w:tab w:val="center" w:pos="4513"/>
        <w:tab w:val="right" w:pos="9026"/>
      </w:tabs>
    </w:pPr>
  </w:style>
  <w:style w:type="character" w:customStyle="1" w:styleId="HeaderChar">
    <w:name w:val="Header Char"/>
    <w:basedOn w:val="DefaultParagraphFont"/>
    <w:link w:val="Header"/>
    <w:uiPriority w:val="99"/>
    <w:rsid w:val="00A47BF2"/>
  </w:style>
  <w:style w:type="paragraph" w:styleId="Footer">
    <w:name w:val="footer"/>
    <w:basedOn w:val="Normal"/>
    <w:link w:val="FooterChar"/>
    <w:uiPriority w:val="99"/>
    <w:unhideWhenUsed/>
    <w:rsid w:val="00A47BF2"/>
    <w:pPr>
      <w:tabs>
        <w:tab w:val="center" w:pos="4513"/>
        <w:tab w:val="right" w:pos="9026"/>
      </w:tabs>
    </w:pPr>
  </w:style>
  <w:style w:type="character" w:customStyle="1" w:styleId="FooterChar">
    <w:name w:val="Footer Char"/>
    <w:basedOn w:val="DefaultParagraphFont"/>
    <w:link w:val="Footer"/>
    <w:uiPriority w:val="99"/>
    <w:rsid w:val="00A47BF2"/>
  </w:style>
  <w:style w:type="paragraph" w:styleId="NormalWeb">
    <w:name w:val="Normal (Web)"/>
    <w:basedOn w:val="Normal"/>
    <w:uiPriority w:val="99"/>
    <w:semiHidden/>
    <w:unhideWhenUsed/>
    <w:rsid w:val="006D06B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D0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1827191">
      <w:bodyDiv w:val="1"/>
      <w:marLeft w:val="0"/>
      <w:marRight w:val="0"/>
      <w:marTop w:val="0"/>
      <w:marBottom w:val="0"/>
      <w:divBdr>
        <w:top w:val="none" w:sz="0" w:space="0" w:color="auto"/>
        <w:left w:val="none" w:sz="0" w:space="0" w:color="auto"/>
        <w:bottom w:val="none" w:sz="0" w:space="0" w:color="auto"/>
        <w:right w:val="none" w:sz="0" w:space="0" w:color="auto"/>
      </w:divBdr>
      <w:divsChild>
        <w:div w:id="20699569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7</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Criminal Behavior: A Comparative Analysis of General Strain Theory and Social Control Theory</dc:title>
  <dc:subject>Kimberley Collins: 2223837</dc:subject>
  <dc:creator>Kimberley Collins (2223837)</dc:creator>
  <cp:keywords/>
  <dc:description/>
  <cp:lastModifiedBy>Kimberley Collins (2223837)</cp:lastModifiedBy>
  <cp:revision>2</cp:revision>
  <dcterms:created xsi:type="dcterms:W3CDTF">2024-03-15T20:27:00Z</dcterms:created>
  <dcterms:modified xsi:type="dcterms:W3CDTF">2024-03-15T21:05:00Z</dcterms:modified>
</cp:coreProperties>
</file>