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3B687" w14:textId="77777777" w:rsidR="00F96AC9" w:rsidRPr="00F12D53" w:rsidRDefault="00F96AC9" w:rsidP="00F96AC9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F12D53">
        <w:rPr>
          <w:rFonts w:ascii="Arial" w:hAnsi="Arial" w:cs="Arial"/>
          <w:b/>
          <w:bCs/>
          <w:i/>
          <w:iCs/>
        </w:rPr>
        <w:t>Main Arguments (Evidence-Based)</w:t>
      </w:r>
    </w:p>
    <w:p w14:paraId="79C97F5E" w14:textId="443CCC73" w:rsidR="00F96AC9" w:rsidRPr="00F12D53" w:rsidRDefault="00F96AC9" w:rsidP="00F96AC9">
      <w:pPr>
        <w:spacing w:line="360" w:lineRule="auto"/>
        <w:rPr>
          <w:rFonts w:ascii="Arial" w:hAnsi="Arial" w:cs="Arial"/>
          <w:color w:val="4472C4" w:themeColor="accent1"/>
        </w:rPr>
      </w:pPr>
      <w:r w:rsidRPr="00F12D53">
        <w:rPr>
          <w:rFonts w:ascii="Arial" w:hAnsi="Arial" w:cs="Arial"/>
          <w:color w:val="4472C4" w:themeColor="accent1"/>
        </w:rPr>
        <w:t>Digital Exclusion and Technological Barriers</w:t>
      </w:r>
    </w:p>
    <w:p w14:paraId="42282605" w14:textId="77777777" w:rsidR="00F96AC9" w:rsidRPr="00F96AC9" w:rsidRDefault="00F96AC9" w:rsidP="00F96AC9">
      <w:pPr>
        <w:spacing w:line="360" w:lineRule="auto"/>
        <w:rPr>
          <w:rFonts w:ascii="Arial" w:hAnsi="Arial" w:cs="Arial"/>
        </w:rPr>
      </w:pPr>
      <w:r w:rsidRPr="00F96AC9">
        <w:rPr>
          <w:rFonts w:ascii="Arial" w:hAnsi="Arial" w:cs="Arial"/>
        </w:rPr>
        <w:t>• Low digital literacy among older adults</w:t>
      </w:r>
    </w:p>
    <w:p w14:paraId="194764D0" w14:textId="77777777" w:rsidR="00F96AC9" w:rsidRPr="00F96AC9" w:rsidRDefault="00F96AC9" w:rsidP="00F96AC9">
      <w:pPr>
        <w:spacing w:line="360" w:lineRule="auto"/>
        <w:rPr>
          <w:rFonts w:ascii="Arial" w:hAnsi="Arial" w:cs="Arial"/>
        </w:rPr>
      </w:pPr>
      <w:r w:rsidRPr="00F96AC9">
        <w:rPr>
          <w:rFonts w:ascii="Arial" w:hAnsi="Arial" w:cs="Arial"/>
        </w:rPr>
        <w:t>• Limited access to the internet or digital devices</w:t>
      </w:r>
    </w:p>
    <w:p w14:paraId="62F32E9E" w14:textId="77777777" w:rsidR="00F96AC9" w:rsidRPr="00F96AC9" w:rsidRDefault="00F96AC9" w:rsidP="00F96AC9">
      <w:pPr>
        <w:spacing w:line="360" w:lineRule="auto"/>
        <w:rPr>
          <w:rFonts w:ascii="Arial" w:hAnsi="Arial" w:cs="Arial"/>
        </w:rPr>
      </w:pPr>
      <w:r w:rsidRPr="00F96AC9">
        <w:rPr>
          <w:rFonts w:ascii="Arial" w:hAnsi="Arial" w:cs="Arial"/>
        </w:rPr>
        <w:t>• Socioeconomic and rural disparities in technology access</w:t>
      </w:r>
    </w:p>
    <w:p w14:paraId="26503FF0" w14:textId="77777777" w:rsidR="00F96AC9" w:rsidRPr="00F96AC9" w:rsidRDefault="00F96AC9" w:rsidP="00F96AC9">
      <w:pPr>
        <w:spacing w:line="360" w:lineRule="auto"/>
        <w:rPr>
          <w:rFonts w:ascii="Arial" w:hAnsi="Arial" w:cs="Arial"/>
        </w:rPr>
      </w:pPr>
      <w:r w:rsidRPr="00F96AC9">
        <w:rPr>
          <w:rFonts w:ascii="Arial" w:hAnsi="Arial" w:cs="Arial"/>
        </w:rPr>
        <w:t>• Difficulty navigating complex digital platforms</w:t>
      </w:r>
    </w:p>
    <w:p w14:paraId="645C9D48" w14:textId="47EC5A68" w:rsidR="001F1B72" w:rsidRDefault="00F96AC9" w:rsidP="00F96AC9">
      <w:pPr>
        <w:spacing w:line="360" w:lineRule="auto"/>
        <w:rPr>
          <w:rFonts w:ascii="Arial" w:hAnsi="Arial" w:cs="Arial"/>
        </w:rPr>
      </w:pPr>
      <w:r w:rsidRPr="00F96AC9">
        <w:rPr>
          <w:rFonts w:ascii="Arial" w:hAnsi="Arial" w:cs="Arial"/>
        </w:rPr>
        <w:t>Although digital tools are touted as being universally accessible, there are numerous challenges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to their usage among older adults (Kebede et al., 2022). Chapman (2025) points out that a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significant percentage of individuals who are above 65 years are digitally illiterate and do not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trust or understand how to use mental health apps or online platforms. Moreover, the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socioeconomic disparities imply that older adults in families with low incomes or in rural areas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tend to have a poor internet connection or unreliable devices (Chan et al., 2023; Lu et al., 2024).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All these inhibit the scope of digital interventions, so the most remote or least robust people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might be disengaged by the very assistance that they are intended to offer. Thus, the alleged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increase in accessibility may be exaggerated, especially when one contrasts these with face-to-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face community interventions that are not technologically-based.</w:t>
      </w:r>
    </w:p>
    <w:p w14:paraId="670CB85B" w14:textId="77777777" w:rsidR="00F96AC9" w:rsidRPr="00F12D53" w:rsidRDefault="00F96AC9" w:rsidP="00F96AC9">
      <w:pPr>
        <w:spacing w:line="360" w:lineRule="auto"/>
        <w:rPr>
          <w:rFonts w:ascii="Arial" w:hAnsi="Arial" w:cs="Arial"/>
          <w:color w:val="4472C4" w:themeColor="accent1"/>
        </w:rPr>
      </w:pPr>
      <w:r w:rsidRPr="00F12D53">
        <w:rPr>
          <w:rFonts w:ascii="Arial" w:hAnsi="Arial" w:cs="Arial"/>
          <w:color w:val="4472C4" w:themeColor="accent1"/>
        </w:rPr>
        <w:t>Limited Evidence of Psychological Benefit</w:t>
      </w:r>
    </w:p>
    <w:p w14:paraId="6E096CF2" w14:textId="77777777" w:rsidR="00F96AC9" w:rsidRPr="00F96AC9" w:rsidRDefault="00F96AC9" w:rsidP="00F96AC9">
      <w:pPr>
        <w:spacing w:line="360" w:lineRule="auto"/>
        <w:rPr>
          <w:rFonts w:ascii="Arial" w:hAnsi="Arial" w:cs="Arial"/>
        </w:rPr>
      </w:pPr>
      <w:r w:rsidRPr="00F96AC9">
        <w:rPr>
          <w:rFonts w:ascii="Arial" w:hAnsi="Arial" w:cs="Arial"/>
        </w:rPr>
        <w:t>• Short-term or modest improvements in loneliness</w:t>
      </w:r>
    </w:p>
    <w:p w14:paraId="7AA583B6" w14:textId="77777777" w:rsidR="00F96AC9" w:rsidRPr="00F96AC9" w:rsidRDefault="00F96AC9" w:rsidP="00F96AC9">
      <w:pPr>
        <w:spacing w:line="360" w:lineRule="auto"/>
        <w:rPr>
          <w:rFonts w:ascii="Arial" w:hAnsi="Arial" w:cs="Arial"/>
        </w:rPr>
      </w:pPr>
      <w:r w:rsidRPr="00F96AC9">
        <w:rPr>
          <w:rFonts w:ascii="Arial" w:hAnsi="Arial" w:cs="Arial"/>
        </w:rPr>
        <w:t>• Limited long-term effectiveness of internet-based CBT</w:t>
      </w:r>
    </w:p>
    <w:p w14:paraId="3ABACA70" w14:textId="77777777" w:rsidR="00F96AC9" w:rsidRPr="00F96AC9" w:rsidRDefault="00F96AC9" w:rsidP="00F96AC9">
      <w:pPr>
        <w:spacing w:line="360" w:lineRule="auto"/>
        <w:rPr>
          <w:rFonts w:ascii="Arial" w:hAnsi="Arial" w:cs="Arial"/>
        </w:rPr>
      </w:pPr>
      <w:r w:rsidRPr="00F96AC9">
        <w:rPr>
          <w:rFonts w:ascii="Arial" w:hAnsi="Arial" w:cs="Arial"/>
        </w:rPr>
        <w:t>• Superficial online interactions lacking emotional depth</w:t>
      </w:r>
    </w:p>
    <w:p w14:paraId="2AF50521" w14:textId="77777777" w:rsidR="00F96AC9" w:rsidRDefault="00F96AC9" w:rsidP="00F96AC9">
      <w:pPr>
        <w:spacing w:line="360" w:lineRule="auto"/>
        <w:rPr>
          <w:rFonts w:ascii="Arial" w:hAnsi="Arial" w:cs="Arial"/>
        </w:rPr>
      </w:pPr>
      <w:r w:rsidRPr="00F96AC9">
        <w:rPr>
          <w:rFonts w:ascii="Arial" w:hAnsi="Arial" w:cs="Arial"/>
        </w:rPr>
        <w:t>• Online peer-support forums inconsistently reduce loneliness</w:t>
      </w:r>
    </w:p>
    <w:p w14:paraId="125FC5EF" w14:textId="77777777" w:rsidR="00F96AC9" w:rsidRPr="00F96AC9" w:rsidRDefault="00F96AC9" w:rsidP="00F96AC9">
      <w:pPr>
        <w:spacing w:line="360" w:lineRule="auto"/>
        <w:rPr>
          <w:rFonts w:ascii="Arial" w:hAnsi="Arial" w:cs="Arial"/>
        </w:rPr>
      </w:pPr>
    </w:p>
    <w:p w14:paraId="4CE8C08D" w14:textId="387DEF22" w:rsidR="00F96AC9" w:rsidRDefault="00F96AC9" w:rsidP="00F96AC9">
      <w:pPr>
        <w:spacing w:line="360" w:lineRule="auto"/>
        <w:rPr>
          <w:rFonts w:ascii="Arial" w:hAnsi="Arial" w:cs="Arial"/>
        </w:rPr>
      </w:pPr>
      <w:r w:rsidRPr="00F96AC9">
        <w:rPr>
          <w:rFonts w:ascii="Arial" w:hAnsi="Arial" w:cs="Arial"/>
        </w:rPr>
        <w:t>The lowering of loneliness effect in older adults with digital mental health tools is still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inconclusive. Although short-term effects have been found to be beneficial in some studies,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meta-analyses suggest that the effects are usually insignificant and also not long-term (Gasana et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al., 2023; Almugla and Shekhar, 2025). Internet-delivered CBT has a promising role in certain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symptoms of depression, whereas social and relational aspects of being lonely might not be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touched upon, and face-to-face interaction has a powerful effect on loneliness (Vizza et al., 2025;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Cardona and Andrés, 2023). Moreover, the level of peer support in online interventions is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 xml:space="preserve">diverse, and flat internet communication may not produce any substantial </w:t>
      </w:r>
      <w:r w:rsidRPr="00F96AC9">
        <w:rPr>
          <w:rFonts w:ascii="Arial" w:hAnsi="Arial" w:cs="Arial"/>
        </w:rPr>
        <w:lastRenderedPageBreak/>
        <w:t>emotional bond (Yuan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et al., 2025; Anser et al., 2025). In this way, overreliance on digital tools might create an illusion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of efficiency and leave out the efforts that lead to creating social bonds in the real world.</w:t>
      </w:r>
    </w:p>
    <w:p w14:paraId="7FEE3A53" w14:textId="77777777" w:rsidR="00F96AC9" w:rsidRDefault="00F96AC9" w:rsidP="00F96AC9">
      <w:pPr>
        <w:spacing w:line="360" w:lineRule="auto"/>
        <w:rPr>
          <w:rFonts w:ascii="Arial" w:hAnsi="Arial" w:cs="Arial"/>
        </w:rPr>
      </w:pPr>
    </w:p>
    <w:p w14:paraId="6F4037E8" w14:textId="77777777" w:rsidR="00F96AC9" w:rsidRPr="00F96AC9" w:rsidRDefault="00F96AC9" w:rsidP="00F96AC9">
      <w:pPr>
        <w:spacing w:line="360" w:lineRule="auto"/>
        <w:rPr>
          <w:rFonts w:ascii="Arial" w:hAnsi="Arial" w:cs="Arial"/>
        </w:rPr>
      </w:pPr>
      <w:r w:rsidRPr="00F96AC9">
        <w:rPr>
          <w:rFonts w:ascii="Arial" w:hAnsi="Arial" w:cs="Arial"/>
        </w:rPr>
        <w:t>Ethical, Privacy, and Policy Concerns</w:t>
      </w:r>
    </w:p>
    <w:p w14:paraId="0DADBC1D" w14:textId="77777777" w:rsidR="00F96AC9" w:rsidRPr="00F96AC9" w:rsidRDefault="00F96AC9" w:rsidP="00F96AC9">
      <w:pPr>
        <w:spacing w:line="360" w:lineRule="auto"/>
        <w:rPr>
          <w:rFonts w:ascii="Arial" w:hAnsi="Arial" w:cs="Arial"/>
        </w:rPr>
      </w:pPr>
      <w:r w:rsidRPr="00F96AC9">
        <w:rPr>
          <w:rFonts w:ascii="Arial" w:hAnsi="Arial" w:cs="Arial"/>
        </w:rPr>
        <w:t>• Privacy and data security risks for older adults</w:t>
      </w:r>
    </w:p>
    <w:p w14:paraId="5D166FB0" w14:textId="77777777" w:rsidR="00F96AC9" w:rsidRPr="00F96AC9" w:rsidRDefault="00F96AC9" w:rsidP="00F96AC9">
      <w:pPr>
        <w:spacing w:line="360" w:lineRule="auto"/>
        <w:rPr>
          <w:rFonts w:ascii="Arial" w:hAnsi="Arial" w:cs="Arial"/>
        </w:rPr>
      </w:pPr>
      <w:r w:rsidRPr="00F96AC9">
        <w:rPr>
          <w:rFonts w:ascii="Arial" w:hAnsi="Arial" w:cs="Arial"/>
        </w:rPr>
        <w:t>• Lack of informed consent and understanding of AI tools</w:t>
      </w:r>
    </w:p>
    <w:p w14:paraId="40C793E5" w14:textId="77777777" w:rsidR="00F96AC9" w:rsidRPr="00F96AC9" w:rsidRDefault="00F96AC9" w:rsidP="00F96AC9">
      <w:pPr>
        <w:spacing w:line="360" w:lineRule="auto"/>
        <w:rPr>
          <w:rFonts w:ascii="Arial" w:hAnsi="Arial" w:cs="Arial"/>
        </w:rPr>
      </w:pPr>
      <w:r w:rsidRPr="00F96AC9">
        <w:rPr>
          <w:rFonts w:ascii="Arial" w:hAnsi="Arial" w:cs="Arial"/>
        </w:rPr>
        <w:t>• Risk of policy focus diverting funding from in-person services</w:t>
      </w:r>
    </w:p>
    <w:p w14:paraId="438193AE" w14:textId="77777777" w:rsidR="00F96AC9" w:rsidRDefault="00F96AC9" w:rsidP="00F96AC9">
      <w:pPr>
        <w:spacing w:line="360" w:lineRule="auto"/>
        <w:rPr>
          <w:rFonts w:ascii="Arial" w:hAnsi="Arial" w:cs="Arial"/>
        </w:rPr>
      </w:pPr>
      <w:r w:rsidRPr="00F96AC9">
        <w:rPr>
          <w:rFonts w:ascii="Arial" w:hAnsi="Arial" w:cs="Arial"/>
        </w:rPr>
        <w:t>• Potential for digital interventions to exacerbate isolation for non-users</w:t>
      </w:r>
    </w:p>
    <w:p w14:paraId="514EC065" w14:textId="77777777" w:rsidR="00F96AC9" w:rsidRPr="00F96AC9" w:rsidRDefault="00F96AC9" w:rsidP="00F96AC9">
      <w:pPr>
        <w:spacing w:line="360" w:lineRule="auto"/>
        <w:rPr>
          <w:rFonts w:ascii="Arial" w:hAnsi="Arial" w:cs="Arial"/>
        </w:rPr>
      </w:pPr>
    </w:p>
    <w:p w14:paraId="67D75EC8" w14:textId="2B7FEAA2" w:rsidR="00F96AC9" w:rsidRDefault="00F96AC9" w:rsidP="00F96AC9">
      <w:pPr>
        <w:spacing w:line="360" w:lineRule="auto"/>
        <w:rPr>
          <w:rFonts w:ascii="Arial" w:hAnsi="Arial" w:cs="Arial"/>
        </w:rPr>
      </w:pPr>
      <w:r w:rsidRPr="00F96AC9">
        <w:rPr>
          <w:rFonts w:ascii="Arial" w:hAnsi="Arial" w:cs="Arial"/>
        </w:rPr>
        <w:t>Digital mental health tools are growing at a high pace, and this brings about ethical and policy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issues. Ageing users usually fear privacy and consent of their data and are particularly insecure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about AI-based surveillance and chatbots (Wong et al., 2025; Cunningham et al., 2025). The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mishandling of sensitive information might cause more stress instead of reducing loneliness.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Furthermore, the excessive focus on the UK health policy on technology might lead to the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withdrawal of funds and focus on community-based services, home visits, and social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programmes with proven efficiency on the inclusion aspect (Anuyah et al., 2023). The digital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interventions would risk excluding even more isolated individuals when presented without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proper protection.</w:t>
      </w:r>
    </w:p>
    <w:p w14:paraId="24DA3167" w14:textId="77777777" w:rsidR="00F96AC9" w:rsidRDefault="00F96AC9" w:rsidP="00F96AC9">
      <w:pPr>
        <w:rPr>
          <w:rFonts w:ascii="Arial" w:hAnsi="Arial" w:cs="Arial"/>
        </w:rPr>
      </w:pPr>
    </w:p>
    <w:p w14:paraId="5AF69CAF" w14:textId="65D0F2D3" w:rsidR="00F96AC9" w:rsidRPr="00F12D53" w:rsidRDefault="00F96AC9" w:rsidP="00F96AC9">
      <w:pPr>
        <w:rPr>
          <w:rFonts w:ascii="Arial" w:hAnsi="Arial" w:cs="Arial"/>
          <w:b/>
          <w:bCs/>
          <w:i/>
          <w:iCs/>
        </w:rPr>
      </w:pPr>
      <w:r w:rsidRPr="00F12D53">
        <w:rPr>
          <w:rFonts w:ascii="Arial" w:hAnsi="Arial" w:cs="Arial"/>
          <w:b/>
          <w:bCs/>
          <w:i/>
          <w:iCs/>
        </w:rPr>
        <w:t>Rebuttal</w:t>
      </w:r>
    </w:p>
    <w:p w14:paraId="5CA6B185" w14:textId="77777777" w:rsidR="00F12D53" w:rsidRPr="00F12D53" w:rsidRDefault="00F96AC9" w:rsidP="00F96AC9">
      <w:pPr>
        <w:spacing w:line="360" w:lineRule="auto"/>
        <w:rPr>
          <w:rFonts w:ascii="Arial" w:hAnsi="Arial" w:cs="Arial"/>
          <w:color w:val="4472C4" w:themeColor="accent1"/>
        </w:rPr>
      </w:pPr>
      <w:r w:rsidRPr="00F12D53">
        <w:rPr>
          <w:rFonts w:ascii="Arial" w:hAnsi="Arial" w:cs="Arial"/>
          <w:color w:val="4472C4" w:themeColor="accent1"/>
        </w:rPr>
        <w:t>Digital Literacy and Accessibility</w:t>
      </w:r>
    </w:p>
    <w:p w14:paraId="36780FC9" w14:textId="36DD2379" w:rsidR="00F96AC9" w:rsidRDefault="00F96AC9" w:rsidP="00F96AC9">
      <w:pPr>
        <w:spacing w:line="360" w:lineRule="auto"/>
        <w:rPr>
          <w:rFonts w:ascii="Arial" w:hAnsi="Arial" w:cs="Arial"/>
        </w:rPr>
      </w:pPr>
      <w:r w:rsidRPr="00F96AC9">
        <w:rPr>
          <w:rFonts w:ascii="Arial" w:hAnsi="Arial" w:cs="Arial"/>
        </w:rPr>
        <w:t>Although there are digital literacy programmes, the older adults are not accessible to all. It has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been shown that the uptake of training is low in the oldest age groups, those with cognitive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impairments, and people in low-income and rural regions (Rodriguez et al., 2023; Gao et al.,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2022). Occupations of simplicity cannot even completely remove anxiety and the lack of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acquaintance with technology, which causes disillusionment or disconnection (Kim et al., 2023;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Gordon, 2022). Thus, arguments that digital exclusion is a small implementation challenge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misunderstand the size and endurance of the challenge.</w:t>
      </w:r>
    </w:p>
    <w:p w14:paraId="4CD04E73" w14:textId="77777777" w:rsidR="00F96AC9" w:rsidRDefault="00F96AC9" w:rsidP="00F96AC9">
      <w:pPr>
        <w:rPr>
          <w:rFonts w:ascii="Arial" w:hAnsi="Arial" w:cs="Arial"/>
        </w:rPr>
      </w:pPr>
    </w:p>
    <w:p w14:paraId="53CD2754" w14:textId="77777777" w:rsidR="00F96AC9" w:rsidRPr="00F12D53" w:rsidRDefault="00F96AC9" w:rsidP="00F96AC9">
      <w:pPr>
        <w:spacing w:line="360" w:lineRule="auto"/>
        <w:rPr>
          <w:rFonts w:ascii="Arial" w:hAnsi="Arial" w:cs="Arial"/>
          <w:color w:val="4472C4" w:themeColor="accent1"/>
        </w:rPr>
      </w:pPr>
      <w:r w:rsidRPr="00F12D53">
        <w:rPr>
          <w:rFonts w:ascii="Arial" w:hAnsi="Arial" w:cs="Arial"/>
          <w:color w:val="4472C4" w:themeColor="accent1"/>
        </w:rPr>
        <w:t>Technology as a Supplement to Human Contact</w:t>
      </w:r>
    </w:p>
    <w:p w14:paraId="1EAC3E76" w14:textId="34C47991" w:rsidR="00F96AC9" w:rsidRDefault="00F96AC9" w:rsidP="00F96AC9">
      <w:pPr>
        <w:spacing w:line="360" w:lineRule="auto"/>
        <w:rPr>
          <w:rFonts w:ascii="Arial" w:hAnsi="Arial" w:cs="Arial"/>
        </w:rPr>
      </w:pPr>
      <w:r w:rsidRPr="00F96AC9">
        <w:rPr>
          <w:rFonts w:ascii="Arial" w:hAnsi="Arial" w:cs="Arial"/>
        </w:rPr>
        <w:lastRenderedPageBreak/>
        <w:t>Despite the ability of digital tools to complement the interaction, as has been demonstrated, they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cannot produce a satisfactory substitute for face-to-face interaction. Online communication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usually lacks emotional resonance, and using virtual interactions may limit real-life interactions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by default (Zhou and Globa, 2026; Chen and Li, 2024). According to the older adults, occasional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contact with video calls or social media is quite effective, but cannot help to deal with the sense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of meaningful companionship and community belonging that remain the primary concerns in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overcoming loneliness (Simons et al., 2023; Della Longa et al., 2022).</w:t>
      </w:r>
    </w:p>
    <w:p w14:paraId="5A4649E0" w14:textId="77777777" w:rsidR="00F96AC9" w:rsidRPr="00F12D53" w:rsidRDefault="00F96AC9" w:rsidP="00F96AC9">
      <w:pPr>
        <w:spacing w:line="360" w:lineRule="auto"/>
        <w:rPr>
          <w:rFonts w:ascii="Arial" w:hAnsi="Arial" w:cs="Arial"/>
          <w:color w:val="4472C4" w:themeColor="accent1"/>
        </w:rPr>
      </w:pPr>
    </w:p>
    <w:p w14:paraId="7964819F" w14:textId="77777777" w:rsidR="00F96AC9" w:rsidRPr="00F12D53" w:rsidRDefault="00F96AC9" w:rsidP="00F96AC9">
      <w:pPr>
        <w:spacing w:line="360" w:lineRule="auto"/>
        <w:rPr>
          <w:rFonts w:ascii="Arial" w:hAnsi="Arial" w:cs="Arial"/>
          <w:color w:val="4472C4" w:themeColor="accent1"/>
        </w:rPr>
      </w:pPr>
      <w:r w:rsidRPr="00F12D53">
        <w:rPr>
          <w:rFonts w:ascii="Arial" w:hAnsi="Arial" w:cs="Arial"/>
          <w:color w:val="4472C4" w:themeColor="accent1"/>
        </w:rPr>
        <w:t>Privacy and Ethical Concerns</w:t>
      </w:r>
    </w:p>
    <w:p w14:paraId="35901260" w14:textId="7033300D" w:rsidR="00F96AC9" w:rsidRDefault="00F96AC9" w:rsidP="00F96AC9">
      <w:pPr>
        <w:spacing w:line="360" w:lineRule="auto"/>
        <w:rPr>
          <w:rFonts w:ascii="Arial" w:hAnsi="Arial" w:cs="Arial"/>
        </w:rPr>
      </w:pPr>
      <w:r w:rsidRPr="00F96AC9">
        <w:rPr>
          <w:rFonts w:ascii="Arial" w:hAnsi="Arial" w:cs="Arial"/>
        </w:rPr>
        <w:t>Despite NHS and GDPR protection, elderly individuals are still exposed to privacy violations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and abuse of their sensitive data (Cascione, 2025). Ethical issues are related to acquiring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informed consent in practise, data literacy, and monitoring instruments based on AI. The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improper management of these issues may provide anxiety or mistrust, which may make social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isolation more severe than less severe (Friedman et al., 2022; Andreotta et al., 2022). The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privacy and ethical concerns are, therefore, a major obstacle to the success of digital mental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health interventions among older adults.</w:t>
      </w:r>
    </w:p>
    <w:p w14:paraId="561D3E9B" w14:textId="77777777" w:rsidR="00F96AC9" w:rsidRDefault="00F96AC9" w:rsidP="00F96AC9">
      <w:pPr>
        <w:rPr>
          <w:rFonts w:ascii="Arial" w:hAnsi="Arial" w:cs="Arial"/>
        </w:rPr>
      </w:pPr>
    </w:p>
    <w:p w14:paraId="7C8444FE" w14:textId="77777777" w:rsidR="00F96AC9" w:rsidRPr="00F12D53" w:rsidRDefault="00F96AC9" w:rsidP="00F96AC9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F12D53">
        <w:rPr>
          <w:rFonts w:ascii="Arial" w:hAnsi="Arial" w:cs="Arial"/>
          <w:b/>
          <w:bCs/>
          <w:i/>
          <w:iCs/>
        </w:rPr>
        <w:t>Closing Statements</w:t>
      </w:r>
    </w:p>
    <w:p w14:paraId="48A4ECAF" w14:textId="3D7E4634" w:rsidR="00F96AC9" w:rsidRDefault="00F96AC9" w:rsidP="00F96AC9">
      <w:pPr>
        <w:spacing w:line="360" w:lineRule="auto"/>
        <w:rPr>
          <w:rFonts w:ascii="Arial" w:hAnsi="Arial" w:cs="Arial"/>
        </w:rPr>
      </w:pPr>
      <w:r w:rsidRPr="00F96AC9">
        <w:rPr>
          <w:rFonts w:ascii="Arial" w:hAnsi="Arial" w:cs="Arial"/>
        </w:rPr>
        <w:t>Although digital mental health applications have a bit of potential, they do not provide a full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solution to the loneliness crisis of older adults. Due to such ongoing constraints as technological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illiteracy, barriers of access, and moral issues, several vulnerable individuals remain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marginalised. The virtual communication cannot fully replace the richness of meaningful face-to-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face interactions that are necessary to alleviate chronic loneliness. Excessive dependence on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digital solutions threatens to distract from the focus and resources on community-based, person-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centred interventions that have been shown to be effective. An integrated strategy that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incorporates the element of human connection, social programmes and tailored support is the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surest measure to empower older adults and combat loneliness in a sustainable manner.</w:t>
      </w:r>
    </w:p>
    <w:p w14:paraId="46E2307B" w14:textId="77777777" w:rsidR="00F12D53" w:rsidRPr="00F12D53" w:rsidRDefault="00F12D53" w:rsidP="00F96AC9">
      <w:pPr>
        <w:spacing w:line="360" w:lineRule="auto"/>
        <w:rPr>
          <w:rFonts w:ascii="Arial" w:hAnsi="Arial" w:cs="Arial"/>
          <w:b/>
          <w:bCs/>
          <w:i/>
          <w:iCs/>
        </w:rPr>
      </w:pPr>
    </w:p>
    <w:p w14:paraId="30E9FE8A" w14:textId="77777777" w:rsidR="00F96AC9" w:rsidRPr="00F12D53" w:rsidRDefault="00F96AC9" w:rsidP="00F96AC9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F12D53">
        <w:rPr>
          <w:rFonts w:ascii="Arial" w:hAnsi="Arial" w:cs="Arial"/>
          <w:b/>
          <w:bCs/>
          <w:i/>
          <w:iCs/>
        </w:rPr>
        <w:t>Overall Conclusion</w:t>
      </w:r>
    </w:p>
    <w:p w14:paraId="3FD5EA75" w14:textId="3FF580AD" w:rsidR="00F96AC9" w:rsidRPr="00F96AC9" w:rsidRDefault="00F96AC9" w:rsidP="00F96AC9">
      <w:pPr>
        <w:spacing w:line="360" w:lineRule="auto"/>
        <w:rPr>
          <w:rFonts w:ascii="Arial" w:hAnsi="Arial" w:cs="Arial"/>
        </w:rPr>
      </w:pPr>
      <w:r w:rsidRPr="00F96AC9">
        <w:rPr>
          <w:rFonts w:ascii="Arial" w:hAnsi="Arial" w:cs="Arial"/>
        </w:rPr>
        <w:t>To conclude, the discussion points to the way loneliness in older adults is a multifaceted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problem, which cannot be resolved solely with the help of digital mental health instruments.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lastRenderedPageBreak/>
        <w:t>Although technology might offer some assistance and extra connection, it is not the thing to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substitute meaningful human interactions and community involvement to eliminate chronic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loneliness. Accessibility, digital literacy and ethical issues are limiting factors that leave a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significant number of older adults susceptible to social isolation in the case that digital solutions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are exclusive. Going forward, a multifaceted strategy is crucial, integrating person-centred care,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community support, in-person social programs, and technology when appropriate. We can only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truly empower older adults and enhance their psychological and social well-being by using such</w:t>
      </w:r>
      <w:r>
        <w:rPr>
          <w:rFonts w:ascii="Arial" w:hAnsi="Arial" w:cs="Arial"/>
        </w:rPr>
        <w:t xml:space="preserve"> </w:t>
      </w:r>
      <w:r w:rsidRPr="00F96AC9">
        <w:rPr>
          <w:rFonts w:ascii="Arial" w:hAnsi="Arial" w:cs="Arial"/>
        </w:rPr>
        <w:t>a comprehensive approach.</w:t>
      </w:r>
    </w:p>
    <w:sectPr w:rsidR="00F96AC9" w:rsidRPr="00F96A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6AC9"/>
    <w:rsid w:val="00163AA6"/>
    <w:rsid w:val="001F1B72"/>
    <w:rsid w:val="00380DA8"/>
    <w:rsid w:val="00500FE6"/>
    <w:rsid w:val="00767593"/>
    <w:rsid w:val="00DD1C81"/>
    <w:rsid w:val="00F12D53"/>
    <w:rsid w:val="00F96A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07087E"/>
  <w15:chartTrackingRefBased/>
  <w15:docId w15:val="{A08B6A93-CAA0-4358-8F19-195AA7C70B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6A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6A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6AC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6A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6AC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6A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6A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6A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6A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6AC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6AC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6AC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6AC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6AC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6A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6A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6A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6A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6A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6A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6A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6A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6A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6A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6A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6AC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6AC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6AC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6AC9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1071</Words>
  <Characters>6108</Characters>
  <Application>Microsoft Office Word</Application>
  <DocSecurity>0</DocSecurity>
  <Lines>50</Lines>
  <Paragraphs>14</Paragraphs>
  <ScaleCrop>false</ScaleCrop>
  <Company/>
  <LinksUpToDate>false</LinksUpToDate>
  <CharactersWithSpaces>7165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Azra Bi (2312900)</dc:creator>
  <cp:keywords/>
  <dc:description/>
  <cp:lastModifiedBy>Azra Bi (2312900)</cp:lastModifiedBy>
  <cp:revision>3</cp:revision>
  <dcterms:created xsi:type="dcterms:W3CDTF">2026-03-09T14:34:00Z</dcterms:created>
  <dcterms:modified xsi:type="dcterms:W3CDTF">2026-03-09T22:45:00Z</dcterms:modified>
</cp:coreProperties>
</file>